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sz w:val="28"/>
          <w:szCs w:val="28"/>
          <w:vertAlign w:val="baseline"/>
          <w:lang w:eastAsia="zh-CN"/>
        </w:rPr>
      </w:pPr>
      <w:r>
        <w:rPr>
          <w:rFonts w:hint="eastAsia"/>
          <w:sz w:val="32"/>
          <w:szCs w:val="32"/>
          <w:vertAlign w:val="baseline"/>
          <w:lang w:eastAsia="zh-CN"/>
        </w:rPr>
        <w:t>附件：</w:t>
      </w:r>
    </w:p>
    <w:p>
      <w:pPr>
        <w:jc w:val="center"/>
        <w:rPr>
          <w:rFonts w:hint="eastAsia"/>
          <w:sz w:val="28"/>
          <w:szCs w:val="28"/>
          <w:vertAlign w:val="baseline"/>
          <w:lang w:eastAsia="zh-CN"/>
        </w:rPr>
      </w:pPr>
      <w:r>
        <w:rPr>
          <w:rFonts w:hint="eastAsia"/>
          <w:sz w:val="28"/>
          <w:szCs w:val="28"/>
          <w:vertAlign w:val="baseline"/>
          <w:lang w:eastAsia="zh-CN"/>
        </w:rPr>
        <w:t>第二轮自治区生态环境保护督查第十八项整改任务完成情况表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2329"/>
        <w:gridCol w:w="2329"/>
        <w:gridCol w:w="23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</w:tcPr>
          <w:p>
            <w:pPr>
              <w:jc w:val="both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整改问题</w:t>
            </w:r>
          </w:p>
        </w:tc>
        <w:tc>
          <w:tcPr>
            <w:tcW w:w="6989" w:type="dxa"/>
            <w:gridSpan w:val="3"/>
          </w:tcPr>
          <w:p>
            <w:pPr>
              <w:rPr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水资源节约集约统筹不够。工业节水工作推进缓慢，《自治区水资源节约集约利用“一盟(市)一策"(2023-2025年)》要求，鄂尔多斯市2023年重点监控用水单位节水型企业建成率应达到40%，建成节水型企业112家，截至2023年底仅建成25家，未完成年度任务;《鄂尔多斯市深度节水控水工作方案》提出，2025年底前重点在焦化、火电、化工等行业建成一批节水型园区，目前全市尚未建成节水型园区，距离</w:t>
            </w:r>
            <w:bookmarkStart w:id="0" w:name="_GoBack"/>
            <w:bookmarkEnd w:id="0"/>
            <w:r>
              <w:rPr>
                <w:rFonts w:hint="eastAsia"/>
                <w:sz w:val="32"/>
                <w:szCs w:val="32"/>
                <w:vertAlign w:val="baseline"/>
              </w:rPr>
              <w:t>创建目标仍有差距。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</w:tcPr>
          <w:p>
            <w:pPr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eastAsia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整改目标</w:t>
            </w:r>
          </w:p>
        </w:tc>
        <w:tc>
          <w:tcPr>
            <w:tcW w:w="6989" w:type="dxa"/>
            <w:gridSpan w:val="3"/>
          </w:tcPr>
          <w:p>
            <w:pPr>
              <w:rPr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积极推动节水型企业和园区创建工作，稳步提升企业和园区用水效率，完成符合条件的节水型企业和节水型工业园区创建工作。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</w:tcPr>
          <w:p>
            <w:pPr>
              <w:rPr>
                <w:rFonts w:hint="eastAsia" w:eastAsia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完成时限</w:t>
            </w:r>
          </w:p>
        </w:tc>
        <w:tc>
          <w:tcPr>
            <w:tcW w:w="2329" w:type="dxa"/>
          </w:tcPr>
          <w:p>
            <w:pPr>
              <w:rPr>
                <w:rFonts w:hint="default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2025年12月31日</w:t>
            </w:r>
          </w:p>
        </w:tc>
        <w:tc>
          <w:tcPr>
            <w:tcW w:w="2329" w:type="dxa"/>
          </w:tcPr>
          <w:p>
            <w:pPr>
              <w:rPr>
                <w:rFonts w:hint="default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完成情况</w:t>
            </w:r>
          </w:p>
        </w:tc>
        <w:tc>
          <w:tcPr>
            <w:tcW w:w="2331" w:type="dxa"/>
          </w:tcPr>
          <w:p>
            <w:pPr>
              <w:rPr>
                <w:rFonts w:hint="default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</w:tcPr>
          <w:p>
            <w:pPr>
              <w:rPr>
                <w:rFonts w:hint="eastAsia" w:eastAsia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责任单位</w:t>
            </w:r>
          </w:p>
        </w:tc>
        <w:tc>
          <w:tcPr>
            <w:tcW w:w="2329" w:type="dxa"/>
          </w:tcPr>
          <w:p>
            <w:pPr>
              <w:jc w:val="center"/>
              <w:rPr>
                <w:rFonts w:hint="eastAsia" w:eastAsia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市工信局、市能源局（共同牵头）、市水利局，各旗区和党委</w:t>
            </w:r>
          </w:p>
        </w:tc>
        <w:tc>
          <w:tcPr>
            <w:tcW w:w="2329" w:type="dxa"/>
          </w:tcPr>
          <w:p>
            <w:pPr>
              <w:rPr>
                <w:rFonts w:hint="eastAsia" w:eastAsia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验收单位</w:t>
            </w:r>
          </w:p>
        </w:tc>
        <w:tc>
          <w:tcPr>
            <w:tcW w:w="2331" w:type="dxa"/>
          </w:tcPr>
          <w:p>
            <w:pPr>
              <w:rPr>
                <w:rFonts w:hint="eastAsia" w:eastAsia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市工信局、市能源局（共同牵头）、市水利局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</w:tcPr>
          <w:p>
            <w:pPr>
              <w:rPr>
                <w:rFonts w:hint="eastAsia" w:eastAsia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整改措施</w:t>
            </w:r>
          </w:p>
        </w:tc>
        <w:tc>
          <w:tcPr>
            <w:tcW w:w="6989" w:type="dxa"/>
            <w:gridSpan w:val="3"/>
          </w:tcPr>
          <w:p>
            <w:pPr>
              <w:rPr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一是利用水资源信息化平台强化重点监控用水单位日常监管,规范取用水行为，为“节水型企业”创建提供有利条件。二是市工信局推动符合条件的工业企业(除能源行业外)和工业园区，加快节水型企业和节水型工业园区创建进度。三是市能源局督促符合条件的能源企业完成节水型企业创建、验收工作，市水利局配合提供技术支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</w:tcPr>
          <w:p>
            <w:pPr>
              <w:rPr>
                <w:rFonts w:hint="eastAsia" w:eastAsia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整改成效</w:t>
            </w:r>
          </w:p>
        </w:tc>
        <w:tc>
          <w:tcPr>
            <w:tcW w:w="6989" w:type="dxa"/>
            <w:gridSpan w:val="3"/>
          </w:tcPr>
          <w:p>
            <w:pPr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一是利用“鄂尔多斯市水资源管理系统”，通过安装的在线计量设备对国家级、自治区级、市级重点监控用水单位的用水情况进行在线监测，规范取用水行为，为“节水型企业”创建提供有利条件。二是市工信局已创建自治区节水园区3个、自治区节水标杆企业3家、自治区级节水型企业11家、市级节水型企业9家、旗区级节水型企业27家，共建成节水型企业47家(其中27家属于重点用水名录中企业)，其余23家企业目前不符合节水型企业创建条件。三是市能源局已建成自治区级节水型企业2家、市级节水型企业8家、旗区级节水型企业11家，共建成节水型企业21家(21家属于重点用水名录中企业);38家企业目</w:t>
            </w:r>
          </w:p>
          <w:p>
            <w:pPr>
              <w:rPr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前不符合节水型企业创建条件。</w:t>
            </w:r>
          </w:p>
        </w:tc>
      </w:tr>
    </w:tbl>
    <w:p>
      <w:pPr>
        <w:rPr>
          <w:sz w:val="96"/>
          <w:szCs w:val="16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MathJax_Vector">
    <w:altName w:val="Trebuchet MS"/>
    <w:panose1 w:val="02000603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FF7802"/>
    <w:rsid w:val="491A1D09"/>
    <w:rsid w:val="FD475D45"/>
    <w:rsid w:val="FDFF780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2026-01-05T10:24:00Z</dcterms:created>
  <dc:creator>user</dc:creator>
  <cp:lastModifiedBy>伊金霍洛旗商务局(拟稿)</cp:lastModifiedBy>
  <dcterms:modified xsi:type="dcterms:W3CDTF">2026-01-05T02:47:35Z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  <property fmtid="{D5CDD505-2E9C-101B-9397-08002B2CF9AE}" pid="3" name="ICV">
    <vt:lpwstr>1E61C3E0A88218AEFB245B691DE79D3A</vt:lpwstr>
  </property>
</Properties>
</file>