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D1057">
      <w:pPr>
        <w:jc w:val="center"/>
        <w:outlineLvl w:val="9"/>
        <w:rPr>
          <w:rFonts w:hint="eastAsia" w:ascii="方正小标宋_GBK" w:hAnsi="方正小标宋_GBK" w:eastAsia="方正小标宋_GBK" w:cs="方正小标宋_GBK"/>
          <w:sz w:val="40"/>
          <w:szCs w:val="48"/>
          <w:lang w:val="en-US" w:eastAsia="zh-CN"/>
        </w:rPr>
      </w:pPr>
      <w:bookmarkStart w:id="0" w:name="_Toc32671"/>
      <w:bookmarkStart w:id="12" w:name="_GoBack"/>
      <w:bookmarkEnd w:id="12"/>
      <w:r>
        <w:rPr>
          <w:rFonts w:hint="eastAsia" w:ascii="方正小标宋_GBK" w:hAnsi="方正小标宋_GBK" w:eastAsia="方正小标宋_GBK" w:cs="方正小标宋_GBK"/>
          <w:sz w:val="40"/>
          <w:szCs w:val="48"/>
          <w:lang w:val="en-US" w:eastAsia="zh-CN"/>
        </w:rPr>
        <w:t>阿勒腾席热镇城镇供水价格调整方案</w:t>
      </w:r>
      <w:bookmarkEnd w:id="0"/>
    </w:p>
    <w:p w14:paraId="065BB571">
      <w:pPr>
        <w:jc w:val="center"/>
        <w:rPr>
          <w:rFonts w:hint="eastAsia" w:ascii="方正小标宋_GBK" w:hAnsi="方正小标宋_GBK" w:eastAsia="方正小标宋_GBK" w:cs="方正小标宋_GBK"/>
          <w:sz w:val="40"/>
          <w:szCs w:val="48"/>
          <w:lang w:val="en-US" w:eastAsia="zh-CN"/>
        </w:rPr>
      </w:pPr>
      <w:r>
        <w:rPr>
          <w:rFonts w:hint="eastAsia" w:ascii="方正小标宋_GBK" w:hAnsi="方正小标宋_GBK" w:eastAsia="方正小标宋_GBK" w:cs="方正小标宋_GBK"/>
          <w:sz w:val="40"/>
          <w:szCs w:val="48"/>
          <w:lang w:val="en-US" w:eastAsia="zh-CN"/>
        </w:rPr>
        <w:t>（征求意见稿）</w:t>
      </w:r>
    </w:p>
    <w:p w14:paraId="78A35F9C">
      <w:pPr>
        <w:rPr>
          <w:rFonts w:hint="eastAsia"/>
          <w:lang w:val="en-US" w:eastAsia="zh-CN"/>
        </w:rPr>
      </w:pPr>
    </w:p>
    <w:p w14:paraId="2D1261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为深入贯彻国家发展改革委关于“十四五”时期深化价格机制改革的决策部署，严格落实城镇供水价格管理领域相关政策要求与规定</w:t>
      </w:r>
      <w:r>
        <w:rPr>
          <w:rFonts w:hint="eastAsia" w:ascii="Times New Roman" w:hAnsi="Times New Roman" w:eastAsia="仿宋_GB2312" w:cs="Times New Roman"/>
          <w:sz w:val="32"/>
          <w:szCs w:val="40"/>
          <w:lang w:val="en-US" w:eastAsia="zh-CN"/>
        </w:rPr>
        <w:t>，根据</w:t>
      </w:r>
      <w:r>
        <w:rPr>
          <w:rFonts w:hint="default" w:ascii="Times New Roman" w:hAnsi="Times New Roman" w:eastAsia="仿宋_GB2312" w:cs="Times New Roman"/>
          <w:sz w:val="32"/>
          <w:szCs w:val="40"/>
          <w:lang w:val="en-US" w:eastAsia="zh-CN"/>
        </w:rPr>
        <w:t>《</w:t>
      </w:r>
      <w:r>
        <w:rPr>
          <w:rFonts w:hint="eastAsia" w:ascii="Times New Roman" w:hAnsi="Times New Roman" w:eastAsia="仿宋_GB2312" w:cs="Times New Roman"/>
          <w:sz w:val="32"/>
          <w:szCs w:val="40"/>
          <w:lang w:val="en-US" w:eastAsia="zh-CN"/>
        </w:rPr>
        <w:t>伊金霍洛旗国有资产监督管理委员会</w:t>
      </w:r>
      <w:r>
        <w:rPr>
          <w:rFonts w:hint="default" w:ascii="Times New Roman" w:hAnsi="Times New Roman" w:eastAsia="仿宋_GB2312" w:cs="Times New Roman"/>
          <w:sz w:val="32"/>
          <w:szCs w:val="40"/>
          <w:lang w:val="en-US" w:eastAsia="zh-CN"/>
        </w:rPr>
        <w:t>关于调整阿镇</w:t>
      </w:r>
      <w:r>
        <w:rPr>
          <w:rFonts w:hint="eastAsia" w:ascii="Times New Roman" w:hAnsi="Times New Roman" w:eastAsia="仿宋_GB2312" w:cs="Times New Roman"/>
          <w:sz w:val="32"/>
          <w:szCs w:val="40"/>
          <w:lang w:val="en-US" w:eastAsia="zh-CN"/>
        </w:rPr>
        <w:t>自来水</w:t>
      </w:r>
      <w:r>
        <w:rPr>
          <w:rFonts w:hint="default" w:ascii="Times New Roman" w:hAnsi="Times New Roman" w:eastAsia="仿宋_GB2312" w:cs="Times New Roman"/>
          <w:sz w:val="32"/>
          <w:szCs w:val="40"/>
          <w:lang w:val="en-US" w:eastAsia="zh-CN"/>
        </w:rPr>
        <w:t>价格的请示》</w:t>
      </w:r>
      <w:r>
        <w:rPr>
          <w:rFonts w:hint="eastAsia" w:ascii="Times New Roman" w:hAnsi="Times New Roman" w:eastAsia="仿宋_GB2312" w:cs="Times New Roman"/>
          <w:sz w:val="32"/>
          <w:szCs w:val="40"/>
          <w:lang w:val="en-US" w:eastAsia="zh-CN"/>
        </w:rPr>
        <w:t>（伊国资委字〔2025〕75号）</w:t>
      </w:r>
      <w:r>
        <w:rPr>
          <w:rFonts w:hint="default" w:ascii="Times New Roman" w:hAnsi="Times New Roman" w:eastAsia="仿宋_GB2312" w:cs="Times New Roman"/>
          <w:sz w:val="32"/>
          <w:szCs w:val="40"/>
          <w:lang w:val="en-US" w:eastAsia="zh-CN"/>
        </w:rPr>
        <w:t>，</w:t>
      </w:r>
      <w:r>
        <w:rPr>
          <w:rFonts w:hint="eastAsia" w:ascii="Times New Roman" w:hAnsi="Times New Roman" w:eastAsia="仿宋_GB2312" w:cs="Times New Roman"/>
          <w:sz w:val="32"/>
          <w:szCs w:val="40"/>
          <w:lang w:val="en-US" w:eastAsia="zh-CN"/>
        </w:rPr>
        <w:t>鉴于当前阿勒腾席热镇（以下简称“阿镇”）城区供水需求稳步增长，供水设施升级改造投入持续加大，供水运营成本呈刚性上涨特征，而阿镇城区现行水价明显低于周边地区供水企业（东胜、康巴什）自来水水价，为促进阿镇城镇供水事业可持续发展，提高水资源节约利用水平，落实水资源节约保护要求，构建科学合理的水资源定价机制，按照补偿成本、合理收益、节约用水、公平负担的原则，基于《中华人民共和国价格法》《政府制定价格行为规则》《城镇供水价格管理办法》（国家发展改革委、住房城乡建设部令〔2021〕46号）《内蒙古自治区城镇供水价格管理实施细则》（内发改价费字〔2023〕1327号）等法规及伊金霍洛旗发展改革和科学技术局对伊金霍洛旗上善供水有限责任公司2021-2023年度供水成本的法定监审结论，结合阿镇实际情况，特制定本方案。</w:t>
      </w:r>
    </w:p>
    <w:p w14:paraId="0A415689">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outlineLvl w:val="0"/>
        <w:rPr>
          <w:rFonts w:hint="eastAsia" w:ascii="黑体" w:hAnsi="黑体" w:eastAsia="黑体" w:cs="黑体"/>
          <w:sz w:val="32"/>
          <w:szCs w:val="40"/>
          <w:lang w:val="en-US" w:eastAsia="zh-CN"/>
        </w:rPr>
      </w:pPr>
      <w:bookmarkStart w:id="1" w:name="_Toc11714"/>
      <w:r>
        <w:rPr>
          <w:rFonts w:hint="eastAsia" w:ascii="黑体" w:hAnsi="黑体" w:eastAsia="黑体" w:cs="黑体"/>
          <w:sz w:val="32"/>
          <w:szCs w:val="40"/>
          <w:lang w:val="en-US" w:eastAsia="zh-CN"/>
        </w:rPr>
        <w:t>一、基本情况</w:t>
      </w:r>
      <w:bookmarkEnd w:id="1"/>
    </w:p>
    <w:p w14:paraId="65DC82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伊金霍洛旗上善供水有限责任公司原名伊金霍洛旗自来水厂，成立于1985年1月1日，2002年更名为伊金霍洛旗自来水公司，2021年3月按照公司改制要求，更名为伊金霍洛旗上善供水有限责任公司，注册资金780万元，现总资产10.06亿元。公司内设7个职能部门，下设3个分公司，2个控股子公司，共有职工215人。主要经营业务为阿镇、乌兰木伦镇、蒙苏经济开发区自来水的生产销售、供水管网建设维修、水表销售安装（其中：乌兰木伦镇供水业务于2021年接收运营；蒙苏经济开发区供水业务于2022年接收运营）。</w:t>
      </w:r>
    </w:p>
    <w:p w14:paraId="3F0EDC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公司现有甘珠庙、台格庙、考考赖水厂3处在用水源，已批复日取水总量4.14万立方米。另有乌兰淖、公尼召2处在建水源地，以及公涅尔盖沟水库、石拉乌素2处应急水源。所辖输供水管线总长858.82公里，其中阿镇城区市政供水管网385.79公里，乌兰木伦镇供水管网100.9公里水源地输水管线长372.13公里。共有在装水表约10.5万块，其中阿镇约9.6万块；乌兰木伦镇约0.9万块。</w:t>
      </w:r>
    </w:p>
    <w:p w14:paraId="17B30D86">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outlineLvl w:val="0"/>
        <w:rPr>
          <w:rFonts w:hint="default" w:ascii="黑体" w:hAnsi="黑体" w:eastAsia="黑体" w:cs="黑体"/>
          <w:sz w:val="32"/>
          <w:szCs w:val="40"/>
          <w:lang w:val="en-US" w:eastAsia="zh-CN"/>
        </w:rPr>
      </w:pPr>
      <w:bookmarkStart w:id="2" w:name="_Toc22702"/>
      <w:r>
        <w:rPr>
          <w:rFonts w:hint="eastAsia" w:ascii="黑体" w:hAnsi="黑体" w:eastAsia="黑体" w:cs="黑体"/>
          <w:sz w:val="32"/>
          <w:szCs w:val="40"/>
          <w:lang w:val="en-US" w:eastAsia="zh-CN"/>
        </w:rPr>
        <w:t>二、制定依据及必要性</w:t>
      </w:r>
      <w:bookmarkEnd w:id="2"/>
    </w:p>
    <w:p w14:paraId="6E89CD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楷体_GB2312" w:hAnsi="楷体_GB2312" w:eastAsia="楷体_GB2312" w:cs="楷体_GB2312"/>
          <w:sz w:val="32"/>
          <w:szCs w:val="40"/>
          <w:lang w:val="en-US" w:eastAsia="zh-CN"/>
        </w:rPr>
      </w:pPr>
      <w:bookmarkStart w:id="3" w:name="_Toc16091"/>
      <w:r>
        <w:rPr>
          <w:rFonts w:hint="eastAsia" w:ascii="楷体_GB2312" w:hAnsi="楷体_GB2312" w:eastAsia="楷体_GB2312" w:cs="楷体_GB2312"/>
          <w:sz w:val="32"/>
          <w:szCs w:val="40"/>
          <w:lang w:val="en-US" w:eastAsia="zh-CN"/>
        </w:rPr>
        <w:t>（一）制定依据</w:t>
      </w:r>
      <w:bookmarkEnd w:id="3"/>
    </w:p>
    <w:p w14:paraId="272F5C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1.《中华人民共和国价格法》（中华人民共和国主席令〔1997〕第92号）；</w:t>
      </w:r>
    </w:p>
    <w:p w14:paraId="0F55BA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2.《政府制定价格行为规则》（国家发展和改革委员会2017年第7号令）；</w:t>
      </w:r>
    </w:p>
    <w:p w14:paraId="4A8210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3.《城镇供水价格管理办法》（国家发展改革委、住房城乡建设部2021年第46号令）；</w:t>
      </w:r>
    </w:p>
    <w:p w14:paraId="794D73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4.《内蒙古自治区城镇供水价格管理实施细则》（内发改价费字〔2023〕1327号）；</w:t>
      </w:r>
    </w:p>
    <w:p w14:paraId="1F0F8B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highlight w:val="none"/>
          <w:lang w:val="en-US" w:eastAsia="zh-CN"/>
        </w:rPr>
      </w:pPr>
      <w:r>
        <w:rPr>
          <w:rFonts w:hint="eastAsia" w:ascii="Times New Roman" w:hAnsi="Times New Roman" w:eastAsia="仿宋_GB2312" w:cs="Times New Roman"/>
          <w:sz w:val="32"/>
          <w:szCs w:val="40"/>
          <w:highlight w:val="none"/>
          <w:lang w:val="en-US" w:eastAsia="zh-CN"/>
        </w:rPr>
        <w:t>5.《内蒙古自治区定价目录（2021版）》；</w:t>
      </w:r>
    </w:p>
    <w:p w14:paraId="1A089C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highlight w:val="none"/>
          <w:lang w:val="en-US" w:eastAsia="zh-CN"/>
        </w:rPr>
      </w:pPr>
      <w:r>
        <w:rPr>
          <w:rFonts w:hint="eastAsia" w:ascii="Times New Roman" w:hAnsi="Times New Roman" w:eastAsia="仿宋_GB2312" w:cs="Times New Roman"/>
          <w:sz w:val="32"/>
          <w:szCs w:val="40"/>
          <w:highlight w:val="none"/>
          <w:lang w:val="en-US" w:eastAsia="zh-CN"/>
        </w:rPr>
        <w:t>6.《内蒙古自治区发展改革委 住房城乡建设厅 水利厅关于进一步完善城镇供水价格管理机制的指导意见》（内发改价费字〔2025〕1215号）；</w:t>
      </w:r>
    </w:p>
    <w:p w14:paraId="205473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highlight w:val="none"/>
          <w:lang w:val="en-US" w:eastAsia="zh-CN"/>
        </w:rPr>
      </w:pPr>
      <w:r>
        <w:rPr>
          <w:rFonts w:hint="eastAsia" w:ascii="Times New Roman" w:hAnsi="Times New Roman" w:eastAsia="仿宋_GB2312" w:cs="Times New Roman"/>
          <w:sz w:val="32"/>
          <w:szCs w:val="40"/>
          <w:highlight w:val="none"/>
          <w:lang w:val="en-US" w:eastAsia="zh-CN"/>
        </w:rPr>
        <w:t>7.《鄂尔多斯市发展和改革委员会 鄂尔多斯市城乡建设委员会关于鄂尔多斯市居民生活用水实行阶梯水价的通知》（鄂发改费发〔2015〕358号）；</w:t>
      </w:r>
    </w:p>
    <w:p w14:paraId="213240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Times New Roman" w:hAnsi="Times New Roman" w:eastAsia="仿宋_GB2312" w:cs="Times New Roman"/>
          <w:sz w:val="32"/>
          <w:szCs w:val="40"/>
          <w:lang w:val="en-US" w:eastAsia="zh-CN"/>
        </w:rPr>
      </w:pPr>
      <w:bookmarkStart w:id="4" w:name="_Toc690"/>
      <w:r>
        <w:rPr>
          <w:rFonts w:hint="eastAsia" w:ascii="Times New Roman" w:hAnsi="Times New Roman" w:eastAsia="仿宋_GB2312" w:cs="Times New Roman"/>
          <w:sz w:val="32"/>
          <w:szCs w:val="40"/>
          <w:lang w:val="en-US" w:eastAsia="zh-CN"/>
        </w:rPr>
        <w:t>（二）制定的必要性</w:t>
      </w:r>
      <w:bookmarkEnd w:id="4"/>
    </w:p>
    <w:p w14:paraId="1001F5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当前，阿勒腾席热镇城区城镇供水价格执行《关于调整阿镇地区自来水价格的批复》（伊价发〔2009〕12号）标准，该价格自文件印发至今未作调整。近年来，国家发展改革委等部委相继出台系列政策文件，明确要求各地建立健全城镇供水动态调价机制，推动供水价格及时反映成本变动情况。与此同时，供水行业人工薪酬、原材物料采购、设施维修养护等运营成本呈持续上涨态势。为统筹平衡城镇居民与非居民用水户的承受能力，合理缓解供水企业成本压力，保障城镇供水水质安全稳定，促进供水行业可持续健康发展，现亟需对现行城镇供水价格予以调整。</w:t>
      </w:r>
    </w:p>
    <w:p w14:paraId="506577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2.为全面贯彻《城镇供水价格管理办法》（国家发展改革委、住房城乡建设部2021年第46号令）及《内蒙古自治区发展和改革委 住房城乡建设厅 水利厅关于进一步完善城镇供水价格管理机制的指导意见》（内发改价费字〔2025〕1215号）等政策要求，持续完善以“准许成本+合理收益”为核心的定价体系，切实实现激励供水质量提升、促进水资源集约利用的双重目标。</w:t>
      </w:r>
    </w:p>
    <w:p w14:paraId="0E6B306A">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outlineLvl w:val="0"/>
        <w:rPr>
          <w:rFonts w:hint="eastAsia" w:ascii="黑体" w:hAnsi="黑体" w:eastAsia="黑体" w:cs="黑体"/>
          <w:sz w:val="32"/>
          <w:szCs w:val="40"/>
          <w:lang w:val="en-US" w:eastAsia="zh-CN"/>
        </w:rPr>
      </w:pPr>
      <w:bookmarkStart w:id="5" w:name="_Toc4744"/>
      <w:r>
        <w:rPr>
          <w:rFonts w:hint="eastAsia" w:ascii="黑体" w:hAnsi="黑体" w:eastAsia="黑体" w:cs="黑体"/>
          <w:sz w:val="32"/>
          <w:szCs w:val="40"/>
          <w:lang w:val="en-US" w:eastAsia="zh-CN"/>
        </w:rPr>
        <w:t>三、现行供水价格</w:t>
      </w:r>
      <w:bookmarkEnd w:id="5"/>
    </w:p>
    <w:p w14:paraId="4AE7BD05">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目前，伊金霍洛旗上善供水有限责任公司城镇供水价格执行伊金霍洛旗物价局《关于调整阿镇地区自来水价格的批复（伊价发〔2009〕12号）》文件</w:t>
      </w:r>
      <w:r>
        <w:rPr>
          <w:rFonts w:hint="eastAsia" w:ascii="Times New Roman" w:hAnsi="Times New Roman" w:eastAsia="仿宋_GB2312" w:cs="Times New Roman"/>
          <w:sz w:val="32"/>
          <w:szCs w:val="40"/>
          <w:lang w:val="en-US" w:eastAsia="zh-CN"/>
        </w:rPr>
        <w:t>，并将城区供水性质分为居民生活用水、行政事业单位用水、工业用水、商业用水及特殊行业用水等。现行供水价格如下：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1637"/>
        <w:gridCol w:w="2004"/>
        <w:gridCol w:w="3638"/>
      </w:tblGrid>
      <w:tr w14:paraId="5BE5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gridSpan w:val="2"/>
            <w:tcBorders>
              <w:top w:val="single" w:color="auto" w:sz="4" w:space="0"/>
            </w:tcBorders>
            <w:vAlign w:val="center"/>
          </w:tcPr>
          <w:p w14:paraId="775701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sz w:val="24"/>
                <w:szCs w:val="32"/>
                <w:vertAlign w:val="baseline"/>
                <w:lang w:val="en-US" w:eastAsia="zh-CN"/>
              </w:rPr>
            </w:pPr>
            <w:r>
              <w:rPr>
                <w:rFonts w:hint="eastAsia" w:ascii="Times New Roman" w:hAnsi="Times New Roman" w:eastAsia="仿宋_GB2312" w:cs="Times New Roman"/>
                <w:b/>
                <w:bCs/>
                <w:sz w:val="24"/>
                <w:szCs w:val="32"/>
                <w:vertAlign w:val="baseline"/>
                <w:lang w:val="en-US" w:eastAsia="zh-CN"/>
              </w:rPr>
              <w:t>用水性质分类</w:t>
            </w:r>
          </w:p>
        </w:tc>
        <w:tc>
          <w:tcPr>
            <w:tcW w:w="2004" w:type="dxa"/>
            <w:tcBorders>
              <w:top w:val="single" w:color="auto" w:sz="4" w:space="0"/>
            </w:tcBorders>
            <w:vAlign w:val="center"/>
          </w:tcPr>
          <w:p w14:paraId="773C9B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sz w:val="24"/>
                <w:szCs w:val="32"/>
                <w:vertAlign w:val="baseline"/>
                <w:lang w:val="en-US" w:eastAsia="zh-CN"/>
              </w:rPr>
            </w:pPr>
            <w:r>
              <w:rPr>
                <w:rFonts w:hint="eastAsia" w:ascii="Times New Roman" w:hAnsi="Times New Roman" w:eastAsia="仿宋_GB2312" w:cs="Times New Roman"/>
                <w:b/>
                <w:bCs/>
                <w:sz w:val="24"/>
                <w:szCs w:val="32"/>
                <w:vertAlign w:val="baseline"/>
                <w:lang w:val="en-US" w:eastAsia="zh-CN"/>
              </w:rPr>
              <w:t>具体价格标准</w:t>
            </w:r>
          </w:p>
        </w:tc>
        <w:tc>
          <w:tcPr>
            <w:tcW w:w="3638" w:type="dxa"/>
            <w:tcBorders>
              <w:top w:val="single" w:color="auto" w:sz="4" w:space="0"/>
            </w:tcBorders>
            <w:vAlign w:val="center"/>
          </w:tcPr>
          <w:p w14:paraId="3DD467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sz w:val="24"/>
                <w:szCs w:val="32"/>
                <w:vertAlign w:val="baseline"/>
                <w:lang w:val="en-US" w:eastAsia="zh-CN"/>
              </w:rPr>
            </w:pPr>
            <w:r>
              <w:rPr>
                <w:rFonts w:hint="eastAsia" w:ascii="Times New Roman" w:hAnsi="Times New Roman" w:eastAsia="仿宋_GB2312" w:cs="Times New Roman"/>
                <w:b/>
                <w:bCs/>
                <w:sz w:val="24"/>
                <w:szCs w:val="32"/>
                <w:vertAlign w:val="baseline"/>
                <w:lang w:val="en-US" w:eastAsia="zh-CN"/>
              </w:rPr>
              <w:t>备注</w:t>
            </w:r>
          </w:p>
        </w:tc>
      </w:tr>
      <w:tr w14:paraId="55C6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vMerge w:val="restart"/>
            <w:vAlign w:val="center"/>
          </w:tcPr>
          <w:p w14:paraId="02D299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eastAsia" w:ascii="Times New Roman" w:hAnsi="Times New Roman" w:eastAsia="仿宋_GB2312" w:cs="Times New Roman"/>
                <w:sz w:val="24"/>
                <w:szCs w:val="32"/>
                <w:vertAlign w:val="baseline"/>
                <w:lang w:val="en-US" w:eastAsia="zh-CN"/>
              </w:rPr>
              <w:t>居民用水</w:t>
            </w:r>
          </w:p>
        </w:tc>
        <w:tc>
          <w:tcPr>
            <w:tcW w:w="1637" w:type="dxa"/>
            <w:vAlign w:val="center"/>
          </w:tcPr>
          <w:p w14:paraId="47057D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eastAsia" w:ascii="Times New Roman" w:hAnsi="Times New Roman" w:eastAsia="仿宋_GB2312" w:cs="Times New Roman"/>
                <w:sz w:val="24"/>
                <w:szCs w:val="32"/>
                <w:vertAlign w:val="baseline"/>
                <w:lang w:val="en-US" w:eastAsia="zh-CN"/>
              </w:rPr>
              <w:t>第一阶梯价</w:t>
            </w:r>
          </w:p>
        </w:tc>
        <w:tc>
          <w:tcPr>
            <w:tcW w:w="2004" w:type="dxa"/>
            <w:vAlign w:val="center"/>
          </w:tcPr>
          <w:p w14:paraId="18A39A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3元/立方米</w:t>
            </w:r>
          </w:p>
        </w:tc>
        <w:tc>
          <w:tcPr>
            <w:tcW w:w="3638" w:type="dxa"/>
            <w:vMerge w:val="restart"/>
            <w:vAlign w:val="center"/>
          </w:tcPr>
          <w:p w14:paraId="1DCE82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eastAsia" w:ascii="Times New Roman" w:hAnsi="Times New Roman" w:eastAsia="仿宋_GB2312" w:cs="Times New Roman"/>
                <w:sz w:val="24"/>
                <w:szCs w:val="32"/>
                <w:vertAlign w:val="baseline"/>
                <w:lang w:val="en-US" w:eastAsia="zh-CN"/>
              </w:rPr>
              <w:t>居民实行阶梯价格制度，阶差按1：1.5：3的比例安排。</w:t>
            </w:r>
          </w:p>
        </w:tc>
      </w:tr>
      <w:tr w14:paraId="6AF4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vMerge w:val="continue"/>
            <w:vAlign w:val="center"/>
          </w:tcPr>
          <w:p w14:paraId="4B88E2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p>
        </w:tc>
        <w:tc>
          <w:tcPr>
            <w:tcW w:w="1637" w:type="dxa"/>
            <w:vAlign w:val="center"/>
          </w:tcPr>
          <w:p w14:paraId="3B7879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第</w:t>
            </w:r>
            <w:r>
              <w:rPr>
                <w:rFonts w:hint="eastAsia" w:ascii="Times New Roman" w:hAnsi="Times New Roman" w:eastAsia="仿宋_GB2312" w:cs="Times New Roman"/>
                <w:sz w:val="24"/>
                <w:szCs w:val="32"/>
                <w:vertAlign w:val="baseline"/>
                <w:lang w:val="en-US" w:eastAsia="zh-CN"/>
              </w:rPr>
              <w:t>二</w:t>
            </w:r>
            <w:r>
              <w:rPr>
                <w:rFonts w:hint="default" w:ascii="Times New Roman" w:hAnsi="Times New Roman" w:eastAsia="仿宋_GB2312" w:cs="Times New Roman"/>
                <w:sz w:val="24"/>
                <w:szCs w:val="32"/>
                <w:vertAlign w:val="baseline"/>
                <w:lang w:val="en-US" w:eastAsia="zh-CN"/>
              </w:rPr>
              <w:t>阶梯价</w:t>
            </w:r>
          </w:p>
        </w:tc>
        <w:tc>
          <w:tcPr>
            <w:tcW w:w="2004" w:type="dxa"/>
            <w:vAlign w:val="center"/>
          </w:tcPr>
          <w:p w14:paraId="7E3118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4.5元/立方米</w:t>
            </w:r>
          </w:p>
        </w:tc>
        <w:tc>
          <w:tcPr>
            <w:tcW w:w="3638" w:type="dxa"/>
            <w:vMerge w:val="continue"/>
            <w:vAlign w:val="center"/>
          </w:tcPr>
          <w:p w14:paraId="11DAFD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p>
        </w:tc>
      </w:tr>
      <w:tr w14:paraId="5789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vMerge w:val="continue"/>
            <w:vAlign w:val="center"/>
          </w:tcPr>
          <w:p w14:paraId="239C70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p>
        </w:tc>
        <w:tc>
          <w:tcPr>
            <w:tcW w:w="1637" w:type="dxa"/>
            <w:vAlign w:val="center"/>
          </w:tcPr>
          <w:p w14:paraId="52C521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第</w:t>
            </w:r>
            <w:r>
              <w:rPr>
                <w:rFonts w:hint="eastAsia" w:ascii="Times New Roman" w:hAnsi="Times New Roman" w:eastAsia="仿宋_GB2312" w:cs="Times New Roman"/>
                <w:sz w:val="24"/>
                <w:szCs w:val="32"/>
                <w:vertAlign w:val="baseline"/>
                <w:lang w:val="en-US" w:eastAsia="zh-CN"/>
              </w:rPr>
              <w:t>三</w:t>
            </w:r>
            <w:r>
              <w:rPr>
                <w:rFonts w:hint="default" w:ascii="Times New Roman" w:hAnsi="Times New Roman" w:eastAsia="仿宋_GB2312" w:cs="Times New Roman"/>
                <w:sz w:val="24"/>
                <w:szCs w:val="32"/>
                <w:vertAlign w:val="baseline"/>
                <w:lang w:val="en-US" w:eastAsia="zh-CN"/>
              </w:rPr>
              <w:t>阶梯价</w:t>
            </w:r>
          </w:p>
        </w:tc>
        <w:tc>
          <w:tcPr>
            <w:tcW w:w="2004" w:type="dxa"/>
            <w:vAlign w:val="center"/>
          </w:tcPr>
          <w:p w14:paraId="094918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9元/立方米</w:t>
            </w:r>
          </w:p>
        </w:tc>
        <w:tc>
          <w:tcPr>
            <w:tcW w:w="3638" w:type="dxa"/>
            <w:vMerge w:val="continue"/>
            <w:vAlign w:val="center"/>
          </w:tcPr>
          <w:p w14:paraId="336353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p>
        </w:tc>
      </w:tr>
      <w:tr w14:paraId="1E6C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gridSpan w:val="2"/>
            <w:vAlign w:val="center"/>
          </w:tcPr>
          <w:p w14:paraId="0167A5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行政事业单位用水</w:t>
            </w:r>
          </w:p>
        </w:tc>
        <w:tc>
          <w:tcPr>
            <w:tcW w:w="2004" w:type="dxa"/>
            <w:vAlign w:val="center"/>
          </w:tcPr>
          <w:p w14:paraId="361DAE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5元/立方米</w:t>
            </w:r>
          </w:p>
        </w:tc>
        <w:tc>
          <w:tcPr>
            <w:tcW w:w="3638" w:type="dxa"/>
            <w:vAlign w:val="center"/>
          </w:tcPr>
          <w:p w14:paraId="703E35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包括行政事业单位、社会团体、部队、医院</w:t>
            </w:r>
            <w:r>
              <w:rPr>
                <w:rFonts w:hint="eastAsia" w:ascii="Times New Roman" w:hAnsi="Times New Roman" w:eastAsia="仿宋_GB2312" w:cs="Times New Roman"/>
                <w:sz w:val="24"/>
                <w:szCs w:val="32"/>
                <w:vertAlign w:val="baseline"/>
                <w:lang w:val="en-US" w:eastAsia="zh-CN"/>
              </w:rPr>
              <w:t>。</w:t>
            </w:r>
          </w:p>
        </w:tc>
      </w:tr>
      <w:tr w14:paraId="6D50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gridSpan w:val="2"/>
            <w:vAlign w:val="center"/>
          </w:tcPr>
          <w:p w14:paraId="0AF8CD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工商业用水</w:t>
            </w:r>
          </w:p>
        </w:tc>
        <w:tc>
          <w:tcPr>
            <w:tcW w:w="2004" w:type="dxa"/>
            <w:vAlign w:val="center"/>
          </w:tcPr>
          <w:p w14:paraId="0695B2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6.5元/立方米</w:t>
            </w:r>
          </w:p>
        </w:tc>
        <w:tc>
          <w:tcPr>
            <w:tcW w:w="3638" w:type="dxa"/>
            <w:vAlign w:val="center"/>
          </w:tcPr>
          <w:p w14:paraId="1B3B9B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包括流通、生产、基建、餐饮、酒店个体、企业</w:t>
            </w:r>
            <w:r>
              <w:rPr>
                <w:rFonts w:hint="eastAsia" w:ascii="Times New Roman" w:hAnsi="Times New Roman" w:eastAsia="仿宋_GB2312" w:cs="Times New Roman"/>
                <w:sz w:val="24"/>
                <w:szCs w:val="32"/>
                <w:vertAlign w:val="baseline"/>
                <w:lang w:val="en-US" w:eastAsia="zh-CN"/>
              </w:rPr>
              <w:t>。</w:t>
            </w:r>
          </w:p>
        </w:tc>
      </w:tr>
      <w:tr w14:paraId="61FF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gridSpan w:val="2"/>
            <w:vAlign w:val="center"/>
          </w:tcPr>
          <w:p w14:paraId="7454B1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公益性及</w:t>
            </w:r>
            <w:r>
              <w:rPr>
                <w:rFonts w:hint="eastAsia" w:ascii="Times New Roman" w:hAnsi="Times New Roman" w:eastAsia="仿宋_GB2312" w:cs="Times New Roman"/>
                <w:sz w:val="24"/>
                <w:szCs w:val="32"/>
                <w:vertAlign w:val="baseline"/>
                <w:lang w:val="en-US" w:eastAsia="zh-CN"/>
              </w:rPr>
              <w:t>其他</w:t>
            </w:r>
            <w:r>
              <w:rPr>
                <w:rFonts w:hint="default" w:ascii="Times New Roman" w:hAnsi="Times New Roman" w:eastAsia="仿宋_GB2312" w:cs="Times New Roman"/>
                <w:sz w:val="24"/>
                <w:szCs w:val="32"/>
                <w:vertAlign w:val="baseline"/>
                <w:lang w:val="en-US" w:eastAsia="zh-CN"/>
              </w:rPr>
              <w:t>非居民用水</w:t>
            </w:r>
          </w:p>
        </w:tc>
        <w:tc>
          <w:tcPr>
            <w:tcW w:w="2004" w:type="dxa"/>
            <w:vAlign w:val="center"/>
          </w:tcPr>
          <w:p w14:paraId="33FAB7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3.75元/立方米</w:t>
            </w:r>
          </w:p>
        </w:tc>
        <w:tc>
          <w:tcPr>
            <w:tcW w:w="3638" w:type="dxa"/>
            <w:vAlign w:val="center"/>
          </w:tcPr>
          <w:p w14:paraId="5D0897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学校教学和学生生活用水、幼儿园、社会福利机构等</w:t>
            </w:r>
            <w:r>
              <w:rPr>
                <w:rFonts w:hint="eastAsia" w:ascii="Times New Roman" w:hAnsi="Times New Roman" w:eastAsia="仿宋_GB2312" w:cs="Times New Roman"/>
                <w:sz w:val="24"/>
                <w:szCs w:val="32"/>
                <w:vertAlign w:val="baseline"/>
                <w:lang w:val="en-US" w:eastAsia="zh-CN"/>
              </w:rPr>
              <w:t>。</w:t>
            </w:r>
          </w:p>
        </w:tc>
      </w:tr>
      <w:tr w14:paraId="2105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gridSpan w:val="2"/>
            <w:vAlign w:val="center"/>
          </w:tcPr>
          <w:p w14:paraId="46FF4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特殊行业用水</w:t>
            </w:r>
          </w:p>
        </w:tc>
        <w:tc>
          <w:tcPr>
            <w:tcW w:w="2004" w:type="dxa"/>
            <w:vAlign w:val="center"/>
          </w:tcPr>
          <w:p w14:paraId="0F2926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1</w:t>
            </w:r>
            <w:r>
              <w:rPr>
                <w:rFonts w:hint="eastAsia" w:ascii="Times New Roman" w:hAnsi="Times New Roman" w:eastAsia="仿宋_GB2312" w:cs="Times New Roman"/>
                <w:sz w:val="24"/>
                <w:szCs w:val="32"/>
                <w:vertAlign w:val="baseline"/>
                <w:lang w:val="en-US" w:eastAsia="zh-CN"/>
              </w:rPr>
              <w:t>2</w:t>
            </w:r>
            <w:r>
              <w:rPr>
                <w:rFonts w:hint="default" w:ascii="Times New Roman" w:hAnsi="Times New Roman" w:eastAsia="仿宋_GB2312" w:cs="Times New Roman"/>
                <w:sz w:val="24"/>
                <w:szCs w:val="32"/>
                <w:vertAlign w:val="baseline"/>
                <w:lang w:val="en-US" w:eastAsia="zh-CN"/>
              </w:rPr>
              <w:t>元/立方米</w:t>
            </w:r>
          </w:p>
        </w:tc>
        <w:tc>
          <w:tcPr>
            <w:tcW w:w="3638" w:type="dxa"/>
            <w:vAlign w:val="center"/>
          </w:tcPr>
          <w:p w14:paraId="4D4DFB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32"/>
                <w:vertAlign w:val="baseline"/>
                <w:lang w:val="en-US" w:eastAsia="zh-CN"/>
              </w:rPr>
            </w:pPr>
            <w:r>
              <w:rPr>
                <w:rFonts w:hint="eastAsia" w:ascii="Times New Roman" w:hAnsi="Times New Roman" w:eastAsia="仿宋_GB2312" w:cs="Times New Roman"/>
                <w:sz w:val="24"/>
                <w:szCs w:val="32"/>
                <w:vertAlign w:val="baseline"/>
                <w:lang w:val="en-US" w:eastAsia="zh-CN"/>
              </w:rPr>
              <w:t>包括桑拿、淋浴、洗车、足疗、游泳馆等用水。</w:t>
            </w:r>
          </w:p>
        </w:tc>
      </w:tr>
    </w:tbl>
    <w:p w14:paraId="1CE107F0">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outlineLvl w:val="0"/>
        <w:rPr>
          <w:rFonts w:hint="eastAsia" w:ascii="黑体" w:hAnsi="黑体" w:eastAsia="黑体" w:cs="黑体"/>
          <w:sz w:val="32"/>
          <w:szCs w:val="40"/>
          <w:lang w:val="en-US" w:eastAsia="zh-CN"/>
        </w:rPr>
      </w:pPr>
      <w:bookmarkStart w:id="6" w:name="_Toc10299"/>
      <w:r>
        <w:rPr>
          <w:rFonts w:hint="eastAsia" w:ascii="黑体" w:hAnsi="黑体" w:eastAsia="黑体" w:cs="黑体"/>
          <w:sz w:val="32"/>
          <w:szCs w:val="40"/>
          <w:lang w:val="en-US" w:eastAsia="zh-CN"/>
        </w:rPr>
        <w:t>四、成本监审情况</w:t>
      </w:r>
      <w:bookmarkEnd w:id="6"/>
    </w:p>
    <w:p w14:paraId="73294F1B">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为掌握城镇供水定价成本情况，</w:t>
      </w:r>
      <w:r>
        <w:rPr>
          <w:rFonts w:hint="eastAsia" w:ascii="Times New Roman" w:hAnsi="Times New Roman" w:eastAsia="仿宋_GB2312" w:cs="Times New Roman"/>
          <w:sz w:val="32"/>
          <w:szCs w:val="40"/>
          <w:lang w:val="en-US" w:eastAsia="zh-CN"/>
        </w:rPr>
        <w:t>按照</w:t>
      </w:r>
      <w:r>
        <w:rPr>
          <w:rFonts w:hint="default" w:ascii="Times New Roman" w:hAnsi="Times New Roman" w:eastAsia="仿宋_GB2312" w:cs="Times New Roman"/>
          <w:sz w:val="32"/>
          <w:szCs w:val="40"/>
          <w:lang w:val="en-US" w:eastAsia="zh-CN"/>
        </w:rPr>
        <w:t>《中华人民共和国价格法》（中华人民共和国主席令〔1997〕第92号）</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《政府制定价格行为规则》（国家发展和改革委员会〔20</w:t>
      </w:r>
      <w:r>
        <w:rPr>
          <w:rFonts w:hint="eastAsia" w:ascii="Times New Roman" w:hAnsi="Times New Roman" w:eastAsia="仿宋_GB2312" w:cs="Times New Roman"/>
          <w:sz w:val="32"/>
          <w:szCs w:val="40"/>
          <w:lang w:val="en-US" w:eastAsia="zh-CN"/>
        </w:rPr>
        <w:t>17</w:t>
      </w:r>
      <w:r>
        <w:rPr>
          <w:rFonts w:hint="default" w:ascii="Times New Roman" w:hAnsi="Times New Roman" w:eastAsia="仿宋_GB2312" w:cs="Times New Roman"/>
          <w:sz w:val="32"/>
          <w:szCs w:val="40"/>
          <w:lang w:val="en-US" w:eastAsia="zh-CN"/>
        </w:rPr>
        <w:t>〕第7号令）</w:t>
      </w:r>
      <w:r>
        <w:rPr>
          <w:rFonts w:hint="eastAsia" w:ascii="Times New Roman" w:hAnsi="Times New Roman" w:eastAsia="仿宋_GB2312" w:cs="Times New Roman"/>
          <w:sz w:val="32"/>
          <w:szCs w:val="40"/>
          <w:lang w:val="en-US" w:eastAsia="zh-CN"/>
        </w:rPr>
        <w:t>及《</w:t>
      </w:r>
      <w:r>
        <w:rPr>
          <w:rFonts w:hint="default" w:ascii="Times New Roman" w:hAnsi="Times New Roman" w:eastAsia="仿宋_GB2312" w:cs="Times New Roman"/>
          <w:sz w:val="32"/>
          <w:szCs w:val="40"/>
          <w:lang w:val="en-US" w:eastAsia="zh-CN"/>
        </w:rPr>
        <w:t>政府制定价格成本监审办法》（国家发展</w:t>
      </w:r>
      <w:r>
        <w:rPr>
          <w:rFonts w:hint="eastAsia" w:ascii="Times New Roman" w:hAnsi="Times New Roman" w:eastAsia="仿宋_GB2312" w:cs="Times New Roman"/>
          <w:sz w:val="32"/>
          <w:szCs w:val="40"/>
          <w:lang w:val="en-US" w:eastAsia="zh-CN"/>
        </w:rPr>
        <w:t>改革委 住房城乡建设部</w:t>
      </w:r>
      <w:r>
        <w:rPr>
          <w:rFonts w:hint="default" w:ascii="Times New Roman" w:hAnsi="Times New Roman" w:eastAsia="仿宋_GB2312" w:cs="Times New Roman"/>
          <w:sz w:val="32"/>
          <w:szCs w:val="40"/>
          <w:lang w:val="en-US" w:eastAsia="zh-CN"/>
        </w:rPr>
        <w:t>2021年第46号令）等</w:t>
      </w:r>
      <w:r>
        <w:rPr>
          <w:rFonts w:hint="eastAsia" w:ascii="Times New Roman" w:hAnsi="Times New Roman" w:eastAsia="仿宋_GB2312" w:cs="Times New Roman"/>
          <w:sz w:val="32"/>
          <w:szCs w:val="40"/>
          <w:lang w:val="en-US" w:eastAsia="zh-CN"/>
        </w:rPr>
        <w:t>文件</w:t>
      </w:r>
      <w:r>
        <w:rPr>
          <w:rFonts w:hint="default" w:ascii="Times New Roman" w:hAnsi="Times New Roman" w:eastAsia="仿宋_GB2312" w:cs="Times New Roman"/>
          <w:sz w:val="32"/>
          <w:szCs w:val="40"/>
          <w:lang w:val="en-US" w:eastAsia="zh-CN"/>
        </w:rPr>
        <w:t>规定，伊金霍洛旗发展改革和科学技术局</w:t>
      </w:r>
      <w:r>
        <w:rPr>
          <w:rFonts w:hint="eastAsia" w:ascii="Times New Roman" w:hAnsi="Times New Roman" w:eastAsia="仿宋_GB2312" w:cs="Times New Roman"/>
          <w:sz w:val="32"/>
          <w:szCs w:val="40"/>
          <w:lang w:val="en-US" w:eastAsia="zh-CN"/>
        </w:rPr>
        <w:t>委托中审众环会计师事务所（特殊普通合伙）内蒙古分所</w:t>
      </w:r>
      <w:r>
        <w:rPr>
          <w:rFonts w:hint="default" w:ascii="Times New Roman" w:hAnsi="Times New Roman" w:eastAsia="仿宋_GB2312" w:cs="Times New Roman"/>
          <w:sz w:val="32"/>
          <w:szCs w:val="40"/>
          <w:lang w:val="en-US" w:eastAsia="zh-CN"/>
        </w:rPr>
        <w:t>于2024年6月19日至2024年12月26日对伊金霍洛旗上善供水有限责任公司2021年至2023年城镇供水的成本进行了监审</w:t>
      </w:r>
      <w:r>
        <w:rPr>
          <w:rFonts w:hint="eastAsia" w:ascii="Times New Roman" w:hAnsi="Times New Roman" w:eastAsia="仿宋_GB2312" w:cs="Times New Roman"/>
          <w:sz w:val="32"/>
          <w:szCs w:val="40"/>
          <w:lang w:val="en-US" w:eastAsia="zh-CN"/>
        </w:rPr>
        <w:t>。成本监审情况如下：</w:t>
      </w: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4"/>
        <w:gridCol w:w="1630"/>
        <w:gridCol w:w="1705"/>
        <w:gridCol w:w="1705"/>
        <w:gridCol w:w="1705"/>
      </w:tblGrid>
      <w:tr w14:paraId="3F9E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 w:type="pct"/>
            <w:vAlign w:val="center"/>
          </w:tcPr>
          <w:p w14:paraId="7C1D16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类别</w:t>
            </w:r>
          </w:p>
        </w:tc>
        <w:tc>
          <w:tcPr>
            <w:tcW w:w="956" w:type="pct"/>
            <w:vAlign w:val="center"/>
          </w:tcPr>
          <w:p w14:paraId="496F7B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2021年</w:t>
            </w:r>
          </w:p>
        </w:tc>
        <w:tc>
          <w:tcPr>
            <w:tcW w:w="1000" w:type="pct"/>
            <w:vAlign w:val="center"/>
          </w:tcPr>
          <w:p w14:paraId="4F9C8E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2022年</w:t>
            </w:r>
          </w:p>
        </w:tc>
        <w:tc>
          <w:tcPr>
            <w:tcW w:w="1000" w:type="pct"/>
            <w:vAlign w:val="center"/>
          </w:tcPr>
          <w:p w14:paraId="0B1AA2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2023年</w:t>
            </w:r>
          </w:p>
        </w:tc>
        <w:tc>
          <w:tcPr>
            <w:tcW w:w="1000" w:type="pct"/>
            <w:vAlign w:val="center"/>
          </w:tcPr>
          <w:p w14:paraId="10286D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核定数</w:t>
            </w:r>
          </w:p>
        </w:tc>
      </w:tr>
      <w:tr w14:paraId="0D11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 w:type="pct"/>
            <w:vAlign w:val="center"/>
          </w:tcPr>
          <w:p w14:paraId="022232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供水总成本</w:t>
            </w:r>
            <w:r>
              <w:rPr>
                <w:rFonts w:hint="eastAsia" w:ascii="Times New Roman" w:hAnsi="Times New Roman" w:eastAsia="仿宋_GB2312" w:cs="Times New Roman"/>
                <w:b w:val="0"/>
                <w:bCs w:val="0"/>
                <w:sz w:val="24"/>
                <w:szCs w:val="32"/>
                <w:vertAlign w:val="baseline"/>
                <w:lang w:val="en-US" w:eastAsia="zh-CN"/>
              </w:rPr>
              <w:t>（元）</w:t>
            </w:r>
          </w:p>
        </w:tc>
        <w:tc>
          <w:tcPr>
            <w:tcW w:w="956" w:type="pct"/>
            <w:vAlign w:val="center"/>
          </w:tcPr>
          <w:p w14:paraId="7E053E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66,934,919.02</w:t>
            </w:r>
          </w:p>
        </w:tc>
        <w:tc>
          <w:tcPr>
            <w:tcW w:w="1000" w:type="pct"/>
            <w:vAlign w:val="center"/>
          </w:tcPr>
          <w:p w14:paraId="24618E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46,522,043.75</w:t>
            </w:r>
          </w:p>
        </w:tc>
        <w:tc>
          <w:tcPr>
            <w:tcW w:w="1000" w:type="pct"/>
            <w:vAlign w:val="center"/>
          </w:tcPr>
          <w:p w14:paraId="4E4C09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60,237,803.88</w:t>
            </w:r>
          </w:p>
        </w:tc>
        <w:tc>
          <w:tcPr>
            <w:tcW w:w="1000" w:type="pct"/>
            <w:vAlign w:val="center"/>
          </w:tcPr>
          <w:p w14:paraId="705C57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58,851,605.76</w:t>
            </w:r>
          </w:p>
        </w:tc>
      </w:tr>
      <w:tr w14:paraId="6D63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 w:type="pct"/>
            <w:vAlign w:val="center"/>
          </w:tcPr>
          <w:p w14:paraId="3111FA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单位供水成本</w:t>
            </w:r>
            <w:r>
              <w:rPr>
                <w:rFonts w:hint="eastAsia" w:ascii="Times New Roman" w:hAnsi="Times New Roman" w:eastAsia="仿宋_GB2312" w:cs="Times New Roman"/>
                <w:b w:val="0"/>
                <w:bCs w:val="0"/>
                <w:sz w:val="24"/>
                <w:szCs w:val="32"/>
                <w:vertAlign w:val="baseline"/>
                <w:lang w:val="en-US" w:eastAsia="zh-CN"/>
              </w:rPr>
              <w:t>（元）</w:t>
            </w:r>
          </w:p>
        </w:tc>
        <w:tc>
          <w:tcPr>
            <w:tcW w:w="956" w:type="pct"/>
            <w:vAlign w:val="center"/>
          </w:tcPr>
          <w:p w14:paraId="6CFE9E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11.41</w:t>
            </w:r>
          </w:p>
        </w:tc>
        <w:tc>
          <w:tcPr>
            <w:tcW w:w="1000" w:type="pct"/>
            <w:vAlign w:val="center"/>
          </w:tcPr>
          <w:p w14:paraId="561CD2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7.73</w:t>
            </w:r>
          </w:p>
        </w:tc>
        <w:tc>
          <w:tcPr>
            <w:tcW w:w="1000" w:type="pct"/>
            <w:vAlign w:val="center"/>
          </w:tcPr>
          <w:p w14:paraId="0FFA14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7.48</w:t>
            </w:r>
          </w:p>
        </w:tc>
        <w:tc>
          <w:tcPr>
            <w:tcW w:w="1000" w:type="pct"/>
            <w:vAlign w:val="center"/>
          </w:tcPr>
          <w:p w14:paraId="5BCDD0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7.31</w:t>
            </w:r>
          </w:p>
        </w:tc>
      </w:tr>
    </w:tbl>
    <w:p w14:paraId="74822A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经审核，伊金霍洛旗上善供水有限责任公司城镇供水定价总成本为5,885.16万元，定价单位成本为7.31元/立方米</w:t>
      </w:r>
      <w:r>
        <w:rPr>
          <w:rFonts w:hint="eastAsia" w:ascii="Times New Roman" w:hAnsi="Times New Roman" w:eastAsia="仿宋_GB2312" w:cs="Times New Roman"/>
          <w:sz w:val="32"/>
          <w:szCs w:val="40"/>
          <w:lang w:val="en-US" w:eastAsia="zh-CN"/>
        </w:rPr>
        <w:t>。</w:t>
      </w:r>
    </w:p>
    <w:p w14:paraId="34034D4D">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outlineLvl w:val="0"/>
        <w:rPr>
          <w:rFonts w:hint="default" w:ascii="黑体" w:hAnsi="黑体" w:eastAsia="黑体" w:cs="黑体"/>
          <w:sz w:val="32"/>
          <w:szCs w:val="40"/>
          <w:lang w:val="en-US" w:eastAsia="zh-CN"/>
        </w:rPr>
      </w:pPr>
      <w:bookmarkStart w:id="7" w:name="_Toc23443"/>
      <w:r>
        <w:rPr>
          <w:rFonts w:hint="eastAsia" w:ascii="黑体" w:hAnsi="黑体" w:eastAsia="黑体" w:cs="黑体"/>
          <w:sz w:val="32"/>
          <w:szCs w:val="40"/>
          <w:lang w:val="en-US" w:eastAsia="zh-CN"/>
        </w:rPr>
        <w:t>五、价格测算情况</w:t>
      </w:r>
      <w:bookmarkEnd w:id="7"/>
    </w:p>
    <w:p w14:paraId="5932F9FD">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按照《城镇供水价格管理办法》（国家发展改革委、住房城乡建设部令2021</w:t>
      </w:r>
      <w:r>
        <w:rPr>
          <w:rFonts w:hint="eastAsia" w:ascii="Times New Roman" w:hAnsi="Times New Roman" w:eastAsia="仿宋_GB2312" w:cs="Times New Roman"/>
          <w:sz w:val="32"/>
          <w:szCs w:val="40"/>
          <w:lang w:val="en-US" w:eastAsia="zh-CN"/>
        </w:rPr>
        <w:t>年第</w:t>
      </w:r>
      <w:r>
        <w:rPr>
          <w:rFonts w:hint="default" w:ascii="Times New Roman" w:hAnsi="Times New Roman" w:eastAsia="仿宋_GB2312" w:cs="Times New Roman"/>
          <w:sz w:val="32"/>
          <w:szCs w:val="40"/>
          <w:lang w:val="en-US" w:eastAsia="zh-CN"/>
        </w:rPr>
        <w:t>46号</w:t>
      </w:r>
      <w:r>
        <w:rPr>
          <w:rFonts w:hint="eastAsia" w:ascii="Times New Roman" w:hAnsi="Times New Roman" w:eastAsia="仿宋_GB2312" w:cs="Times New Roman"/>
          <w:sz w:val="32"/>
          <w:szCs w:val="40"/>
          <w:lang w:val="en-US" w:eastAsia="zh-CN"/>
        </w:rPr>
        <w:t>令</w:t>
      </w:r>
      <w:r>
        <w:rPr>
          <w:rFonts w:hint="default" w:ascii="Times New Roman" w:hAnsi="Times New Roman" w:eastAsia="仿宋_GB2312" w:cs="Times New Roman"/>
          <w:sz w:val="32"/>
          <w:szCs w:val="40"/>
          <w:lang w:val="en-US" w:eastAsia="zh-CN"/>
        </w:rPr>
        <w:t>）及《内蒙古自治区城镇供水价格管理实施细则》（内发改价费字〔2023〕1327号）等文件规定，按照“准许成本+合理收益”原则测算供水平均价格。按政策规定的首次核定价格相关原则进行测算。具体如下：</w:t>
      </w: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1476"/>
        <w:gridCol w:w="1476"/>
        <w:gridCol w:w="1183"/>
        <w:gridCol w:w="1502"/>
        <w:gridCol w:w="1684"/>
      </w:tblGrid>
      <w:tr w14:paraId="1BD2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Align w:val="center"/>
          </w:tcPr>
          <w:p w14:paraId="0F0828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原水价格（元/吨）</w:t>
            </w:r>
          </w:p>
        </w:tc>
        <w:tc>
          <w:tcPr>
            <w:tcW w:w="866" w:type="pct"/>
            <w:vAlign w:val="center"/>
          </w:tcPr>
          <w:p w14:paraId="37574D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核定准许成本（万元）</w:t>
            </w:r>
          </w:p>
        </w:tc>
        <w:tc>
          <w:tcPr>
            <w:tcW w:w="866" w:type="pct"/>
            <w:vAlign w:val="center"/>
          </w:tcPr>
          <w:p w14:paraId="121D52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核定</w:t>
            </w:r>
            <w:r>
              <w:rPr>
                <w:rFonts w:hint="eastAsia" w:ascii="Times New Roman" w:hAnsi="Times New Roman" w:eastAsia="仿宋_GB2312" w:cs="Times New Roman"/>
                <w:b w:val="0"/>
                <w:bCs w:val="0"/>
                <w:sz w:val="24"/>
                <w:szCs w:val="32"/>
                <w:vertAlign w:val="baseline"/>
                <w:lang w:val="en-US" w:eastAsia="zh-CN"/>
              </w:rPr>
              <w:t>准许</w:t>
            </w:r>
            <w:r>
              <w:rPr>
                <w:rFonts w:hint="default" w:ascii="Times New Roman" w:hAnsi="Times New Roman" w:eastAsia="仿宋_GB2312" w:cs="Times New Roman"/>
                <w:b w:val="0"/>
                <w:bCs w:val="0"/>
                <w:sz w:val="24"/>
                <w:szCs w:val="32"/>
                <w:vertAlign w:val="baseline"/>
                <w:lang w:val="en-US" w:eastAsia="zh-CN"/>
              </w:rPr>
              <w:t>收益（万元）</w:t>
            </w:r>
          </w:p>
        </w:tc>
        <w:tc>
          <w:tcPr>
            <w:tcW w:w="694" w:type="pct"/>
            <w:vAlign w:val="center"/>
          </w:tcPr>
          <w:p w14:paraId="7F0323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核定准许收益率（%）</w:t>
            </w:r>
          </w:p>
        </w:tc>
        <w:tc>
          <w:tcPr>
            <w:tcW w:w="881" w:type="pct"/>
            <w:vAlign w:val="center"/>
          </w:tcPr>
          <w:p w14:paraId="53F47A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核定供水量</w:t>
            </w:r>
          </w:p>
          <w:p w14:paraId="4F8658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（立</w:t>
            </w:r>
            <w:r>
              <w:rPr>
                <w:rFonts w:hint="eastAsia" w:ascii="Times New Roman" w:hAnsi="Times New Roman" w:eastAsia="仿宋_GB2312" w:cs="Times New Roman"/>
                <w:b w:val="0"/>
                <w:bCs w:val="0"/>
                <w:sz w:val="24"/>
                <w:szCs w:val="32"/>
                <w:vertAlign w:val="baseline"/>
                <w:lang w:val="en-US" w:eastAsia="zh-CN"/>
              </w:rPr>
              <w:t>方</w:t>
            </w:r>
            <w:r>
              <w:rPr>
                <w:rFonts w:hint="default" w:ascii="Times New Roman" w:hAnsi="Times New Roman" w:eastAsia="仿宋_GB2312" w:cs="Times New Roman"/>
                <w:b w:val="0"/>
                <w:bCs w:val="0"/>
                <w:sz w:val="24"/>
                <w:szCs w:val="32"/>
                <w:vertAlign w:val="baseline"/>
                <w:lang w:val="en-US" w:eastAsia="zh-CN"/>
              </w:rPr>
              <w:t>米）</w:t>
            </w:r>
          </w:p>
        </w:tc>
        <w:tc>
          <w:tcPr>
            <w:tcW w:w="988" w:type="pct"/>
            <w:vAlign w:val="center"/>
          </w:tcPr>
          <w:p w14:paraId="580A25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核定平均供水价格</w:t>
            </w:r>
          </w:p>
          <w:p w14:paraId="5917B4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（元/立方米）</w:t>
            </w:r>
          </w:p>
        </w:tc>
      </w:tr>
      <w:tr w14:paraId="6D4B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2" w:type="pct"/>
            <w:vAlign w:val="center"/>
          </w:tcPr>
          <w:p w14:paraId="51B3B0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0</w:t>
            </w:r>
          </w:p>
        </w:tc>
        <w:tc>
          <w:tcPr>
            <w:tcW w:w="866" w:type="pct"/>
            <w:vAlign w:val="center"/>
          </w:tcPr>
          <w:p w14:paraId="7279EC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66955938.87</w:t>
            </w:r>
          </w:p>
        </w:tc>
        <w:tc>
          <w:tcPr>
            <w:tcW w:w="866" w:type="pct"/>
            <w:vAlign w:val="center"/>
          </w:tcPr>
          <w:p w14:paraId="231438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20578638.92</w:t>
            </w:r>
          </w:p>
        </w:tc>
        <w:tc>
          <w:tcPr>
            <w:tcW w:w="694" w:type="pct"/>
            <w:vAlign w:val="center"/>
          </w:tcPr>
          <w:p w14:paraId="4B13AF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4.06</w:t>
            </w:r>
          </w:p>
        </w:tc>
        <w:tc>
          <w:tcPr>
            <w:tcW w:w="881" w:type="pct"/>
            <w:vAlign w:val="center"/>
          </w:tcPr>
          <w:p w14:paraId="47B9DB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8048351.5</w:t>
            </w:r>
          </w:p>
        </w:tc>
        <w:tc>
          <w:tcPr>
            <w:tcW w:w="988" w:type="pct"/>
            <w:vAlign w:val="center"/>
          </w:tcPr>
          <w:p w14:paraId="39626F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10.89</w:t>
            </w:r>
          </w:p>
        </w:tc>
      </w:tr>
    </w:tbl>
    <w:p w14:paraId="1B8FC98C">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outlineLvl w:val="0"/>
        <w:rPr>
          <w:rFonts w:hint="default" w:ascii="黑体" w:hAnsi="黑体" w:eastAsia="黑体" w:cs="黑体"/>
          <w:sz w:val="32"/>
          <w:szCs w:val="40"/>
          <w:lang w:val="en-US" w:eastAsia="zh-CN"/>
        </w:rPr>
      </w:pPr>
      <w:bookmarkStart w:id="8" w:name="_Toc3311"/>
      <w:r>
        <w:rPr>
          <w:rFonts w:hint="eastAsia" w:ascii="黑体" w:hAnsi="黑体" w:eastAsia="黑体" w:cs="黑体"/>
          <w:sz w:val="32"/>
          <w:szCs w:val="40"/>
          <w:lang w:val="en-US" w:eastAsia="zh-CN"/>
        </w:rPr>
        <w:t>六、方案调整原则</w:t>
      </w:r>
      <w:bookmarkEnd w:id="8"/>
    </w:p>
    <w:p w14:paraId="7EBBAD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本次供水价格调整方案的总体原则，严格遵循居民生活用水保本微利、非居民用水合理盈利的定价导向，统筹兼顾阿镇供水事业可持续发展需求、水资源集约节约利用引导目标、区域社会经济发展水平及群众实际承受能力，并充分参考相邻地区（东胜、康巴什）供水价格核定标准，科学核定各类用水价格水平。具体原则如下：</w:t>
      </w:r>
    </w:p>
    <w:p w14:paraId="4B6AE6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一）以保障居民承受能力、维护社会稳定为根本前提，在保持居民生活用水价格基本稳定的基础上，统筹兼顾城镇供水水质安全保障与供水企业可持续健康发展双重需求。根据《内蒙古自治区城镇供水价格管理实施细则》相关规定，居民生活用水实行三级阶梯价格制度，水价极差按1：1.5：3的比例核定；同步优化阶梯水量基数，将第一阶梯用水定额由每人每月3立方米调整为每人每月2.4立方米，以此引导居民节约用水，促进水资源高效利用。</w:t>
      </w:r>
    </w:p>
    <w:p w14:paraId="40F98B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二）依据《城镇供水价格管理办法》（国家发展改革委、住房城乡建设部2021年第46号令）及《内蒙古自治区城镇供水价格管理实施细则》（内发改价费字〔2023〕1327号），居民生活用水第一阶梯水价需按补偿成本原则核定，同时结合供水平均价格与生产能力利用情况测算。经核算，供水企业核定平均供水价格为10.89元/立方米，较现行3元/立方米的价格涨幅达263%。若直接以此作为居民生活用水第一阶梯水价，将超出区域居民实际承受能力，不利于社会和谐稳定。为统筹平衡阿镇供水事业可持续发展、区域社会经济发展水平与群众承受能力，充分参考毗邻地区供水价格核定标准（东胜区居民生活用水一级阶梯水价3.50元/立方米、康巴什居民生活用水一级阶梯水价3.40元/立方米），拟将阿镇居民生活用水第一阶梯水价确定为3.40元/立方米。</w:t>
      </w:r>
    </w:p>
    <w:p w14:paraId="13BC8D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三）进一步细化非居民用水及特种用水水量分档量化标准，实行超定额（计划）累进加价制度，水量分档设为四档。未实行抄表到户的合表用户居民执行不低于第一阶梯价格，执行居民生活水价的非居民用户水价，按居民阶梯水价的第一阶梯和第二阶梯的平均价格执行。</w:t>
      </w:r>
    </w:p>
    <w:p w14:paraId="637CA3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四）本次城镇供水价格调整方案所核定的供水价格，均为清水供应价格（不含水资源税、污水处理费及其他各类附加费用），仅涵盖城镇公共供水企业提供清水生产、输送至终端用户过程中发生的合理成本及相关费用。水资源税、污水处理费等法定应缴费用，均不纳入本次调整的供水价格构成范围，仍按国家及内蒙古自治区相关法律法规、政策文件规定的标准和方式单独核算、另行征收，确保价格构成清晰、征收流程合规、政策执行到位。</w:t>
      </w:r>
    </w:p>
    <w:p w14:paraId="1782D3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五）根据《内蒙古自治区城镇供水价格管理实施细则》（内发改价费字〔2023〕1327号）要求，现将用水分类明确为居民生活用水、非居民用水和特种用水三类，原行政事业单位用水、工商业用水、公益性及其他非居民用水统一整合纳入对应类别。具体定义如下：</w:t>
      </w:r>
    </w:p>
    <w:p w14:paraId="5511CB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sz w:val="32"/>
          <w:szCs w:val="40"/>
          <w:lang w:val="en-US" w:eastAsia="zh-CN"/>
        </w:rPr>
      </w:pPr>
      <w:bookmarkStart w:id="9" w:name="_Toc19235"/>
      <w:r>
        <w:rPr>
          <w:rFonts w:hint="eastAsia" w:ascii="Times New Roman" w:hAnsi="Times New Roman" w:eastAsia="仿宋_GB2312" w:cs="Times New Roman"/>
          <w:sz w:val="32"/>
          <w:szCs w:val="40"/>
          <w:lang w:val="en-US" w:eastAsia="zh-CN"/>
        </w:rPr>
        <w:t>1.居民生活用水：主要指城镇居民住宅家庭的日常生活用水。</w:t>
      </w:r>
      <w:bookmarkEnd w:id="9"/>
    </w:p>
    <w:p w14:paraId="253F7C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2.非居民用水：主要指工业用水、经营服务用水、行政事业单位用水、市政用水、生态用水和消防用水。</w:t>
      </w:r>
    </w:p>
    <w:p w14:paraId="7DBEEE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3.特种用水：主要包括洗车、洗浴、以自来水为原料的纯净水生产等用水，以及高尔夫球场、人工滑雪场用水等。</w:t>
      </w:r>
    </w:p>
    <w:p w14:paraId="33A1C19B">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outlineLvl w:val="0"/>
        <w:rPr>
          <w:rFonts w:hint="eastAsia" w:ascii="黑体" w:hAnsi="黑体" w:eastAsia="黑体" w:cs="黑体"/>
          <w:sz w:val="32"/>
          <w:szCs w:val="40"/>
          <w:lang w:val="en-US" w:eastAsia="zh-CN"/>
        </w:rPr>
      </w:pPr>
      <w:bookmarkStart w:id="10" w:name="_Toc15452"/>
      <w:r>
        <w:rPr>
          <w:rFonts w:hint="eastAsia" w:ascii="黑体" w:hAnsi="黑体" w:eastAsia="黑体" w:cs="黑体"/>
          <w:sz w:val="32"/>
          <w:szCs w:val="40"/>
          <w:lang w:val="en-US" w:eastAsia="zh-CN"/>
        </w:rPr>
        <w:t>七、拟定</w:t>
      </w:r>
      <w:bookmarkEnd w:id="10"/>
      <w:bookmarkStart w:id="11" w:name="_Toc15650"/>
      <w:r>
        <w:rPr>
          <w:rFonts w:hint="eastAsia" w:ascii="黑体" w:hAnsi="黑体" w:eastAsia="黑体" w:cs="黑体"/>
          <w:sz w:val="32"/>
          <w:szCs w:val="40"/>
          <w:lang w:val="en-US" w:eastAsia="zh-CN"/>
        </w:rPr>
        <w:t>价格调整方案</w:t>
      </w:r>
      <w:bookmarkEnd w:id="11"/>
    </w:p>
    <w:p w14:paraId="7920FD92">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（一）居民生活用水价格</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7"/>
        <w:gridCol w:w="2950"/>
        <w:gridCol w:w="1418"/>
        <w:gridCol w:w="1561"/>
        <w:gridCol w:w="1296"/>
      </w:tblGrid>
      <w:tr w14:paraId="4C36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blHeader/>
        </w:trPr>
        <w:tc>
          <w:tcPr>
            <w:tcW w:w="761" w:type="pct"/>
            <w:noWrap w:val="0"/>
            <w:vAlign w:val="center"/>
          </w:tcPr>
          <w:p w14:paraId="78BE80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类别</w:t>
            </w:r>
          </w:p>
        </w:tc>
        <w:tc>
          <w:tcPr>
            <w:tcW w:w="1731" w:type="pct"/>
            <w:noWrap w:val="0"/>
            <w:vAlign w:val="center"/>
          </w:tcPr>
          <w:p w14:paraId="7B9195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月</w:t>
            </w:r>
            <w:r>
              <w:rPr>
                <w:rFonts w:hint="default" w:ascii="Times New Roman" w:hAnsi="Times New Roman" w:eastAsia="仿宋_GB2312" w:cs="Times New Roman"/>
                <w:b w:val="0"/>
                <w:bCs w:val="0"/>
                <w:sz w:val="24"/>
                <w:szCs w:val="32"/>
                <w:vertAlign w:val="baseline"/>
                <w:lang w:val="en-US" w:eastAsia="zh-CN"/>
              </w:rPr>
              <w:t>用水量</w:t>
            </w:r>
          </w:p>
          <w:p w14:paraId="591D47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（m³</w:t>
            </w:r>
            <w:r>
              <w:rPr>
                <w:rFonts w:hint="default" w:ascii="Times New Roman" w:hAnsi="Times New Roman" w:eastAsia="仿宋_GB2312" w:cs="Times New Roman"/>
                <w:b w:val="0"/>
                <w:bCs w:val="0"/>
                <w:sz w:val="24"/>
                <w:szCs w:val="32"/>
                <w:vertAlign w:val="baseline"/>
                <w:lang w:val="en-US" w:eastAsia="zh-CN"/>
              </w:rPr>
              <w:t>/户</w:t>
            </w:r>
            <w:r>
              <w:rPr>
                <w:rFonts w:hint="eastAsia" w:ascii="Times New Roman" w:hAnsi="Times New Roman" w:eastAsia="仿宋_GB2312" w:cs="Times New Roman"/>
                <w:b w:val="0"/>
                <w:bCs w:val="0"/>
                <w:sz w:val="24"/>
                <w:szCs w:val="32"/>
                <w:vertAlign w:val="baseline"/>
                <w:lang w:val="en-US" w:eastAsia="zh-CN"/>
              </w:rPr>
              <w:t>·月或m³</w:t>
            </w:r>
            <w:r>
              <w:rPr>
                <w:rFonts w:hint="default" w:ascii="Times New Roman" w:hAnsi="Times New Roman" w:eastAsia="仿宋_GB2312" w:cs="Times New Roman"/>
                <w:b w:val="0"/>
                <w:bCs w:val="0"/>
                <w:sz w:val="24"/>
                <w:szCs w:val="32"/>
                <w:vertAlign w:val="baseline"/>
                <w:lang w:val="en-US" w:eastAsia="zh-CN"/>
              </w:rPr>
              <w:t>/</w:t>
            </w:r>
            <w:r>
              <w:rPr>
                <w:rFonts w:hint="eastAsia" w:ascii="Times New Roman" w:hAnsi="Times New Roman" w:eastAsia="仿宋_GB2312" w:cs="Times New Roman"/>
                <w:b w:val="0"/>
                <w:bCs w:val="0"/>
                <w:sz w:val="24"/>
                <w:szCs w:val="32"/>
                <w:vertAlign w:val="baseline"/>
                <w:lang w:val="en-US" w:eastAsia="zh-CN"/>
              </w:rPr>
              <w:t>人·月）</w:t>
            </w:r>
          </w:p>
        </w:tc>
        <w:tc>
          <w:tcPr>
            <w:tcW w:w="832" w:type="pct"/>
            <w:noWrap w:val="0"/>
            <w:vAlign w:val="center"/>
          </w:tcPr>
          <w:p w14:paraId="702DBC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现行价格</w:t>
            </w:r>
          </w:p>
          <w:p w14:paraId="4E144A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w:t>
            </w:r>
            <w:r>
              <w:rPr>
                <w:rFonts w:hint="default" w:ascii="Times New Roman" w:hAnsi="Times New Roman" w:eastAsia="仿宋_GB2312" w:cs="Times New Roman"/>
                <w:b w:val="0"/>
                <w:bCs w:val="0"/>
                <w:sz w:val="24"/>
                <w:szCs w:val="32"/>
                <w:vertAlign w:val="baseline"/>
                <w:lang w:val="en-US" w:eastAsia="zh-CN"/>
              </w:rPr>
              <w:t>元/</w:t>
            </w:r>
            <w:r>
              <w:rPr>
                <w:rFonts w:hint="eastAsia" w:ascii="Times New Roman" w:hAnsi="Times New Roman" w:eastAsia="仿宋_GB2312" w:cs="Times New Roman"/>
                <w:b w:val="0"/>
                <w:bCs w:val="0"/>
                <w:sz w:val="24"/>
                <w:szCs w:val="32"/>
                <w:vertAlign w:val="baseline"/>
                <w:lang w:val="en-US" w:eastAsia="zh-CN"/>
              </w:rPr>
              <w:t>m³）</w:t>
            </w:r>
          </w:p>
        </w:tc>
        <w:tc>
          <w:tcPr>
            <w:tcW w:w="916" w:type="pct"/>
            <w:noWrap w:val="0"/>
            <w:vAlign w:val="center"/>
          </w:tcPr>
          <w:p w14:paraId="5ECB82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调整后水价</w:t>
            </w:r>
          </w:p>
          <w:p w14:paraId="3C8515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w:t>
            </w:r>
            <w:r>
              <w:rPr>
                <w:rFonts w:hint="default" w:ascii="Times New Roman" w:hAnsi="Times New Roman" w:eastAsia="仿宋_GB2312" w:cs="Times New Roman"/>
                <w:b w:val="0"/>
                <w:bCs w:val="0"/>
                <w:sz w:val="24"/>
                <w:szCs w:val="32"/>
                <w:vertAlign w:val="baseline"/>
                <w:lang w:val="en-US" w:eastAsia="zh-CN"/>
              </w:rPr>
              <w:t>元/</w:t>
            </w:r>
            <w:r>
              <w:rPr>
                <w:rFonts w:hint="eastAsia" w:ascii="Times New Roman" w:hAnsi="Times New Roman" w:eastAsia="仿宋_GB2312" w:cs="Times New Roman"/>
                <w:b w:val="0"/>
                <w:bCs w:val="0"/>
                <w:sz w:val="24"/>
                <w:szCs w:val="32"/>
                <w:vertAlign w:val="baseline"/>
                <w:lang w:val="en-US" w:eastAsia="zh-CN"/>
              </w:rPr>
              <w:t>m³）</w:t>
            </w:r>
          </w:p>
        </w:tc>
        <w:tc>
          <w:tcPr>
            <w:tcW w:w="760" w:type="pct"/>
            <w:noWrap w:val="0"/>
            <w:vAlign w:val="center"/>
          </w:tcPr>
          <w:p w14:paraId="2D269D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调价幅度</w:t>
            </w:r>
          </w:p>
        </w:tc>
      </w:tr>
      <w:tr w14:paraId="6E7C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761" w:type="pct"/>
            <w:noWrap w:val="0"/>
            <w:vAlign w:val="center"/>
          </w:tcPr>
          <w:p w14:paraId="783780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第一阶梯</w:t>
            </w:r>
          </w:p>
        </w:tc>
        <w:tc>
          <w:tcPr>
            <w:tcW w:w="1731" w:type="pct"/>
            <w:noWrap w:val="0"/>
            <w:vAlign w:val="center"/>
          </w:tcPr>
          <w:p w14:paraId="4C89D8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7.2及以下或2.4及以下</w:t>
            </w:r>
          </w:p>
        </w:tc>
        <w:tc>
          <w:tcPr>
            <w:tcW w:w="832" w:type="pct"/>
            <w:noWrap w:val="0"/>
            <w:vAlign w:val="center"/>
          </w:tcPr>
          <w:p w14:paraId="45533C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3</w:t>
            </w:r>
          </w:p>
        </w:tc>
        <w:tc>
          <w:tcPr>
            <w:tcW w:w="916" w:type="pct"/>
            <w:noWrap w:val="0"/>
            <w:vAlign w:val="center"/>
          </w:tcPr>
          <w:p w14:paraId="2326AB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3.40</w:t>
            </w:r>
          </w:p>
        </w:tc>
        <w:tc>
          <w:tcPr>
            <w:tcW w:w="760" w:type="pct"/>
            <w:noWrap w:val="0"/>
            <w:vAlign w:val="center"/>
          </w:tcPr>
          <w:p w14:paraId="134572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w:t>
            </w:r>
            <w:r>
              <w:rPr>
                <w:rFonts w:hint="eastAsia" w:ascii="Times New Roman" w:hAnsi="Times New Roman" w:eastAsia="仿宋_GB2312" w:cs="Times New Roman"/>
                <w:b w:val="0"/>
                <w:bCs w:val="0"/>
                <w:sz w:val="24"/>
                <w:szCs w:val="32"/>
                <w:vertAlign w:val="baseline"/>
                <w:lang w:val="en-US" w:eastAsia="zh-CN"/>
              </w:rPr>
              <w:t>13.33</w:t>
            </w:r>
            <w:r>
              <w:rPr>
                <w:rFonts w:hint="default" w:ascii="Times New Roman" w:hAnsi="Times New Roman" w:eastAsia="仿宋_GB2312" w:cs="Times New Roman"/>
                <w:b w:val="0"/>
                <w:bCs w:val="0"/>
                <w:sz w:val="24"/>
                <w:szCs w:val="32"/>
                <w:vertAlign w:val="baseline"/>
                <w:lang w:val="en-US" w:eastAsia="zh-CN"/>
              </w:rPr>
              <w:t>%</w:t>
            </w:r>
          </w:p>
        </w:tc>
      </w:tr>
      <w:tr w14:paraId="24E4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61" w:type="pct"/>
            <w:noWrap w:val="0"/>
            <w:vAlign w:val="center"/>
          </w:tcPr>
          <w:p w14:paraId="535A2C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第二阶梯</w:t>
            </w:r>
          </w:p>
        </w:tc>
        <w:tc>
          <w:tcPr>
            <w:tcW w:w="1731" w:type="pct"/>
            <w:noWrap w:val="0"/>
            <w:vAlign w:val="center"/>
          </w:tcPr>
          <w:p w14:paraId="41E033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7.2-12.3</w:t>
            </w:r>
            <w:r>
              <w:rPr>
                <w:rFonts w:hint="default" w:ascii="Times New Roman" w:hAnsi="Times New Roman" w:eastAsia="仿宋_GB2312" w:cs="Times New Roman"/>
                <w:b w:val="0"/>
                <w:bCs w:val="0"/>
                <w:sz w:val="24"/>
                <w:szCs w:val="32"/>
                <w:vertAlign w:val="baseline"/>
                <w:lang w:val="en-US" w:eastAsia="zh-CN"/>
              </w:rPr>
              <w:t>（含</w:t>
            </w:r>
            <w:r>
              <w:rPr>
                <w:rFonts w:hint="eastAsia" w:ascii="Times New Roman" w:hAnsi="Times New Roman" w:eastAsia="仿宋_GB2312" w:cs="Times New Roman"/>
                <w:b w:val="0"/>
                <w:bCs w:val="0"/>
                <w:sz w:val="24"/>
                <w:szCs w:val="32"/>
                <w:vertAlign w:val="baseline"/>
                <w:lang w:val="en-US" w:eastAsia="zh-CN"/>
              </w:rPr>
              <w:t>12.3</w:t>
            </w:r>
            <w:r>
              <w:rPr>
                <w:rFonts w:hint="default" w:ascii="Times New Roman" w:hAnsi="Times New Roman" w:eastAsia="仿宋_GB2312" w:cs="Times New Roman"/>
                <w:b w:val="0"/>
                <w:bCs w:val="0"/>
                <w:sz w:val="24"/>
                <w:szCs w:val="32"/>
                <w:vertAlign w:val="baseline"/>
                <w:lang w:val="en-US" w:eastAsia="zh-CN"/>
              </w:rPr>
              <w:t>）</w:t>
            </w:r>
            <w:r>
              <w:rPr>
                <w:rFonts w:hint="eastAsia" w:ascii="Times New Roman" w:hAnsi="Times New Roman" w:eastAsia="仿宋_GB2312" w:cs="Times New Roman"/>
                <w:b w:val="0"/>
                <w:bCs w:val="0"/>
                <w:sz w:val="24"/>
                <w:szCs w:val="32"/>
                <w:vertAlign w:val="baseline"/>
                <w:lang w:val="en-US" w:eastAsia="zh-CN"/>
              </w:rPr>
              <w:t>或</w:t>
            </w:r>
          </w:p>
          <w:p w14:paraId="6AB787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2.4</w:t>
            </w:r>
            <w:r>
              <w:rPr>
                <w:rFonts w:hint="default" w:ascii="Times New Roman" w:hAnsi="Times New Roman" w:eastAsia="仿宋_GB2312" w:cs="Times New Roman"/>
                <w:b w:val="0"/>
                <w:bCs w:val="0"/>
                <w:sz w:val="24"/>
                <w:szCs w:val="32"/>
                <w:vertAlign w:val="baseline"/>
                <w:lang w:val="en-US" w:eastAsia="zh-CN"/>
              </w:rPr>
              <w:t>-</w:t>
            </w:r>
            <w:r>
              <w:rPr>
                <w:rFonts w:hint="eastAsia" w:ascii="Times New Roman" w:hAnsi="Times New Roman" w:eastAsia="仿宋_GB2312" w:cs="Times New Roman"/>
                <w:b w:val="0"/>
                <w:bCs w:val="0"/>
                <w:sz w:val="24"/>
                <w:szCs w:val="32"/>
                <w:vertAlign w:val="baseline"/>
                <w:lang w:val="en-US" w:eastAsia="zh-CN"/>
              </w:rPr>
              <w:t>4.1</w:t>
            </w:r>
            <w:r>
              <w:rPr>
                <w:rFonts w:hint="default" w:ascii="Times New Roman" w:hAnsi="Times New Roman" w:eastAsia="仿宋_GB2312" w:cs="Times New Roman"/>
                <w:b w:val="0"/>
                <w:bCs w:val="0"/>
                <w:sz w:val="24"/>
                <w:szCs w:val="32"/>
                <w:vertAlign w:val="baseline"/>
                <w:lang w:val="en-US" w:eastAsia="zh-CN"/>
              </w:rPr>
              <w:t>（含</w:t>
            </w:r>
            <w:r>
              <w:rPr>
                <w:rFonts w:hint="eastAsia" w:ascii="Times New Roman" w:hAnsi="Times New Roman" w:eastAsia="仿宋_GB2312" w:cs="Times New Roman"/>
                <w:b w:val="0"/>
                <w:bCs w:val="0"/>
                <w:sz w:val="24"/>
                <w:szCs w:val="32"/>
                <w:vertAlign w:val="baseline"/>
                <w:lang w:val="en-US" w:eastAsia="zh-CN"/>
              </w:rPr>
              <w:t>4.1</w:t>
            </w:r>
            <w:r>
              <w:rPr>
                <w:rFonts w:hint="default" w:ascii="Times New Roman" w:hAnsi="Times New Roman" w:eastAsia="仿宋_GB2312" w:cs="Times New Roman"/>
                <w:b w:val="0"/>
                <w:bCs w:val="0"/>
                <w:sz w:val="24"/>
                <w:szCs w:val="32"/>
                <w:vertAlign w:val="baseline"/>
                <w:lang w:val="en-US" w:eastAsia="zh-CN"/>
              </w:rPr>
              <w:t>）</w:t>
            </w:r>
          </w:p>
        </w:tc>
        <w:tc>
          <w:tcPr>
            <w:tcW w:w="832" w:type="pct"/>
            <w:noWrap w:val="0"/>
            <w:vAlign w:val="center"/>
          </w:tcPr>
          <w:p w14:paraId="01C442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4.5</w:t>
            </w:r>
          </w:p>
        </w:tc>
        <w:tc>
          <w:tcPr>
            <w:tcW w:w="916" w:type="pct"/>
            <w:noWrap w:val="0"/>
            <w:vAlign w:val="center"/>
          </w:tcPr>
          <w:p w14:paraId="38D568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5.10</w:t>
            </w:r>
          </w:p>
        </w:tc>
        <w:tc>
          <w:tcPr>
            <w:tcW w:w="760" w:type="pct"/>
            <w:noWrap w:val="0"/>
            <w:vAlign w:val="center"/>
          </w:tcPr>
          <w:p w14:paraId="004470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w:t>
            </w:r>
            <w:r>
              <w:rPr>
                <w:rFonts w:hint="eastAsia" w:ascii="Times New Roman" w:hAnsi="Times New Roman" w:eastAsia="仿宋_GB2312" w:cs="Times New Roman"/>
                <w:b w:val="0"/>
                <w:bCs w:val="0"/>
                <w:sz w:val="24"/>
                <w:szCs w:val="32"/>
                <w:vertAlign w:val="baseline"/>
                <w:lang w:val="en-US" w:eastAsia="zh-CN"/>
              </w:rPr>
              <w:t>13.33</w:t>
            </w:r>
            <w:r>
              <w:rPr>
                <w:rFonts w:hint="default" w:ascii="Times New Roman" w:hAnsi="Times New Roman" w:eastAsia="仿宋_GB2312" w:cs="Times New Roman"/>
                <w:b w:val="0"/>
                <w:bCs w:val="0"/>
                <w:sz w:val="24"/>
                <w:szCs w:val="32"/>
                <w:vertAlign w:val="baseline"/>
                <w:lang w:val="en-US" w:eastAsia="zh-CN"/>
              </w:rPr>
              <w:t>%</w:t>
            </w:r>
          </w:p>
        </w:tc>
      </w:tr>
      <w:tr w14:paraId="7F49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61" w:type="pct"/>
            <w:noWrap w:val="0"/>
            <w:vAlign w:val="center"/>
          </w:tcPr>
          <w:p w14:paraId="33701A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第三阶梯</w:t>
            </w:r>
          </w:p>
        </w:tc>
        <w:tc>
          <w:tcPr>
            <w:tcW w:w="1731" w:type="pct"/>
            <w:noWrap w:val="0"/>
            <w:vAlign w:val="center"/>
          </w:tcPr>
          <w:p w14:paraId="4B8DC6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12.3</w:t>
            </w:r>
            <w:r>
              <w:rPr>
                <w:rFonts w:hint="default" w:ascii="Times New Roman" w:hAnsi="Times New Roman" w:eastAsia="仿宋_GB2312" w:cs="Times New Roman"/>
                <w:b w:val="0"/>
                <w:bCs w:val="0"/>
                <w:sz w:val="24"/>
                <w:szCs w:val="32"/>
                <w:vertAlign w:val="baseline"/>
                <w:lang w:val="en-US" w:eastAsia="zh-CN"/>
              </w:rPr>
              <w:t>以上</w:t>
            </w:r>
            <w:r>
              <w:rPr>
                <w:rFonts w:hint="eastAsia" w:ascii="Times New Roman" w:hAnsi="Times New Roman" w:eastAsia="仿宋_GB2312" w:cs="Times New Roman"/>
                <w:b w:val="0"/>
                <w:bCs w:val="0"/>
                <w:sz w:val="24"/>
                <w:szCs w:val="32"/>
                <w:vertAlign w:val="baseline"/>
                <w:lang w:val="en-US" w:eastAsia="zh-CN"/>
              </w:rPr>
              <w:t>或4.1以上</w:t>
            </w:r>
          </w:p>
        </w:tc>
        <w:tc>
          <w:tcPr>
            <w:tcW w:w="832" w:type="pct"/>
            <w:noWrap w:val="0"/>
            <w:vAlign w:val="center"/>
          </w:tcPr>
          <w:p w14:paraId="1F69B5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9.0</w:t>
            </w:r>
          </w:p>
        </w:tc>
        <w:tc>
          <w:tcPr>
            <w:tcW w:w="916" w:type="pct"/>
            <w:noWrap w:val="0"/>
            <w:vAlign w:val="center"/>
          </w:tcPr>
          <w:p w14:paraId="15879F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10.2</w:t>
            </w:r>
          </w:p>
        </w:tc>
        <w:tc>
          <w:tcPr>
            <w:tcW w:w="760" w:type="pct"/>
            <w:noWrap w:val="0"/>
            <w:vAlign w:val="center"/>
          </w:tcPr>
          <w:p w14:paraId="39025C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w:t>
            </w:r>
            <w:r>
              <w:rPr>
                <w:rFonts w:hint="eastAsia" w:ascii="Times New Roman" w:hAnsi="Times New Roman" w:eastAsia="仿宋_GB2312" w:cs="Times New Roman"/>
                <w:b w:val="0"/>
                <w:bCs w:val="0"/>
                <w:sz w:val="24"/>
                <w:szCs w:val="32"/>
                <w:vertAlign w:val="baseline"/>
                <w:lang w:val="en-US" w:eastAsia="zh-CN"/>
              </w:rPr>
              <w:t>13.33</w:t>
            </w:r>
            <w:r>
              <w:rPr>
                <w:rFonts w:hint="default" w:ascii="Times New Roman" w:hAnsi="Times New Roman" w:eastAsia="仿宋_GB2312" w:cs="Times New Roman"/>
                <w:b w:val="0"/>
                <w:bCs w:val="0"/>
                <w:sz w:val="24"/>
                <w:szCs w:val="32"/>
                <w:vertAlign w:val="baseline"/>
                <w:lang w:val="en-US" w:eastAsia="zh-CN"/>
              </w:rPr>
              <w:t>%</w:t>
            </w:r>
          </w:p>
        </w:tc>
      </w:tr>
    </w:tbl>
    <w:p w14:paraId="70C8E9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1.未实行抄表到户的合表居民用户执行不低于第一阶梯价格，由现行的3元/m³调整为3.40元/m³，调增0.40元/m³，调增幅度13.33%</w:t>
      </w:r>
    </w:p>
    <w:p w14:paraId="6A1489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2.执行居民生活用水价格的非居民用户（具体见附件1），水价按照居民阶梯水价第一档和第二档的平均价格执行，由现行的3.75元/m³调整为4.32元/m³，调增0.57元/m³，调增幅度15.2%。</w:t>
      </w:r>
    </w:p>
    <w:p w14:paraId="380E46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（二）非居民用水价格</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3"/>
        <w:gridCol w:w="2310"/>
        <w:gridCol w:w="1753"/>
        <w:gridCol w:w="1560"/>
        <w:gridCol w:w="1296"/>
      </w:tblGrid>
      <w:tr w14:paraId="4135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blHeader/>
        </w:trPr>
        <w:tc>
          <w:tcPr>
            <w:tcW w:w="940" w:type="pct"/>
            <w:noWrap w:val="0"/>
            <w:vAlign w:val="center"/>
          </w:tcPr>
          <w:p w14:paraId="752AE6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类别</w:t>
            </w:r>
          </w:p>
        </w:tc>
        <w:tc>
          <w:tcPr>
            <w:tcW w:w="1355" w:type="pct"/>
            <w:noWrap w:val="0"/>
            <w:vAlign w:val="center"/>
          </w:tcPr>
          <w:p w14:paraId="36110E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类别</w:t>
            </w:r>
          </w:p>
        </w:tc>
        <w:tc>
          <w:tcPr>
            <w:tcW w:w="1028" w:type="pct"/>
            <w:noWrap w:val="0"/>
            <w:vAlign w:val="center"/>
          </w:tcPr>
          <w:p w14:paraId="64E16D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现行价格</w:t>
            </w:r>
          </w:p>
          <w:p w14:paraId="13478F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w:t>
            </w:r>
            <w:r>
              <w:rPr>
                <w:rFonts w:hint="default" w:ascii="Times New Roman" w:hAnsi="Times New Roman" w:eastAsia="仿宋_GB2312" w:cs="Times New Roman"/>
                <w:b w:val="0"/>
                <w:bCs w:val="0"/>
                <w:sz w:val="24"/>
                <w:szCs w:val="32"/>
                <w:vertAlign w:val="baseline"/>
                <w:lang w:val="en-US" w:eastAsia="zh-CN"/>
              </w:rPr>
              <w:t>元/</w:t>
            </w:r>
            <w:r>
              <w:rPr>
                <w:rFonts w:hint="eastAsia" w:ascii="Times New Roman" w:hAnsi="Times New Roman" w:eastAsia="仿宋_GB2312" w:cs="Times New Roman"/>
                <w:b w:val="0"/>
                <w:bCs w:val="0"/>
                <w:sz w:val="24"/>
                <w:szCs w:val="32"/>
                <w:vertAlign w:val="baseline"/>
                <w:lang w:val="en-US" w:eastAsia="zh-CN"/>
              </w:rPr>
              <w:t>m³）</w:t>
            </w:r>
          </w:p>
        </w:tc>
        <w:tc>
          <w:tcPr>
            <w:tcW w:w="915" w:type="pct"/>
            <w:noWrap w:val="0"/>
            <w:vAlign w:val="center"/>
          </w:tcPr>
          <w:p w14:paraId="03091B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调整后水价</w:t>
            </w:r>
          </w:p>
          <w:p w14:paraId="77D73F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w:t>
            </w:r>
            <w:r>
              <w:rPr>
                <w:rFonts w:hint="default" w:ascii="Times New Roman" w:hAnsi="Times New Roman" w:eastAsia="仿宋_GB2312" w:cs="Times New Roman"/>
                <w:b w:val="0"/>
                <w:bCs w:val="0"/>
                <w:sz w:val="24"/>
                <w:szCs w:val="32"/>
                <w:vertAlign w:val="baseline"/>
                <w:lang w:val="en-US" w:eastAsia="zh-CN"/>
              </w:rPr>
              <w:t>元/</w:t>
            </w:r>
            <w:r>
              <w:rPr>
                <w:rFonts w:hint="eastAsia" w:ascii="Times New Roman" w:hAnsi="Times New Roman" w:eastAsia="仿宋_GB2312" w:cs="Times New Roman"/>
                <w:b w:val="0"/>
                <w:bCs w:val="0"/>
                <w:sz w:val="24"/>
                <w:szCs w:val="32"/>
                <w:vertAlign w:val="baseline"/>
                <w:lang w:val="en-US" w:eastAsia="zh-CN"/>
              </w:rPr>
              <w:t>m³）</w:t>
            </w:r>
          </w:p>
        </w:tc>
        <w:tc>
          <w:tcPr>
            <w:tcW w:w="760" w:type="pct"/>
            <w:noWrap w:val="0"/>
            <w:vAlign w:val="center"/>
          </w:tcPr>
          <w:p w14:paraId="60B5DB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调价幅度</w:t>
            </w:r>
          </w:p>
        </w:tc>
      </w:tr>
      <w:tr w14:paraId="3178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40" w:type="pct"/>
            <w:vMerge w:val="restart"/>
            <w:noWrap w:val="0"/>
            <w:vAlign w:val="center"/>
          </w:tcPr>
          <w:p w14:paraId="5D6FDA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第一档水价</w:t>
            </w:r>
          </w:p>
        </w:tc>
        <w:tc>
          <w:tcPr>
            <w:tcW w:w="1355" w:type="pct"/>
            <w:noWrap w:val="0"/>
            <w:vAlign w:val="center"/>
          </w:tcPr>
          <w:p w14:paraId="1E5EC4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行政事业单位用水</w:t>
            </w:r>
          </w:p>
        </w:tc>
        <w:tc>
          <w:tcPr>
            <w:tcW w:w="1028" w:type="pct"/>
            <w:noWrap w:val="0"/>
            <w:vAlign w:val="center"/>
          </w:tcPr>
          <w:p w14:paraId="0CCB59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5元/立方米</w:t>
            </w:r>
          </w:p>
        </w:tc>
        <w:tc>
          <w:tcPr>
            <w:tcW w:w="915" w:type="pct"/>
            <w:vMerge w:val="restart"/>
            <w:noWrap w:val="0"/>
            <w:vAlign w:val="center"/>
          </w:tcPr>
          <w:p w14:paraId="033D89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7.0</w:t>
            </w:r>
          </w:p>
        </w:tc>
        <w:tc>
          <w:tcPr>
            <w:tcW w:w="760" w:type="pct"/>
            <w:noWrap w:val="0"/>
            <w:vAlign w:val="center"/>
          </w:tcPr>
          <w:p w14:paraId="700647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w:t>
            </w:r>
            <w:r>
              <w:rPr>
                <w:rFonts w:hint="eastAsia" w:ascii="Times New Roman" w:hAnsi="Times New Roman" w:eastAsia="仿宋_GB2312" w:cs="Times New Roman"/>
                <w:b w:val="0"/>
                <w:bCs w:val="0"/>
                <w:sz w:val="24"/>
                <w:szCs w:val="32"/>
                <w:vertAlign w:val="baseline"/>
                <w:lang w:val="en-US" w:eastAsia="zh-CN"/>
              </w:rPr>
              <w:t>40</w:t>
            </w:r>
            <w:r>
              <w:rPr>
                <w:rFonts w:hint="default" w:ascii="Times New Roman" w:hAnsi="Times New Roman" w:eastAsia="仿宋_GB2312" w:cs="Times New Roman"/>
                <w:b w:val="0"/>
                <w:bCs w:val="0"/>
                <w:sz w:val="24"/>
                <w:szCs w:val="32"/>
                <w:vertAlign w:val="baseline"/>
                <w:lang w:val="en-US" w:eastAsia="zh-CN"/>
              </w:rPr>
              <w:t>%</w:t>
            </w:r>
          </w:p>
        </w:tc>
      </w:tr>
      <w:tr w14:paraId="7E08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40" w:type="pct"/>
            <w:vMerge w:val="continue"/>
            <w:noWrap w:val="0"/>
            <w:vAlign w:val="center"/>
          </w:tcPr>
          <w:p w14:paraId="2B65BC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p>
        </w:tc>
        <w:tc>
          <w:tcPr>
            <w:tcW w:w="1355" w:type="pct"/>
            <w:noWrap w:val="0"/>
            <w:vAlign w:val="center"/>
          </w:tcPr>
          <w:p w14:paraId="4CA919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工商业用水</w:t>
            </w:r>
          </w:p>
        </w:tc>
        <w:tc>
          <w:tcPr>
            <w:tcW w:w="1028" w:type="pct"/>
            <w:noWrap w:val="0"/>
            <w:vAlign w:val="center"/>
          </w:tcPr>
          <w:p w14:paraId="6652B0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6.5元/立方米</w:t>
            </w:r>
          </w:p>
        </w:tc>
        <w:tc>
          <w:tcPr>
            <w:tcW w:w="915" w:type="pct"/>
            <w:vMerge w:val="continue"/>
            <w:noWrap w:val="0"/>
            <w:vAlign w:val="center"/>
          </w:tcPr>
          <w:p w14:paraId="3BDB0C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p>
        </w:tc>
        <w:tc>
          <w:tcPr>
            <w:tcW w:w="760" w:type="pct"/>
            <w:noWrap w:val="0"/>
            <w:vAlign w:val="center"/>
          </w:tcPr>
          <w:p w14:paraId="0ADCC2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w:t>
            </w:r>
            <w:r>
              <w:rPr>
                <w:rFonts w:hint="eastAsia" w:ascii="Times New Roman" w:hAnsi="Times New Roman" w:eastAsia="仿宋_GB2312" w:cs="Times New Roman"/>
                <w:b w:val="0"/>
                <w:bCs w:val="0"/>
                <w:sz w:val="24"/>
                <w:szCs w:val="32"/>
                <w:vertAlign w:val="baseline"/>
                <w:lang w:val="en-US" w:eastAsia="zh-CN"/>
              </w:rPr>
              <w:t>7.7</w:t>
            </w:r>
            <w:r>
              <w:rPr>
                <w:rFonts w:hint="default" w:ascii="Times New Roman" w:hAnsi="Times New Roman" w:eastAsia="仿宋_GB2312" w:cs="Times New Roman"/>
                <w:b w:val="0"/>
                <w:bCs w:val="0"/>
                <w:sz w:val="24"/>
                <w:szCs w:val="32"/>
                <w:vertAlign w:val="baseline"/>
                <w:lang w:val="en-US" w:eastAsia="zh-CN"/>
              </w:rPr>
              <w:t>%</w:t>
            </w:r>
          </w:p>
        </w:tc>
      </w:tr>
      <w:tr w14:paraId="7759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40" w:type="pct"/>
            <w:vMerge w:val="continue"/>
            <w:noWrap w:val="0"/>
            <w:vAlign w:val="center"/>
          </w:tcPr>
          <w:p w14:paraId="74E644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p>
        </w:tc>
        <w:tc>
          <w:tcPr>
            <w:tcW w:w="1355" w:type="pct"/>
            <w:noWrap w:val="0"/>
            <w:vAlign w:val="center"/>
          </w:tcPr>
          <w:p w14:paraId="7E4B2D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公益性及</w:t>
            </w:r>
            <w:r>
              <w:rPr>
                <w:rFonts w:hint="eastAsia" w:ascii="Times New Roman" w:hAnsi="Times New Roman" w:eastAsia="仿宋_GB2312" w:cs="Times New Roman"/>
                <w:sz w:val="24"/>
                <w:szCs w:val="32"/>
                <w:vertAlign w:val="baseline"/>
                <w:lang w:val="en-US" w:eastAsia="zh-CN"/>
              </w:rPr>
              <w:t>其他</w:t>
            </w:r>
            <w:r>
              <w:rPr>
                <w:rFonts w:hint="default" w:ascii="Times New Roman" w:hAnsi="Times New Roman" w:eastAsia="仿宋_GB2312" w:cs="Times New Roman"/>
                <w:sz w:val="24"/>
                <w:szCs w:val="32"/>
                <w:vertAlign w:val="baseline"/>
                <w:lang w:val="en-US" w:eastAsia="zh-CN"/>
              </w:rPr>
              <w:t>非居民用水</w:t>
            </w:r>
          </w:p>
        </w:tc>
        <w:tc>
          <w:tcPr>
            <w:tcW w:w="1028" w:type="pct"/>
            <w:noWrap w:val="0"/>
            <w:vAlign w:val="center"/>
          </w:tcPr>
          <w:p w14:paraId="0598B5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sz w:val="24"/>
                <w:szCs w:val="32"/>
                <w:vertAlign w:val="baseline"/>
                <w:lang w:val="en-US" w:eastAsia="zh-CN"/>
              </w:rPr>
              <w:t>3.75元/立方米</w:t>
            </w:r>
          </w:p>
        </w:tc>
        <w:tc>
          <w:tcPr>
            <w:tcW w:w="915" w:type="pct"/>
            <w:vMerge w:val="continue"/>
            <w:noWrap w:val="0"/>
            <w:vAlign w:val="center"/>
          </w:tcPr>
          <w:p w14:paraId="225441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p>
        </w:tc>
        <w:tc>
          <w:tcPr>
            <w:tcW w:w="760" w:type="pct"/>
            <w:noWrap w:val="0"/>
            <w:vAlign w:val="center"/>
          </w:tcPr>
          <w:p w14:paraId="70CAEC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w:t>
            </w:r>
            <w:r>
              <w:rPr>
                <w:rFonts w:hint="eastAsia" w:ascii="Times New Roman" w:hAnsi="Times New Roman" w:eastAsia="仿宋_GB2312" w:cs="Times New Roman"/>
                <w:b w:val="0"/>
                <w:bCs w:val="0"/>
                <w:sz w:val="24"/>
                <w:szCs w:val="32"/>
                <w:vertAlign w:val="baseline"/>
                <w:lang w:val="en-US" w:eastAsia="zh-CN"/>
              </w:rPr>
              <w:t>86.7</w:t>
            </w:r>
            <w:r>
              <w:rPr>
                <w:rFonts w:hint="default" w:ascii="Times New Roman" w:hAnsi="Times New Roman" w:eastAsia="仿宋_GB2312" w:cs="Times New Roman"/>
                <w:b w:val="0"/>
                <w:bCs w:val="0"/>
                <w:sz w:val="24"/>
                <w:szCs w:val="32"/>
                <w:vertAlign w:val="baseline"/>
                <w:lang w:val="en-US" w:eastAsia="zh-CN"/>
              </w:rPr>
              <w:t>%</w:t>
            </w:r>
          </w:p>
        </w:tc>
      </w:tr>
      <w:tr w14:paraId="60AD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40" w:type="pct"/>
            <w:noWrap w:val="0"/>
            <w:vAlign w:val="center"/>
          </w:tcPr>
          <w:p w14:paraId="047F42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第</w:t>
            </w:r>
            <w:r>
              <w:rPr>
                <w:rFonts w:hint="eastAsia" w:ascii="Times New Roman" w:hAnsi="Times New Roman" w:eastAsia="仿宋_GB2312" w:cs="Times New Roman"/>
                <w:b w:val="0"/>
                <w:bCs w:val="0"/>
                <w:sz w:val="24"/>
                <w:szCs w:val="32"/>
                <w:vertAlign w:val="baseline"/>
                <w:lang w:val="en-US" w:eastAsia="zh-CN"/>
              </w:rPr>
              <w:t>二</w:t>
            </w:r>
            <w:r>
              <w:rPr>
                <w:rFonts w:hint="default" w:ascii="Times New Roman" w:hAnsi="Times New Roman" w:eastAsia="仿宋_GB2312" w:cs="Times New Roman"/>
                <w:b w:val="0"/>
                <w:bCs w:val="0"/>
                <w:sz w:val="24"/>
                <w:szCs w:val="32"/>
                <w:vertAlign w:val="baseline"/>
                <w:lang w:val="en-US" w:eastAsia="zh-CN"/>
              </w:rPr>
              <w:t>档水价</w:t>
            </w:r>
          </w:p>
        </w:tc>
        <w:tc>
          <w:tcPr>
            <w:tcW w:w="1355" w:type="pct"/>
            <w:noWrap w:val="0"/>
            <w:vAlign w:val="center"/>
          </w:tcPr>
          <w:p w14:paraId="29FF5A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p>
        </w:tc>
        <w:tc>
          <w:tcPr>
            <w:tcW w:w="1028" w:type="pct"/>
            <w:noWrap w:val="0"/>
            <w:vAlign w:val="center"/>
          </w:tcPr>
          <w:p w14:paraId="204433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p>
        </w:tc>
        <w:tc>
          <w:tcPr>
            <w:tcW w:w="915" w:type="pct"/>
            <w:noWrap w:val="0"/>
            <w:vAlign w:val="center"/>
          </w:tcPr>
          <w:p w14:paraId="626744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10.5</w:t>
            </w:r>
          </w:p>
        </w:tc>
        <w:tc>
          <w:tcPr>
            <w:tcW w:w="760" w:type="pct"/>
            <w:noWrap w:val="0"/>
            <w:vAlign w:val="center"/>
          </w:tcPr>
          <w:p w14:paraId="5E048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p>
        </w:tc>
      </w:tr>
      <w:tr w14:paraId="4C33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40" w:type="pct"/>
            <w:noWrap w:val="0"/>
            <w:vAlign w:val="center"/>
          </w:tcPr>
          <w:p w14:paraId="502FB5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第</w:t>
            </w:r>
            <w:r>
              <w:rPr>
                <w:rFonts w:hint="eastAsia" w:ascii="Times New Roman" w:hAnsi="Times New Roman" w:eastAsia="仿宋_GB2312" w:cs="Times New Roman"/>
                <w:b w:val="0"/>
                <w:bCs w:val="0"/>
                <w:sz w:val="24"/>
                <w:szCs w:val="32"/>
                <w:vertAlign w:val="baseline"/>
                <w:lang w:val="en-US" w:eastAsia="zh-CN"/>
              </w:rPr>
              <w:t>三</w:t>
            </w:r>
            <w:r>
              <w:rPr>
                <w:rFonts w:hint="default" w:ascii="Times New Roman" w:hAnsi="Times New Roman" w:eastAsia="仿宋_GB2312" w:cs="Times New Roman"/>
                <w:b w:val="0"/>
                <w:bCs w:val="0"/>
                <w:sz w:val="24"/>
                <w:szCs w:val="32"/>
                <w:vertAlign w:val="baseline"/>
                <w:lang w:val="en-US" w:eastAsia="zh-CN"/>
              </w:rPr>
              <w:t>档水价</w:t>
            </w:r>
          </w:p>
        </w:tc>
        <w:tc>
          <w:tcPr>
            <w:tcW w:w="1355" w:type="pct"/>
            <w:noWrap w:val="0"/>
            <w:vAlign w:val="center"/>
          </w:tcPr>
          <w:p w14:paraId="79C94D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p>
        </w:tc>
        <w:tc>
          <w:tcPr>
            <w:tcW w:w="1028" w:type="pct"/>
            <w:noWrap w:val="0"/>
            <w:vAlign w:val="center"/>
          </w:tcPr>
          <w:p w14:paraId="590CA6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p>
        </w:tc>
        <w:tc>
          <w:tcPr>
            <w:tcW w:w="915" w:type="pct"/>
            <w:noWrap w:val="0"/>
            <w:vAlign w:val="center"/>
          </w:tcPr>
          <w:p w14:paraId="035DF6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14.0</w:t>
            </w:r>
          </w:p>
        </w:tc>
        <w:tc>
          <w:tcPr>
            <w:tcW w:w="760" w:type="pct"/>
            <w:noWrap w:val="0"/>
            <w:vAlign w:val="center"/>
          </w:tcPr>
          <w:p w14:paraId="7566D2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p>
        </w:tc>
      </w:tr>
      <w:tr w14:paraId="6D73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40" w:type="pct"/>
            <w:noWrap w:val="0"/>
            <w:vAlign w:val="center"/>
          </w:tcPr>
          <w:p w14:paraId="6931F9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第</w:t>
            </w:r>
            <w:r>
              <w:rPr>
                <w:rFonts w:hint="eastAsia" w:ascii="Times New Roman" w:hAnsi="Times New Roman" w:eastAsia="仿宋_GB2312" w:cs="Times New Roman"/>
                <w:b w:val="0"/>
                <w:bCs w:val="0"/>
                <w:sz w:val="24"/>
                <w:szCs w:val="32"/>
                <w:vertAlign w:val="baseline"/>
                <w:lang w:val="en-US" w:eastAsia="zh-CN"/>
              </w:rPr>
              <w:t>四</w:t>
            </w:r>
            <w:r>
              <w:rPr>
                <w:rFonts w:hint="default" w:ascii="Times New Roman" w:hAnsi="Times New Roman" w:eastAsia="仿宋_GB2312" w:cs="Times New Roman"/>
                <w:b w:val="0"/>
                <w:bCs w:val="0"/>
                <w:sz w:val="24"/>
                <w:szCs w:val="32"/>
                <w:vertAlign w:val="baseline"/>
                <w:lang w:val="en-US" w:eastAsia="zh-CN"/>
              </w:rPr>
              <w:t>档水价</w:t>
            </w:r>
          </w:p>
        </w:tc>
        <w:tc>
          <w:tcPr>
            <w:tcW w:w="1355" w:type="pct"/>
            <w:noWrap w:val="0"/>
            <w:vAlign w:val="center"/>
          </w:tcPr>
          <w:p w14:paraId="4A32F5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p>
        </w:tc>
        <w:tc>
          <w:tcPr>
            <w:tcW w:w="1028" w:type="pct"/>
            <w:noWrap w:val="0"/>
            <w:vAlign w:val="center"/>
          </w:tcPr>
          <w:p w14:paraId="12909D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p>
        </w:tc>
        <w:tc>
          <w:tcPr>
            <w:tcW w:w="915" w:type="pct"/>
            <w:noWrap w:val="0"/>
            <w:vAlign w:val="center"/>
          </w:tcPr>
          <w:p w14:paraId="325C8A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17.5</w:t>
            </w:r>
          </w:p>
        </w:tc>
        <w:tc>
          <w:tcPr>
            <w:tcW w:w="760" w:type="pct"/>
            <w:noWrap w:val="0"/>
            <w:vAlign w:val="center"/>
          </w:tcPr>
          <w:p w14:paraId="1F45D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p>
        </w:tc>
      </w:tr>
    </w:tbl>
    <w:p w14:paraId="6032A1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（三）特种用水</w:t>
      </w:r>
    </w:p>
    <w:p w14:paraId="727945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根据《内蒙古自治区城镇供水价格管理实施细则》（内发改价费字〔2023〕1327号），非居民用水及特种用水实行超定额（计划）累进加价的具体分档水量、加价标准由水行政主管部门与价格主管部门因地制宜合理确定，缺水地区要根据实际情况提高加价标准，充分反映水资源稀缺程度。本次价格调整中，特种用水价格保持现行标准不变。</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9"/>
        <w:gridCol w:w="2169"/>
        <w:gridCol w:w="2387"/>
        <w:gridCol w:w="1984"/>
      </w:tblGrid>
      <w:tr w14:paraId="3282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blHeader/>
        </w:trPr>
        <w:tc>
          <w:tcPr>
            <w:tcW w:w="1161" w:type="pct"/>
            <w:noWrap w:val="0"/>
            <w:vAlign w:val="center"/>
          </w:tcPr>
          <w:p w14:paraId="7E76C2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类别</w:t>
            </w:r>
          </w:p>
        </w:tc>
        <w:tc>
          <w:tcPr>
            <w:tcW w:w="1272" w:type="pct"/>
            <w:noWrap w:val="0"/>
            <w:vAlign w:val="center"/>
          </w:tcPr>
          <w:p w14:paraId="01105E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现行价格</w:t>
            </w:r>
            <w:r>
              <w:rPr>
                <w:rFonts w:hint="eastAsia" w:ascii="Times New Roman" w:hAnsi="Times New Roman" w:eastAsia="仿宋_GB2312" w:cs="Times New Roman"/>
                <w:b w:val="0"/>
                <w:bCs w:val="0"/>
                <w:sz w:val="24"/>
                <w:szCs w:val="32"/>
                <w:vertAlign w:val="baseline"/>
                <w:lang w:val="en-US" w:eastAsia="zh-CN"/>
              </w:rPr>
              <w:t>（</w:t>
            </w:r>
            <w:r>
              <w:rPr>
                <w:rFonts w:hint="default" w:ascii="Times New Roman" w:hAnsi="Times New Roman" w:eastAsia="仿宋_GB2312" w:cs="Times New Roman"/>
                <w:b w:val="0"/>
                <w:bCs w:val="0"/>
                <w:sz w:val="24"/>
                <w:szCs w:val="32"/>
                <w:vertAlign w:val="baseline"/>
                <w:lang w:val="en-US" w:eastAsia="zh-CN"/>
              </w:rPr>
              <w:t>元/</w:t>
            </w:r>
            <w:r>
              <w:rPr>
                <w:rFonts w:hint="eastAsia" w:ascii="Times New Roman" w:hAnsi="Times New Roman" w:eastAsia="仿宋_GB2312" w:cs="Times New Roman"/>
                <w:b w:val="0"/>
                <w:bCs w:val="0"/>
                <w:sz w:val="24"/>
                <w:szCs w:val="32"/>
                <w:vertAlign w:val="baseline"/>
                <w:lang w:val="en-US" w:eastAsia="zh-CN"/>
              </w:rPr>
              <w:t>m³）</w:t>
            </w:r>
          </w:p>
        </w:tc>
        <w:tc>
          <w:tcPr>
            <w:tcW w:w="1400" w:type="pct"/>
            <w:noWrap w:val="0"/>
            <w:vAlign w:val="center"/>
          </w:tcPr>
          <w:p w14:paraId="6C0B17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调整后水价</w:t>
            </w:r>
            <w:r>
              <w:rPr>
                <w:rFonts w:hint="eastAsia" w:ascii="Times New Roman" w:hAnsi="Times New Roman" w:eastAsia="仿宋_GB2312" w:cs="Times New Roman"/>
                <w:b w:val="0"/>
                <w:bCs w:val="0"/>
                <w:sz w:val="24"/>
                <w:szCs w:val="32"/>
                <w:vertAlign w:val="baseline"/>
                <w:lang w:val="en-US" w:eastAsia="zh-CN"/>
              </w:rPr>
              <w:t>（</w:t>
            </w:r>
            <w:r>
              <w:rPr>
                <w:rFonts w:hint="default" w:ascii="Times New Roman" w:hAnsi="Times New Roman" w:eastAsia="仿宋_GB2312" w:cs="Times New Roman"/>
                <w:b w:val="0"/>
                <w:bCs w:val="0"/>
                <w:sz w:val="24"/>
                <w:szCs w:val="32"/>
                <w:vertAlign w:val="baseline"/>
                <w:lang w:val="en-US" w:eastAsia="zh-CN"/>
              </w:rPr>
              <w:t>元/</w:t>
            </w:r>
            <w:r>
              <w:rPr>
                <w:rFonts w:hint="eastAsia" w:ascii="Times New Roman" w:hAnsi="Times New Roman" w:eastAsia="仿宋_GB2312" w:cs="Times New Roman"/>
                <w:b w:val="0"/>
                <w:bCs w:val="0"/>
                <w:sz w:val="24"/>
                <w:szCs w:val="32"/>
                <w:vertAlign w:val="baseline"/>
                <w:lang w:val="en-US" w:eastAsia="zh-CN"/>
              </w:rPr>
              <w:t>m³）</w:t>
            </w:r>
          </w:p>
        </w:tc>
        <w:tc>
          <w:tcPr>
            <w:tcW w:w="1164" w:type="pct"/>
            <w:noWrap w:val="0"/>
            <w:vAlign w:val="center"/>
          </w:tcPr>
          <w:p w14:paraId="16ADD9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调价幅度</w:t>
            </w:r>
          </w:p>
        </w:tc>
      </w:tr>
      <w:tr w14:paraId="69AF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161" w:type="pct"/>
            <w:noWrap w:val="0"/>
            <w:vAlign w:val="center"/>
          </w:tcPr>
          <w:p w14:paraId="4442CD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第一档水价</w:t>
            </w:r>
          </w:p>
        </w:tc>
        <w:tc>
          <w:tcPr>
            <w:tcW w:w="1272" w:type="pct"/>
            <w:noWrap w:val="0"/>
            <w:vAlign w:val="center"/>
          </w:tcPr>
          <w:p w14:paraId="523B50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12</w:t>
            </w:r>
            <w:r>
              <w:rPr>
                <w:rFonts w:hint="eastAsia" w:ascii="Times New Roman" w:hAnsi="Times New Roman" w:eastAsia="仿宋_GB2312" w:cs="Times New Roman"/>
                <w:b w:val="0"/>
                <w:bCs w:val="0"/>
                <w:sz w:val="24"/>
                <w:szCs w:val="32"/>
                <w:vertAlign w:val="baseline"/>
                <w:lang w:val="en-US" w:eastAsia="zh-CN"/>
              </w:rPr>
              <w:t>.0</w:t>
            </w:r>
          </w:p>
        </w:tc>
        <w:tc>
          <w:tcPr>
            <w:tcW w:w="1400" w:type="pct"/>
            <w:noWrap w:val="0"/>
            <w:vAlign w:val="center"/>
          </w:tcPr>
          <w:p w14:paraId="2D35F5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15.0</w:t>
            </w:r>
          </w:p>
        </w:tc>
        <w:tc>
          <w:tcPr>
            <w:tcW w:w="1164" w:type="pct"/>
            <w:noWrap w:val="0"/>
            <w:vAlign w:val="center"/>
          </w:tcPr>
          <w:p w14:paraId="4E9E29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25.0%</w:t>
            </w:r>
          </w:p>
        </w:tc>
      </w:tr>
      <w:tr w14:paraId="5827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161" w:type="pct"/>
            <w:noWrap w:val="0"/>
            <w:vAlign w:val="center"/>
          </w:tcPr>
          <w:p w14:paraId="5463A5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第</w:t>
            </w:r>
            <w:r>
              <w:rPr>
                <w:rFonts w:hint="eastAsia" w:ascii="Times New Roman" w:hAnsi="Times New Roman" w:eastAsia="仿宋_GB2312" w:cs="Times New Roman"/>
                <w:b w:val="0"/>
                <w:bCs w:val="0"/>
                <w:sz w:val="24"/>
                <w:szCs w:val="32"/>
                <w:vertAlign w:val="baseline"/>
                <w:lang w:val="en-US" w:eastAsia="zh-CN"/>
              </w:rPr>
              <w:t>二</w:t>
            </w:r>
            <w:r>
              <w:rPr>
                <w:rFonts w:hint="default" w:ascii="Times New Roman" w:hAnsi="Times New Roman" w:eastAsia="仿宋_GB2312" w:cs="Times New Roman"/>
                <w:b w:val="0"/>
                <w:bCs w:val="0"/>
                <w:sz w:val="24"/>
                <w:szCs w:val="32"/>
                <w:vertAlign w:val="baseline"/>
                <w:lang w:val="en-US" w:eastAsia="zh-CN"/>
              </w:rPr>
              <w:t>档水价</w:t>
            </w:r>
          </w:p>
        </w:tc>
        <w:tc>
          <w:tcPr>
            <w:tcW w:w="1272" w:type="pct"/>
            <w:noWrap w:val="0"/>
            <w:vAlign w:val="center"/>
          </w:tcPr>
          <w:p w14:paraId="465720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p>
        </w:tc>
        <w:tc>
          <w:tcPr>
            <w:tcW w:w="1400" w:type="pct"/>
            <w:noWrap w:val="0"/>
            <w:vAlign w:val="center"/>
          </w:tcPr>
          <w:p w14:paraId="6C2D33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22.5</w:t>
            </w:r>
          </w:p>
        </w:tc>
        <w:tc>
          <w:tcPr>
            <w:tcW w:w="1164" w:type="pct"/>
            <w:noWrap w:val="0"/>
            <w:vAlign w:val="center"/>
          </w:tcPr>
          <w:p w14:paraId="7E9507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p>
        </w:tc>
      </w:tr>
      <w:tr w14:paraId="061B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161" w:type="pct"/>
            <w:noWrap w:val="0"/>
            <w:vAlign w:val="center"/>
          </w:tcPr>
          <w:p w14:paraId="0187FA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第</w:t>
            </w:r>
            <w:r>
              <w:rPr>
                <w:rFonts w:hint="eastAsia" w:ascii="Times New Roman" w:hAnsi="Times New Roman" w:eastAsia="仿宋_GB2312" w:cs="Times New Roman"/>
                <w:b w:val="0"/>
                <w:bCs w:val="0"/>
                <w:sz w:val="24"/>
                <w:szCs w:val="32"/>
                <w:vertAlign w:val="baseline"/>
                <w:lang w:val="en-US" w:eastAsia="zh-CN"/>
              </w:rPr>
              <w:t>三</w:t>
            </w:r>
            <w:r>
              <w:rPr>
                <w:rFonts w:hint="default" w:ascii="Times New Roman" w:hAnsi="Times New Roman" w:eastAsia="仿宋_GB2312" w:cs="Times New Roman"/>
                <w:b w:val="0"/>
                <w:bCs w:val="0"/>
                <w:sz w:val="24"/>
                <w:szCs w:val="32"/>
                <w:vertAlign w:val="baseline"/>
                <w:lang w:val="en-US" w:eastAsia="zh-CN"/>
              </w:rPr>
              <w:t>档水价</w:t>
            </w:r>
          </w:p>
        </w:tc>
        <w:tc>
          <w:tcPr>
            <w:tcW w:w="1272" w:type="pct"/>
            <w:noWrap w:val="0"/>
            <w:vAlign w:val="center"/>
          </w:tcPr>
          <w:p w14:paraId="75AEE6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p>
        </w:tc>
        <w:tc>
          <w:tcPr>
            <w:tcW w:w="1400" w:type="pct"/>
            <w:noWrap w:val="0"/>
            <w:vAlign w:val="center"/>
          </w:tcPr>
          <w:p w14:paraId="7C994A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30.0</w:t>
            </w:r>
          </w:p>
        </w:tc>
        <w:tc>
          <w:tcPr>
            <w:tcW w:w="1164" w:type="pct"/>
            <w:noWrap w:val="0"/>
            <w:vAlign w:val="center"/>
          </w:tcPr>
          <w:p w14:paraId="01B17D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p>
        </w:tc>
      </w:tr>
      <w:tr w14:paraId="0674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161" w:type="pct"/>
            <w:noWrap w:val="0"/>
            <w:vAlign w:val="center"/>
          </w:tcPr>
          <w:p w14:paraId="601C1C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default" w:ascii="Times New Roman" w:hAnsi="Times New Roman" w:eastAsia="仿宋_GB2312" w:cs="Times New Roman"/>
                <w:b w:val="0"/>
                <w:bCs w:val="0"/>
                <w:sz w:val="24"/>
                <w:szCs w:val="32"/>
                <w:vertAlign w:val="baseline"/>
                <w:lang w:val="en-US" w:eastAsia="zh-CN"/>
              </w:rPr>
              <w:t>第</w:t>
            </w:r>
            <w:r>
              <w:rPr>
                <w:rFonts w:hint="eastAsia" w:ascii="Times New Roman" w:hAnsi="Times New Roman" w:eastAsia="仿宋_GB2312" w:cs="Times New Roman"/>
                <w:b w:val="0"/>
                <w:bCs w:val="0"/>
                <w:sz w:val="24"/>
                <w:szCs w:val="32"/>
                <w:vertAlign w:val="baseline"/>
                <w:lang w:val="en-US" w:eastAsia="zh-CN"/>
              </w:rPr>
              <w:t>四</w:t>
            </w:r>
            <w:r>
              <w:rPr>
                <w:rFonts w:hint="default" w:ascii="Times New Roman" w:hAnsi="Times New Roman" w:eastAsia="仿宋_GB2312" w:cs="Times New Roman"/>
                <w:b w:val="0"/>
                <w:bCs w:val="0"/>
                <w:sz w:val="24"/>
                <w:szCs w:val="32"/>
                <w:vertAlign w:val="baseline"/>
                <w:lang w:val="en-US" w:eastAsia="zh-CN"/>
              </w:rPr>
              <w:t>档水价</w:t>
            </w:r>
          </w:p>
        </w:tc>
        <w:tc>
          <w:tcPr>
            <w:tcW w:w="1272" w:type="pct"/>
            <w:noWrap w:val="0"/>
            <w:vAlign w:val="center"/>
          </w:tcPr>
          <w:p w14:paraId="519639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val="0"/>
                <w:bCs w:val="0"/>
                <w:sz w:val="24"/>
                <w:szCs w:val="32"/>
                <w:vertAlign w:val="baseline"/>
                <w:lang w:val="en-US" w:eastAsia="zh-CN"/>
              </w:rPr>
            </w:pPr>
          </w:p>
        </w:tc>
        <w:tc>
          <w:tcPr>
            <w:tcW w:w="1400" w:type="pct"/>
            <w:noWrap w:val="0"/>
            <w:vAlign w:val="center"/>
          </w:tcPr>
          <w:p w14:paraId="1E24B1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r>
              <w:rPr>
                <w:rFonts w:hint="eastAsia" w:ascii="Times New Roman" w:hAnsi="Times New Roman" w:eastAsia="仿宋_GB2312" w:cs="Times New Roman"/>
                <w:b w:val="0"/>
                <w:bCs w:val="0"/>
                <w:sz w:val="24"/>
                <w:szCs w:val="32"/>
                <w:vertAlign w:val="baseline"/>
                <w:lang w:val="en-US" w:eastAsia="zh-CN"/>
              </w:rPr>
              <w:t>37.5</w:t>
            </w:r>
          </w:p>
        </w:tc>
        <w:tc>
          <w:tcPr>
            <w:tcW w:w="1164" w:type="pct"/>
            <w:noWrap w:val="0"/>
            <w:vAlign w:val="center"/>
          </w:tcPr>
          <w:p w14:paraId="2CB265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32"/>
                <w:vertAlign w:val="baseline"/>
                <w:lang w:val="en-US" w:eastAsia="zh-CN"/>
              </w:rPr>
            </w:pPr>
          </w:p>
        </w:tc>
      </w:tr>
    </w:tbl>
    <w:p w14:paraId="20B6A2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对‘两高一剩’（高耗能、高污染、产能严重过剩）等行业应实行更高的加价标准，加快淘汰落后产能，减少污水排放，促进产业结构转型升级。</w:t>
      </w:r>
    </w:p>
    <w:p w14:paraId="5A03CA58">
      <w:pPr>
        <w:keepNext w:val="0"/>
        <w:keepLines w:val="0"/>
        <w:pageBreakBefore w:val="0"/>
        <w:widowControl w:val="0"/>
        <w:kinsoku/>
        <w:wordWrap/>
        <w:overflowPunct/>
        <w:topLinePunct w:val="0"/>
        <w:autoSpaceDE/>
        <w:autoSpaceDN/>
        <w:bidi w:val="0"/>
        <w:adjustRightInd/>
        <w:snapToGrid/>
        <w:spacing w:line="720" w:lineRule="exact"/>
        <w:ind w:firstLine="640" w:firstLineChars="200"/>
        <w:textAlignment w:val="auto"/>
        <w:outlineLvl w:val="0"/>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八</w:t>
      </w:r>
      <w:r>
        <w:rPr>
          <w:rFonts w:hint="default" w:ascii="黑体" w:hAnsi="黑体" w:eastAsia="黑体" w:cs="黑体"/>
          <w:sz w:val="32"/>
          <w:szCs w:val="40"/>
          <w:lang w:val="en-US" w:eastAsia="zh-CN"/>
        </w:rPr>
        <w:t>、</w:t>
      </w:r>
      <w:r>
        <w:rPr>
          <w:rFonts w:hint="eastAsia" w:ascii="黑体" w:hAnsi="黑体" w:eastAsia="黑体" w:cs="黑体"/>
          <w:sz w:val="32"/>
          <w:szCs w:val="40"/>
          <w:lang w:val="en-US" w:eastAsia="zh-CN"/>
        </w:rPr>
        <w:t>综合保障措施</w:t>
      </w:r>
    </w:p>
    <w:p w14:paraId="0F9725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1.《内蒙古自治区城镇供水价格管理实施细则》（内发改价费字〔2023〕1327号）及《鄂尔多斯市发展和改革委员会 鄂尔多斯市城乡建设委员会关于鄂尔多斯市居民生活用水实行阶梯水价的通知》（鄂发改费发〔2015〕358号），我市居民生活用水阶梯水量以家庭为单位，每户按3人计；若</w:t>
      </w:r>
      <w:r>
        <w:rPr>
          <w:rFonts w:hint="default" w:ascii="Times New Roman" w:hAnsi="Times New Roman" w:eastAsia="仿宋_GB2312" w:cs="Times New Roman"/>
          <w:sz w:val="32"/>
          <w:szCs w:val="40"/>
          <w:lang w:val="en-US" w:eastAsia="zh-CN"/>
        </w:rPr>
        <w:t>家庭实际居住人口超过3人的，可凭有关证明向城市供水企业申请增加水量基数和期限，期满后可申请延期，未申请延期的恢复原定水量基数。</w:t>
      </w:r>
    </w:p>
    <w:p w14:paraId="2F5186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2.定额水量要严格执行内蒙古自治区地方标准《行业用水定额》（DB15/T 385—2020）。自治区行业用水定额标准没有涵盖的行业或者指标低于国家行业标准的，应选用国家行业用水定额标准。</w:t>
      </w:r>
    </w:p>
    <w:p w14:paraId="5421DD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3.超定额（计划）累进加价制度：第一档水量等于定额（计划）用水量，无加价，执行基本水价；第二档水量超定额（计划）用水量＜20%（含20%），按不低于对应分类基本水价的0.5倍加收；第三档水量20%＜超定额（计划）用水量≤40%（含40%）部分，按照不低于对应分类的基本水价1倍加收；第四档水量超定额（计划）用水量＞40%，按不低于对应分类基本水价的1.5倍加收。</w:t>
      </w:r>
    </w:p>
    <w:p w14:paraId="60A032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4.加强供水经营管理、提升供水服务水平。供水企业要扎实落地节能降耗措施，提升城镇供水管网改造维护的精细化水平，从源头上减少管网漏损，节约水资源，稳步提升运营保障能力。要及时对老旧破损水表进行更换，健全抄表行为监督机制，严禁估抄、漏抄，保障水量计量精准无误。实施居民生活用水阶梯水价和非居民用水超定额累进加价后所得收入，供水企业专项用于供水管网设施的建设与改造、完善计量设施和水质提升等。</w:t>
      </w:r>
    </w:p>
    <w:p w14:paraId="4B8E26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5.对城乡低保户实施用水价格半价优惠政策。低保户用水量在第一阶梯范围内的，按基础水价的50%计收；超出第一阶梯用水量的部分，按第一阶梯基础水价标准执行。</w:t>
      </w:r>
    </w:p>
    <w:p w14:paraId="621FED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6.依据《伊金霍洛旗“四水四定”及深度节水控水实施方案》（伊政办发〔2023〕40号）要求，城镇生态景观、工业生产、城镇绿化、道路清扫、车辆冲洗和建筑施工等优先使用再生水。</w:t>
      </w:r>
    </w:p>
    <w:p w14:paraId="757187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pPr>
    </w:p>
    <w:p w14:paraId="765B11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40"/>
          <w:lang w:val="en-US" w:eastAsia="zh-CN"/>
        </w:rPr>
        <w:sectPr>
          <w:footerReference r:id="rId3" w:type="default"/>
          <w:pgSz w:w="11906" w:h="16838"/>
          <w:pgMar w:top="1440" w:right="1800" w:bottom="1440" w:left="1800" w:header="851" w:footer="992" w:gutter="0"/>
          <w:pgNumType w:fmt="numberInDash" w:start="1"/>
          <w:cols w:space="425" w:num="1"/>
          <w:docGrid w:type="lines" w:linePitch="312" w:charSpace="0"/>
        </w:sectPr>
      </w:pPr>
      <w:r>
        <w:rPr>
          <w:rFonts w:hint="eastAsia" w:ascii="Times New Roman" w:hAnsi="Times New Roman" w:eastAsia="仿宋_GB2312" w:cs="Times New Roman"/>
          <w:sz w:val="32"/>
          <w:szCs w:val="40"/>
          <w:lang w:val="en-US" w:eastAsia="zh-CN"/>
        </w:rPr>
        <w:t>附件：1.《执行居民生活用水价格的非居民用户行业范围》</w:t>
      </w:r>
    </w:p>
    <w:p w14:paraId="671D1482">
      <w:pPr>
        <w:keepNext w:val="0"/>
        <w:keepLines w:val="0"/>
        <w:pageBreakBefore w:val="0"/>
        <w:widowControl w:val="0"/>
        <w:kinsoku/>
        <w:wordWrap/>
        <w:overflowPunct/>
        <w:topLinePunct w:val="0"/>
        <w:autoSpaceDE/>
        <w:autoSpaceDN/>
        <w:bidi w:val="0"/>
        <w:adjustRightInd/>
        <w:snapToGrid/>
        <w:spacing w:after="157" w:afterLines="50" w:line="560" w:lineRule="exact"/>
        <w:jc w:val="both"/>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附件1：</w:t>
      </w:r>
    </w:p>
    <w:p w14:paraId="10D960AF">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default" w:ascii="Times New Roman" w:hAnsi="Times New Roman" w:eastAsia="仿宋_GB2312" w:cs="Times New Roman"/>
          <w:sz w:val="32"/>
          <w:szCs w:val="40"/>
          <w:lang w:val="en-US" w:eastAsia="zh-CN"/>
        </w:rPr>
      </w:pPr>
    </w:p>
    <w:p w14:paraId="5E8FBBFD">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default" w:ascii="Times New Roman" w:hAnsi="Times New Roman" w:eastAsia="仿宋_GB2312" w:cs="Times New Roman"/>
          <w:sz w:val="32"/>
          <w:szCs w:val="40"/>
          <w:lang w:val="en-US" w:eastAsia="zh-CN"/>
        </w:rPr>
        <w:t>执行居民生活用水价格的非居民用户行业范围</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7628"/>
      </w:tblGrid>
      <w:tr w14:paraId="6E06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14:paraId="2B55BD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序号</w:t>
            </w:r>
          </w:p>
        </w:tc>
        <w:tc>
          <w:tcPr>
            <w:tcW w:w="7628" w:type="dxa"/>
          </w:tcPr>
          <w:p w14:paraId="6E29C3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类别</w:t>
            </w:r>
          </w:p>
        </w:tc>
      </w:tr>
      <w:tr w14:paraId="2602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6E8CB3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1</w:t>
            </w:r>
          </w:p>
        </w:tc>
        <w:tc>
          <w:tcPr>
            <w:tcW w:w="7628" w:type="dxa"/>
            <w:vAlign w:val="center"/>
          </w:tcPr>
          <w:p w14:paraId="7FFDC5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学校教学和学生生活用水</w:t>
            </w:r>
          </w:p>
        </w:tc>
      </w:tr>
      <w:tr w14:paraId="6F29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68B15E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2</w:t>
            </w:r>
          </w:p>
        </w:tc>
        <w:tc>
          <w:tcPr>
            <w:tcW w:w="7628" w:type="dxa"/>
            <w:vAlign w:val="center"/>
          </w:tcPr>
          <w:p w14:paraId="121E1E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幼儿园（包括3岁以下婴幼儿托幼机构）生活用水</w:t>
            </w:r>
          </w:p>
        </w:tc>
      </w:tr>
      <w:tr w14:paraId="54CD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096D8F3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3</w:t>
            </w:r>
          </w:p>
        </w:tc>
        <w:tc>
          <w:tcPr>
            <w:tcW w:w="7628" w:type="dxa"/>
            <w:vAlign w:val="center"/>
          </w:tcPr>
          <w:p w14:paraId="546E5D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养老机构和残疾人托养机构等社会福利场所生活用水</w:t>
            </w:r>
          </w:p>
        </w:tc>
      </w:tr>
      <w:tr w14:paraId="7C6E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2F766C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4</w:t>
            </w:r>
          </w:p>
        </w:tc>
        <w:tc>
          <w:tcPr>
            <w:tcW w:w="7628" w:type="dxa"/>
            <w:vAlign w:val="center"/>
          </w:tcPr>
          <w:p w14:paraId="1EBAA4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default" w:ascii="Times New Roman" w:hAnsi="Times New Roman" w:eastAsia="仿宋_GB2312" w:cs="Times New Roman"/>
                <w:sz w:val="32"/>
                <w:szCs w:val="40"/>
                <w:vertAlign w:val="baseline"/>
                <w:lang w:val="en-US" w:eastAsia="zh-CN"/>
              </w:rPr>
              <w:t>宗教场所生活用水</w:t>
            </w:r>
          </w:p>
        </w:tc>
      </w:tr>
      <w:tr w14:paraId="5A56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4F9F22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5</w:t>
            </w:r>
          </w:p>
        </w:tc>
        <w:tc>
          <w:tcPr>
            <w:tcW w:w="7628" w:type="dxa"/>
            <w:vAlign w:val="center"/>
          </w:tcPr>
          <w:p w14:paraId="0A75A3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default" w:ascii="Times New Roman" w:hAnsi="Times New Roman" w:eastAsia="仿宋_GB2312" w:cs="Times New Roman"/>
                <w:sz w:val="32"/>
                <w:szCs w:val="40"/>
                <w:vertAlign w:val="baseline"/>
                <w:lang w:val="en-US" w:eastAsia="zh-CN"/>
              </w:rPr>
              <w:t>社区组织工作用房和居民公益性服务设施用水</w:t>
            </w:r>
          </w:p>
        </w:tc>
      </w:tr>
      <w:tr w14:paraId="0B8B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5F3E67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6</w:t>
            </w:r>
          </w:p>
        </w:tc>
        <w:tc>
          <w:tcPr>
            <w:tcW w:w="7628" w:type="dxa"/>
            <w:vAlign w:val="center"/>
          </w:tcPr>
          <w:p w14:paraId="1AB51C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default" w:ascii="Times New Roman" w:hAnsi="Times New Roman" w:eastAsia="仿宋_GB2312" w:cs="Times New Roman"/>
                <w:sz w:val="32"/>
                <w:szCs w:val="40"/>
                <w:vertAlign w:val="baseline"/>
                <w:lang w:val="en-US" w:eastAsia="zh-CN"/>
              </w:rPr>
              <w:t>利用非居住存量土地和非居民存量房屋建设并取得保障性租赁住房项目认定书的保障性住房用水</w:t>
            </w:r>
          </w:p>
        </w:tc>
      </w:tr>
      <w:tr w14:paraId="6518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244417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7</w:t>
            </w:r>
          </w:p>
        </w:tc>
        <w:tc>
          <w:tcPr>
            <w:tcW w:w="7628" w:type="dxa"/>
            <w:vAlign w:val="center"/>
          </w:tcPr>
          <w:p w14:paraId="55B0BE5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default" w:ascii="Times New Roman" w:hAnsi="Times New Roman" w:eastAsia="仿宋_GB2312" w:cs="Times New Roman"/>
                <w:sz w:val="32"/>
                <w:szCs w:val="40"/>
                <w:vertAlign w:val="baseline"/>
                <w:lang w:val="en-US" w:eastAsia="zh-CN"/>
              </w:rPr>
              <w:t>家政企业在社区设置的家政服务网点用水</w:t>
            </w:r>
          </w:p>
        </w:tc>
      </w:tr>
      <w:tr w14:paraId="5384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2C3B17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eastAsia" w:ascii="Times New Roman" w:hAnsi="Times New Roman" w:eastAsia="仿宋_GB2312" w:cs="Times New Roman"/>
                <w:sz w:val="32"/>
                <w:szCs w:val="40"/>
                <w:vertAlign w:val="baseline"/>
                <w:lang w:val="en-US" w:eastAsia="zh-CN"/>
              </w:rPr>
              <w:t>8</w:t>
            </w:r>
          </w:p>
        </w:tc>
        <w:tc>
          <w:tcPr>
            <w:tcW w:w="7628" w:type="dxa"/>
            <w:vAlign w:val="center"/>
          </w:tcPr>
          <w:p w14:paraId="4F0142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vertAlign w:val="baseline"/>
                <w:lang w:val="en-US" w:eastAsia="zh-CN"/>
              </w:rPr>
            </w:pPr>
            <w:r>
              <w:rPr>
                <w:rFonts w:hint="default" w:ascii="Times New Roman" w:hAnsi="Times New Roman" w:eastAsia="仿宋_GB2312" w:cs="Times New Roman"/>
                <w:sz w:val="32"/>
                <w:szCs w:val="40"/>
                <w:vertAlign w:val="baseline"/>
                <w:lang w:val="en-US" w:eastAsia="zh-CN"/>
              </w:rPr>
              <w:t>部队营房用水</w:t>
            </w:r>
          </w:p>
        </w:tc>
      </w:tr>
    </w:tbl>
    <w:p w14:paraId="24E890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40"/>
          <w:lang w:val="en-US" w:eastAsia="zh-CN"/>
        </w:rPr>
        <w:sectPr>
          <w:pgSz w:w="11906" w:h="16838"/>
          <w:pgMar w:top="1440" w:right="1800" w:bottom="1440" w:left="1800" w:header="851" w:footer="992" w:gutter="0"/>
          <w:pgNumType w:fmt="numberInDash"/>
          <w:cols w:space="425" w:num="1"/>
          <w:docGrid w:type="lines" w:linePitch="312" w:charSpace="0"/>
        </w:sectPr>
      </w:pPr>
    </w:p>
    <w:p w14:paraId="6DBA35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p>
    <w:p w14:paraId="20EA1C64">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40"/>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decorative"/>
    <w:pitch w:val="default"/>
    <w:sig w:usb0="00000287" w:usb1="00000000" w:usb2="00000000" w:usb3="00000000" w:csb0="0000009F" w:csb1="DFD70000"/>
  </w:font>
  <w:font w:name="方正小标宋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CE42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DDB7D">
                          <w:pPr>
                            <w:pStyle w:val="3"/>
                            <w:rPr>
                              <w:rFonts w:hint="default" w:ascii="Times New Roman" w:hAnsi="Times New Roman" w:cs="Times New Roman"/>
                              <w:sz w:val="20"/>
                              <w:szCs w:val="28"/>
                            </w:rPr>
                          </w:pPr>
                          <w:r>
                            <w:rPr>
                              <w:rFonts w:hint="default" w:ascii="Times New Roman" w:hAnsi="Times New Roman" w:cs="Times New Roman"/>
                              <w:sz w:val="22"/>
                              <w:szCs w:val="36"/>
                            </w:rPr>
                            <w:fldChar w:fldCharType="begin"/>
                          </w:r>
                          <w:r>
                            <w:rPr>
                              <w:rFonts w:hint="default" w:ascii="Times New Roman" w:hAnsi="Times New Roman" w:cs="Times New Roman"/>
                              <w:sz w:val="22"/>
                              <w:szCs w:val="36"/>
                            </w:rPr>
                            <w:instrText xml:space="preserve"> PAGE  \* MERGEFORMAT </w:instrText>
                          </w:r>
                          <w:r>
                            <w:rPr>
                              <w:rFonts w:hint="default" w:ascii="Times New Roman" w:hAnsi="Times New Roman" w:cs="Times New Roman"/>
                              <w:sz w:val="22"/>
                              <w:szCs w:val="36"/>
                            </w:rPr>
                            <w:fldChar w:fldCharType="separate"/>
                          </w:r>
                          <w:r>
                            <w:rPr>
                              <w:rFonts w:hint="default" w:ascii="Times New Roman" w:hAnsi="Times New Roman" w:cs="Times New Roman"/>
                              <w:sz w:val="22"/>
                              <w:szCs w:val="36"/>
                            </w:rPr>
                            <w:t>1</w:t>
                          </w:r>
                          <w:r>
                            <w:rPr>
                              <w:rFonts w:hint="default" w:ascii="Times New Roman" w:hAnsi="Times New Roman" w:cs="Times New Roman"/>
                              <w:sz w:val="22"/>
                              <w:szCs w:val="3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2DDB7D">
                    <w:pPr>
                      <w:pStyle w:val="3"/>
                      <w:rPr>
                        <w:rFonts w:hint="default" w:ascii="Times New Roman" w:hAnsi="Times New Roman" w:cs="Times New Roman"/>
                        <w:sz w:val="20"/>
                        <w:szCs w:val="28"/>
                      </w:rPr>
                    </w:pPr>
                    <w:r>
                      <w:rPr>
                        <w:rFonts w:hint="default" w:ascii="Times New Roman" w:hAnsi="Times New Roman" w:cs="Times New Roman"/>
                        <w:sz w:val="22"/>
                        <w:szCs w:val="36"/>
                      </w:rPr>
                      <w:fldChar w:fldCharType="begin"/>
                    </w:r>
                    <w:r>
                      <w:rPr>
                        <w:rFonts w:hint="default" w:ascii="Times New Roman" w:hAnsi="Times New Roman" w:cs="Times New Roman"/>
                        <w:sz w:val="22"/>
                        <w:szCs w:val="36"/>
                      </w:rPr>
                      <w:instrText xml:space="preserve"> PAGE  \* MERGEFORMAT </w:instrText>
                    </w:r>
                    <w:r>
                      <w:rPr>
                        <w:rFonts w:hint="default" w:ascii="Times New Roman" w:hAnsi="Times New Roman" w:cs="Times New Roman"/>
                        <w:sz w:val="22"/>
                        <w:szCs w:val="36"/>
                      </w:rPr>
                      <w:fldChar w:fldCharType="separate"/>
                    </w:r>
                    <w:r>
                      <w:rPr>
                        <w:rFonts w:hint="default" w:ascii="Times New Roman" w:hAnsi="Times New Roman" w:cs="Times New Roman"/>
                        <w:sz w:val="22"/>
                        <w:szCs w:val="36"/>
                      </w:rPr>
                      <w:t>1</w:t>
                    </w:r>
                    <w:r>
                      <w:rPr>
                        <w:rFonts w:hint="default" w:ascii="Times New Roman" w:hAnsi="Times New Roman" w:cs="Times New Roman"/>
                        <w:sz w:val="22"/>
                        <w:szCs w:val="36"/>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865EE7"/>
    <w:rsid w:val="0F487238"/>
    <w:rsid w:val="16242850"/>
    <w:rsid w:val="17EB271D"/>
    <w:rsid w:val="2DA473F4"/>
    <w:rsid w:val="2FC66D7B"/>
    <w:rsid w:val="3C865EE7"/>
    <w:rsid w:val="3CFB0E50"/>
    <w:rsid w:val="431C5818"/>
    <w:rsid w:val="47706131"/>
    <w:rsid w:val="4889664C"/>
    <w:rsid w:val="4FB73F54"/>
    <w:rsid w:val="573945F7"/>
    <w:rsid w:val="6D101107"/>
    <w:rsid w:val="73785349"/>
    <w:rsid w:val="7EC53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pacing w:after="120"/>
      <w:jc w:val="left"/>
    </w:pPr>
    <w:rPr>
      <w:rFonts w:ascii="Garamond" w:hAnsi="Garamond"/>
      <w:kern w:val="0"/>
      <w:sz w:val="22"/>
      <w:szCs w:val="20"/>
      <w:lang w:bidi="he-IL"/>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toc 2"/>
    <w:basedOn w:val="1"/>
    <w:next w:val="1"/>
    <w:qFormat/>
    <w:uiPriority w:val="0"/>
    <w:pPr>
      <w:ind w:left="420" w:left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1ce3b971-96c0-4942-ab75-87a6f2bb79c6</errorID>
      <errorWord>1985年01月01日</errorWord>
      <group>L1_Knowledge</group>
      <groupName>知识性问题</groupName>
      <ability>L2_Time</ability>
      <abilityName>日期时间</abilityName>
      <candidateList>
        <item>1985年1月1日</item>
      </candidateList>
      <explain>根据日常书写习惯，月份和日期一般会省略前导零。</explain>
      <paraID>65DC8268</paraID>
      <start>30</start>
      <end>39</end>
      <status>modified</status>
      <modifiedWord>1985年1月1日</modifiedWord>
      <trackRevisions>false</trackRevisions>
    </reviewItem>
    <reviewItem>
      <errorID>630aeb2e-18c0-4e92-9f36-a7ef3fd25f43</errorID>
      <errorWord>自来水、</errorWord>
      <group>L1_Grammar</group>
      <groupName>语法问题</groupName>
      <ability>L2_Order</ability>
      <abilityName>语序不当</abilityName>
      <candidateList>
        <item>自来水</item>
      </candidateList>
      <explain>句子可能没有遵循时空、逻辑顺序，或者介词、关联词等位置不当。</explain>
      <paraID>65DC8268</paraID>
      <start>95</start>
      <end>99</end>
      <status>ignored</status>
      <modifiedWord/>
      <trackRevisions>false</trackRevisions>
    </reviewItem>
    <reviewItem>
      <errorID>3e9b25c0-8947-4c7e-8e5c-aa38e7693acb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3F0EDC7D</paraID>
      <start>90</start>
      <end>91</end>
      <status>modified</status>
      <modifiedWord>—</modifiedWord>
      <trackRevisions>false</trackRevisions>
    </reviewItem>
    <reviewItem>
      <errorID>7bc3d407-6395-4c2f-b2ad-8dc97647c5ca</errorID>
      <errorWord>亟需对</errorWord>
      <group>L1_Word</group>
      <groupName>字词问题</groupName>
      <ability>L2_Typo</ability>
      <abilityName>字词错误</abilityName>
      <candidateList>
        <item>亟须对</item>
      </candidateList>
      <explain/>
      <paraID>1001F5A5</paraID>
      <start>230</start>
      <end>233</end>
      <status>modified</status>
      <modifiedWord>亟须对</modifiedWord>
      <trackRevisions>false</trackRevisions>
    </reviewItem>
    <reviewItem>
      <errorID>722213bd-5695-4b94-a158-da2352601c58</errorID>
      <errorWord>发展和改革委</errorWord>
      <group>L1_Knowledge</group>
      <groupName>知识性问题</groupName>
      <ability>L2_Knowledge</ability>
      <abilityName>其他知识</abilityName>
      <candidateList>
        <item>发展改革委</item>
      </candidateList>
      <explain/>
      <paraID>506577B1</paraID>
      <start>55</start>
      <end>61</end>
      <status>ignored</status>
      <modifiedWord/>
      <trackRevisions>false</trackRevisions>
    </reviewItem>
    <reviewItem>
      <errorID>8829e470-a140-4932-aeb1-9b48d61d558e</errorID>
      <errorWord>及园林</errorWord>
      <group>L1_Grammar</group>
      <groupName>语法问题</groupName>
      <ability>L2_Order</ability>
      <abilityName>语序不当</abilityName>
      <candidateList>
        <item>园林及</item>
      </candidateList>
      <explain>句子可能没有遵循时空、逻辑顺序，或者介词、关联词等位置不当。</explain>
      <paraID>7454B103</paraID>
      <start>3</start>
      <end>6</end>
      <status>ignored</status>
      <modifiedWord/>
      <trackRevisions>false</trackRevisions>
    </reviewItem>
    <reviewItem>
      <errorID>d120a20f-ce3f-4c23-8ecb-3b91059d5adb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42FEB174</paraID>
      <start>39</start>
      <end>40</end>
      <status>modified</status>
      <modifiedWord>—</modifiedWord>
      <trackRevisions>false</trackRevisions>
    </reviewItem>
    <reviewItem>
      <errorID>a8aadf52-00a1-4b27-aa70-41ac99421c2a</errorID>
      <errorWord>"</errorWord>
      <group>L1_Format</group>
      <groupName>格式问题</groupName>
      <ability>L2_HalfPunc</ability>
      <abilityName>全半角检查</abilityName>
      <candidateList>
        <item>“</item>
      </candidateList>
      <explain>文本全半角错误。</explain>
      <paraID>41B494E2</paraID>
      <start>17</start>
      <end>18</end>
      <status>modified</status>
      <modifiedWord>“</modifiedWord>
      <trackRevisions>false</trackRevisions>
    </reviewItem>
    <reviewItem>
      <errorID>e0125d8d-0ad1-48f5-938e-3c258b8ed6ce</errorID>
      <errorWord>"</errorWord>
      <group>L1_Format</group>
      <groupName>格式问题</groupName>
      <ability>L2_HalfPunc</ability>
      <abilityName>全半角检查</abilityName>
      <candidateList>
        <item>”</item>
      </candidateList>
      <explain>文本全半角错误。</explain>
      <paraID>41B494E2</paraID>
      <start>27</start>
      <end>28</end>
      <status>modified</status>
      <modifiedWord>”</modifiedWord>
      <trackRevisions>false</trackRevisions>
    </reviewItem>
    <reviewItem>
      <errorID>c8ca5d26-1a28-4f5a-a5d0-521051382f05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73294F1B</paraID>
      <start>27</start>
      <end>29</end>
      <status>modified</status>
      <modifiedWord>》《</modifiedWord>
      <trackRevisions>false</trackRevisions>
    </reviewItem>
    <reviewItem>
      <errorID>c11a25de-d663-4262-9de0-4362eb2d4559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73294F1B</paraID>
      <start>39</start>
      <end>41</end>
      <status>modified</status>
      <modifiedWord>》《</modifiedWord>
      <trackRevisions>false</trackRevisions>
    </reviewItem>
    <reviewItem>
      <errorID>485f675c-18fb-43ff-b968-0b6508e709eb</errorID>
      <errorWord>四挡</errorWord>
      <group>L1_Word</group>
      <groupName>字词问题</groupName>
      <ability>L2_Typo</ability>
      <abilityName>字词错误</abilityName>
      <candidateList>
        <item>四档</item>
      </candidateList>
      <explain>存在发音相同字词的误用。</explain>
      <paraID>13BC8D8B</paraID>
      <start>48</start>
      <end>50</end>
      <status>modified</status>
      <modifiedWord>四档</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f433e7-7e99-48c9-a289-c964c7f37882}">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1744</Words>
  <Characters>1878</Characters>
  <Lines>0</Lines>
  <Paragraphs>0</Paragraphs>
  <TotalTime>0</TotalTime>
  <ScaleCrop>false</ScaleCrop>
  <LinksUpToDate>false</LinksUpToDate>
  <CharactersWithSpaces>1883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2025-12-09T01:07:00Z</dcterms:created>
  <dc:creator>平凡</dc:creator>
  <cp:lastModifiedBy>别太坏</cp:lastModifiedBy>
  <cp:lastPrinted>2026-01-05T03:01:43Z</cp:lastPrinted>
  <dcterms:modified xsi:type="dcterms:W3CDTF">2026-01-05T03:02:00Z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A281B2B55E514CBB9C5A734EFB7F927C_13</vt:lpwstr>
  </property>
  <property fmtid="{D5CDD505-2E9C-101B-9397-08002B2CF9AE}" pid="4" name="KSOTemplateDocerSaveRecord">
    <vt:lpwstr>eyJoZGlkIjoiYTk2NzYyZWIzZmJlZjdkYTc3MjQ2YmE2NGQxZThiN2IiLCJ1c2VySWQiOiIyNjQ2OTQ1MzQifQ==</vt:lpwstr>
  </property>
</Properties>
</file>