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9"/>
        <w:rPr>
          <w:rFonts w:hint="default" w:ascii="黑体" w:hAnsi="黑体" w:eastAsia="黑体" w:cs="黑体"/>
          <w:kern w:val="2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kern w:val="2"/>
          <w:sz w:val="40"/>
          <w:szCs w:val="40"/>
        </w:rPr>
        <w:t>202</w:t>
      </w:r>
      <w:r>
        <w:rPr>
          <w:rFonts w:hint="eastAsia" w:ascii="黑体" w:hAnsi="黑体" w:eastAsia="黑体" w:cs="黑体"/>
          <w:kern w:val="2"/>
          <w:sz w:val="40"/>
          <w:szCs w:val="40"/>
          <w:lang w:val="en-US" w:eastAsia="zh-CN"/>
        </w:rPr>
        <w:t>6</w:t>
      </w:r>
      <w:r>
        <w:rPr>
          <w:rFonts w:hint="eastAsia" w:ascii="黑体" w:hAnsi="黑体" w:eastAsia="黑体" w:cs="黑体"/>
          <w:kern w:val="2"/>
          <w:sz w:val="40"/>
          <w:szCs w:val="40"/>
        </w:rPr>
        <w:t>年度全旗衔接推进乡村振兴</w:t>
      </w:r>
      <w:r>
        <w:rPr>
          <w:rFonts w:hint="eastAsia" w:ascii="黑体" w:hAnsi="黑体" w:eastAsia="黑体" w:cs="黑体"/>
          <w:kern w:val="2"/>
          <w:sz w:val="40"/>
          <w:szCs w:val="40"/>
          <w:lang w:val="en-US" w:eastAsia="zh-CN"/>
        </w:rPr>
        <w:t>补助资金项目</w:t>
      </w:r>
      <w:r>
        <w:rPr>
          <w:rFonts w:hint="eastAsia" w:ascii="黑体" w:hAnsi="黑体" w:eastAsia="黑体" w:cs="黑体"/>
          <w:kern w:val="2"/>
          <w:sz w:val="40"/>
          <w:szCs w:val="40"/>
        </w:rPr>
        <w:t>基本情况及资金分配表</w:t>
      </w:r>
    </w:p>
    <w:tbl>
      <w:tblPr>
        <w:tblStyle w:val="10"/>
        <w:tblpPr w:leftFromText="180" w:rightFromText="180" w:vertAnchor="text" w:horzAnchor="page" w:tblpX="1286" w:tblpY="769"/>
        <w:tblOverlap w:val="never"/>
        <w:tblW w:w="13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855"/>
        <w:gridCol w:w="1636"/>
        <w:gridCol w:w="1574"/>
        <w:gridCol w:w="726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</w:rPr>
              <w:t>项目名称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  <w:lang w:eastAsia="zh-CN"/>
              </w:rPr>
              <w:t>属地</w:t>
            </w:r>
            <w:r>
              <w:rPr>
                <w:rFonts w:hint="eastAsia" w:ascii="黑体" w:hAnsi="黑体" w:eastAsia="黑体" w:cs="黑体"/>
                <w:kern w:val="2"/>
                <w:sz w:val="20"/>
                <w:szCs w:val="20"/>
              </w:rPr>
              <w:t>镇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</w:rPr>
              <w:t>资金来源</w:t>
            </w:r>
          </w:p>
        </w:tc>
        <w:tc>
          <w:tcPr>
            <w:tcW w:w="15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  <w:lang w:eastAsia="zh-CN"/>
              </w:rPr>
              <w:t>分配资金</w:t>
            </w:r>
            <w:r>
              <w:rPr>
                <w:rFonts w:hint="eastAsia" w:ascii="黑体" w:hAnsi="黑体" w:eastAsia="黑体" w:cs="黑体"/>
                <w:kern w:val="2"/>
                <w:sz w:val="20"/>
                <w:szCs w:val="20"/>
              </w:rPr>
              <w:t>（万元）</w:t>
            </w:r>
          </w:p>
        </w:tc>
        <w:tc>
          <w:tcPr>
            <w:tcW w:w="7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</w:rPr>
              <w:t>项目主要建设内容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  <w:lang w:eastAsia="zh-CN"/>
              </w:rPr>
              <w:t>运营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  <w:lang w:eastAsia="zh-CN"/>
              </w:rPr>
              <w:t>模式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4" w:hRule="atLeast"/>
        </w:trPr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  <w:lang w:val="en-US" w:eastAsia="zh-CN"/>
              </w:rPr>
              <w:t>阿勒腾席热镇红海子农贸市场建设项目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/>
              </w:rPr>
              <w:t>阿勒腾席热镇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  <w:lang w:val="en-US" w:eastAsia="zh-CN"/>
              </w:rPr>
              <w:t>中央</w:t>
            </w: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</w:rPr>
              <w:t>财政</w:t>
            </w: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  <w:lang w:val="en-US" w:eastAsia="zh-CN"/>
              </w:rPr>
              <w:t>第一批</w:t>
            </w: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</w:rPr>
              <w:t>衔接推进乡村振兴（少数民族发展任务</w:t>
            </w: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</w:rPr>
              <w:t>补助资金</w:t>
            </w:r>
          </w:p>
        </w:tc>
        <w:tc>
          <w:tcPr>
            <w:tcW w:w="15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/>
              </w:rPr>
              <w:t>144</w:t>
            </w:r>
          </w:p>
        </w:tc>
        <w:tc>
          <w:tcPr>
            <w:tcW w:w="7260" w:type="dxa"/>
            <w:vAlign w:val="center"/>
          </w:tcPr>
          <w:p>
            <w:pPr>
              <w:pStyle w:val="2"/>
              <w:widowControl w:val="0"/>
              <w:ind w:left="0" w:leftChars="0" w:firstLine="508" w:firstLineChars="200"/>
              <w:jc w:val="both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7"/>
                <w:kern w:val="2"/>
                <w:sz w:val="22"/>
                <w:szCs w:val="22"/>
                <w:lang w:val="en-US" w:eastAsia="zh-CN"/>
              </w:rPr>
              <w:t>本项目规划用地面积8956.73㎡，建成框架结构的农贸市场。总建筑面积4609.00㎡，其中地上建筑面积4260.84㎡，含摊位24个，商业用房12间。主要建设地下建筑面积348.16㎡，计划申请上级扶持资金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pacing w:val="17"/>
                <w:kern w:val="2"/>
                <w:sz w:val="22"/>
                <w:szCs w:val="22"/>
                <w:lang w:val="en-US" w:eastAsia="zh-CN"/>
              </w:rPr>
              <w:t>主要用于村集体出资的项目厂房建设约2258㎡。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eastAsia="zh-CN"/>
              </w:rPr>
              <w:t>村集体经济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  <w:lang w:val="en-US" w:eastAsia="zh-CN"/>
              </w:rPr>
              <w:t>伊金霍洛旗“健康饮茶”“送茶入户”困难群众饮用低氟边销茶项目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/>
              </w:rPr>
              <w:t>全旗范围实施</w:t>
            </w:r>
          </w:p>
        </w:tc>
        <w:tc>
          <w:tcPr>
            <w:tcW w:w="1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  <w:lang w:val="en-US" w:eastAsia="zh-CN"/>
              </w:rPr>
              <w:t>中央</w:t>
            </w: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</w:rPr>
              <w:t>财政</w:t>
            </w: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  <w:lang w:val="en-US" w:eastAsia="zh-CN"/>
              </w:rPr>
              <w:t>第一批</w:t>
            </w: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</w:rPr>
              <w:t>衔接推进乡村振兴（少数民族发展任务</w:t>
            </w: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pacing w:val="17"/>
                <w:kern w:val="2"/>
                <w:sz w:val="22"/>
                <w:szCs w:val="22"/>
              </w:rPr>
              <w:t>补助资金</w:t>
            </w:r>
          </w:p>
        </w:tc>
        <w:tc>
          <w:tcPr>
            <w:tcW w:w="15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7260" w:type="dxa"/>
            <w:vAlign w:val="center"/>
          </w:tcPr>
          <w:p>
            <w:pPr>
              <w:pStyle w:val="2"/>
              <w:widowControl w:val="0"/>
              <w:ind w:left="0" w:leftChars="0" w:firstLine="508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spacing w:val="17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7"/>
                <w:kern w:val="2"/>
                <w:sz w:val="22"/>
                <w:szCs w:val="22"/>
                <w:lang w:val="en-US" w:eastAsia="zh-CN"/>
              </w:rPr>
              <w:t>为了满足各族群众对健康生活需求，提升各族群众的获得感、幸福感、安全感，保障边疆稳固，社会和谐稳定，促进边境地区经济社会发展，通过推广“健康饮茶”“送茶入户”“健康饮水”等项目工作，提高我旗各族人民生活水平，改善原有的生活习惯，从根本上遏制饮茶型地氟病的蔓延，开展“健康饮茶”“送茶入户”困难群众饮用低氟边销茶项目。享受该政策困难群众是指脱贫享受政策户、监测户等各族生活困难家庭。根据乡村振兴部门及民族事务委员会统计数据（该数据为2025年统计数据，实际实施按照最新数据），我旗现有脱贫享受政策户362户；监测户141户；生活困难家庭（包括因病、因遭受重大意外事故、因家庭受到重大变故导致生活困难家庭）100户。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eastAsia="zh-CN"/>
              </w:rPr>
              <w:t>村集体经济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/>
              </w:rPr>
              <w:t>合 计</w:t>
            </w:r>
          </w:p>
        </w:tc>
        <w:tc>
          <w:tcPr>
            <w:tcW w:w="1222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>159万元</w:t>
            </w:r>
          </w:p>
        </w:tc>
      </w:tr>
    </w:tbl>
    <w:p>
      <w:pPr>
        <w:spacing w:line="20" w:lineRule="atLeast"/>
        <w:rPr>
          <w:rFonts w:hint="eastAsia" w:ascii="仿宋" w:hAnsi="仿宋" w:eastAsia="仿宋" w:cs="仿宋"/>
          <w:color w:val="FFFFFF"/>
          <w:kern w:val="2"/>
          <w:sz w:val="32"/>
          <w:szCs w:val="32"/>
        </w:rPr>
        <w:sectPr>
          <w:footerReference r:id="rId3" w:type="default"/>
          <w:pgSz w:w="15840" w:h="12240" w:orient="landscape"/>
          <w:pgMar w:top="720" w:right="720" w:bottom="720" w:left="720" w:header="720" w:footer="720" w:gutter="0"/>
          <w:pgNumType w:fmt="numberInDash"/>
          <w:cols w:space="720" w:num="1"/>
        </w:sectPr>
      </w:pPr>
    </w:p>
    <w:p>
      <w:pPr>
        <w:tabs>
          <w:tab w:val="left" w:pos="2697"/>
        </w:tabs>
        <w:jc w:val="both"/>
        <w:rPr>
          <w:rFonts w:hint="eastAsia" w:ascii="仿宋" w:hAnsi="仿宋" w:eastAsia="仿宋" w:cs="仿宋"/>
          <w:sz w:val="28"/>
          <w:szCs w:val="28"/>
        </w:rPr>
      </w:pPr>
    </w:p>
    <w:sectPr>
      <w:pgSz w:w="12240" w:h="15840"/>
      <w:pgMar w:top="1440" w:right="1757" w:bottom="1440" w:left="1757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hjODVmNzQ0ZjAyMWY0MzJiMmRiN2QyMDdkZDQ4MDUifQ=="/>
  </w:docVars>
  <w:rsids>
    <w:rsidRoot w:val="0080575F"/>
    <w:rsid w:val="00207BE8"/>
    <w:rsid w:val="0080575F"/>
    <w:rsid w:val="00A551E2"/>
    <w:rsid w:val="00AB1A4E"/>
    <w:rsid w:val="00C21491"/>
    <w:rsid w:val="01C33A3F"/>
    <w:rsid w:val="021E4A50"/>
    <w:rsid w:val="077A2091"/>
    <w:rsid w:val="084C7436"/>
    <w:rsid w:val="0BFF3017"/>
    <w:rsid w:val="0D3640D0"/>
    <w:rsid w:val="0DCF4A30"/>
    <w:rsid w:val="0F67463F"/>
    <w:rsid w:val="11B20B74"/>
    <w:rsid w:val="1254248D"/>
    <w:rsid w:val="14094D39"/>
    <w:rsid w:val="19AE10B4"/>
    <w:rsid w:val="1DC24CC4"/>
    <w:rsid w:val="1FAF5B7F"/>
    <w:rsid w:val="21476ED0"/>
    <w:rsid w:val="26E465F1"/>
    <w:rsid w:val="28644965"/>
    <w:rsid w:val="28FC281C"/>
    <w:rsid w:val="2DDB65D8"/>
    <w:rsid w:val="329900A8"/>
    <w:rsid w:val="34CE6CF2"/>
    <w:rsid w:val="35197428"/>
    <w:rsid w:val="39922464"/>
    <w:rsid w:val="3DDE40DC"/>
    <w:rsid w:val="3F316615"/>
    <w:rsid w:val="3F5D1206"/>
    <w:rsid w:val="41F639EC"/>
    <w:rsid w:val="46041813"/>
    <w:rsid w:val="4750340C"/>
    <w:rsid w:val="47C266A2"/>
    <w:rsid w:val="48497A00"/>
    <w:rsid w:val="49C03260"/>
    <w:rsid w:val="4AA06AFD"/>
    <w:rsid w:val="4C1E10EE"/>
    <w:rsid w:val="4C5D414C"/>
    <w:rsid w:val="4D131246"/>
    <w:rsid w:val="4E8B11D5"/>
    <w:rsid w:val="4EA454D7"/>
    <w:rsid w:val="4FCA49BE"/>
    <w:rsid w:val="533D48D5"/>
    <w:rsid w:val="53B80B43"/>
    <w:rsid w:val="56072562"/>
    <w:rsid w:val="589A009F"/>
    <w:rsid w:val="5D4660F7"/>
    <w:rsid w:val="605B3302"/>
    <w:rsid w:val="645F7A47"/>
    <w:rsid w:val="6D316529"/>
    <w:rsid w:val="6E9A308C"/>
    <w:rsid w:val="6F4507D5"/>
    <w:rsid w:val="748E2599"/>
    <w:rsid w:val="761F352E"/>
    <w:rsid w:val="765E7F9A"/>
    <w:rsid w:val="77B332B4"/>
    <w:rsid w:val="7B8D430C"/>
    <w:rsid w:val="7C05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560" w:firstLineChars="200"/>
    </w:pPr>
  </w:style>
  <w:style w:type="paragraph" w:styleId="3">
    <w:name w:val="Body Text Indent"/>
    <w:basedOn w:val="1"/>
    <w:next w:val="4"/>
    <w:qFormat/>
    <w:uiPriority w:val="0"/>
    <w:pPr>
      <w:ind w:firstLine="527"/>
    </w:pPr>
    <w:rPr>
      <w:rFonts w:ascii="Times New Roman" w:hAnsi="Times New Roman" w:cs="Times New Roman"/>
      <w:szCs w:val="20"/>
    </w:rPr>
  </w:style>
  <w:style w:type="paragraph" w:styleId="4">
    <w:name w:val="Normal (Web)"/>
    <w:basedOn w:val="1"/>
    <w:next w:val="1"/>
    <w:qFormat/>
    <w:uiPriority w:val="0"/>
    <w:rPr>
      <w:rFonts w:ascii="微软雅黑" w:hAnsi="微软雅黑" w:eastAsia="微软雅黑"/>
      <w:sz w:val="18"/>
      <w:szCs w:val="18"/>
    </w:rPr>
  </w:style>
  <w:style w:type="paragraph" w:styleId="5">
    <w:name w:val="Normal Indent"/>
    <w:basedOn w:val="1"/>
    <w:unhideWhenUsed/>
    <w:qFormat/>
    <w:uiPriority w:val="0"/>
    <w:pPr>
      <w:ind w:firstLine="420" w:firstLineChars="200"/>
    </w:p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22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页眉 字符"/>
    <w:basedOn w:val="8"/>
    <w:link w:val="7"/>
    <w:qFormat/>
    <w:uiPriority w:val="99"/>
    <w:rPr>
      <w:sz w:val="18"/>
      <w:szCs w:val="22"/>
    </w:rPr>
  </w:style>
  <w:style w:type="character" w:customStyle="1" w:styleId="12">
    <w:name w:val="页脚 字符"/>
    <w:basedOn w:val="8"/>
    <w:link w:val="6"/>
    <w:qFormat/>
    <w:uiPriority w:val="99"/>
    <w:rPr>
      <w:sz w:val="1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1383</Words>
  <Characters>1528</Characters>
  <Lines>8</Lines>
  <Paragraphs>2</Paragraphs>
  <TotalTime>1</TotalTime>
  <ScaleCrop>false</ScaleCrop>
  <LinksUpToDate>false</LinksUpToDate>
  <CharactersWithSpaces>1614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2021-07-19T08:25:00Z</dcterms:created>
  <dc:creator>金 海霞</dc:creator>
  <cp:lastModifiedBy>А л т а й</cp:lastModifiedBy>
  <cp:lastPrinted>2025-12-31T07:18:00Z</cp:lastPrinted>
  <dcterms:modified xsi:type="dcterms:W3CDTF">2026-01-04T02:16:20Z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ABB6A7AD6273450EAAF4D8DAEE9B35F0</vt:lpwstr>
  </property>
</Properties>
</file>