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9B9F0">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line="560" w:lineRule="exact"/>
        <w:ind w:right="0" w:rightChars="0"/>
        <w:jc w:val="both"/>
        <w:textAlignment w:val="auto"/>
        <w:rPr>
          <w:rFonts w:hint="eastAsia"/>
          <w:spacing w:val="0"/>
          <w:w w:val="100"/>
          <w:sz w:val="32"/>
          <w:lang w:val="en-US" w:eastAsia="zh-CN"/>
        </w:rPr>
      </w:pPr>
      <w:r>
        <w:rPr>
          <w:rFonts w:hint="eastAsia" w:ascii="黑体" w:hAnsi="黑体" w:eastAsia="黑体" w:cs="黑体"/>
          <w:spacing w:val="0"/>
          <w:w w:val="100"/>
        </w:rPr>
        <w:t>附件</w:t>
      </w:r>
      <w:r>
        <w:rPr>
          <w:rFonts w:hint="eastAsia" w:ascii="黑体" w:hAnsi="黑体" w:eastAsia="黑体" w:cs="黑体"/>
          <w:spacing w:val="0"/>
          <w:w w:val="100"/>
          <w:sz w:val="32"/>
          <w:lang w:val="en-US" w:eastAsia="zh-CN"/>
        </w:rPr>
        <w:t xml:space="preserve">2： </w:t>
      </w:r>
      <w:r>
        <w:rPr>
          <w:rFonts w:hint="eastAsia"/>
          <w:spacing w:val="0"/>
          <w:w w:val="100"/>
          <w:sz w:val="32"/>
          <w:lang w:val="en-US" w:eastAsia="zh-CN"/>
        </w:rPr>
        <w:t xml:space="preserve">               </w:t>
      </w:r>
    </w:p>
    <w:p w14:paraId="4B027E4A">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line="560" w:lineRule="exact"/>
        <w:ind w:right="0" w:rightChars="0"/>
        <w:jc w:val="center"/>
        <w:textAlignment w:val="auto"/>
        <w:rPr>
          <w:rFonts w:hint="default" w:ascii="方正小标宋简体" w:hAnsi="方正小标宋简体" w:eastAsia="方正小标宋简体" w:cs="方正小标宋简体"/>
          <w:b w:val="0"/>
          <w:bCs w:val="0"/>
          <w:spacing w:val="0"/>
          <w:w w:val="100"/>
          <w:sz w:val="44"/>
          <w:szCs w:val="44"/>
          <w:lang w:val="en-US" w:eastAsia="zh-CN" w:bidi="zh-CN"/>
        </w:rPr>
      </w:pPr>
      <w:bookmarkStart w:id="0" w:name="_GoBack"/>
      <w:r>
        <w:rPr>
          <w:rFonts w:hint="eastAsia" w:ascii="方正小标宋简体" w:hAnsi="方正小标宋简体" w:eastAsia="方正小标宋简体" w:cs="方正小标宋简体"/>
          <w:b w:val="0"/>
          <w:bCs w:val="0"/>
          <w:spacing w:val="0"/>
          <w:w w:val="100"/>
          <w:sz w:val="44"/>
          <w:szCs w:val="44"/>
          <w:lang w:val="en-US" w:eastAsia="zh-CN" w:bidi="zh-CN"/>
        </w:rPr>
        <w:t>伊金霍洛旗能源局监管油气长输管道企业名单及执法计划</w:t>
      </w:r>
    </w:p>
    <w:bookmarkEnd w:id="0"/>
    <w:p w14:paraId="499A2672">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line="560" w:lineRule="exact"/>
        <w:ind w:right="0" w:rightChars="0"/>
        <w:jc w:val="center"/>
        <w:textAlignment w:val="auto"/>
        <w:rPr>
          <w:rFonts w:hint="eastAsia" w:ascii="方正小标宋简体" w:hAnsi="方正小标宋简体" w:eastAsia="方正小标宋简体" w:cs="方正小标宋简体"/>
          <w:b w:val="0"/>
          <w:bCs w:val="0"/>
          <w:spacing w:val="0"/>
          <w:w w:val="100"/>
          <w:sz w:val="44"/>
          <w:szCs w:val="44"/>
          <w:lang w:val="en-US" w:eastAsia="zh-CN" w:bidi="zh-CN"/>
        </w:rPr>
      </w:pPr>
    </w:p>
    <w:tbl>
      <w:tblPr>
        <w:tblStyle w:val="3"/>
        <w:tblpPr w:leftFromText="180" w:rightFromText="180" w:vertAnchor="text" w:horzAnchor="page" w:tblpX="1793" w:tblpY="203"/>
        <w:tblOverlap w:val="never"/>
        <w:tblW w:w="516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6"/>
        <w:gridCol w:w="2839"/>
        <w:gridCol w:w="1446"/>
        <w:gridCol w:w="1240"/>
        <w:gridCol w:w="776"/>
        <w:gridCol w:w="1723"/>
      </w:tblGrid>
      <w:tr w14:paraId="12F85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339" w:type="pct"/>
            <w:tcBorders>
              <w:top w:val="single" w:color="000000" w:sz="4" w:space="0"/>
              <w:left w:val="single" w:color="000000" w:sz="4" w:space="0"/>
              <w:bottom w:val="single" w:color="000000" w:sz="4" w:space="0"/>
              <w:right w:val="single" w:color="000000" w:sz="4" w:space="0"/>
            </w:tcBorders>
            <w:noWrap/>
            <w:vAlign w:val="center"/>
          </w:tcPr>
          <w:p w14:paraId="56BC09C8">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黑体" w:hAnsi="黑体" w:eastAsia="黑体" w:cs="黑体"/>
                <w:b w:val="0"/>
                <w:bCs w:val="0"/>
                <w:i w:val="0"/>
                <w:iCs w:val="0"/>
                <w:color w:val="000000"/>
                <w:spacing w:val="0"/>
                <w:w w:val="100"/>
                <w:kern w:val="0"/>
                <w:sz w:val="28"/>
                <w:szCs w:val="28"/>
                <w:u w:val="none"/>
                <w:lang w:val="en-US" w:eastAsia="zh-CN" w:bidi="ar"/>
              </w:rPr>
            </w:pPr>
            <w:r>
              <w:rPr>
                <w:rFonts w:hint="eastAsia" w:ascii="黑体" w:hAnsi="黑体" w:eastAsia="黑体" w:cs="黑体"/>
                <w:b w:val="0"/>
                <w:bCs w:val="0"/>
                <w:i w:val="0"/>
                <w:iCs w:val="0"/>
                <w:color w:val="000000"/>
                <w:spacing w:val="0"/>
                <w:w w:val="100"/>
                <w:kern w:val="0"/>
                <w:sz w:val="28"/>
                <w:szCs w:val="28"/>
                <w:u w:val="none"/>
                <w:lang w:val="en-US" w:eastAsia="zh-CN" w:bidi="ar"/>
              </w:rPr>
              <w:t>编号</w:t>
            </w:r>
          </w:p>
        </w:tc>
        <w:tc>
          <w:tcPr>
            <w:tcW w:w="1653" w:type="pct"/>
            <w:tcBorders>
              <w:top w:val="single" w:color="000000" w:sz="4" w:space="0"/>
              <w:left w:val="single" w:color="000000" w:sz="4" w:space="0"/>
              <w:bottom w:val="single" w:color="000000" w:sz="4" w:space="0"/>
              <w:right w:val="single" w:color="000000" w:sz="4" w:space="0"/>
            </w:tcBorders>
            <w:noWrap/>
            <w:vAlign w:val="center"/>
          </w:tcPr>
          <w:p w14:paraId="3E1BEA4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黑体" w:hAnsi="黑体" w:eastAsia="黑体" w:cs="黑体"/>
                <w:b w:val="0"/>
                <w:bCs w:val="0"/>
                <w:i w:val="0"/>
                <w:iCs w:val="0"/>
                <w:color w:val="000000"/>
                <w:spacing w:val="0"/>
                <w:w w:val="100"/>
                <w:kern w:val="0"/>
                <w:sz w:val="28"/>
                <w:szCs w:val="28"/>
                <w:u w:val="none"/>
                <w:lang w:val="en-US" w:eastAsia="zh-CN" w:bidi="ar"/>
              </w:rPr>
            </w:pPr>
            <w:r>
              <w:rPr>
                <w:rFonts w:hint="eastAsia" w:ascii="黑体" w:hAnsi="黑体" w:eastAsia="黑体" w:cs="黑体"/>
                <w:b w:val="0"/>
                <w:bCs w:val="0"/>
                <w:i w:val="0"/>
                <w:iCs w:val="0"/>
                <w:color w:val="000000"/>
                <w:spacing w:val="0"/>
                <w:w w:val="100"/>
                <w:kern w:val="0"/>
                <w:sz w:val="28"/>
                <w:szCs w:val="28"/>
                <w:u w:val="none"/>
                <w:lang w:val="en-US" w:eastAsia="zh-CN" w:bidi="ar"/>
              </w:rPr>
              <w:t>企业名称</w:t>
            </w:r>
          </w:p>
        </w:tc>
        <w:tc>
          <w:tcPr>
            <w:tcW w:w="862" w:type="pct"/>
            <w:tcBorders>
              <w:top w:val="single" w:color="000000" w:sz="4" w:space="0"/>
              <w:left w:val="single" w:color="000000" w:sz="4" w:space="0"/>
              <w:bottom w:val="single" w:color="000000" w:sz="4" w:space="0"/>
              <w:right w:val="single" w:color="000000" w:sz="4" w:space="0"/>
            </w:tcBorders>
            <w:noWrap/>
            <w:vAlign w:val="center"/>
          </w:tcPr>
          <w:p w14:paraId="0859E11A">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黑体" w:hAnsi="黑体" w:eastAsia="黑体" w:cs="黑体"/>
                <w:b w:val="0"/>
                <w:bCs w:val="0"/>
                <w:i w:val="0"/>
                <w:iCs w:val="0"/>
                <w:color w:val="000000"/>
                <w:spacing w:val="0"/>
                <w:w w:val="100"/>
                <w:kern w:val="0"/>
                <w:sz w:val="28"/>
                <w:szCs w:val="28"/>
                <w:u w:val="none"/>
                <w:lang w:val="en-US" w:eastAsia="zh-CN" w:bidi="ar"/>
              </w:rPr>
            </w:pPr>
            <w:r>
              <w:rPr>
                <w:rFonts w:hint="eastAsia" w:ascii="黑体" w:hAnsi="黑体" w:eastAsia="黑体" w:cs="黑体"/>
                <w:b w:val="0"/>
                <w:bCs w:val="0"/>
                <w:i w:val="0"/>
                <w:iCs w:val="0"/>
                <w:color w:val="000000"/>
                <w:spacing w:val="0"/>
                <w:w w:val="100"/>
                <w:kern w:val="0"/>
                <w:sz w:val="28"/>
                <w:szCs w:val="28"/>
                <w:u w:val="none"/>
                <w:lang w:val="en-US" w:eastAsia="zh-CN" w:bidi="ar"/>
              </w:rPr>
              <w:t>输气管线</w:t>
            </w:r>
          </w:p>
        </w:tc>
        <w:tc>
          <w:tcPr>
            <w:tcW w:w="745" w:type="pct"/>
            <w:tcBorders>
              <w:top w:val="single" w:color="000000" w:sz="4" w:space="0"/>
              <w:left w:val="single" w:color="000000" w:sz="4" w:space="0"/>
              <w:bottom w:val="single" w:color="000000" w:sz="4" w:space="0"/>
              <w:right w:val="single" w:color="000000" w:sz="4" w:space="0"/>
            </w:tcBorders>
            <w:noWrap w:val="0"/>
            <w:vAlign w:val="center"/>
          </w:tcPr>
          <w:p w14:paraId="6384169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黑体" w:hAnsi="黑体" w:eastAsia="黑体" w:cs="黑体"/>
                <w:b w:val="0"/>
                <w:bCs w:val="0"/>
                <w:i w:val="0"/>
                <w:iCs w:val="0"/>
                <w:color w:val="000000"/>
                <w:spacing w:val="0"/>
                <w:w w:val="100"/>
                <w:kern w:val="0"/>
                <w:sz w:val="28"/>
                <w:szCs w:val="28"/>
                <w:u w:val="none"/>
                <w:lang w:val="en-US" w:eastAsia="zh-CN" w:bidi="ar"/>
              </w:rPr>
            </w:pPr>
            <w:r>
              <w:rPr>
                <w:rFonts w:hint="eastAsia" w:ascii="黑体" w:hAnsi="黑体" w:eastAsia="黑体" w:cs="黑体"/>
                <w:b w:val="0"/>
                <w:bCs w:val="0"/>
                <w:i w:val="0"/>
                <w:iCs w:val="0"/>
                <w:color w:val="000000"/>
                <w:spacing w:val="0"/>
                <w:w w:val="100"/>
                <w:kern w:val="0"/>
                <w:sz w:val="28"/>
                <w:szCs w:val="28"/>
                <w:u w:val="none"/>
                <w:lang w:val="en-US" w:eastAsia="zh-CN" w:bidi="ar"/>
              </w:rPr>
              <w:t>生产建设状态</w:t>
            </w: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7BE3842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黑体" w:hAnsi="黑体" w:eastAsia="黑体" w:cs="黑体"/>
                <w:b w:val="0"/>
                <w:bCs w:val="0"/>
                <w:i w:val="0"/>
                <w:iCs w:val="0"/>
                <w:color w:val="000000"/>
                <w:spacing w:val="0"/>
                <w:w w:val="100"/>
                <w:kern w:val="0"/>
                <w:sz w:val="28"/>
                <w:szCs w:val="28"/>
                <w:u w:val="none"/>
                <w:lang w:val="en-US" w:eastAsia="zh-CN" w:bidi="ar"/>
              </w:rPr>
            </w:pPr>
            <w:r>
              <w:rPr>
                <w:rFonts w:hint="eastAsia" w:ascii="黑体" w:hAnsi="黑体" w:eastAsia="黑体" w:cs="黑体"/>
                <w:b w:val="0"/>
                <w:bCs w:val="0"/>
                <w:i w:val="0"/>
                <w:iCs w:val="0"/>
                <w:color w:val="000000"/>
                <w:spacing w:val="0"/>
                <w:w w:val="100"/>
                <w:kern w:val="0"/>
                <w:sz w:val="28"/>
                <w:szCs w:val="28"/>
                <w:u w:val="none"/>
                <w:lang w:val="en-US" w:eastAsia="zh-CN" w:bidi="ar"/>
              </w:rPr>
              <w:t>分类</w:t>
            </w:r>
          </w:p>
        </w:tc>
        <w:tc>
          <w:tcPr>
            <w:tcW w:w="1019" w:type="pct"/>
            <w:tcBorders>
              <w:top w:val="single" w:color="000000" w:sz="4" w:space="0"/>
              <w:left w:val="single" w:color="000000" w:sz="4" w:space="0"/>
              <w:bottom w:val="single" w:color="000000" w:sz="4" w:space="0"/>
              <w:right w:val="single" w:color="000000" w:sz="4" w:space="0"/>
            </w:tcBorders>
            <w:noWrap/>
            <w:vAlign w:val="center"/>
          </w:tcPr>
          <w:p w14:paraId="44540CB1">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黑体" w:hAnsi="黑体" w:eastAsia="黑体" w:cs="黑体"/>
                <w:b w:val="0"/>
                <w:bCs w:val="0"/>
                <w:i w:val="0"/>
                <w:iCs w:val="0"/>
                <w:color w:val="000000"/>
                <w:spacing w:val="0"/>
                <w:w w:val="100"/>
                <w:kern w:val="0"/>
                <w:sz w:val="28"/>
                <w:szCs w:val="28"/>
                <w:u w:val="none"/>
                <w:lang w:val="en-US" w:eastAsia="zh-CN" w:bidi="ar"/>
              </w:rPr>
            </w:pPr>
            <w:r>
              <w:rPr>
                <w:rFonts w:hint="eastAsia" w:ascii="黑体" w:hAnsi="黑体" w:eastAsia="黑体" w:cs="黑体"/>
                <w:b w:val="0"/>
                <w:bCs w:val="0"/>
                <w:i w:val="0"/>
                <w:iCs w:val="0"/>
                <w:color w:val="000000"/>
                <w:spacing w:val="0"/>
                <w:w w:val="100"/>
                <w:kern w:val="0"/>
                <w:sz w:val="28"/>
                <w:szCs w:val="28"/>
                <w:u w:val="none"/>
                <w:lang w:val="en-US" w:eastAsia="zh-CN" w:bidi="ar"/>
              </w:rPr>
              <w:t>监管频次</w:t>
            </w:r>
          </w:p>
        </w:tc>
      </w:tr>
      <w:tr w14:paraId="450A3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54BDCCE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1</w:t>
            </w:r>
          </w:p>
        </w:tc>
        <w:tc>
          <w:tcPr>
            <w:tcW w:w="1653" w:type="pct"/>
            <w:tcBorders>
              <w:top w:val="single" w:color="000000" w:sz="4" w:space="0"/>
              <w:left w:val="single" w:color="000000" w:sz="4" w:space="0"/>
              <w:bottom w:val="single" w:color="000000" w:sz="4" w:space="0"/>
              <w:right w:val="single" w:color="000000" w:sz="4" w:space="0"/>
            </w:tcBorders>
            <w:noWrap w:val="0"/>
            <w:vAlign w:val="center"/>
          </w:tcPr>
          <w:p w14:paraId="135FE855">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国家管网集团北京管道有限公司内蒙古输油气分公司鄂尔多斯作业区</w:t>
            </w:r>
          </w:p>
        </w:tc>
        <w:tc>
          <w:tcPr>
            <w:tcW w:w="862" w:type="pct"/>
            <w:tcBorders>
              <w:top w:val="single" w:color="000000" w:sz="4" w:space="0"/>
              <w:left w:val="single" w:color="000000" w:sz="4" w:space="0"/>
              <w:bottom w:val="single" w:color="000000" w:sz="4" w:space="0"/>
              <w:right w:val="single" w:color="000000" w:sz="4" w:space="0"/>
            </w:tcBorders>
            <w:noWrap w:val="0"/>
            <w:vAlign w:val="center"/>
          </w:tcPr>
          <w:p w14:paraId="534ACA71">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陕-京四线</w:t>
            </w:r>
          </w:p>
        </w:tc>
        <w:tc>
          <w:tcPr>
            <w:tcW w:w="745" w:type="pct"/>
            <w:tcBorders>
              <w:top w:val="single" w:color="000000" w:sz="4" w:space="0"/>
              <w:left w:val="single" w:color="000000" w:sz="4" w:space="0"/>
              <w:bottom w:val="single" w:color="000000" w:sz="4" w:space="0"/>
              <w:right w:val="single" w:color="000000" w:sz="4" w:space="0"/>
            </w:tcBorders>
            <w:noWrap w:val="0"/>
            <w:vAlign w:val="center"/>
          </w:tcPr>
          <w:p w14:paraId="37F9835D">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正常生产</w:t>
            </w:r>
          </w:p>
        </w:tc>
        <w:tc>
          <w:tcPr>
            <w:tcW w:w="379" w:type="pct"/>
            <w:tcBorders>
              <w:top w:val="single" w:color="000000" w:sz="4" w:space="0"/>
              <w:left w:val="single" w:color="000000" w:sz="4" w:space="0"/>
              <w:bottom w:val="single" w:color="000000" w:sz="4" w:space="0"/>
              <w:right w:val="single" w:color="000000" w:sz="4" w:space="0"/>
            </w:tcBorders>
            <w:noWrap w:val="0"/>
            <w:vAlign w:val="center"/>
          </w:tcPr>
          <w:p w14:paraId="0B18E89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B</w:t>
            </w:r>
          </w:p>
        </w:tc>
        <w:tc>
          <w:tcPr>
            <w:tcW w:w="1019" w:type="pct"/>
            <w:tcBorders>
              <w:top w:val="single" w:color="000000" w:sz="4" w:space="0"/>
              <w:left w:val="single" w:color="000000" w:sz="4" w:space="0"/>
              <w:bottom w:val="single" w:color="000000" w:sz="4" w:space="0"/>
              <w:right w:val="single" w:color="000000" w:sz="4" w:space="0"/>
            </w:tcBorders>
            <w:noWrap w:val="0"/>
            <w:vAlign w:val="center"/>
          </w:tcPr>
          <w:p w14:paraId="186E14A5">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每季度不少于1次。</w:t>
            </w:r>
          </w:p>
        </w:tc>
      </w:tr>
      <w:tr w14:paraId="2571E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5C16808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2</w:t>
            </w:r>
          </w:p>
        </w:tc>
        <w:tc>
          <w:tcPr>
            <w:tcW w:w="1653" w:type="pct"/>
            <w:tcBorders>
              <w:top w:val="single" w:color="000000" w:sz="4" w:space="0"/>
              <w:left w:val="single" w:color="000000" w:sz="4" w:space="0"/>
              <w:bottom w:val="single" w:color="000000" w:sz="4" w:space="0"/>
              <w:right w:val="single" w:color="000000" w:sz="4" w:space="0"/>
            </w:tcBorders>
            <w:noWrap w:val="0"/>
            <w:vAlign w:val="center"/>
          </w:tcPr>
          <w:p w14:paraId="58DE0DEA">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内蒙古西部天然气管道运行有限责任公司</w:t>
            </w:r>
          </w:p>
        </w:tc>
        <w:tc>
          <w:tcPr>
            <w:tcW w:w="862" w:type="pct"/>
            <w:tcBorders>
              <w:top w:val="single" w:color="000000" w:sz="4" w:space="0"/>
              <w:left w:val="single" w:color="000000" w:sz="4" w:space="0"/>
              <w:bottom w:val="single" w:color="000000" w:sz="4" w:space="0"/>
              <w:right w:val="single" w:color="000000" w:sz="4" w:space="0"/>
            </w:tcBorders>
            <w:noWrap w:val="0"/>
            <w:vAlign w:val="center"/>
          </w:tcPr>
          <w:p w14:paraId="06B708B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 xml:space="preserve">长-呼主线  </w:t>
            </w:r>
          </w:p>
          <w:p w14:paraId="1B8038C4">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 xml:space="preserve">长-呼复线 </w:t>
            </w:r>
          </w:p>
          <w:p w14:paraId="46768E5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 xml:space="preserve"> 神华支线</w:t>
            </w:r>
          </w:p>
        </w:tc>
        <w:tc>
          <w:tcPr>
            <w:tcW w:w="745" w:type="pct"/>
            <w:tcBorders>
              <w:top w:val="single" w:color="000000" w:sz="4" w:space="0"/>
              <w:left w:val="single" w:color="000000" w:sz="4" w:space="0"/>
              <w:bottom w:val="single" w:color="000000" w:sz="4" w:space="0"/>
              <w:right w:val="single" w:color="000000" w:sz="4" w:space="0"/>
            </w:tcBorders>
            <w:noWrap w:val="0"/>
            <w:vAlign w:val="center"/>
          </w:tcPr>
          <w:p w14:paraId="5F1C70F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正常生产</w:t>
            </w:r>
          </w:p>
        </w:tc>
        <w:tc>
          <w:tcPr>
            <w:tcW w:w="379" w:type="pct"/>
            <w:tcBorders>
              <w:top w:val="single" w:color="000000" w:sz="4" w:space="0"/>
              <w:left w:val="single" w:color="000000" w:sz="4" w:space="0"/>
              <w:bottom w:val="single" w:color="000000" w:sz="4" w:space="0"/>
              <w:right w:val="single" w:color="000000" w:sz="4" w:space="0"/>
            </w:tcBorders>
            <w:noWrap w:val="0"/>
            <w:vAlign w:val="center"/>
          </w:tcPr>
          <w:p w14:paraId="1EFA0E39">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B</w:t>
            </w:r>
          </w:p>
        </w:tc>
        <w:tc>
          <w:tcPr>
            <w:tcW w:w="1019" w:type="pct"/>
            <w:tcBorders>
              <w:top w:val="single" w:color="000000" w:sz="4" w:space="0"/>
              <w:left w:val="single" w:color="000000" w:sz="4" w:space="0"/>
              <w:bottom w:val="single" w:color="000000" w:sz="4" w:space="0"/>
              <w:right w:val="single" w:color="000000" w:sz="4" w:space="0"/>
            </w:tcBorders>
            <w:noWrap w:val="0"/>
            <w:vAlign w:val="center"/>
          </w:tcPr>
          <w:p w14:paraId="514FABFF">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每季度不少于1次。</w:t>
            </w:r>
          </w:p>
        </w:tc>
      </w:tr>
      <w:tr w14:paraId="06CE6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7CBBBDEF">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3</w:t>
            </w:r>
          </w:p>
        </w:tc>
        <w:tc>
          <w:tcPr>
            <w:tcW w:w="1653" w:type="pct"/>
            <w:tcBorders>
              <w:top w:val="single" w:color="000000" w:sz="4" w:space="0"/>
              <w:left w:val="single" w:color="000000" w:sz="4" w:space="0"/>
              <w:bottom w:val="single" w:color="000000" w:sz="4" w:space="0"/>
              <w:right w:val="single" w:color="000000" w:sz="4" w:space="0"/>
            </w:tcBorders>
            <w:noWrap w:val="0"/>
            <w:vAlign w:val="center"/>
          </w:tcPr>
          <w:p w14:paraId="338039C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内蒙古华屹天然气管道有限公司</w:t>
            </w:r>
          </w:p>
        </w:tc>
        <w:tc>
          <w:tcPr>
            <w:tcW w:w="862" w:type="pct"/>
            <w:tcBorders>
              <w:top w:val="single" w:color="000000" w:sz="4" w:space="0"/>
              <w:left w:val="single" w:color="000000" w:sz="4" w:space="0"/>
              <w:bottom w:val="single" w:color="000000" w:sz="4" w:space="0"/>
              <w:right w:val="single" w:color="000000" w:sz="4" w:space="0"/>
            </w:tcBorders>
            <w:noWrap w:val="0"/>
            <w:vAlign w:val="center"/>
          </w:tcPr>
          <w:p w14:paraId="18031ED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大-东线</w:t>
            </w:r>
          </w:p>
        </w:tc>
        <w:tc>
          <w:tcPr>
            <w:tcW w:w="745" w:type="pct"/>
            <w:tcBorders>
              <w:top w:val="single" w:color="000000" w:sz="4" w:space="0"/>
              <w:left w:val="single" w:color="000000" w:sz="4" w:space="0"/>
              <w:bottom w:val="single" w:color="000000" w:sz="4" w:space="0"/>
              <w:right w:val="single" w:color="000000" w:sz="4" w:space="0"/>
            </w:tcBorders>
            <w:noWrap w:val="0"/>
            <w:vAlign w:val="center"/>
          </w:tcPr>
          <w:p w14:paraId="6302F369">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正常生产</w:t>
            </w:r>
          </w:p>
        </w:tc>
        <w:tc>
          <w:tcPr>
            <w:tcW w:w="379" w:type="pct"/>
            <w:tcBorders>
              <w:top w:val="single" w:color="000000" w:sz="4" w:space="0"/>
              <w:left w:val="single" w:color="000000" w:sz="4" w:space="0"/>
              <w:bottom w:val="single" w:color="000000" w:sz="4" w:space="0"/>
              <w:right w:val="single" w:color="000000" w:sz="4" w:space="0"/>
            </w:tcBorders>
            <w:noWrap w:val="0"/>
            <w:vAlign w:val="center"/>
          </w:tcPr>
          <w:p w14:paraId="2FE047D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B</w:t>
            </w:r>
          </w:p>
        </w:tc>
        <w:tc>
          <w:tcPr>
            <w:tcW w:w="1019" w:type="pct"/>
            <w:tcBorders>
              <w:top w:val="single" w:color="000000" w:sz="4" w:space="0"/>
              <w:left w:val="single" w:color="000000" w:sz="4" w:space="0"/>
              <w:bottom w:val="single" w:color="000000" w:sz="4" w:space="0"/>
              <w:right w:val="single" w:color="000000" w:sz="4" w:space="0"/>
            </w:tcBorders>
            <w:noWrap w:val="0"/>
            <w:vAlign w:val="center"/>
          </w:tcPr>
          <w:p w14:paraId="6FE51F2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每季度不少于1次。</w:t>
            </w:r>
          </w:p>
        </w:tc>
      </w:tr>
      <w:tr w14:paraId="7F6C5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75407380">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4</w:t>
            </w:r>
          </w:p>
        </w:tc>
        <w:tc>
          <w:tcPr>
            <w:tcW w:w="1653" w:type="pct"/>
            <w:tcBorders>
              <w:top w:val="single" w:color="000000" w:sz="4" w:space="0"/>
              <w:left w:val="single" w:color="000000" w:sz="4" w:space="0"/>
              <w:bottom w:val="single" w:color="000000" w:sz="4" w:space="0"/>
              <w:right w:val="single" w:color="000000" w:sz="4" w:space="0"/>
            </w:tcBorders>
            <w:noWrap w:val="0"/>
            <w:vAlign w:val="center"/>
          </w:tcPr>
          <w:p w14:paraId="5AB65E6C">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内蒙古新圣天然气发展有限公司</w:t>
            </w:r>
          </w:p>
        </w:tc>
        <w:tc>
          <w:tcPr>
            <w:tcW w:w="862" w:type="pct"/>
            <w:tcBorders>
              <w:top w:val="single" w:color="000000" w:sz="4" w:space="0"/>
              <w:left w:val="single" w:color="000000" w:sz="4" w:space="0"/>
              <w:bottom w:val="single" w:color="000000" w:sz="4" w:space="0"/>
              <w:right w:val="single" w:color="000000" w:sz="4" w:space="0"/>
            </w:tcBorders>
            <w:noWrap w:val="0"/>
            <w:vAlign w:val="center"/>
          </w:tcPr>
          <w:p w14:paraId="29E2BCEF">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苏-东-准线</w:t>
            </w:r>
          </w:p>
        </w:tc>
        <w:tc>
          <w:tcPr>
            <w:tcW w:w="745" w:type="pct"/>
            <w:tcBorders>
              <w:top w:val="single" w:color="000000" w:sz="4" w:space="0"/>
              <w:left w:val="single" w:color="000000" w:sz="4" w:space="0"/>
              <w:bottom w:val="single" w:color="000000" w:sz="4" w:space="0"/>
              <w:right w:val="single" w:color="000000" w:sz="4" w:space="0"/>
            </w:tcBorders>
            <w:noWrap w:val="0"/>
            <w:vAlign w:val="center"/>
          </w:tcPr>
          <w:p w14:paraId="49AC8C1A">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正常生产</w:t>
            </w:r>
          </w:p>
        </w:tc>
        <w:tc>
          <w:tcPr>
            <w:tcW w:w="379" w:type="pct"/>
            <w:tcBorders>
              <w:top w:val="single" w:color="000000" w:sz="4" w:space="0"/>
              <w:left w:val="single" w:color="000000" w:sz="4" w:space="0"/>
              <w:bottom w:val="single" w:color="000000" w:sz="4" w:space="0"/>
              <w:right w:val="single" w:color="000000" w:sz="4" w:space="0"/>
            </w:tcBorders>
            <w:noWrap w:val="0"/>
            <w:vAlign w:val="center"/>
          </w:tcPr>
          <w:p w14:paraId="55003265">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A</w:t>
            </w:r>
          </w:p>
        </w:tc>
        <w:tc>
          <w:tcPr>
            <w:tcW w:w="1019" w:type="pct"/>
            <w:tcBorders>
              <w:top w:val="single" w:color="000000" w:sz="4" w:space="0"/>
              <w:left w:val="single" w:color="000000" w:sz="4" w:space="0"/>
              <w:bottom w:val="single" w:color="000000" w:sz="4" w:space="0"/>
              <w:right w:val="single" w:color="000000" w:sz="4" w:space="0"/>
            </w:tcBorders>
            <w:noWrap w:val="0"/>
            <w:vAlign w:val="center"/>
          </w:tcPr>
          <w:p w14:paraId="49CFF07B">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每半年不少于1次。</w:t>
            </w:r>
          </w:p>
        </w:tc>
      </w:tr>
      <w:tr w14:paraId="51E6A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339" w:type="pct"/>
            <w:tcBorders>
              <w:top w:val="single" w:color="000000" w:sz="4" w:space="0"/>
              <w:left w:val="single" w:color="000000" w:sz="4" w:space="0"/>
              <w:bottom w:val="single" w:color="000000" w:sz="4" w:space="0"/>
              <w:right w:val="single" w:color="000000" w:sz="4" w:space="0"/>
            </w:tcBorders>
            <w:noWrap w:val="0"/>
            <w:vAlign w:val="center"/>
          </w:tcPr>
          <w:p w14:paraId="38054D45">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5</w:t>
            </w:r>
          </w:p>
        </w:tc>
        <w:tc>
          <w:tcPr>
            <w:tcW w:w="1653" w:type="pct"/>
            <w:tcBorders>
              <w:top w:val="single" w:color="000000" w:sz="4" w:space="0"/>
              <w:left w:val="single" w:color="000000" w:sz="4" w:space="0"/>
              <w:bottom w:val="single" w:color="000000" w:sz="4" w:space="0"/>
              <w:right w:val="single" w:color="000000" w:sz="4" w:space="0"/>
            </w:tcBorders>
            <w:noWrap w:val="0"/>
            <w:vAlign w:val="center"/>
          </w:tcPr>
          <w:p w14:paraId="1C9C6D81">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鄂尔多斯市空港能源有限责任公司</w:t>
            </w:r>
          </w:p>
        </w:tc>
        <w:tc>
          <w:tcPr>
            <w:tcW w:w="862" w:type="pct"/>
            <w:tcBorders>
              <w:top w:val="single" w:color="000000" w:sz="4" w:space="0"/>
              <w:left w:val="single" w:color="000000" w:sz="4" w:space="0"/>
              <w:bottom w:val="single" w:color="000000" w:sz="4" w:space="0"/>
              <w:right w:val="single" w:color="000000" w:sz="4" w:space="0"/>
            </w:tcBorders>
            <w:noWrap w:val="0"/>
            <w:vAlign w:val="center"/>
          </w:tcPr>
          <w:p w14:paraId="79ED408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次高压气源管线</w:t>
            </w:r>
          </w:p>
        </w:tc>
        <w:tc>
          <w:tcPr>
            <w:tcW w:w="745" w:type="pct"/>
            <w:tcBorders>
              <w:top w:val="single" w:color="000000" w:sz="4" w:space="0"/>
              <w:left w:val="single" w:color="000000" w:sz="4" w:space="0"/>
              <w:bottom w:val="single" w:color="000000" w:sz="4" w:space="0"/>
              <w:right w:val="single" w:color="000000" w:sz="4" w:space="0"/>
            </w:tcBorders>
            <w:noWrap w:val="0"/>
            <w:vAlign w:val="center"/>
          </w:tcPr>
          <w:p w14:paraId="1158C0E4">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正常生产</w:t>
            </w:r>
          </w:p>
        </w:tc>
        <w:tc>
          <w:tcPr>
            <w:tcW w:w="379" w:type="pct"/>
            <w:tcBorders>
              <w:top w:val="single" w:color="000000" w:sz="4" w:space="0"/>
              <w:left w:val="single" w:color="000000" w:sz="4" w:space="0"/>
              <w:bottom w:val="single" w:color="000000" w:sz="4" w:space="0"/>
              <w:right w:val="single" w:color="000000" w:sz="4" w:space="0"/>
            </w:tcBorders>
            <w:noWrap w:val="0"/>
            <w:vAlign w:val="center"/>
          </w:tcPr>
          <w:p w14:paraId="61D10E0D">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A</w:t>
            </w:r>
          </w:p>
        </w:tc>
        <w:tc>
          <w:tcPr>
            <w:tcW w:w="1019" w:type="pct"/>
            <w:tcBorders>
              <w:top w:val="single" w:color="000000" w:sz="4" w:space="0"/>
              <w:left w:val="single" w:color="000000" w:sz="4" w:space="0"/>
              <w:bottom w:val="single" w:color="000000" w:sz="4" w:space="0"/>
              <w:right w:val="single" w:color="000000" w:sz="4" w:space="0"/>
            </w:tcBorders>
            <w:noWrap w:val="0"/>
            <w:vAlign w:val="center"/>
          </w:tcPr>
          <w:p w14:paraId="1C54AEC1">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pacing w:val="0"/>
                <w:w w:val="100"/>
                <w:kern w:val="0"/>
                <w:sz w:val="28"/>
                <w:szCs w:val="28"/>
                <w:u w:val="none"/>
                <w:lang w:val="en-US" w:eastAsia="zh-CN" w:bidi="ar"/>
              </w:rPr>
            </w:pPr>
            <w:r>
              <w:rPr>
                <w:rFonts w:hint="eastAsia" w:ascii="宋体" w:hAnsi="宋体" w:eastAsia="宋体" w:cs="宋体"/>
                <w:i w:val="0"/>
                <w:iCs w:val="0"/>
                <w:color w:val="000000"/>
                <w:spacing w:val="0"/>
                <w:w w:val="100"/>
                <w:kern w:val="0"/>
                <w:sz w:val="28"/>
                <w:szCs w:val="28"/>
                <w:u w:val="none"/>
                <w:lang w:val="en-US" w:eastAsia="zh-CN" w:bidi="ar"/>
              </w:rPr>
              <w:t>每半年不少于1次。</w:t>
            </w:r>
          </w:p>
        </w:tc>
      </w:tr>
    </w:tbl>
    <w:p w14:paraId="419659CF">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line="560" w:lineRule="exact"/>
        <w:ind w:right="0" w:rightChars="0"/>
        <w:jc w:val="both"/>
        <w:textAlignment w:val="auto"/>
        <w:rPr>
          <w:rFonts w:hint="eastAsia"/>
          <w:spacing w:val="0"/>
          <w:w w:val="100"/>
          <w:sz w:val="32"/>
          <w:lang w:val="en-US" w:eastAsia="zh-CN"/>
        </w:rPr>
      </w:pPr>
      <w:r>
        <w:rPr>
          <w:rFonts w:hint="eastAsia"/>
          <w:spacing w:val="0"/>
          <w:w w:val="100"/>
          <w:sz w:val="32"/>
          <w:lang w:val="en-US" w:eastAsia="zh-CN"/>
        </w:rPr>
        <w:t xml:space="preserve">              </w:t>
      </w:r>
    </w:p>
    <w:p w14:paraId="09922F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AD5025"/>
    <w:rsid w:val="50AD50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99"/>
    <w:pPr>
      <w:ind w:left="320"/>
    </w:pPr>
    <w:rPr>
      <w:rFonts w:ascii="宋体" w:hAnsi="宋体" w:cs="宋体"/>
      <w:sz w:val="32"/>
      <w:szCs w:val="32"/>
      <w:lang w:val="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2026-02-04T01:54:00Z</dcterms:created>
  <dc:creator>阳光</dc:creator>
  <cp:lastModifiedBy>阳光</cp:lastModifiedBy>
  <dcterms:modified xsi:type="dcterms:W3CDTF">2026-02-04T01:55:55Z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B9726D58E2CC45D7B8B60DBC83E22F66_11</vt:lpwstr>
  </property>
  <property fmtid="{D5CDD505-2E9C-101B-9397-08002B2CF9AE}" pid="4" name="KSOTemplateDocerSaveRecord">
    <vt:lpwstr>eyJoZGlkIjoiYjM4MmM0NTI3ZTZmYjhhNzMwZDUzZGM0NDg3MTQ1YWIiLCJ1c2VySWQiOiI4NDg4OTYzNzUifQ==</vt:lpwstr>
  </property>
</Properties>
</file>