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8BC5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eastAsia="zh-CN"/>
        </w:rPr>
      </w:pPr>
      <w:bookmarkStart w:id="63" w:name="_GoBack"/>
      <w:bookmarkEnd w:id="63"/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“双山环湖”运动骑行公园（二期）</w:t>
      </w:r>
    </w:p>
    <w:p w14:paraId="14F9C88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绩效评价简版报告</w:t>
      </w:r>
    </w:p>
    <w:p w14:paraId="074A6E6B">
      <w:pPr>
        <w:pStyle w:val="2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0" w:name="_Toc28321"/>
      <w:bookmarkStart w:id="1" w:name="_Toc28534"/>
      <w:bookmarkStart w:id="2" w:name="_Toc21596"/>
      <w:bookmarkStart w:id="3" w:name="_Toc7234"/>
      <w:bookmarkStart w:id="4" w:name="_Toc5340"/>
      <w:bookmarkStart w:id="5" w:name="_Toc25512"/>
      <w:bookmarkStart w:id="6" w:name="_Toc14444"/>
      <w:bookmarkStart w:id="7" w:name="_Toc20425"/>
      <w:bookmarkStart w:id="8" w:name="_Toc21225"/>
      <w:r>
        <w:rPr>
          <w:rFonts w:hint="eastAsia" w:ascii="Times New Roman" w:hAnsi="Times New Roman" w:cs="Times New Roman"/>
          <w:color w:val="auto"/>
          <w:lang w:val="en-US" w:eastAsia="zh-CN"/>
        </w:rPr>
        <w:t>一、基本情况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E61251C">
      <w:pPr>
        <w:pStyle w:val="3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9" w:name="_Toc2248"/>
      <w:bookmarkStart w:id="10" w:name="_Toc3830"/>
      <w:bookmarkStart w:id="11" w:name="_Toc32536"/>
      <w:bookmarkStart w:id="12" w:name="_Toc8280"/>
      <w:bookmarkStart w:id="13" w:name="_Toc18007"/>
      <w:bookmarkStart w:id="14" w:name="_Toc14661"/>
      <w:bookmarkStart w:id="15" w:name="_Toc9541"/>
      <w:bookmarkStart w:id="16" w:name="_Toc8548"/>
      <w:bookmarkStart w:id="17" w:name="_Toc32765"/>
      <w:r>
        <w:rPr>
          <w:rFonts w:hint="eastAsia" w:ascii="Times New Roman" w:hAnsi="Times New Roman" w:cs="Times New Roman"/>
          <w:color w:val="auto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一</w:t>
      </w:r>
      <w:r>
        <w:rPr>
          <w:rFonts w:hint="eastAsia" w:ascii="Times New Roman" w:hAnsi="Times New Roman" w:cs="Times New Roman"/>
          <w:color w:val="auto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项目内容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925D55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根据项目设计规划，主要对伊旗“双山环湖”运动骑行公园进行骑行步道修建、室外硬化铺装、景观配套设施建设等，项目于2025年9月15日竣工，具体建设情况见下表。</w:t>
      </w:r>
    </w:p>
    <w:p w14:paraId="5338507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center"/>
        <w:rPr>
          <w:rFonts w:hint="default" w:ascii="Times New Roman" w:hAnsi="Times New Roman" w:eastAsia="黑体" w:cs="Times New Roman"/>
          <w:color w:val="auto"/>
          <w:sz w:val="24"/>
          <w:szCs w:val="22"/>
          <w:lang w:val="en-US" w:eastAsia="zh-CN" w:bidi="en-US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2"/>
          <w:lang w:val="en-US" w:eastAsia="zh-CN" w:bidi="en-US"/>
        </w:rPr>
        <w:t>项目建设内容明细表（单位：万元）</w:t>
      </w:r>
    </w:p>
    <w:tbl>
      <w:tblPr>
        <w:tblStyle w:val="11"/>
        <w:tblW w:w="87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214"/>
        <w:gridCol w:w="2331"/>
        <w:gridCol w:w="1077"/>
        <w:gridCol w:w="1077"/>
        <w:gridCol w:w="1389"/>
        <w:gridCol w:w="1077"/>
      </w:tblGrid>
      <w:tr w14:paraId="5D72C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6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7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FE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8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计划建</w:t>
            </w:r>
          </w:p>
          <w:p w14:paraId="47265A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设量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3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41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实际建设量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C0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审定价</w:t>
            </w:r>
          </w:p>
        </w:tc>
      </w:tr>
      <w:tr w14:paraId="5A5AB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B3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4F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道路及排水沟铺设</w:t>
            </w: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C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4m宽游步道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5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491m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71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118.82 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5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507m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53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143.99 </w:t>
            </w:r>
          </w:p>
        </w:tc>
      </w:tr>
      <w:tr w14:paraId="06C91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1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79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2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2m宽园路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D6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24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3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1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2F1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C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2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C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4m宽通道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1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186m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6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2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189m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E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FE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4B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4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3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E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683m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0B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2F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696m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C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3CD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4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9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骑行驿站</w:t>
            </w: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6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地面铺装、装饰景墙、雕塑等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8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约48㎡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A4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9.03 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BA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完成装饰景墙、雕塑等，未进行地面铺装；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6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8.16 </w:t>
            </w:r>
          </w:p>
        </w:tc>
      </w:tr>
      <w:tr w14:paraId="0040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2E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76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停车场</w:t>
            </w: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6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东入口处停车场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1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1080㎡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74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21.4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6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1062㎡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E1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17.9 </w:t>
            </w:r>
          </w:p>
        </w:tc>
      </w:tr>
      <w:tr w14:paraId="71DA6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E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2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东广场及山顶平台</w:t>
            </w: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3B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地面硬化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80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1097㎡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A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54.04 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02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1107㎡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1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32.24 </w:t>
            </w:r>
          </w:p>
        </w:tc>
      </w:tr>
      <w:tr w14:paraId="7859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9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1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F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东广场成品不锈钢灯柱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2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12套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F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F5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8C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85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89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2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E8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东广场成品公共卫生间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4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1组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8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4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4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ABE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61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A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花池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4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约30㎡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F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2E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约30㎡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AE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</w:tr>
      <w:tr w14:paraId="57F84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53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18" w:name="_Toc30044"/>
            <w:bookmarkStart w:id="19" w:name="_Toc15368"/>
            <w:bookmarkStart w:id="20" w:name="_Toc5015"/>
            <w:bookmarkStart w:id="21" w:name="_Toc29726"/>
            <w:bookmarkStart w:id="22" w:name="_Toc2778"/>
            <w:bookmarkStart w:id="23" w:name="_Toc16614"/>
            <w:bookmarkStart w:id="24" w:name="_Toc12871"/>
            <w:bookmarkStart w:id="25" w:name="_Toc11093"/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18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其他（措施项目、其他项目、规费、税金）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9C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0C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25.2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E2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8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20.78</w:t>
            </w:r>
          </w:p>
        </w:tc>
      </w:tr>
      <w:tr w14:paraId="044E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3C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C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3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229.54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F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B7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223.57</w:t>
            </w:r>
          </w:p>
        </w:tc>
      </w:tr>
    </w:tbl>
    <w:p w14:paraId="250606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19" w:beforeLines="7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26" w:name="_Toc18065"/>
      <w:r>
        <w:rPr>
          <w:rFonts w:hint="eastAsia" w:ascii="Times New Roman" w:hAnsi="Times New Roman" w:cs="Times New Roman"/>
          <w:color w:val="auto"/>
          <w:lang w:val="en-US" w:eastAsia="zh-CN"/>
        </w:rPr>
        <w:t>（二）项目预算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4D696D2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jc w:val="both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项目预算250万元，全部为一般公共预算资金。根据招标控制价工程量清单，工程建设预算为229.54万元，剩余资金20.46万元为造价咨询、监理费等服务费用。截至2025年底，实际支出191.82万元，预算执行率为76.73%。工程款支付进度为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82.3%。</w:t>
      </w:r>
    </w:p>
    <w:p w14:paraId="461B087F">
      <w:pPr>
        <w:pStyle w:val="2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27" w:name="_Toc31575"/>
      <w:bookmarkStart w:id="28" w:name="_Toc18885"/>
      <w:bookmarkStart w:id="29" w:name="_Toc15010"/>
      <w:bookmarkStart w:id="30" w:name="_Toc19818"/>
      <w:bookmarkStart w:id="31" w:name="_Toc5333"/>
      <w:bookmarkStart w:id="32" w:name="_Toc14181"/>
      <w:bookmarkStart w:id="33" w:name="_Toc7774"/>
      <w:bookmarkStart w:id="34" w:name="_Toc10602"/>
      <w:bookmarkStart w:id="35" w:name="_Toc27813"/>
      <w:r>
        <w:rPr>
          <w:rFonts w:hint="eastAsia" w:ascii="Times New Roman" w:hAnsi="Times New Roman" w:cs="Times New Roman"/>
          <w:color w:val="auto"/>
          <w:lang w:val="en-US" w:eastAsia="zh-CN"/>
        </w:rPr>
        <w:t>二、评价结论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6C34F33A">
      <w:pPr>
        <w:pStyle w:val="3"/>
        <w:bidi w:val="0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bookmarkStart w:id="36" w:name="_Toc10811"/>
      <w:bookmarkStart w:id="37" w:name="_Toc32666"/>
      <w:bookmarkStart w:id="38" w:name="_Toc31948"/>
      <w:bookmarkStart w:id="39" w:name="_Toc17295"/>
      <w:bookmarkStart w:id="40" w:name="_Toc10148"/>
      <w:bookmarkStart w:id="41" w:name="_Toc11984"/>
      <w:bookmarkStart w:id="42" w:name="_Toc21266"/>
      <w:bookmarkStart w:id="43" w:name="_Toc16447"/>
      <w:bookmarkStart w:id="44" w:name="_Toc14924"/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（一）评价结果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45B8D3B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ascii="Times New Roman" w:hAnsi="Times New Roman" w:cs="Times New Roman"/>
          <w:color w:val="auto"/>
          <w:lang w:eastAsia="zh-CN"/>
        </w:rPr>
      </w:pPr>
      <w:r>
        <w:rPr>
          <w:rFonts w:hint="eastAsia" w:ascii="Times New Roman" w:hAnsi="Times New Roman" w:cs="Times New Roman"/>
          <w:color w:val="auto"/>
          <w:lang w:eastAsia="zh-CN"/>
        </w:rPr>
        <w:t>“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双山环湖”运动骑行公园（二期）项目的</w:t>
      </w:r>
      <w:r>
        <w:rPr>
          <w:rFonts w:hint="eastAsia" w:ascii="Times New Roman" w:hAnsi="Times New Roman" w:cs="Times New Roman"/>
          <w:color w:val="auto"/>
          <w:lang w:eastAsia="zh-CN"/>
        </w:rPr>
        <w:t>综合评价得“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85.92</w:t>
      </w:r>
      <w:r>
        <w:rPr>
          <w:rFonts w:hint="eastAsia" w:ascii="Times New Roman" w:hAnsi="Times New Roman" w:cs="Times New Roman"/>
          <w:color w:val="auto"/>
          <w:lang w:eastAsia="zh-CN"/>
        </w:rPr>
        <w:t>分”，评价等级“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良</w:t>
      </w:r>
      <w:r>
        <w:rPr>
          <w:rFonts w:hint="eastAsia" w:ascii="Times New Roman" w:hAnsi="Times New Roman" w:cs="Times New Roman"/>
          <w:color w:val="auto"/>
          <w:lang w:eastAsia="zh-CN"/>
        </w:rPr>
        <w:t>”，具体得分情况见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下表</w:t>
      </w:r>
      <w:r>
        <w:rPr>
          <w:rFonts w:hint="eastAsia" w:ascii="Times New Roman" w:hAnsi="Times New Roman" w:cs="Times New Roman"/>
          <w:color w:val="auto"/>
          <w:lang w:eastAsia="zh-CN"/>
        </w:rPr>
        <w:t>。</w:t>
      </w:r>
    </w:p>
    <w:p w14:paraId="3CE38EC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rPr>
          <w:rFonts w:hint="eastAsia" w:ascii="Times New Roman" w:hAnsi="Times New Roman" w:eastAsia="黑体" w:cs="Times New Roman"/>
          <w:color w:val="auto"/>
          <w:sz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</w:rPr>
        <w:t>绩效评价得分表</w:t>
      </w:r>
    </w:p>
    <w:tbl>
      <w:tblPr>
        <w:tblStyle w:val="11"/>
        <w:tblW w:w="49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097"/>
        <w:gridCol w:w="2099"/>
        <w:gridCol w:w="2100"/>
      </w:tblGrid>
      <w:tr w14:paraId="2EBF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tblHeader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F7CA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  <w:t>指标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87D2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  <w:t>分值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C95D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  <w:t>评分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9F97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bidi="ar"/>
              </w:rPr>
              <w:t>得分率</w:t>
            </w:r>
          </w:p>
        </w:tc>
      </w:tr>
      <w:tr w14:paraId="6A31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A5A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eastAsia="zh-CN" w:bidi="ar"/>
              </w:rPr>
              <w:t>项目决策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82DA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DB54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8.5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0F55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85.00%</w:t>
            </w:r>
          </w:p>
        </w:tc>
      </w:tr>
      <w:tr w14:paraId="3E3FD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BFBD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项目过程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A40A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0CA3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18.8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9E0B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94%</w:t>
            </w:r>
          </w:p>
        </w:tc>
      </w:tr>
      <w:tr w14:paraId="1730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9839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eastAsia="zh-CN" w:bidi="ar"/>
              </w:rPr>
              <w:t>项目产出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C1D1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8D2E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29.5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ED00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84.28%</w:t>
            </w:r>
          </w:p>
        </w:tc>
      </w:tr>
      <w:tr w14:paraId="4627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FD9D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eastAsia="zh-CN" w:bidi="ar"/>
              </w:rPr>
              <w:t>项目</w:t>
            </w: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效益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2CA3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6F89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29.12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AAB4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 w:bidi="ar"/>
              </w:rPr>
              <w:t>83.2%</w:t>
            </w:r>
          </w:p>
        </w:tc>
      </w:tr>
      <w:tr w14:paraId="2E2A7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DF13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eastAsia="zh-CN" w:bidi="ar"/>
              </w:rPr>
              <w:t>合计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DF18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812E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85.92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1305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85.92%</w:t>
            </w:r>
          </w:p>
        </w:tc>
      </w:tr>
    </w:tbl>
    <w:p w14:paraId="00A2AAD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19" w:beforeLines="70"/>
        <w:ind w:firstLine="643" w:firstLineChars="200"/>
        <w:textAlignment w:val="auto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45" w:name="_Toc695"/>
      <w:bookmarkStart w:id="46" w:name="_Toc28668"/>
      <w:bookmarkStart w:id="47" w:name="_Toc19616"/>
      <w:bookmarkStart w:id="48" w:name="_Toc16451"/>
      <w:bookmarkStart w:id="49" w:name="_Toc29186"/>
      <w:bookmarkStart w:id="50" w:name="_Toc6155"/>
      <w:bookmarkStart w:id="51" w:name="_Toc26592"/>
      <w:bookmarkStart w:id="52" w:name="_Toc5816"/>
      <w:bookmarkStart w:id="53" w:name="_Toc2025"/>
      <w:r>
        <w:rPr>
          <w:rFonts w:hint="eastAsia"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  <w:t>（二）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总体结论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30ADEE7B"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本项目从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立项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决策、过程实施、项目产出及实施效益四个维度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进行综合评价分析。项目</w:t>
      </w:r>
      <w:r>
        <w:rPr>
          <w:rFonts w:hint="default" w:ascii="Times New Roman" w:hAnsi="Times New Roman" w:cs="Times New Roman"/>
          <w:color w:val="auto"/>
          <w:lang w:val="en-US" w:eastAsia="zh-CN"/>
        </w:rPr>
        <w:t>立项依据充分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，</w:t>
      </w:r>
      <w:r>
        <w:rPr>
          <w:rFonts w:hint="default" w:ascii="Times New Roman" w:hAnsi="Times New Roman" w:cs="Times New Roman"/>
          <w:color w:val="auto"/>
          <w:lang w:val="en-US" w:eastAsia="zh-CN"/>
        </w:rPr>
        <w:t>预算编制科学，资金使用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合规；项目实施过程涉及的</w:t>
      </w:r>
      <w:r>
        <w:rPr>
          <w:rFonts w:hint="default" w:ascii="Times New Roman" w:hAnsi="Times New Roman" w:cs="Times New Roman"/>
          <w:color w:val="auto"/>
          <w:lang w:val="en-US" w:eastAsia="zh-CN"/>
        </w:rPr>
        <w:t>采购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管理、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合同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管理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调整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变更等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各阶段程序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执行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总体较为</w:t>
      </w:r>
      <w:r>
        <w:rPr>
          <w:rFonts w:hint="default" w:ascii="Times New Roman" w:hAnsi="Times New Roman" w:cs="Times New Roman"/>
          <w:color w:val="auto"/>
          <w:lang w:val="en-US" w:eastAsia="zh-CN"/>
        </w:rPr>
        <w:t>规范，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且项目</w:t>
      </w:r>
      <w:r>
        <w:rPr>
          <w:rFonts w:hint="default" w:ascii="Times New Roman" w:hAnsi="Times New Roman" w:cs="Times New Roman"/>
          <w:color w:val="auto"/>
          <w:lang w:val="en-US" w:eastAsia="zh-CN"/>
        </w:rPr>
        <w:t>主要建设任务基本完成，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并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取得了一定的社会效益与环境效益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。</w:t>
      </w:r>
      <w:r>
        <w:rPr>
          <w:rFonts w:hint="default" w:ascii="Times New Roman" w:hAnsi="Times New Roman" w:cs="Times New Roman"/>
          <w:color w:val="auto"/>
          <w:lang w:val="en-US" w:eastAsia="zh-CN"/>
        </w:rPr>
        <w:t>但项目在工程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前期规划、成本管控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验收管理、</w:t>
      </w:r>
      <w:r>
        <w:rPr>
          <w:rFonts w:hint="default" w:ascii="Times New Roman" w:hAnsi="Times New Roman" w:cs="Times New Roman"/>
          <w:color w:val="auto"/>
          <w:lang w:val="en-US" w:eastAsia="zh-CN"/>
        </w:rPr>
        <w:t>配套设施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晚上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及长效管护等方面仍存在不足。</w:t>
      </w:r>
    </w:p>
    <w:p w14:paraId="6DA228B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54" w:name="_Toc17669"/>
      <w:bookmarkStart w:id="55" w:name="_Toc32443"/>
      <w:bookmarkStart w:id="56" w:name="_Toc14512"/>
      <w:bookmarkStart w:id="57" w:name="_Toc16743"/>
      <w:bookmarkStart w:id="58" w:name="_Toc8792"/>
      <w:bookmarkStart w:id="59" w:name="_Toc11642"/>
      <w:bookmarkStart w:id="60" w:name="_Toc31633"/>
      <w:bookmarkStart w:id="61" w:name="_Toc24853"/>
      <w:bookmarkStart w:id="62" w:name="_Toc10081"/>
      <w:r>
        <w:rPr>
          <w:rFonts w:hint="eastAsia" w:ascii="Times New Roman" w:hAnsi="Times New Roman" w:cs="Times New Roman"/>
          <w:color w:val="auto"/>
          <w:lang w:val="en-US" w:eastAsia="zh-CN"/>
        </w:rPr>
        <w:t>三</w:t>
      </w:r>
      <w:bookmarkEnd w:id="54"/>
      <w:bookmarkEnd w:id="55"/>
      <w:bookmarkEnd w:id="56"/>
      <w:bookmarkEnd w:id="57"/>
      <w:bookmarkEnd w:id="58"/>
      <w:r>
        <w:rPr>
          <w:rFonts w:hint="eastAsia" w:ascii="Times New Roman" w:hAnsi="Times New Roman" w:cs="Times New Roman"/>
          <w:color w:val="auto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主要</w:t>
      </w:r>
      <w:r>
        <w:rPr>
          <w:rFonts w:hint="eastAsia" w:ascii="Times New Roman" w:hAnsi="Times New Roman" w:cs="Times New Roman"/>
          <w:color w:val="auto"/>
          <w:lang w:eastAsia="zh-CN"/>
        </w:rPr>
        <w:t>问题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及相关建议</w:t>
      </w:r>
      <w:bookmarkEnd w:id="59"/>
      <w:bookmarkEnd w:id="60"/>
      <w:bookmarkEnd w:id="61"/>
      <w:bookmarkEnd w:id="62"/>
    </w:p>
    <w:p w14:paraId="3FCA05FC">
      <w:pPr>
        <w:bidi w:val="0"/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问题1：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东广场不锈钢灯柱受场地条件限制未建设；东广场现有卫生间已满足使用需求，原计划卫生间取消；骑行驿站的地面铺装已由项目一期统筹建设，二期不再重复建设。此外，周边群众普遍反映园区存在夜间照明偏弱、公园内部如厕点位偏少等问题。以上问题反映出项目前期规划设计不足，配套设施未贴合实际需求，设施布局不科学。</w:t>
      </w:r>
    </w:p>
    <w:p w14:paraId="25BDACAB">
      <w:pPr>
        <w:bidi w:val="0"/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建议1：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在公园三期建设中，结合已建成区域现状、群众实际需求等科学合理规划三期建设内容，避免无效建设、重复建设、低效建设等问题，并持续完善配套设施，最大化释放公园服务效能。</w:t>
      </w:r>
    </w:p>
    <w:p w14:paraId="706F410B">
      <w:pPr>
        <w:bidi w:val="0"/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问题2：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经工作组实地调研和调查问卷反馈，公园存在“园内水体及周边垃圾清洁不及时”、“临湖区域防护措施不足”、“私家车违规驶入骑行步道，车辆行驶速度较快，挤占群众休闲健身空间”等问题，整体管护工作存在短板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。</w:t>
      </w:r>
    </w:p>
    <w:p w14:paraId="6F6B158F">
      <w:pPr>
        <w:bidi w:val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建议2：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建议项目单位加大日常巡查力度，及时发现并整改环境卫生、设施破损、秩序混乱等问题，持续优化升级公园硬件条件，提升公园公共服务水平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。</w:t>
      </w:r>
    </w:p>
    <w:sectPr>
      <w:headerReference r:id="rId5" w:type="default"/>
      <w:footerReference r:id="rId6" w:type="default"/>
      <w:pgSz w:w="11906" w:h="16838"/>
      <w:pgMar w:top="1440" w:right="1587" w:bottom="1440" w:left="1587" w:header="851" w:footer="992" w:gutter="0"/>
      <w:cols w:space="425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1B0477-C614-48FA-94B6-F7024C1A2F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8549FD9-3BDC-4E73-ACC5-426BE211EF3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414CC8D-6645-481B-A9DE-EDE74518CD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2A61C7F-8ACB-4469-99E3-8526DCF909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F6A48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0"/>
      <w:jc w:val="center"/>
      <w:textAlignment w:val="auto"/>
      <w:rPr>
        <w:rFonts w:eastAsia="仿宋_GB23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53274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243F1"/>
    <w:rsid w:val="021358C1"/>
    <w:rsid w:val="027619AC"/>
    <w:rsid w:val="03095E17"/>
    <w:rsid w:val="03156361"/>
    <w:rsid w:val="03EA3276"/>
    <w:rsid w:val="047D01BC"/>
    <w:rsid w:val="04B1084F"/>
    <w:rsid w:val="04BF6FA3"/>
    <w:rsid w:val="05C91F7C"/>
    <w:rsid w:val="06285D29"/>
    <w:rsid w:val="06A943C1"/>
    <w:rsid w:val="0760493D"/>
    <w:rsid w:val="08406D61"/>
    <w:rsid w:val="085B3F2A"/>
    <w:rsid w:val="08A2174C"/>
    <w:rsid w:val="0BD8798B"/>
    <w:rsid w:val="0E0F487E"/>
    <w:rsid w:val="0EDD16F0"/>
    <w:rsid w:val="0F013807"/>
    <w:rsid w:val="107434D4"/>
    <w:rsid w:val="109A07AC"/>
    <w:rsid w:val="109B502B"/>
    <w:rsid w:val="12BF1D09"/>
    <w:rsid w:val="12F44C92"/>
    <w:rsid w:val="134925B4"/>
    <w:rsid w:val="13F37300"/>
    <w:rsid w:val="14370BB7"/>
    <w:rsid w:val="147409B1"/>
    <w:rsid w:val="15324D2E"/>
    <w:rsid w:val="15B648AC"/>
    <w:rsid w:val="164719BE"/>
    <w:rsid w:val="171D2EE0"/>
    <w:rsid w:val="172A128B"/>
    <w:rsid w:val="174D6D27"/>
    <w:rsid w:val="18062CAC"/>
    <w:rsid w:val="18147845"/>
    <w:rsid w:val="183B0BDB"/>
    <w:rsid w:val="18550589"/>
    <w:rsid w:val="198F297E"/>
    <w:rsid w:val="1AAB4BCA"/>
    <w:rsid w:val="1AB3149A"/>
    <w:rsid w:val="1B731380"/>
    <w:rsid w:val="1BE614F8"/>
    <w:rsid w:val="1C680086"/>
    <w:rsid w:val="1C901B90"/>
    <w:rsid w:val="1E4D747A"/>
    <w:rsid w:val="1ED72DD5"/>
    <w:rsid w:val="1F436361"/>
    <w:rsid w:val="1F861F82"/>
    <w:rsid w:val="1F9212F9"/>
    <w:rsid w:val="20187034"/>
    <w:rsid w:val="2056595D"/>
    <w:rsid w:val="235C4C12"/>
    <w:rsid w:val="24074D41"/>
    <w:rsid w:val="248C1AC9"/>
    <w:rsid w:val="25AD66BE"/>
    <w:rsid w:val="267972B5"/>
    <w:rsid w:val="27424579"/>
    <w:rsid w:val="277B168E"/>
    <w:rsid w:val="279B248D"/>
    <w:rsid w:val="27C16CD4"/>
    <w:rsid w:val="280A4C32"/>
    <w:rsid w:val="283903D3"/>
    <w:rsid w:val="2887138D"/>
    <w:rsid w:val="28E961D1"/>
    <w:rsid w:val="2948084E"/>
    <w:rsid w:val="29515B33"/>
    <w:rsid w:val="2B7816DF"/>
    <w:rsid w:val="2B8B76FF"/>
    <w:rsid w:val="2C9E14C2"/>
    <w:rsid w:val="2D6F165D"/>
    <w:rsid w:val="2F3C4A2B"/>
    <w:rsid w:val="30581D7E"/>
    <w:rsid w:val="306F6C4C"/>
    <w:rsid w:val="30CB379B"/>
    <w:rsid w:val="317E7941"/>
    <w:rsid w:val="31C679AA"/>
    <w:rsid w:val="328A6C2A"/>
    <w:rsid w:val="32CF5169"/>
    <w:rsid w:val="334266EB"/>
    <w:rsid w:val="33E77AB8"/>
    <w:rsid w:val="342261E8"/>
    <w:rsid w:val="34D5292D"/>
    <w:rsid w:val="35553C0F"/>
    <w:rsid w:val="35721ABA"/>
    <w:rsid w:val="35725E7F"/>
    <w:rsid w:val="36F34D9D"/>
    <w:rsid w:val="38006E2C"/>
    <w:rsid w:val="39865EC9"/>
    <w:rsid w:val="3A6E3768"/>
    <w:rsid w:val="3D9D5A5E"/>
    <w:rsid w:val="3F391163"/>
    <w:rsid w:val="42586CFF"/>
    <w:rsid w:val="427924FA"/>
    <w:rsid w:val="43794908"/>
    <w:rsid w:val="44404254"/>
    <w:rsid w:val="44982A11"/>
    <w:rsid w:val="44D53D34"/>
    <w:rsid w:val="462C1A65"/>
    <w:rsid w:val="47C6542C"/>
    <w:rsid w:val="48651EA5"/>
    <w:rsid w:val="48861334"/>
    <w:rsid w:val="48BB02CE"/>
    <w:rsid w:val="49433483"/>
    <w:rsid w:val="4A210D1B"/>
    <w:rsid w:val="4A3D1117"/>
    <w:rsid w:val="4ACC2798"/>
    <w:rsid w:val="4B020624"/>
    <w:rsid w:val="4B3734F6"/>
    <w:rsid w:val="4D00551D"/>
    <w:rsid w:val="4D07315F"/>
    <w:rsid w:val="4DE03454"/>
    <w:rsid w:val="4FAD1A11"/>
    <w:rsid w:val="501A5E16"/>
    <w:rsid w:val="50C15E48"/>
    <w:rsid w:val="50DA2693"/>
    <w:rsid w:val="520D4530"/>
    <w:rsid w:val="522C6A2B"/>
    <w:rsid w:val="52F56770"/>
    <w:rsid w:val="532E3CE9"/>
    <w:rsid w:val="532E5804"/>
    <w:rsid w:val="54FB466C"/>
    <w:rsid w:val="55BE6B9F"/>
    <w:rsid w:val="55C345CD"/>
    <w:rsid w:val="55F3226C"/>
    <w:rsid w:val="56A143BE"/>
    <w:rsid w:val="57212E09"/>
    <w:rsid w:val="574D6160"/>
    <w:rsid w:val="581B3CFC"/>
    <w:rsid w:val="591C2557"/>
    <w:rsid w:val="5B3E21D9"/>
    <w:rsid w:val="5BC21C93"/>
    <w:rsid w:val="5C4C6B7A"/>
    <w:rsid w:val="5C725B1A"/>
    <w:rsid w:val="5CA903F0"/>
    <w:rsid w:val="5CEF0F85"/>
    <w:rsid w:val="5D907D72"/>
    <w:rsid w:val="5E521BBD"/>
    <w:rsid w:val="5E6E102A"/>
    <w:rsid w:val="5FA752D7"/>
    <w:rsid w:val="5FBF04AD"/>
    <w:rsid w:val="60E80F88"/>
    <w:rsid w:val="62333DC2"/>
    <w:rsid w:val="630F14EB"/>
    <w:rsid w:val="63D9455D"/>
    <w:rsid w:val="63F87EC4"/>
    <w:rsid w:val="64EA6205"/>
    <w:rsid w:val="655C2B7E"/>
    <w:rsid w:val="656C445B"/>
    <w:rsid w:val="65E174B2"/>
    <w:rsid w:val="664E60F5"/>
    <w:rsid w:val="67260D47"/>
    <w:rsid w:val="687165D8"/>
    <w:rsid w:val="687C061E"/>
    <w:rsid w:val="689017F5"/>
    <w:rsid w:val="69185D7B"/>
    <w:rsid w:val="6AA74316"/>
    <w:rsid w:val="6ADB35C7"/>
    <w:rsid w:val="6AE20476"/>
    <w:rsid w:val="6B8125DC"/>
    <w:rsid w:val="6CC27998"/>
    <w:rsid w:val="6D934609"/>
    <w:rsid w:val="6E0A5184"/>
    <w:rsid w:val="6E7256E6"/>
    <w:rsid w:val="6E8A20FA"/>
    <w:rsid w:val="6F152DFC"/>
    <w:rsid w:val="6F275FEB"/>
    <w:rsid w:val="6FDD0660"/>
    <w:rsid w:val="7169623E"/>
    <w:rsid w:val="717C17E1"/>
    <w:rsid w:val="719F04AF"/>
    <w:rsid w:val="71A34F39"/>
    <w:rsid w:val="71D82FDB"/>
    <w:rsid w:val="72556E76"/>
    <w:rsid w:val="73F33CEA"/>
    <w:rsid w:val="750B717B"/>
    <w:rsid w:val="75247F81"/>
    <w:rsid w:val="765039EF"/>
    <w:rsid w:val="766A1AF6"/>
    <w:rsid w:val="76D2466B"/>
    <w:rsid w:val="76D44A02"/>
    <w:rsid w:val="76D621A2"/>
    <w:rsid w:val="77112567"/>
    <w:rsid w:val="7879089F"/>
    <w:rsid w:val="78F46AAA"/>
    <w:rsid w:val="78FE426C"/>
    <w:rsid w:val="79A05E1A"/>
    <w:rsid w:val="7A381810"/>
    <w:rsid w:val="7A5D1609"/>
    <w:rsid w:val="7BED75DA"/>
    <w:rsid w:val="7C57180B"/>
    <w:rsid w:val="7C646922"/>
    <w:rsid w:val="7EC16F8B"/>
    <w:rsid w:val="7F1A357E"/>
    <w:rsid w:val="7F45772D"/>
    <w:rsid w:val="7F484684"/>
    <w:rsid w:val="7FE4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602" w:firstLineChars="200"/>
      <w:jc w:val="both"/>
    </w:pPr>
    <w:rPr>
      <w:rFonts w:ascii="Times New Roman" w:hAnsi="Times New Roman" w:eastAsia="仿宋_GB2312" w:cs="Times New Roman"/>
      <w:color w:val="000000"/>
      <w:sz w:val="30"/>
      <w:szCs w:val="30"/>
      <w:lang w:val="en-US" w:eastAsia="en-US" w:bidi="en-US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outlineLvl w:val="0"/>
    </w:pPr>
    <w:rPr>
      <w:rFonts w:ascii="Times New Roman" w:hAnsi="Times New Roman" w:eastAsia="黑体"/>
      <w:kern w:val="44"/>
      <w:sz w:val="32"/>
    </w:rPr>
  </w:style>
  <w:style w:type="paragraph" w:styleId="3">
    <w:name w:val="heading 2"/>
    <w:basedOn w:val="1"/>
    <w:next w:val="1"/>
    <w:qFormat/>
    <w:uiPriority w:val="9"/>
    <w:pPr>
      <w:keepNext w:val="0"/>
      <w:keepLines w:val="0"/>
      <w:ind w:firstLine="600"/>
      <w:outlineLvl w:val="1"/>
    </w:pPr>
    <w:rPr>
      <w:rFonts w:ascii="Times New Roman" w:hAnsi="Times New Roman" w:eastAsia="楷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 w:val="0"/>
      <w:keepLines w:val="0"/>
      <w:spacing w:line="360" w:lineRule="auto"/>
      <w:ind w:firstLine="200"/>
      <w:jc w:val="both"/>
      <w:outlineLvl w:val="2"/>
    </w:pPr>
    <w:rPr>
      <w:rFonts w:ascii="Times New Roman" w:hAnsi="Times New Roman"/>
      <w:b/>
      <w:bCs/>
      <w:color w:val="auto"/>
      <w:kern w:val="2"/>
      <w:szCs w:val="32"/>
      <w:lang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35"/>
    <w:pPr>
      <w:ind w:firstLine="0" w:firstLineChars="0"/>
      <w:jc w:val="center"/>
      <w:outlineLvl w:val="3"/>
    </w:pPr>
    <w:rPr>
      <w:rFonts w:ascii="Arial" w:hAnsi="Arial" w:eastAsia="黑体"/>
      <w:sz w:val="24"/>
      <w:szCs w:val="22"/>
    </w:rPr>
  </w:style>
  <w:style w:type="paragraph" w:styleId="6">
    <w:name w:val="annotation text"/>
    <w:basedOn w:val="1"/>
    <w:qFormat/>
    <w:uiPriority w:val="0"/>
    <w:rPr>
      <w:rFonts w:ascii="Times New Roman" w:hAnsi="Times New Roman" w:eastAsia="黑体" w:cs="Times New Roman"/>
      <w:color w:val="auto"/>
      <w:sz w:val="30"/>
      <w:szCs w:val="30"/>
      <w:highlight w:val="none"/>
      <w:lang w:bidi="en-US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adjustRightInd w:val="0"/>
      <w:spacing w:line="240" w:lineRule="auto"/>
      <w:ind w:firstLine="0" w:firstLineChars="0"/>
      <w:jc w:val="center"/>
    </w:pPr>
    <w:rPr>
      <w:rFonts w:ascii="Times New Roman" w:hAnsi="Times New Roman" w:eastAsia="仿宋" w:cstheme="minorBidi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9">
    <w:name w:val="toc 1"/>
    <w:basedOn w:val="1"/>
    <w:next w:val="1"/>
    <w:qFormat/>
    <w:uiPriority w:val="39"/>
    <w:pPr>
      <w:ind w:firstLine="0" w:firstLineChars="0"/>
    </w:pPr>
    <w:rPr>
      <w:rFonts w:ascii="Times New Roman" w:hAnsi="Times New Roman" w:eastAsia="黑体"/>
    </w:rPr>
  </w:style>
  <w:style w:type="paragraph" w:styleId="10">
    <w:name w:val="toc 2"/>
    <w:basedOn w:val="1"/>
    <w:next w:val="1"/>
    <w:qFormat/>
    <w:uiPriority w:val="39"/>
    <w:pPr>
      <w:ind w:left="420" w:leftChars="200" w:firstLine="0" w:firstLineChars="0"/>
    </w:pPr>
    <w:rPr>
      <w:rFonts w:ascii="Times New Roman" w:hAnsi="Times New Roman" w:eastAsia="楷体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274a2479-a429-46e3-af4d-1f62bb31c348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30ADEE7B</paraID>
      <start>64</start>
      <end>65</end>
      <status>ignored</status>
      <modifiedWord/>
      <trackRevisions>false</trackRevisions>
    </reviewItem>
    <reviewItem>
      <errorID>d0439faf-3835-4c11-a352-2eb2d7b3be2b</errorID>
      <errorWord>低消</errorWord>
      <group>L1_Word</group>
      <groupName>字词问题</groupName>
      <ability>L2_Typo</ability>
      <abilityName>字词错误</abilityName>
      <candidateList>
        <item>低效</item>
      </candidateList>
      <explain/>
      <paraID>25BDACAB</paraID>
      <start>55</start>
      <end>57</end>
      <status>modified</status>
      <modifiedWord>低效</modifiedWord>
      <trackRevisions>false</trackRevisions>
    </reviewItem>
    <reviewItem>
      <errorID>47548a6c-27a7-4ef1-b17b-eb96a2f6f339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706F410B</paraID>
      <start>39</start>
      <end>42</end>
      <status>ignored</status>
      <modifiedWord/>
      <trackRevisions>false</trackRevisions>
    </reviewItem>
    <reviewItem>
      <errorID>6e4b04ed-6312-4461-8282-e8d90c00ce51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706F410B</paraID>
      <start>52</start>
      <end>55</end>
      <status>ignored</status>
      <modifiedWord/>
      <trackRevisions>false</trackRevisions>
    </reviewItem>
    <reviewItem>
      <errorID>6aaa7648-a228-4a7b-92bb-f8bbdaac5170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3EEAC07E</paraID>
      <start>0</start>
      <end>7</end>
      <status>ignored</status>
      <modifiedWord/>
      <trackRevisions>false</trackRevisions>
    </reviewItem>
    <reviewItem>
      <errorID>f351d73c-ec1e-4a5b-a3ca-e724537965ae</errorID>
      <errorWord>遵循了</errorWord>
      <group>L1_Word</group>
      <groupName>字词问题</groupName>
      <ability>L2_Typo</ability>
      <abilityName>字词错误</abilityName>
      <candidateList>
        <item>遵循</item>
      </candidateList>
      <explain/>
      <paraID>57B5E6BB</paraID>
      <start>9</start>
      <end>12</end>
      <status>ignored</status>
      <modifiedWord/>
      <trackRevisions>false</trackRevisions>
    </reviewItem>
    <reviewItem>
      <errorID>69c6448f-508c-470f-89e6-165b7d6c07d9</errorID>
      <errorWord>等的</errorWord>
      <group>L1_Word</group>
      <groupName>字词问题</groupName>
      <ability>L2_Typo</ability>
      <abilityName>字词错误</abilityName>
      <candidateList>
        <item>等</item>
      </candidateList>
      <explain/>
      <paraID> B42A53F</paraID>
      <start>21</start>
      <end>23</end>
      <status>ignored</status>
      <modifiedWord/>
      <trackRevisions>false</trackRevisions>
    </reviewItem>
    <reviewItem>
      <errorID>263aa877-59a4-4602-97e2-e2a05be4a4c5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47922702</paraID>
      <start>64</start>
      <end>65</end>
      <status>ignored</status>
      <modifiedWord/>
      <trackRevisions>false</trackRevisions>
    </reviewItem>
    <reviewItem>
      <errorID>073646b2-2d64-45d2-b839-d25711e2376b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 17EE378</paraID>
      <start>0</start>
      <end>7</end>
      <status>ignored</status>
      <modifiedWord/>
      <trackRevisions>false</trackRevisions>
    </reviewItem>
    <reviewItem>
      <errorID>a2fa3f5e-5d20-45fc-ba37-a9dd946e814d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6CC331F3</paraID>
      <start>0</start>
      <end>7</end>
      <status>ignored</status>
      <modifiedWord/>
      <trackRevisions>false</trackRevisions>
    </reviewItem>
    <reviewItem>
      <errorID>541aa87d-cc78-4a8f-b8dc-3839719fdf49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1DF9EF34</paraID>
      <start>15</start>
      <end>17</end>
      <status>modified</status>
      <modifiedWord>万元</modifiedWord>
      <trackRevisions>false</trackRevisions>
    </reviewItem>
    <reviewItem>
      <errorID>313d4fb7-ce62-45ca-9b2e-ec7bdd9021fb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1221F4CC</paraID>
      <start>38</start>
      <end>41</end>
      <status>ignored</status>
      <modifiedWord/>
      <trackRevisions>false</trackRevisions>
    </reviewItem>
    <reviewItem>
      <errorID>8f39da1c-0536-4ab2-82a3-d63acd662e44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1221F4CC</paraID>
      <start>51</start>
      <end>54</end>
      <status>ignored</status>
      <modifiedWord/>
      <trackRevisions>false</trackRevisions>
    </reviewItem>
    <reviewItem>
      <errorID>2d93c293-786f-44bc-bf79-04ad5fadf99e</errorID>
      <errorWord>提供的</errorWord>
      <group>L1_Word</group>
      <groupName>字词问题</groupName>
      <ability>L2_Typo</ability>
      <abilityName>字词错误</abilityName>
      <candidateList>
        <item>提供</item>
      </candidateList>
      <explain/>
      <paraID>375B87B8</paraID>
      <start>199</start>
      <end>202</end>
      <status>ignored</status>
      <modifiedWord/>
      <trackRevisions>false</trackRevisions>
    </reviewItem>
    <reviewItem>
      <errorID>28179567-1e1d-4499-ae9d-1bc5376a0151</errorID>
      <errorWord>点等</errorWord>
      <group>L1_Word</group>
      <groupName>字词问题</groupName>
      <ability>L2_Typo</ability>
      <abilityName>字词错误</abilityName>
      <candidateList>
        <item>点灯</item>
      </candidateList>
      <explain>存在发音相同字词的误用。</explain>
      <paraID>43602CC7</paraID>
      <start>10</start>
      <end>12</end>
      <status>ignored</status>
      <modifiedWord/>
      <trackRevisions>false</trackRevisions>
    </reviewItem>
    <reviewItem>
      <errorID>8e928251-bfc6-4c58-9914-3c16eeea79d9</errorID>
      <errorWord>跑到</errorWord>
      <group>L1_Word</group>
      <groupName>字词问题</groupName>
      <ability>L2_Typo</ability>
      <abilityName>字词错误</abilityName>
      <candidateList>
        <item>跑道</item>
      </candidateList>
      <explain/>
      <paraID>5A0A3ED2</paraID>
      <start>5</start>
      <end>7</end>
      <status>modified</status>
      <modifiedWord>跑道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8743b8-aad0-4a22-9daa-cd2481c47c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1215</Words>
  <Characters>1387</Characters>
  <Lines>0</Lines>
  <Paragraphs>0</Paragraphs>
  <TotalTime>3</TotalTime>
  <ScaleCrop>false</ScaleCrop>
  <LinksUpToDate>false</LinksUpToDate>
  <CharactersWithSpaces>1404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2026-06-22T05:18:00Z</dcterms:created>
  <dc:creator>杨小二</dc:creator>
  <cp:lastModifiedBy>杨勇</cp:lastModifiedBy>
  <dcterms:modified xsi:type="dcterms:W3CDTF">2026-10-14T07:41:48Z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1F199D8CCC9B4FCFB86431B8DFF4928F_13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