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5951A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rPr>
          <w:rFonts w:hint="eastAsia" w:ascii="方正小标宋简体" w:hAnsi="黑体" w:eastAsia="方正小标宋简体" w:cs="宋体"/>
          <w:bCs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color w:val="auto"/>
          <w:sz w:val="44"/>
          <w:szCs w:val="44"/>
          <w:lang w:val="en-US" w:eastAsia="zh-CN"/>
        </w:rPr>
        <w:t>阿吉奈休闲商业综合体</w:t>
      </w:r>
    </w:p>
    <w:p w14:paraId="7463C3B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绩效评价简版报告</w:t>
      </w:r>
    </w:p>
    <w:p w14:paraId="0B8EEC1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7E6FA900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基本情况</w:t>
      </w:r>
    </w:p>
    <w:p w14:paraId="03711219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项目内容</w:t>
      </w:r>
    </w:p>
    <w:p w14:paraId="72B5508F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960" w:firstLineChars="300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伊金霍洛旗阿热腾席勒镇在棚户区改造期间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留存大量已征收未拆除房屋及已回购未安置房屋，资产长期闲置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，暂由伊旗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房屋征收服务中心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管理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。为提升存量资产盘活利用效率，消除房屋闲置带来的安全隐患，伊旗房屋征收管理服务中心委托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伊旗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国资营运公司统一管理该部分闲置房屋资产。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本项目是对其中阿吉奈休闲商业综合体改造项目中涉及的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S1#楼、S2#楼、S3#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栋房屋进行维修加固，提升安全等级，为后续休闲商业综合体的打造做好安全保障。前期已选取设计院对阿吉奈休闲商业体进行了整体设计，该项目通过竞争性磋商方式选取施工单位、监理单位，全程规范开展工程建设。</w:t>
      </w:r>
    </w:p>
    <w:p w14:paraId="6EB00D5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rPr>
          <w:rFonts w:hint="default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伊金霍洛旗人民政府2025年第3次常务会暨重点工作调度会会议纪要，关于旗属国有企业申请注资有关事宜：为进一步改善居民生活质量和城市面貌，盘活利用阿镇老城区金辉商业街南侧已征未拆地块资源，打造一批兼具地域文化韵味与现代时尚信息的特色街区，会议讨论并原则同意由国有资产营运有限责任公司牵头实施“阿吉奈”休闲商业综合体项目，并拨付注册资本金1000万元，2025年实际拨付项目维修加固专项资金400万元。</w:t>
      </w:r>
    </w:p>
    <w:p w14:paraId="5CC04227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资金投入及支出情况</w:t>
      </w:r>
    </w:p>
    <w:p w14:paraId="0885EA4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财政投入资金400万元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，经过招投标后中标单位施工合同金额是3911692.42元。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截至到2025年底，该项目累计支付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资金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276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2338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万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元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截至绩效评价日2026年6月30日，本项目累计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支付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资金312.9338万元，预算执行率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80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。已付项目资金全部用于工程建设，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专款专用，无挤占、挪用、截留等违规情况，剩余款项待结算报告出具后拨付。</w:t>
      </w:r>
    </w:p>
    <w:p w14:paraId="48EB6AF6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二、评价结论</w:t>
      </w:r>
    </w:p>
    <w:p w14:paraId="7C6F4AC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（一）评价结果</w:t>
      </w:r>
    </w:p>
    <w:p w14:paraId="72E9F52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该项目绩效评价综合评分“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78.93</w:t>
      </w:r>
      <w:r>
        <w:rPr>
          <w:rFonts w:hint="eastAsia" w:eastAsia="仿宋_GB2312"/>
          <w:color w:val="auto"/>
          <w:sz w:val="32"/>
          <w:szCs w:val="32"/>
        </w:rPr>
        <w:t>”，评级“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中</w:t>
      </w:r>
      <w:r>
        <w:rPr>
          <w:rFonts w:hint="eastAsia" w:eastAsia="仿宋_GB2312"/>
          <w:color w:val="auto"/>
          <w:sz w:val="32"/>
          <w:szCs w:val="32"/>
        </w:rPr>
        <w:t>”。</w:t>
      </w:r>
    </w:p>
    <w:p w14:paraId="32D88849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总体结论</w:t>
      </w:r>
    </w:p>
    <w:p w14:paraId="325B1F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次第三方绩效评价以400万元维修加固专项财政资金为评价范围，围绕项目决策、过程管理、产出实现、综合效益四大维度实施全链条核查，综合研判项目整体绩效水平。项目前期决策程序完整规范，立项文件、会议纪要、资金请示等支撑材料齐备，绩效目标量化清晰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但缺少明确的经济目标及可衡量的目标值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预算测算贴合工程实际；项目实施阶段建立完善施工、监理、资金审批管控体系，专项资金专款专用、审批流程完整合规，未发生挤占、挪用、截留资金等违规情形，主体加固工程按期完工，工程质量经第三方检测达标，存量建筑安全隐患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基本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消除，核心产出任务落地见效。</w:t>
      </w:r>
    </w:p>
    <w:p w14:paraId="6EECEC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项目实施全流程管理存在短板，体现在时效、资金履约及综合效益层面：</w:t>
      </w:r>
      <w:r>
        <w:rPr>
          <w:rFonts w:hint="eastAsia" w:ascii="Calibri" w:hAnsi="Calibri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项目验收合格后未及时开展相关结算工作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Calibri" w:hAnsi="Calibri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未严格按照施工合同约定节点足额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支付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工程款，预算执行率未达到合同履约标准；</w:t>
      </w:r>
      <w:r>
        <w:rPr>
          <w:rFonts w:hint="eastAsia" w:ascii="Calibri" w:hAnsi="Calibri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受项目未全面竣工、尚未投入商业运营限制，盘活商圈、带动文旅消费、创造就业岗位等中长期社会效益未能充分释放，叠加老城区周边停车配套不足等客观因素，群众综合满意度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不高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618224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整体来看，项目决策、质量管控成效显著，但项目结算管理、资金履约精细化程度不足，综合效益发挥存在滞后，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可持续发展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具备较大提升空间。</w:t>
      </w:r>
    </w:p>
    <w:p w14:paraId="7910331A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rPr>
          <w:rFonts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三、主要问题及相关建议</w:t>
      </w:r>
    </w:p>
    <w:p w14:paraId="66A584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问题一：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该项目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于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2025年10月20日完成竣工验收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并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出具《竣工验收报告》，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截至绩效评价日2026年6月30日还未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出具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竣工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结算报告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6B72B2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default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压实工作责任，加快推进竣工结算工作。</w:t>
      </w:r>
    </w:p>
    <w:p w14:paraId="6C6EFC5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问题二：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按照施工合同中付款条款约定，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竣工验收合格并出具安全鉴定报告后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施工款应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支付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到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合同总价款的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90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，实际工程款支付比例为合同总价款的80%。</w:t>
      </w:r>
    </w:p>
    <w:p w14:paraId="101E3F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default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按照合同约定节点拨付工程款。</w:t>
      </w:r>
    </w:p>
    <w:p w14:paraId="391D03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问题三：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项目综合效益释放不足，群众配套体验有待提升。受项目未完全竣工、未投入运营影响，项目商业赋能、就业带动、消费激活等社会效益未充分显现。同时项目周边停车位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数量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配套不足，制约了群众整体满意度提升，项目综合价值未完全发挥。</w:t>
      </w:r>
    </w:p>
    <w:p w14:paraId="3270F3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结合老城区改造规划，积极协调优化项目周边停车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位及其他基础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便民配套设施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建设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，改善项目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周边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环境。提前谋划项目后续业态招商、商业运营、文旅融合布局，待项目全部完工后尽快投入运营，充分盘活国有闲置资产，切实发挥项目拉动消费、提升品质、带动就业的社会效益，持续提升群众满意度。</w:t>
      </w:r>
    </w:p>
    <w:sectPr>
      <w:footerReference r:id="rId3" w:type="default"/>
      <w:type w:val="continuous"/>
      <w:pgSz w:w="11906" w:h="16838"/>
      <w:pgMar w:top="2098" w:right="1474" w:bottom="1701" w:left="1474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w York">
    <w:altName w:val="DejaVu Math TeX Gyre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B9BB9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A65870"/>
    <w:multiLevelType w:val="singleLevel"/>
    <w:tmpl w:val="F5A6587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8EAB567"/>
    <w:multiLevelType w:val="singleLevel"/>
    <w:tmpl w:val="18EAB5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31C11"/>
    <w:rsid w:val="00381040"/>
    <w:rsid w:val="01154A57"/>
    <w:rsid w:val="02491E37"/>
    <w:rsid w:val="035D7A8E"/>
    <w:rsid w:val="05CB27FC"/>
    <w:rsid w:val="06DE3AAF"/>
    <w:rsid w:val="07DA32E3"/>
    <w:rsid w:val="0CF32576"/>
    <w:rsid w:val="0D387C0E"/>
    <w:rsid w:val="0F563291"/>
    <w:rsid w:val="10331B4D"/>
    <w:rsid w:val="14F67A74"/>
    <w:rsid w:val="15962639"/>
    <w:rsid w:val="1AFCE89D"/>
    <w:rsid w:val="1DFF9DDE"/>
    <w:rsid w:val="1F85443E"/>
    <w:rsid w:val="20D66D3A"/>
    <w:rsid w:val="23477D3A"/>
    <w:rsid w:val="25200921"/>
    <w:rsid w:val="2915257E"/>
    <w:rsid w:val="2B7A3236"/>
    <w:rsid w:val="2ECB2EFB"/>
    <w:rsid w:val="30BA3228"/>
    <w:rsid w:val="320E382B"/>
    <w:rsid w:val="33D12D62"/>
    <w:rsid w:val="37225683"/>
    <w:rsid w:val="39A71FD7"/>
    <w:rsid w:val="39DE5E5F"/>
    <w:rsid w:val="3D1837B0"/>
    <w:rsid w:val="3FEAC05F"/>
    <w:rsid w:val="40BC08F6"/>
    <w:rsid w:val="42F425C9"/>
    <w:rsid w:val="448A1D40"/>
    <w:rsid w:val="454F7F8B"/>
    <w:rsid w:val="45AC6152"/>
    <w:rsid w:val="464B1940"/>
    <w:rsid w:val="46503FBA"/>
    <w:rsid w:val="48A138A7"/>
    <w:rsid w:val="48A87729"/>
    <w:rsid w:val="4A631DE2"/>
    <w:rsid w:val="4D81098C"/>
    <w:rsid w:val="4EDF25B0"/>
    <w:rsid w:val="4F683D28"/>
    <w:rsid w:val="501637F6"/>
    <w:rsid w:val="52943481"/>
    <w:rsid w:val="55E464CD"/>
    <w:rsid w:val="58931C11"/>
    <w:rsid w:val="59962A4C"/>
    <w:rsid w:val="5AF956E7"/>
    <w:rsid w:val="5C643E4A"/>
    <w:rsid w:val="5C7E6950"/>
    <w:rsid w:val="5EC92704"/>
    <w:rsid w:val="602F25EF"/>
    <w:rsid w:val="603B13E0"/>
    <w:rsid w:val="6176063B"/>
    <w:rsid w:val="618D5C6B"/>
    <w:rsid w:val="620E5486"/>
    <w:rsid w:val="640B731B"/>
    <w:rsid w:val="64EF4547"/>
    <w:rsid w:val="653C35A1"/>
    <w:rsid w:val="67D5211A"/>
    <w:rsid w:val="68637725"/>
    <w:rsid w:val="6F1D2E9D"/>
    <w:rsid w:val="6FEEAE06"/>
    <w:rsid w:val="71970440"/>
    <w:rsid w:val="71DF91CF"/>
    <w:rsid w:val="72B50601"/>
    <w:rsid w:val="73394BB6"/>
    <w:rsid w:val="7385567A"/>
    <w:rsid w:val="75466405"/>
    <w:rsid w:val="75F9D465"/>
    <w:rsid w:val="779BFBDA"/>
    <w:rsid w:val="77BDD9FC"/>
    <w:rsid w:val="79B53B59"/>
    <w:rsid w:val="79F7A2B3"/>
    <w:rsid w:val="7CE309DD"/>
    <w:rsid w:val="7D580A83"/>
    <w:rsid w:val="7D86298E"/>
    <w:rsid w:val="7DB7843D"/>
    <w:rsid w:val="7DBA39AE"/>
    <w:rsid w:val="7DD5A308"/>
    <w:rsid w:val="7E33329E"/>
    <w:rsid w:val="7F95E26C"/>
    <w:rsid w:val="7FBFAE75"/>
    <w:rsid w:val="7FCFE092"/>
    <w:rsid w:val="7FE55FF4"/>
    <w:rsid w:val="7FF7EFA3"/>
    <w:rsid w:val="9664EA79"/>
    <w:rsid w:val="96FF902B"/>
    <w:rsid w:val="A7673119"/>
    <w:rsid w:val="BA336430"/>
    <w:rsid w:val="BEBA5E24"/>
    <w:rsid w:val="BFF7B0C1"/>
    <w:rsid w:val="CED5453F"/>
    <w:rsid w:val="D9BDA96A"/>
    <w:rsid w:val="E79DC862"/>
    <w:rsid w:val="F53F9310"/>
    <w:rsid w:val="FCFB67FD"/>
    <w:rsid w:val="FE2F2E91"/>
    <w:rsid w:val="FEEED8D1"/>
    <w:rsid w:val="FF6FFA5B"/>
    <w:rsid w:val="FFD952EA"/>
    <w:rsid w:val="FFF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adjustRightInd w:val="0"/>
      <w:snapToGrid w:val="0"/>
      <w:spacing w:before="260" w:after="260" w:line="416" w:lineRule="auto"/>
      <w:ind w:firstLine="600" w:firstLineChars="200"/>
      <w:outlineLvl w:val="1"/>
    </w:pPr>
    <w:rPr>
      <w:rFonts w:ascii="Arial" w:hAnsi="Arial" w:eastAsia="Symbo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60" w:after="60" w:line="360" w:lineRule="auto"/>
      <w:ind w:firstLine="200" w:firstLineChars="200"/>
      <w:outlineLvl w:val="2"/>
    </w:pPr>
    <w:rPr>
      <w:rFonts w:eastAsia="Tms Rmn" w:cs="Helv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ind w:firstLine="0" w:firstLineChars="0"/>
      <w:jc w:val="left"/>
    </w:pPr>
    <w:rPr>
      <w:rFonts w:ascii="Calibri" w:hAnsi="Calibri" w:eastAsia="宋体"/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right" w:leader="dot" w:pos="8714"/>
      </w:tabs>
      <w:spacing w:before="60" w:line="360" w:lineRule="auto"/>
      <w:ind w:left="200" w:leftChars="200"/>
      <w:jc w:val="left"/>
    </w:pPr>
    <w:rPr>
      <w:rFonts w:eastAsia="Wingdings" w:cs="MS Mincho"/>
      <w:bCs/>
      <w:caps/>
      <w:sz w:val="30"/>
      <w:szCs w:val="20"/>
    </w:rPr>
  </w:style>
  <w:style w:type="paragraph" w:styleId="9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10">
    <w:name w:val="toc 2"/>
    <w:basedOn w:val="1"/>
    <w:next w:val="1"/>
    <w:unhideWhenUsed/>
    <w:qFormat/>
    <w:uiPriority w:val="39"/>
    <w:pPr>
      <w:tabs>
        <w:tab w:val="right" w:leader="dot" w:pos="8714"/>
      </w:tabs>
      <w:spacing w:line="360" w:lineRule="auto"/>
      <w:ind w:left="350" w:leftChars="350"/>
      <w:jc w:val="left"/>
    </w:pPr>
    <w:rPr>
      <w:rFonts w:eastAsia="System" w:cs="MS Mincho"/>
      <w:smallCaps/>
      <w:sz w:val="30"/>
      <w:szCs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paragraph" w:customStyle="1" w:styleId="16">
    <w:name w:val="独立格式"/>
    <w:basedOn w:val="9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paragraph" w:customStyle="1" w:styleId="17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  <w:style w:type="paragraph" w:customStyle="1" w:styleId="18">
    <w:name w:val="表格文字"/>
    <w:basedOn w:val="16"/>
    <w:next w:val="1"/>
    <w:qFormat/>
    <w:uiPriority w:val="0"/>
    <w:pPr>
      <w:spacing w:line="360" w:lineRule="exact"/>
    </w:pPr>
    <w:rPr>
      <w:rFonts w:eastAsia="Helv" w:cs="New York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1672</Words>
  <Characters>1745</Characters>
  <Lines>0</Lines>
  <Paragraphs>0</Paragraphs>
  <TotalTime>14</TotalTime>
  <ScaleCrop>false</ScaleCrop>
  <LinksUpToDate>false</LinksUpToDate>
  <CharactersWithSpaces>1757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2025-11-04T02:42:00Z</dcterms:created>
  <dc:creator>杨勇</dc:creator>
  <cp:lastModifiedBy>杨勇</cp:lastModifiedBy>
  <dcterms:modified xsi:type="dcterms:W3CDTF">2026-10-14T07:41:39Z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1CB25963C7804C9C93B382F5D3098204_11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