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D93A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方正小标宋简体" w:hAnsi="黑体" w:eastAsia="方正小标宋简体" w:cs="宋体"/>
          <w:bCs/>
          <w:sz w:val="44"/>
          <w:szCs w:val="44"/>
        </w:rPr>
      </w:pPr>
      <w:bookmarkStart w:id="0" w:name="_GoBack"/>
      <w:bookmarkEnd w:id="0"/>
      <w:r>
        <w:rPr>
          <w:rFonts w:hint="eastAsia" w:ascii="方正小标宋简体" w:hAnsi="黑体" w:eastAsia="方正小标宋简体" w:cs="宋体"/>
          <w:bCs/>
          <w:sz w:val="44"/>
          <w:szCs w:val="44"/>
          <w:lang w:val="en-US" w:eastAsia="zh-CN"/>
        </w:rPr>
        <w:t>2025年</w:t>
      </w:r>
      <w:r>
        <w:rPr>
          <w:rFonts w:hint="eastAsia" w:ascii="方正小标宋简体" w:hAnsi="黑体" w:eastAsia="方正小标宋简体" w:cs="宋体"/>
          <w:bCs/>
          <w:sz w:val="44"/>
          <w:szCs w:val="44"/>
        </w:rPr>
        <w:t>零碳产业园区智能化信息服务中心及</w:t>
      </w:r>
    </w:p>
    <w:p w14:paraId="7463C3B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方正小标宋简体" w:eastAsia="方正小标宋简体"/>
          <w:sz w:val="44"/>
          <w:szCs w:val="44"/>
        </w:rPr>
      </w:pPr>
      <w:r>
        <w:rPr>
          <w:rFonts w:hint="eastAsia" w:ascii="方正小标宋简体" w:hAnsi="黑体" w:eastAsia="方正小标宋简体" w:cs="宋体"/>
          <w:bCs/>
          <w:sz w:val="44"/>
          <w:szCs w:val="44"/>
        </w:rPr>
        <w:t>配套设施建设</w:t>
      </w:r>
      <w:r>
        <w:rPr>
          <w:rFonts w:hint="eastAsia" w:ascii="方正小标宋简体" w:eastAsia="方正小标宋简体"/>
          <w:sz w:val="44"/>
          <w:szCs w:val="44"/>
        </w:rPr>
        <w:t>项目绩效评价简版报告</w:t>
      </w:r>
    </w:p>
    <w:p w14:paraId="0483D23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eastAsia" w:ascii="黑体" w:hAnsi="黑体" w:eastAsia="黑体" w:cs="黑体"/>
          <w:sz w:val="32"/>
          <w:szCs w:val="32"/>
          <w:lang w:val="en-US" w:eastAsia="zh-CN"/>
        </w:rPr>
      </w:pPr>
    </w:p>
    <w:p w14:paraId="7E6FA90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基本情况</w:t>
      </w:r>
    </w:p>
    <w:p w14:paraId="47D22BED">
      <w:pPr>
        <w:adjustRightInd w:val="0"/>
        <w:snapToGrid w:val="0"/>
        <w:spacing w:line="360" w:lineRule="auto"/>
        <w:ind w:firstLine="640" w:firstLineChars="200"/>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（一）项目内容</w:t>
      </w:r>
    </w:p>
    <w:p w14:paraId="54F1F396">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eastAsia="仿宋_GB2312"/>
          <w:sz w:val="32"/>
          <w:szCs w:val="32"/>
          <w:highlight w:val="red"/>
        </w:rPr>
      </w:pPr>
      <w:r>
        <w:rPr>
          <w:rFonts w:hint="eastAsia" w:eastAsia="仿宋_GB2312"/>
          <w:sz w:val="32"/>
          <w:szCs w:val="32"/>
          <w:highlight w:val="none"/>
          <w:lang w:val="en-US" w:eastAsia="zh-CN"/>
        </w:rPr>
        <w:t>本项目为</w:t>
      </w:r>
      <w:r>
        <w:rPr>
          <w:rFonts w:hint="eastAsia" w:eastAsia="仿宋_GB2312"/>
          <w:sz w:val="32"/>
          <w:szCs w:val="32"/>
          <w:highlight w:val="none"/>
        </w:rPr>
        <w:t>零碳产业园区智能化信息服务中心及配套设施建设项目</w:t>
      </w:r>
      <w:r>
        <w:rPr>
          <w:rFonts w:hint="eastAsia" w:ascii="仿宋_GB2312" w:hAnsi="仿宋_GB2312" w:eastAsia="仿宋_GB2312" w:cs="仿宋_GB2312"/>
          <w:b w:val="0"/>
          <w:bCs w:val="0"/>
          <w:kern w:val="2"/>
          <w:sz w:val="32"/>
          <w:szCs w:val="32"/>
          <w:highlight w:val="none"/>
          <w:lang w:val="en-US" w:eastAsia="zh-CN" w:bidi="ar-SA"/>
        </w:rPr>
        <w:t>，总投资6.76亿元</w:t>
      </w:r>
      <w:r>
        <w:rPr>
          <w:rFonts w:hint="eastAsia" w:ascii="仿宋_GB2312" w:hAnsi="仿宋_GB2312" w:eastAsia="仿宋_GB2312" w:cs="仿宋_GB2312"/>
          <w:b w:val="0"/>
          <w:bCs w:val="0"/>
          <w:color w:val="auto"/>
          <w:kern w:val="2"/>
          <w:sz w:val="32"/>
          <w:szCs w:val="32"/>
          <w:highlight w:val="none"/>
          <w:lang w:val="en-US" w:eastAsia="zh-CN" w:bidi="ar-SA"/>
        </w:rPr>
        <w:t>，总建筑面积50564.67平方米，</w:t>
      </w:r>
      <w:r>
        <w:rPr>
          <w:rFonts w:hint="eastAsia" w:ascii="仿宋_GB2312" w:hAnsi="仿宋_GB2312" w:eastAsia="仿宋_GB2312" w:cs="仿宋_GB2312"/>
          <w:b w:val="0"/>
          <w:bCs w:val="0"/>
          <w:kern w:val="2"/>
          <w:sz w:val="32"/>
          <w:szCs w:val="32"/>
          <w:highlight w:val="none"/>
          <w:lang w:val="en-US" w:eastAsia="zh-CN" w:bidi="ar-SA"/>
        </w:rPr>
        <w:t>其中建筑面积41299.02平方米，包括零碳智慧园控制区17108.65平方米，信息化展销区6887.12平方米，零碳产业技术发展及应用研究中心10673.39平方米，一体化功能区6629.86平方米，不计容建筑面积（地下智能停车场）9265.65平方米，人才科创城周边绿色生态环保系统面积为22694平方米，并配套相应的基础设施及云基础平台、数据综合展示平台、智慧产业等智能化专业设备。</w:t>
      </w:r>
      <w:r>
        <w:rPr>
          <w:rFonts w:hint="eastAsia" w:eastAsia="仿宋_GB2312"/>
          <w:sz w:val="32"/>
          <w:szCs w:val="32"/>
          <w:highlight w:val="none"/>
        </w:rPr>
        <w:t>主要建设涵盖零碳智慧园控制区、信息化展销区、研发办公及地下车库等功能区</w:t>
      </w:r>
      <w:r>
        <w:rPr>
          <w:rFonts w:hint="eastAsia" w:eastAsia="仿宋_GB2312"/>
          <w:sz w:val="32"/>
          <w:szCs w:val="32"/>
          <w:highlight w:val="none"/>
          <w:lang w:eastAsia="zh-CN"/>
        </w:rPr>
        <w:t>。</w:t>
      </w:r>
      <w:r>
        <w:rPr>
          <w:rFonts w:hint="eastAsia" w:eastAsia="仿宋_GB2312"/>
          <w:sz w:val="32"/>
          <w:szCs w:val="32"/>
          <w:highlight w:val="none"/>
        </w:rPr>
        <w:t>项目建成后，旨在加快新质生产力发展，打造“科创鄂尔多斯，低碳伊金霍洛”。</w:t>
      </w:r>
      <w:r>
        <w:rPr>
          <w:rFonts w:hint="eastAsia" w:ascii="仿宋_GB2312" w:hAnsi="仿宋_GB2312" w:eastAsia="仿宋_GB2312" w:cs="仿宋_GB2312"/>
          <w:b w:val="0"/>
          <w:bCs w:val="0"/>
          <w:kern w:val="2"/>
          <w:sz w:val="32"/>
          <w:szCs w:val="32"/>
          <w:highlight w:val="none"/>
          <w:lang w:val="en-US" w:eastAsia="zh-CN" w:bidi="ar-SA"/>
        </w:rPr>
        <w:t>项目拟定建设期为2023年3月至2025年3月，计划运营期时间为2025年10月至2045年3月。</w:t>
      </w:r>
    </w:p>
    <w:p w14:paraId="17FB621E">
      <w:pPr>
        <w:adjustRightInd w:val="0"/>
        <w:snapToGrid w:val="0"/>
        <w:spacing w:line="360" w:lineRule="auto"/>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（二）资金投入及支出情况</w:t>
      </w:r>
    </w:p>
    <w:p w14:paraId="6986787F">
      <w:pPr>
        <w:keepNext w:val="0"/>
        <w:keepLines w:val="0"/>
        <w:pageBreakBefore w:val="0"/>
        <w:widowControl w:val="0"/>
        <w:kinsoku/>
        <w:wordWrap/>
        <w:overflowPunct/>
        <w:topLinePunct w:val="0"/>
        <w:autoSpaceDE/>
        <w:autoSpaceDN/>
        <w:bidi w:val="0"/>
        <w:adjustRightInd w:val="0"/>
        <w:snapToGrid w:val="0"/>
        <w:spacing w:before="0" w:after="0" w:line="360" w:lineRule="auto"/>
        <w:ind w:firstLine="640" w:firstLineChars="200"/>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sz w:val="32"/>
          <w:szCs w:val="32"/>
          <w:highlight w:val="none"/>
        </w:rPr>
        <w:t>项目资金来源为政府专项债券、自筹</w:t>
      </w:r>
      <w:r>
        <w:rPr>
          <w:rFonts w:hint="eastAsia" w:ascii="仿宋_GB2312" w:hAnsi="仿宋_GB2312" w:eastAsia="仿宋_GB2312" w:cs="仿宋_GB2312"/>
          <w:sz w:val="32"/>
          <w:szCs w:val="32"/>
          <w:highlight w:val="none"/>
          <w:lang w:val="en-US" w:eastAsia="zh-CN"/>
        </w:rPr>
        <w:t>资金，预计总投资为</w:t>
      </w:r>
      <w:r>
        <w:rPr>
          <w:rFonts w:hint="eastAsia" w:ascii="仿宋_GB2312" w:hAnsi="仿宋_GB2312" w:eastAsia="仿宋_GB2312" w:cs="仿宋_GB2312"/>
          <w:b w:val="0"/>
          <w:bCs w:val="0"/>
          <w:kern w:val="2"/>
          <w:sz w:val="32"/>
          <w:szCs w:val="32"/>
          <w:highlight w:val="none"/>
          <w:lang w:val="en-US" w:eastAsia="zh-CN" w:bidi="ar-SA"/>
        </w:rPr>
        <w:t>67633万元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val="0"/>
          <w:bCs w:val="0"/>
          <w:kern w:val="2"/>
          <w:sz w:val="32"/>
          <w:szCs w:val="32"/>
          <w:highlight w:val="none"/>
          <w:lang w:val="en-US" w:eastAsia="zh-CN" w:bidi="ar-SA"/>
        </w:rPr>
        <w:t>2024年投入专项债券资金15000万元，2025年投入专项债券资金28000万元。后续计划申请专项债券11000万元，剩余13633万元由项目单位自筹。</w:t>
      </w:r>
    </w:p>
    <w:p w14:paraId="6A38712B">
      <w:pPr>
        <w:keepNext w:val="0"/>
        <w:keepLines w:val="0"/>
        <w:pageBreakBefore w:val="0"/>
        <w:widowControl w:val="0"/>
        <w:kinsoku/>
        <w:wordWrap/>
        <w:overflowPunct/>
        <w:topLinePunct w:val="0"/>
        <w:autoSpaceDE/>
        <w:autoSpaceDN/>
        <w:bidi w:val="0"/>
        <w:adjustRightInd w:val="0"/>
        <w:snapToGrid w:val="0"/>
        <w:spacing w:before="0" w:after="0" w:line="360" w:lineRule="auto"/>
        <w:ind w:firstLine="640" w:firstLineChars="200"/>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本次绩效评价范围为2025年度获批项目专项债券资金，专项债批复总额28000万元。该笔资金于2025年4月11日依据《鄂尔多斯市财政局关于下达2025年提前批新增地方政府专项债务限额的通知》（鄂财债发〔2025〕39号）文件，正式下达至本项目。截至2025年12月31日，项目支出金额为</w:t>
      </w:r>
      <w:r>
        <w:rPr>
          <w:rFonts w:hint="eastAsia" w:ascii="仿宋_GB2312" w:hAnsi="仿宋_GB2312" w:eastAsia="仿宋_GB2312" w:cs="仿宋_GB2312"/>
          <w:b w:val="0"/>
          <w:bCs w:val="0"/>
          <w:kern w:val="2"/>
          <w:sz w:val="32"/>
          <w:szCs w:val="32"/>
          <w:highlight w:val="none"/>
          <w:lang w:val="en-US" w:eastAsia="zh-CN" w:bidi="ar-SA"/>
        </w:rPr>
        <w:fldChar w:fldCharType="begin"/>
      </w:r>
      <w:r>
        <w:rPr>
          <w:rFonts w:hint="eastAsia" w:ascii="仿宋_GB2312" w:hAnsi="仿宋_GB2312" w:eastAsia="仿宋_GB2312" w:cs="仿宋_GB2312"/>
          <w:b w:val="0"/>
          <w:bCs w:val="0"/>
          <w:kern w:val="2"/>
          <w:sz w:val="32"/>
          <w:szCs w:val="32"/>
          <w:highlight w:val="none"/>
          <w:lang w:val="en-US" w:eastAsia="zh-CN" w:bidi="ar-SA"/>
        </w:rPr>
        <w:instrText xml:space="preserve"> = sum(C2:C9) \* MERGEFORMAT </w:instrText>
      </w:r>
      <w:r>
        <w:rPr>
          <w:rFonts w:hint="eastAsia" w:ascii="仿宋_GB2312" w:hAnsi="仿宋_GB2312" w:eastAsia="仿宋_GB2312" w:cs="仿宋_GB2312"/>
          <w:b w:val="0"/>
          <w:bCs w:val="0"/>
          <w:kern w:val="2"/>
          <w:sz w:val="32"/>
          <w:szCs w:val="32"/>
          <w:highlight w:val="none"/>
          <w:lang w:val="en-US" w:eastAsia="zh-CN" w:bidi="ar-SA"/>
        </w:rPr>
        <w:fldChar w:fldCharType="separate"/>
      </w:r>
      <w:r>
        <w:rPr>
          <w:rFonts w:hint="eastAsia" w:ascii="仿宋_GB2312" w:hAnsi="仿宋_GB2312" w:eastAsia="仿宋_GB2312" w:cs="仿宋_GB2312"/>
          <w:b w:val="0"/>
          <w:bCs w:val="0"/>
          <w:kern w:val="2"/>
          <w:sz w:val="32"/>
          <w:szCs w:val="32"/>
          <w:highlight w:val="none"/>
          <w:lang w:val="en-US" w:eastAsia="zh-CN" w:bidi="ar-SA"/>
        </w:rPr>
        <w:t>28000.0117</w:t>
      </w:r>
      <w:r>
        <w:rPr>
          <w:rFonts w:hint="eastAsia" w:ascii="仿宋_GB2312" w:hAnsi="仿宋_GB2312" w:eastAsia="仿宋_GB2312" w:cs="仿宋_GB2312"/>
          <w:b w:val="0"/>
          <w:bCs w:val="0"/>
          <w:kern w:val="2"/>
          <w:sz w:val="32"/>
          <w:szCs w:val="32"/>
          <w:highlight w:val="none"/>
          <w:lang w:val="en-US" w:eastAsia="zh-CN" w:bidi="ar-SA"/>
        </w:rPr>
        <w:fldChar w:fldCharType="end"/>
      </w:r>
      <w:r>
        <w:rPr>
          <w:rFonts w:hint="eastAsia" w:ascii="仿宋_GB2312" w:hAnsi="仿宋_GB2312" w:eastAsia="仿宋_GB2312" w:cs="仿宋_GB2312"/>
          <w:b w:val="0"/>
          <w:bCs w:val="0"/>
          <w:kern w:val="2"/>
          <w:sz w:val="32"/>
          <w:szCs w:val="32"/>
          <w:highlight w:val="none"/>
          <w:lang w:val="en-US" w:eastAsia="zh-CN" w:bidi="ar-SA"/>
        </w:rPr>
        <w:t>万元，其中包含支付至施工方共管账户27125.894053万元和支付至项目二类费（含前期费、监理费等）874.117647万元；超出117元金额为上年本项目其他资金结余支付。</w:t>
      </w:r>
    </w:p>
    <w:p w14:paraId="0DE0BCEC">
      <w:pPr>
        <w:keepNext w:val="0"/>
        <w:keepLines w:val="0"/>
        <w:pageBreakBefore w:val="0"/>
        <w:widowControl w:val="0"/>
        <w:kinsoku/>
        <w:wordWrap/>
        <w:overflowPunct/>
        <w:topLinePunct w:val="0"/>
        <w:autoSpaceDE/>
        <w:autoSpaceDN/>
        <w:bidi w:val="0"/>
        <w:adjustRightInd w:val="0"/>
        <w:snapToGrid w:val="0"/>
        <w:spacing w:before="0" w:after="0" w:line="360" w:lineRule="auto"/>
        <w:ind w:firstLine="640" w:firstLineChars="200"/>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项目实施单位累计实际支出至末端金额为14271.991207万元，专项债资金预算执行率50.97%，项目明细支出情况详见下表：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8"/>
        <w:gridCol w:w="4851"/>
        <w:gridCol w:w="1656"/>
        <w:gridCol w:w="2119"/>
      </w:tblGrid>
      <w:tr w14:paraId="132F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blHeader/>
        </w:trPr>
        <w:tc>
          <w:tcPr>
            <w:tcW w:w="0" w:type="auto"/>
            <w:vAlign w:val="center"/>
          </w:tcPr>
          <w:p w14:paraId="02B7F345">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bCs/>
                <w:kern w:val="2"/>
                <w:sz w:val="24"/>
                <w:szCs w:val="24"/>
                <w:vertAlign w:val="baseline"/>
                <w:lang w:val="en-US" w:eastAsia="zh-CN" w:bidi="ar-SA"/>
              </w:rPr>
            </w:pPr>
            <w:r>
              <w:rPr>
                <w:rFonts w:hint="eastAsia" w:ascii="黑体" w:hAnsi="黑体" w:eastAsia="黑体" w:cs="黑体"/>
                <w:b/>
                <w:bCs/>
                <w:kern w:val="2"/>
                <w:sz w:val="24"/>
                <w:szCs w:val="24"/>
                <w:vertAlign w:val="baseline"/>
                <w:lang w:val="en-US" w:eastAsia="zh-CN" w:bidi="ar-SA"/>
              </w:rPr>
              <w:t>序号</w:t>
            </w:r>
          </w:p>
        </w:tc>
        <w:tc>
          <w:tcPr>
            <w:tcW w:w="0" w:type="auto"/>
            <w:vAlign w:val="center"/>
          </w:tcPr>
          <w:p w14:paraId="6481C64A">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黑体" w:hAnsi="黑体" w:eastAsia="黑体" w:cs="黑体"/>
                <w:b/>
                <w:bCs/>
                <w:kern w:val="2"/>
                <w:sz w:val="24"/>
                <w:szCs w:val="24"/>
                <w:vertAlign w:val="baseline"/>
                <w:lang w:val="en-US" w:eastAsia="zh-CN" w:bidi="ar-SA"/>
              </w:rPr>
            </w:pPr>
            <w:r>
              <w:rPr>
                <w:rFonts w:hint="eastAsia" w:ascii="黑体" w:hAnsi="黑体" w:eastAsia="黑体" w:cs="黑体"/>
                <w:b/>
                <w:bCs/>
                <w:kern w:val="2"/>
                <w:sz w:val="24"/>
                <w:szCs w:val="24"/>
                <w:vertAlign w:val="baseline"/>
                <w:lang w:val="en-US" w:eastAsia="zh-CN" w:bidi="ar-SA"/>
              </w:rPr>
              <w:t>支出明细</w:t>
            </w:r>
          </w:p>
        </w:tc>
        <w:tc>
          <w:tcPr>
            <w:tcW w:w="0" w:type="auto"/>
            <w:vAlign w:val="center"/>
          </w:tcPr>
          <w:p w14:paraId="69C90F2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黑体" w:hAnsi="黑体" w:eastAsia="黑体" w:cs="黑体"/>
                <w:b/>
                <w:bCs/>
                <w:i w:val="0"/>
                <w:iCs w:val="0"/>
                <w:color w:val="auto"/>
                <w:kern w:val="0"/>
                <w:sz w:val="24"/>
                <w:szCs w:val="24"/>
                <w:highlight w:val="none"/>
                <w:u w:val="none"/>
                <w:lang w:val="en-US" w:eastAsia="zh-CN" w:bidi="ar"/>
              </w:rPr>
            </w:pPr>
            <w:r>
              <w:rPr>
                <w:rFonts w:hint="eastAsia" w:ascii="黑体" w:hAnsi="黑体" w:eastAsia="黑体" w:cs="黑体"/>
                <w:b/>
                <w:bCs/>
                <w:i w:val="0"/>
                <w:iCs w:val="0"/>
                <w:color w:val="auto"/>
                <w:kern w:val="0"/>
                <w:sz w:val="24"/>
                <w:szCs w:val="24"/>
                <w:highlight w:val="none"/>
                <w:u w:val="none"/>
                <w:lang w:val="en-US" w:eastAsia="zh-CN" w:bidi="ar"/>
              </w:rPr>
              <w:t>支付金额</w:t>
            </w:r>
          </w:p>
          <w:p w14:paraId="35C84BF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黑体" w:hAnsi="黑体" w:eastAsia="黑体" w:cs="黑体"/>
                <w:b/>
                <w:bCs/>
                <w:kern w:val="2"/>
                <w:sz w:val="24"/>
                <w:szCs w:val="24"/>
                <w:vertAlign w:val="baseline"/>
                <w:lang w:val="en-US" w:eastAsia="zh-CN" w:bidi="ar-SA"/>
              </w:rPr>
            </w:pPr>
            <w:r>
              <w:rPr>
                <w:rFonts w:hint="eastAsia" w:ascii="黑体" w:hAnsi="黑体" w:eastAsia="黑体" w:cs="黑体"/>
                <w:b/>
                <w:bCs/>
                <w:i w:val="0"/>
                <w:iCs w:val="0"/>
                <w:color w:val="auto"/>
                <w:kern w:val="0"/>
                <w:sz w:val="24"/>
                <w:szCs w:val="24"/>
                <w:highlight w:val="none"/>
                <w:u w:val="none"/>
                <w:lang w:val="en-US" w:eastAsia="zh-CN" w:bidi="ar"/>
              </w:rPr>
              <w:t>（万元）</w:t>
            </w:r>
          </w:p>
        </w:tc>
        <w:tc>
          <w:tcPr>
            <w:tcW w:w="0" w:type="auto"/>
            <w:shd w:val="clear" w:color="auto" w:fill="auto"/>
            <w:vAlign w:val="center"/>
          </w:tcPr>
          <w:p w14:paraId="7B924FD4">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bCs/>
                <w:kern w:val="2"/>
                <w:sz w:val="24"/>
                <w:szCs w:val="24"/>
                <w:vertAlign w:val="baseline"/>
                <w:lang w:val="en-US" w:eastAsia="zh-CN" w:bidi="ar-SA"/>
              </w:rPr>
            </w:pPr>
            <w:r>
              <w:rPr>
                <w:rFonts w:hint="eastAsia" w:ascii="黑体" w:hAnsi="黑体" w:eastAsia="黑体" w:cs="黑体"/>
                <w:b/>
                <w:bCs/>
                <w:kern w:val="2"/>
                <w:sz w:val="24"/>
                <w:szCs w:val="24"/>
                <w:vertAlign w:val="baseline"/>
                <w:lang w:val="en-US" w:eastAsia="zh-CN" w:bidi="ar-SA"/>
              </w:rPr>
              <w:t>支出至末端金额（万元）</w:t>
            </w:r>
          </w:p>
        </w:tc>
      </w:tr>
      <w:tr w14:paraId="4CE4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0" w:type="auto"/>
            <w:vAlign w:val="center"/>
          </w:tcPr>
          <w:p w14:paraId="5341C752">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1</w:t>
            </w:r>
          </w:p>
        </w:tc>
        <w:tc>
          <w:tcPr>
            <w:tcW w:w="0" w:type="auto"/>
            <w:vAlign w:val="center"/>
          </w:tcPr>
          <w:p w14:paraId="1F01E2DE">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EPC总承包工程款</w:t>
            </w:r>
          </w:p>
        </w:tc>
        <w:tc>
          <w:tcPr>
            <w:tcW w:w="0" w:type="auto"/>
            <w:vAlign w:val="center"/>
          </w:tcPr>
          <w:p w14:paraId="13CA0523">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15461.894053</w:t>
            </w:r>
          </w:p>
        </w:tc>
        <w:tc>
          <w:tcPr>
            <w:tcW w:w="0" w:type="auto"/>
            <w:shd w:val="clear" w:color="auto" w:fill="auto"/>
            <w:vAlign w:val="center"/>
          </w:tcPr>
          <w:p w14:paraId="3DD8C5A3">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10175.228612</w:t>
            </w:r>
          </w:p>
        </w:tc>
      </w:tr>
      <w:tr w14:paraId="61B1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0" w:type="auto"/>
            <w:vAlign w:val="center"/>
          </w:tcPr>
          <w:p w14:paraId="0A2DCE35">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2</w:t>
            </w:r>
          </w:p>
        </w:tc>
        <w:tc>
          <w:tcPr>
            <w:tcW w:w="0" w:type="auto"/>
            <w:vAlign w:val="center"/>
          </w:tcPr>
          <w:p w14:paraId="247A045F">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EPC总承包农民工工资专用账户</w:t>
            </w:r>
          </w:p>
        </w:tc>
        <w:tc>
          <w:tcPr>
            <w:tcW w:w="0" w:type="auto"/>
            <w:vAlign w:val="center"/>
          </w:tcPr>
          <w:p w14:paraId="446F84F7">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2"/>
                <w:szCs w:val="22"/>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8459</w:t>
            </w:r>
          </w:p>
        </w:tc>
        <w:tc>
          <w:tcPr>
            <w:tcW w:w="0" w:type="auto"/>
            <w:shd w:val="clear" w:color="auto" w:fill="auto"/>
            <w:vAlign w:val="center"/>
          </w:tcPr>
          <w:p w14:paraId="459338E8">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2"/>
                <w:szCs w:val="22"/>
                <w:vertAlign w:val="baseline"/>
                <w:lang w:val="en-US" w:eastAsia="zh-CN" w:bidi="ar-SA"/>
              </w:rPr>
              <w:t>3222.644948</w:t>
            </w:r>
          </w:p>
        </w:tc>
      </w:tr>
      <w:tr w14:paraId="36B6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0" w:type="auto"/>
            <w:vAlign w:val="center"/>
          </w:tcPr>
          <w:p w14:paraId="614E6B6A">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3</w:t>
            </w:r>
          </w:p>
        </w:tc>
        <w:tc>
          <w:tcPr>
            <w:tcW w:w="0" w:type="auto"/>
            <w:vAlign w:val="center"/>
          </w:tcPr>
          <w:p w14:paraId="2DE5E6EE">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规划馆展陈EPC工程款</w:t>
            </w:r>
          </w:p>
        </w:tc>
        <w:tc>
          <w:tcPr>
            <w:tcW w:w="0" w:type="auto"/>
            <w:vAlign w:val="center"/>
          </w:tcPr>
          <w:p w14:paraId="43B7BC1D">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default" w:ascii="宋体" w:hAnsi="宋体" w:eastAsia="宋体" w:cs="宋体"/>
                <w:b w:val="0"/>
                <w:bCs w:val="0"/>
                <w:kern w:val="2"/>
                <w:sz w:val="24"/>
                <w:szCs w:val="24"/>
                <w:highlight w:val="none"/>
                <w:vertAlign w:val="baseline"/>
                <w:lang w:val="en-US" w:eastAsia="zh-CN" w:bidi="ar-SA"/>
              </w:rPr>
              <w:t>2262</w:t>
            </w:r>
          </w:p>
        </w:tc>
        <w:tc>
          <w:tcPr>
            <w:tcW w:w="0" w:type="auto"/>
            <w:shd w:val="clear" w:color="auto" w:fill="auto"/>
            <w:vAlign w:val="center"/>
          </w:tcPr>
          <w:p w14:paraId="27366433">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0</w:t>
            </w:r>
          </w:p>
        </w:tc>
      </w:tr>
      <w:tr w14:paraId="3338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0" w:type="auto"/>
            <w:vAlign w:val="center"/>
          </w:tcPr>
          <w:p w14:paraId="5BC40264">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4</w:t>
            </w:r>
          </w:p>
        </w:tc>
        <w:tc>
          <w:tcPr>
            <w:tcW w:w="0" w:type="auto"/>
            <w:vAlign w:val="center"/>
          </w:tcPr>
          <w:p w14:paraId="7EDA8184">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规划馆展陈EPC农民工工资专用账户</w:t>
            </w:r>
          </w:p>
        </w:tc>
        <w:tc>
          <w:tcPr>
            <w:tcW w:w="0" w:type="auto"/>
            <w:vAlign w:val="center"/>
          </w:tcPr>
          <w:p w14:paraId="7B50FBB0">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943</w:t>
            </w:r>
          </w:p>
        </w:tc>
        <w:tc>
          <w:tcPr>
            <w:tcW w:w="0" w:type="auto"/>
            <w:shd w:val="clear" w:color="auto" w:fill="auto"/>
            <w:vAlign w:val="center"/>
          </w:tcPr>
          <w:p w14:paraId="1121A739">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0</w:t>
            </w:r>
          </w:p>
        </w:tc>
      </w:tr>
      <w:tr w14:paraId="76FE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exact"/>
        </w:trPr>
        <w:tc>
          <w:tcPr>
            <w:tcW w:w="0" w:type="auto"/>
            <w:vAlign w:val="center"/>
          </w:tcPr>
          <w:p w14:paraId="01C64313">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5</w:t>
            </w:r>
          </w:p>
        </w:tc>
        <w:tc>
          <w:tcPr>
            <w:tcW w:w="0" w:type="auto"/>
            <w:vAlign w:val="center"/>
          </w:tcPr>
          <w:p w14:paraId="5C329034">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前期费（全过程咨询费、造价咨询费、初步设计费、施工图设计费、智能化信息服务中心幕墙施工图审查费）</w:t>
            </w:r>
          </w:p>
        </w:tc>
        <w:tc>
          <w:tcPr>
            <w:tcW w:w="0" w:type="auto"/>
            <w:vAlign w:val="center"/>
          </w:tcPr>
          <w:p w14:paraId="76FEAE92">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644.816647</w:t>
            </w:r>
          </w:p>
        </w:tc>
        <w:tc>
          <w:tcPr>
            <w:tcW w:w="0" w:type="auto"/>
            <w:shd w:val="clear" w:color="auto" w:fill="auto"/>
            <w:vAlign w:val="center"/>
          </w:tcPr>
          <w:p w14:paraId="6CBDFE5D">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644.816647</w:t>
            </w:r>
          </w:p>
        </w:tc>
      </w:tr>
      <w:tr w14:paraId="3A31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0" w:type="auto"/>
            <w:vAlign w:val="center"/>
          </w:tcPr>
          <w:p w14:paraId="32482C05">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6</w:t>
            </w:r>
          </w:p>
        </w:tc>
        <w:tc>
          <w:tcPr>
            <w:tcW w:w="0" w:type="auto"/>
            <w:vAlign w:val="center"/>
          </w:tcPr>
          <w:p w14:paraId="325DB0BF">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监理费</w:t>
            </w:r>
          </w:p>
        </w:tc>
        <w:tc>
          <w:tcPr>
            <w:tcW w:w="0" w:type="auto"/>
            <w:vAlign w:val="center"/>
          </w:tcPr>
          <w:p w14:paraId="60970F62">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214</w:t>
            </w:r>
          </w:p>
        </w:tc>
        <w:tc>
          <w:tcPr>
            <w:tcW w:w="0" w:type="auto"/>
            <w:shd w:val="clear" w:color="auto" w:fill="auto"/>
            <w:vAlign w:val="center"/>
          </w:tcPr>
          <w:p w14:paraId="54E089F6">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214</w:t>
            </w:r>
          </w:p>
        </w:tc>
      </w:tr>
      <w:tr w14:paraId="260E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0" w:type="auto"/>
            <w:vAlign w:val="center"/>
          </w:tcPr>
          <w:p w14:paraId="3B7D4D63">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7</w:t>
            </w:r>
          </w:p>
        </w:tc>
        <w:tc>
          <w:tcPr>
            <w:tcW w:w="0" w:type="auto"/>
            <w:vAlign w:val="center"/>
          </w:tcPr>
          <w:p w14:paraId="65D924D8">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检测、监测费</w:t>
            </w:r>
          </w:p>
        </w:tc>
        <w:tc>
          <w:tcPr>
            <w:tcW w:w="0" w:type="auto"/>
            <w:vAlign w:val="center"/>
          </w:tcPr>
          <w:p w14:paraId="5F2AD4B1">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9.301</w:t>
            </w:r>
          </w:p>
        </w:tc>
        <w:tc>
          <w:tcPr>
            <w:tcW w:w="0" w:type="auto"/>
            <w:shd w:val="clear" w:color="auto" w:fill="auto"/>
            <w:vAlign w:val="center"/>
          </w:tcPr>
          <w:p w14:paraId="5AA7736B">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9.301</w:t>
            </w:r>
          </w:p>
        </w:tc>
      </w:tr>
      <w:tr w14:paraId="1511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0" w:type="auto"/>
            <w:vAlign w:val="center"/>
          </w:tcPr>
          <w:p w14:paraId="72A9C655">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8</w:t>
            </w:r>
          </w:p>
        </w:tc>
        <w:tc>
          <w:tcPr>
            <w:tcW w:w="0" w:type="auto"/>
            <w:vAlign w:val="center"/>
          </w:tcPr>
          <w:p w14:paraId="491ECB92">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其他（电费）</w:t>
            </w:r>
          </w:p>
        </w:tc>
        <w:tc>
          <w:tcPr>
            <w:tcW w:w="0" w:type="auto"/>
            <w:vAlign w:val="center"/>
          </w:tcPr>
          <w:p w14:paraId="4293D8BC">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6</w:t>
            </w:r>
          </w:p>
        </w:tc>
        <w:tc>
          <w:tcPr>
            <w:tcW w:w="0" w:type="auto"/>
            <w:shd w:val="clear" w:color="auto" w:fill="auto"/>
            <w:vAlign w:val="center"/>
          </w:tcPr>
          <w:p w14:paraId="25D04A43">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kern w:val="2"/>
                <w:sz w:val="24"/>
                <w:szCs w:val="24"/>
                <w:vertAlign w:val="baseline"/>
                <w:lang w:val="en-US" w:eastAsia="zh-CN" w:bidi="ar-SA"/>
              </w:rPr>
              <w:t>6</w:t>
            </w:r>
          </w:p>
        </w:tc>
      </w:tr>
      <w:tr w14:paraId="1E4A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0" w:type="auto"/>
            <w:gridSpan w:val="2"/>
            <w:vAlign w:val="center"/>
          </w:tcPr>
          <w:p w14:paraId="55C7FE56">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bCs/>
                <w:kern w:val="2"/>
                <w:sz w:val="24"/>
                <w:szCs w:val="24"/>
                <w:vertAlign w:val="baseline"/>
                <w:lang w:val="en-US" w:eastAsia="zh-CN" w:bidi="ar-SA"/>
              </w:rPr>
            </w:pPr>
            <w:r>
              <w:rPr>
                <w:rFonts w:hint="eastAsia" w:ascii="宋体" w:hAnsi="宋体" w:eastAsia="宋体" w:cs="宋体"/>
                <w:b/>
                <w:bCs/>
                <w:kern w:val="2"/>
                <w:sz w:val="24"/>
                <w:szCs w:val="24"/>
                <w:vertAlign w:val="baseline"/>
                <w:lang w:val="en-US" w:eastAsia="zh-CN" w:bidi="ar-SA"/>
              </w:rPr>
              <w:t>合计</w:t>
            </w:r>
          </w:p>
        </w:tc>
        <w:tc>
          <w:tcPr>
            <w:tcW w:w="0" w:type="auto"/>
            <w:vAlign w:val="center"/>
          </w:tcPr>
          <w:p w14:paraId="17F708BE">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kern w:val="2"/>
                <w:sz w:val="24"/>
                <w:szCs w:val="24"/>
                <w:highlight w:val="none"/>
                <w:vertAlign w:val="baseline"/>
                <w:lang w:val="en-US" w:eastAsia="zh-CN" w:bidi="ar-SA"/>
              </w:rPr>
              <w:fldChar w:fldCharType="begin"/>
            </w:r>
            <w:r>
              <w:rPr>
                <w:rFonts w:hint="eastAsia" w:ascii="宋体" w:hAnsi="宋体" w:eastAsia="宋体" w:cs="宋体"/>
                <w:b/>
                <w:bCs/>
                <w:kern w:val="2"/>
                <w:sz w:val="24"/>
                <w:szCs w:val="24"/>
                <w:highlight w:val="none"/>
                <w:vertAlign w:val="baseline"/>
                <w:lang w:val="en-US" w:eastAsia="zh-CN" w:bidi="ar-SA"/>
              </w:rPr>
              <w:instrText xml:space="preserve"> = sum(C2:C9) \* MERGEFORMAT </w:instrText>
            </w:r>
            <w:r>
              <w:rPr>
                <w:rFonts w:hint="eastAsia" w:ascii="宋体" w:hAnsi="宋体" w:eastAsia="宋体" w:cs="宋体"/>
                <w:b/>
                <w:bCs/>
                <w:kern w:val="2"/>
                <w:sz w:val="24"/>
                <w:szCs w:val="24"/>
                <w:highlight w:val="none"/>
                <w:vertAlign w:val="baseline"/>
                <w:lang w:val="en-US" w:eastAsia="zh-CN" w:bidi="ar-SA"/>
              </w:rPr>
              <w:fldChar w:fldCharType="separate"/>
            </w:r>
            <w:r>
              <w:rPr>
                <w:rFonts w:hint="eastAsia" w:ascii="宋体" w:hAnsi="宋体" w:eastAsia="宋体" w:cs="宋体"/>
                <w:b/>
                <w:bCs/>
                <w:kern w:val="2"/>
                <w:sz w:val="24"/>
                <w:szCs w:val="24"/>
                <w:highlight w:val="none"/>
                <w:vertAlign w:val="baseline"/>
                <w:lang w:val="en-US" w:eastAsia="zh-CN" w:bidi="ar-SA"/>
              </w:rPr>
              <w:t>28000.0117</w:t>
            </w:r>
            <w:r>
              <w:rPr>
                <w:rFonts w:hint="eastAsia" w:ascii="宋体" w:hAnsi="宋体" w:eastAsia="宋体" w:cs="宋体"/>
                <w:b/>
                <w:bCs/>
                <w:kern w:val="2"/>
                <w:sz w:val="24"/>
                <w:szCs w:val="24"/>
                <w:highlight w:val="none"/>
                <w:vertAlign w:val="baseline"/>
                <w:lang w:val="en-US" w:eastAsia="zh-CN" w:bidi="ar-SA"/>
              </w:rPr>
              <w:fldChar w:fldCharType="end"/>
            </w:r>
          </w:p>
        </w:tc>
        <w:tc>
          <w:tcPr>
            <w:tcW w:w="0" w:type="auto"/>
            <w:shd w:val="clear" w:color="auto" w:fill="auto"/>
            <w:vAlign w:val="center"/>
          </w:tcPr>
          <w:p w14:paraId="1B37EAAE">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kern w:val="2"/>
                <w:sz w:val="24"/>
                <w:szCs w:val="24"/>
                <w:vertAlign w:val="baseline"/>
                <w:lang w:val="en-US" w:eastAsia="zh-CN" w:bidi="ar-SA"/>
              </w:rPr>
              <w:t>14271.991207</w:t>
            </w:r>
          </w:p>
        </w:tc>
      </w:tr>
    </w:tbl>
    <w:p w14:paraId="6733C1E2">
      <w:pPr>
        <w:keepNext w:val="0"/>
        <w:keepLines w:val="0"/>
        <w:pageBreakBefore w:val="0"/>
        <w:widowControl w:val="0"/>
        <w:kinsoku/>
        <w:wordWrap/>
        <w:overflowPunct/>
        <w:topLinePunct w:val="0"/>
        <w:autoSpaceDE/>
        <w:autoSpaceDN/>
        <w:bidi w:val="0"/>
        <w:adjustRightInd w:val="0"/>
        <w:snapToGrid w:val="0"/>
        <w:spacing w:before="100" w:beforeAutospacing="1"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（三）项目绩效目标</w:t>
      </w:r>
    </w:p>
    <w:p w14:paraId="5BDB080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sz w:val="32"/>
          <w:szCs w:val="32"/>
          <w:highlight w:val="none"/>
          <w:lang w:val="en-US" w:eastAsia="zh-CN"/>
        </w:rPr>
      </w:pPr>
      <w:r>
        <w:rPr>
          <w:rFonts w:hint="default" w:ascii="Times New Roman" w:hAnsi="Times New Roman" w:eastAsia="仿宋_GB2312" w:cs="Times New Roman"/>
          <w:kern w:val="2"/>
          <w:sz w:val="32"/>
          <w:szCs w:val="32"/>
          <w:highlight w:val="none"/>
          <w:lang w:val="en-US" w:eastAsia="zh-CN" w:bidi="ar-SA"/>
        </w:rPr>
        <w:t>本项目建设内容为新建零碳产业园区智能化信息服务中心及配套附属设施，</w:t>
      </w:r>
      <w:r>
        <w:rPr>
          <w:rFonts w:hint="eastAsia" w:ascii="仿宋_GB2312" w:hAnsi="仿宋_GB2312" w:eastAsia="仿宋_GB2312" w:cs="仿宋_GB2312"/>
          <w:b w:val="0"/>
          <w:bCs w:val="0"/>
          <w:kern w:val="2"/>
          <w:sz w:val="32"/>
          <w:szCs w:val="32"/>
          <w:highlight w:val="none"/>
          <w:lang w:val="en-US" w:eastAsia="zh-CN" w:bidi="ar-SA"/>
        </w:rPr>
        <w:t>总建筑面积50564.67平方米，</w:t>
      </w:r>
      <w:r>
        <w:rPr>
          <w:rFonts w:hint="default" w:ascii="Times New Roman" w:hAnsi="Times New Roman" w:eastAsia="仿宋_GB2312" w:cs="Times New Roman"/>
          <w:kern w:val="2"/>
          <w:sz w:val="32"/>
          <w:szCs w:val="32"/>
          <w:highlight w:val="none"/>
          <w:lang w:val="en-US" w:eastAsia="zh-CN" w:bidi="ar-SA"/>
        </w:rPr>
        <w:t>整体划分</w:t>
      </w:r>
      <w:r>
        <w:rPr>
          <w:rFonts w:hint="eastAsia" w:ascii="Times New Roman" w:hAnsi="Times New Roman" w:eastAsia="仿宋_GB2312" w:cs="Times New Roman"/>
          <w:kern w:val="2"/>
          <w:sz w:val="32"/>
          <w:szCs w:val="32"/>
          <w:highlight w:val="none"/>
          <w:lang w:val="en-US" w:eastAsia="zh-CN" w:bidi="ar-SA"/>
        </w:rPr>
        <w:t>为</w:t>
      </w:r>
      <w:r>
        <w:rPr>
          <w:rFonts w:hint="default" w:ascii="Times New Roman" w:hAnsi="Times New Roman" w:eastAsia="仿宋_GB2312" w:cs="Times New Roman"/>
          <w:kern w:val="2"/>
          <w:sz w:val="32"/>
          <w:szCs w:val="32"/>
          <w:highlight w:val="none"/>
          <w:lang w:val="en-US" w:eastAsia="zh-CN" w:bidi="ar-SA"/>
        </w:rPr>
        <w:t>零碳智慧园控制区、信息化展销区、零碳产业技术发展及应用研究中心、一体化综合功能区四大核心功能板块，同步配套地下智能停车场，园区道路、景观绿化、给排水、供电、供暖、天然气等全套基础配套工程。</w:t>
      </w:r>
    </w:p>
    <w:p w14:paraId="052CEC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sz w:val="32"/>
          <w:szCs w:val="32"/>
          <w:highlight w:val="none"/>
          <w:lang w:val="en-US" w:eastAsia="zh-CN"/>
        </w:rPr>
      </w:pPr>
      <w:r>
        <w:rPr>
          <w:rFonts w:hint="eastAsia" w:eastAsia="仿宋_GB2312"/>
          <w:sz w:val="32"/>
          <w:szCs w:val="32"/>
          <w:highlight w:val="none"/>
          <w:lang w:val="en-US" w:eastAsia="zh-CN"/>
        </w:rPr>
        <w:t>通过项目实施</w:t>
      </w:r>
      <w:r>
        <w:rPr>
          <w:rFonts w:hint="eastAsia" w:eastAsia="仿宋_GB2312"/>
          <w:sz w:val="32"/>
          <w:szCs w:val="32"/>
          <w:highlight w:val="none"/>
        </w:rPr>
        <w:t>完善园区基础设施并塑造优质招商形象，为节能环保、清洁能源等前沿领域提供技术支撑，全面赋能科技型中小企业培育与发展，推动区域经济向绿色低碳方向深度转型，打造传统工业区零碳转型的标杆样板。</w:t>
      </w:r>
      <w:r>
        <w:rPr>
          <w:rFonts w:hint="eastAsia" w:eastAsia="仿宋_GB2312"/>
          <w:sz w:val="32"/>
          <w:szCs w:val="32"/>
          <w:highlight w:val="none"/>
          <w:lang w:val="en-US" w:eastAsia="zh-CN"/>
        </w:rPr>
        <w:t>零碳产业园人才科创城建设以低碳技术研发为任务，建立产学研协同创新平台，推动科技成果转移转化和产业化，为区域和产业发展提供技术供给，为科技型中小企业孵化、培育和发展提供创新服务，提升重点产业领域创新能力和竞争力，是加快科技创新能力建设，打造“科创鄂尔多斯，低碳伊金霍洛”必然要求。</w:t>
      </w:r>
    </w:p>
    <w:p w14:paraId="48EB6AF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二、评价结论</w:t>
      </w:r>
    </w:p>
    <w:p w14:paraId="7C6F4AC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（一）评价结果</w:t>
      </w:r>
    </w:p>
    <w:p w14:paraId="72E9F529">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该项目绩效评价综合评分“68.52”，评级“中”。</w:t>
      </w:r>
    </w:p>
    <w:p w14:paraId="32D8884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二</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rPr>
        <w:t>总体结论</w:t>
      </w:r>
    </w:p>
    <w:p w14:paraId="12E6E39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rPr>
      </w:pPr>
      <w:r>
        <w:rPr>
          <w:rFonts w:hint="default" w:ascii="仿宋_GB2312" w:hAnsi="仿宋_GB2312" w:eastAsia="仿宋_GB2312" w:cs="仿宋_GB2312"/>
          <w:sz w:val="32"/>
          <w:szCs w:val="32"/>
          <w:highlight w:val="none"/>
          <w:lang w:val="en-US" w:eastAsia="zh-CN"/>
        </w:rPr>
        <w:t>项目自2023年10月开工以来整体推进平稳，</w:t>
      </w:r>
      <w:r>
        <w:rPr>
          <w:rFonts w:hint="eastAsia" w:ascii="仿宋_GB2312" w:hAnsi="仿宋_GB2312" w:eastAsia="仿宋_GB2312" w:cs="仿宋_GB2312"/>
          <w:sz w:val="32"/>
          <w:szCs w:val="32"/>
          <w:highlight w:val="none"/>
          <w:lang w:val="en-US" w:eastAsia="zh-CN"/>
        </w:rPr>
        <w:t>先后建成零碳产业技术发展及应用研究中心、零碳智慧园控制区，以及一体化功能区，并在2024年12月对项目部分主体工程进行验收。项目于2025年先后两次申请工期延期，从原计划完工工期2024年10月19日</w:t>
      </w:r>
      <w:r>
        <w:rPr>
          <w:rFonts w:hint="eastAsia" w:ascii="Times New Roman" w:hAnsi="Times New Roman" w:eastAsia="仿宋_GB2312" w:cs="Times New Roman"/>
          <w:kern w:val="2"/>
          <w:sz w:val="32"/>
          <w:szCs w:val="32"/>
          <w:highlight w:val="none"/>
          <w:lang w:val="en-US" w:eastAsia="zh-CN" w:bidi="ar-SA"/>
        </w:rPr>
        <w:t>延期到</w:t>
      </w:r>
      <w:r>
        <w:rPr>
          <w:rFonts w:hint="eastAsia" w:ascii="仿宋_GB2312" w:hAnsi="仿宋_GB2312" w:eastAsia="仿宋_GB2312" w:cs="仿宋_GB2312"/>
          <w:sz w:val="32"/>
          <w:szCs w:val="32"/>
          <w:highlight w:val="none"/>
          <w:lang w:val="en-US" w:eastAsia="zh-CN"/>
        </w:rPr>
        <w:t>2026年7月31日。在项目管理中主要存在前期预算编制缺乏科学性、绩效目标设定不够明确、项目及专项资金管理不够规范、资金与项目推进执行效率不足、债务偿还能力当前不足的问题。</w:t>
      </w:r>
    </w:p>
    <w:p w14:paraId="62DFB1E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三、主要问题及相关建议</w:t>
      </w:r>
    </w:p>
    <w:p w14:paraId="092910E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rPr>
        <w:t>一）主要问题</w:t>
      </w:r>
    </w:p>
    <w:p w14:paraId="4DBCC122">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1.项目将属于日常运营性质的电费列为建设支出，不符合专项债券资金仅用于资本性支出的规定。</w:t>
      </w:r>
    </w:p>
    <w:p w14:paraId="1B8B3D05">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2.项目工期变更缺少调整材料，该项目工期滞后，且两次重大工期调整均仅由发承包双方盖章确认，鄂苏工业园区市政公司未向主管部门履行审批或备案程序并提交延期原因。</w:t>
      </w:r>
    </w:p>
    <w:p w14:paraId="6DE64B8C">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3.项目日常监管不到位。鄂苏工业园区市政公司作为发包方，对承包单位劳务用工实名制管理及合同签订程序的日常监管不到位，未能及时督促并纠正承包方“先干活后补签合同”的行为。</w:t>
      </w:r>
    </w:p>
    <w:p w14:paraId="4C63D33D">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jc w:val="both"/>
        <w:textAlignment w:val="auto"/>
        <w:rPr>
          <w:rFonts w:hint="eastAsia" w:ascii="楷体_GB2312" w:hAnsi="楷体_GB2312" w:eastAsia="楷体_GB2312" w:cs="楷体_GB2312"/>
          <w:sz w:val="32"/>
          <w:szCs w:val="32"/>
          <w:highlight w:val="none"/>
        </w:rPr>
      </w:pPr>
      <w:r>
        <w:rPr>
          <w:rFonts w:hint="eastAsia" w:ascii="仿宋_GB2312" w:hAnsi="仿宋_GB2312" w:eastAsia="仿宋_GB2312" w:cs="仿宋_GB2312"/>
          <w:sz w:val="32"/>
          <w:szCs w:val="32"/>
          <w:highlight w:val="none"/>
          <w:lang w:val="en-US" w:eastAsia="zh-CN"/>
        </w:rPr>
        <w:t>4.项目租金测算严重偏离市场实际，实际日租金仅为测算值的36.92%，叠加工期延期至2026年7月及尚未形成稳定运营收入，导致收益低于预期，对专项债券本息覆盖构成实质性压力。</w:t>
      </w:r>
    </w:p>
    <w:p w14:paraId="0E18D71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rPr>
        <w:t>（二）</w:t>
      </w:r>
      <w:r>
        <w:rPr>
          <w:rFonts w:hint="eastAsia" w:ascii="楷体_GB2312" w:hAnsi="楷体_GB2312" w:eastAsia="楷体_GB2312" w:cs="楷体_GB2312"/>
          <w:sz w:val="32"/>
          <w:szCs w:val="32"/>
          <w:highlight w:val="none"/>
          <w:lang w:eastAsia="zh-CN"/>
        </w:rPr>
        <w:t>相关建议</w:t>
      </w:r>
    </w:p>
    <w:p w14:paraId="159BAEC0">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1.建议鄂苏工业园区市政公司进一步强化内部控制与财务管理，严格规范资金支付审批流程；同时建立健全全过程、全周期的绩效管理机制，切实保障专项资金专款专用，提升资金配置与使用效益。</w:t>
      </w:r>
    </w:p>
    <w:p w14:paraId="1D132760">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2.建议鄂苏工业园区市政公司针对工期计划重大变动事项，须按管理权限主动上报主管部门，依规完成备案与审批手续，规范项目全过程变更管理，规避程序不合规问题。</w:t>
      </w:r>
    </w:p>
    <w:p w14:paraId="1FEFF8D8">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color w:val="auto"/>
          <w:sz w:val="32"/>
          <w:szCs w:val="32"/>
          <w:highlight w:val="none"/>
          <w:lang w:val="en-US" w:eastAsia="zh-CN"/>
        </w:rPr>
        <w:t>3.建议鄂苏工业园区市政公司切实履行发包方监管责任，强化劳务用工日常巡查与抽查，严格落实“先签合同后进场”规定。</w:t>
      </w:r>
    </w:p>
    <w:p w14:paraId="7CE1AEEF">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4.建议鄂苏工业园区市政公司在后续招商引资中，按照专项债券申报时的租金价格标准执行租赁，以保障项目预期收益的实现。针对后续专项债券资金的申请与使用，建议需前置开展深入的市场调研，以客观的租金水平为基准，科学编制与之匹配的偿债计划，并对项目真实的偿债能力进行充分论证。</w:t>
      </w:r>
    </w:p>
    <w:sectPr>
      <w:footerReference r:id="rId3" w:type="default"/>
      <w:pgSz w:w="11906" w:h="16838"/>
      <w:pgMar w:top="2098" w:right="1474" w:bottom="1701" w:left="1474" w:header="850"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B2B21E3-938A-4B07-91C3-820DCEF13BB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A1B73C6-6AE5-4CAE-B585-B28C25E8BA98}"/>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Helv">
    <w:altName w:val="Arial"/>
    <w:panose1 w:val="020B0604020202030204"/>
    <w:charset w:val="00"/>
    <w:family w:val="swiss"/>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System">
    <w:altName w:val="宋体"/>
    <w:panose1 w:val="00000000000000000000"/>
    <w:charset w:val="86"/>
    <w:family w:val="auto"/>
    <w:pitch w:val="default"/>
    <w:sig w:usb0="00000000" w:usb1="00000000" w:usb2="00000010" w:usb3="00000000" w:csb0="00040000" w:csb1="00000000"/>
  </w:font>
  <w:font w:name="New York">
    <w:altName w:val="Times New Roman"/>
    <w:panose1 w:val="020405030605060203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3" w:fontKey="{B31A8095-D397-4610-88D3-707667EB9932}"/>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4" w:fontKey="{DABF2855-F54E-475B-87D8-7F0D499E2351}"/>
  </w:font>
  <w:font w:name="Times New Roman (正文 CS 字体)">
    <w:altName w:val="Times New Roman"/>
    <w:panose1 w:val="00000000000000000000"/>
    <w:charset w:val="00"/>
    <w:family w:val="roman"/>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embedRegular r:id="rId5" w:fontKey="{6DA100FA-68B5-4C67-BF13-F3310568FB4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654BF">
    <w:pPr>
      <w:spacing w:line="169" w:lineRule="auto"/>
      <w:ind w:left="7234"/>
      <w:rPr>
        <w:rFonts w:ascii="Calibri" w:hAnsi="Calibri" w:eastAsia="Calibri" w:cs="Calibri"/>
        <w:sz w:val="18"/>
        <w:szCs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931C11"/>
    <w:rsid w:val="00381040"/>
    <w:rsid w:val="0057487F"/>
    <w:rsid w:val="01AF6230"/>
    <w:rsid w:val="01F61CCA"/>
    <w:rsid w:val="02491E37"/>
    <w:rsid w:val="03B920E2"/>
    <w:rsid w:val="045D2D90"/>
    <w:rsid w:val="0495129B"/>
    <w:rsid w:val="04C23293"/>
    <w:rsid w:val="05097AD0"/>
    <w:rsid w:val="05624FFD"/>
    <w:rsid w:val="056703FD"/>
    <w:rsid w:val="06DE3AAF"/>
    <w:rsid w:val="07C84A57"/>
    <w:rsid w:val="08236132"/>
    <w:rsid w:val="0C45399E"/>
    <w:rsid w:val="0CF32576"/>
    <w:rsid w:val="0EE52393"/>
    <w:rsid w:val="0F563291"/>
    <w:rsid w:val="0FBC1346"/>
    <w:rsid w:val="10511251"/>
    <w:rsid w:val="12D77D76"/>
    <w:rsid w:val="13182D37"/>
    <w:rsid w:val="14B9058E"/>
    <w:rsid w:val="15557D56"/>
    <w:rsid w:val="15962639"/>
    <w:rsid w:val="160947A9"/>
    <w:rsid w:val="162562AF"/>
    <w:rsid w:val="17CD4BE1"/>
    <w:rsid w:val="17D411F6"/>
    <w:rsid w:val="187212AC"/>
    <w:rsid w:val="18AF6990"/>
    <w:rsid w:val="1A011CC4"/>
    <w:rsid w:val="1A7337C1"/>
    <w:rsid w:val="1AE33C8E"/>
    <w:rsid w:val="1C7746DE"/>
    <w:rsid w:val="1CB810E7"/>
    <w:rsid w:val="1CFE11EF"/>
    <w:rsid w:val="1D6272D6"/>
    <w:rsid w:val="1DEF71C4"/>
    <w:rsid w:val="1E8E65A3"/>
    <w:rsid w:val="1FA0673B"/>
    <w:rsid w:val="20933498"/>
    <w:rsid w:val="26532CD3"/>
    <w:rsid w:val="28697739"/>
    <w:rsid w:val="2B6A3EF4"/>
    <w:rsid w:val="2D9214E0"/>
    <w:rsid w:val="2ECB2EFB"/>
    <w:rsid w:val="2F9D59FB"/>
    <w:rsid w:val="30BA3228"/>
    <w:rsid w:val="315A3BE2"/>
    <w:rsid w:val="320E382B"/>
    <w:rsid w:val="33D12D62"/>
    <w:rsid w:val="37225683"/>
    <w:rsid w:val="37B24AB3"/>
    <w:rsid w:val="37DA4B1E"/>
    <w:rsid w:val="3821593A"/>
    <w:rsid w:val="38364A50"/>
    <w:rsid w:val="393F076E"/>
    <w:rsid w:val="397313F3"/>
    <w:rsid w:val="39F34DAD"/>
    <w:rsid w:val="3AF8264F"/>
    <w:rsid w:val="3B1479D8"/>
    <w:rsid w:val="3B1A4233"/>
    <w:rsid w:val="3C300842"/>
    <w:rsid w:val="3C44609B"/>
    <w:rsid w:val="3D1837B0"/>
    <w:rsid w:val="3D7F382F"/>
    <w:rsid w:val="3DE82FC0"/>
    <w:rsid w:val="3E2B66DA"/>
    <w:rsid w:val="41630D72"/>
    <w:rsid w:val="42F425C9"/>
    <w:rsid w:val="430A3B9B"/>
    <w:rsid w:val="43171D1D"/>
    <w:rsid w:val="43AC1076"/>
    <w:rsid w:val="445B7C46"/>
    <w:rsid w:val="448A1D40"/>
    <w:rsid w:val="45442C68"/>
    <w:rsid w:val="454F7F8B"/>
    <w:rsid w:val="464B1940"/>
    <w:rsid w:val="46503FBA"/>
    <w:rsid w:val="46B92AC3"/>
    <w:rsid w:val="46F942A6"/>
    <w:rsid w:val="48A138A7"/>
    <w:rsid w:val="48B545B7"/>
    <w:rsid w:val="48EE0FEE"/>
    <w:rsid w:val="48FB250C"/>
    <w:rsid w:val="49D4280C"/>
    <w:rsid w:val="4A631DE2"/>
    <w:rsid w:val="4B8D2FAE"/>
    <w:rsid w:val="4C343A36"/>
    <w:rsid w:val="4D81098C"/>
    <w:rsid w:val="50757EEF"/>
    <w:rsid w:val="51B6232C"/>
    <w:rsid w:val="51DC7E5F"/>
    <w:rsid w:val="52943481"/>
    <w:rsid w:val="536C1D08"/>
    <w:rsid w:val="547F3CBD"/>
    <w:rsid w:val="55214C49"/>
    <w:rsid w:val="55E464CD"/>
    <w:rsid w:val="57C60BE9"/>
    <w:rsid w:val="58931C11"/>
    <w:rsid w:val="597162CA"/>
    <w:rsid w:val="599211F9"/>
    <w:rsid w:val="5A1E5D46"/>
    <w:rsid w:val="5B28211D"/>
    <w:rsid w:val="5BDA3C8D"/>
    <w:rsid w:val="5D78420B"/>
    <w:rsid w:val="5DB601F6"/>
    <w:rsid w:val="5DBF68EA"/>
    <w:rsid w:val="5DFE3EA4"/>
    <w:rsid w:val="5EC92704"/>
    <w:rsid w:val="5ED23B09"/>
    <w:rsid w:val="603B13E0"/>
    <w:rsid w:val="61094D40"/>
    <w:rsid w:val="618D5C6B"/>
    <w:rsid w:val="62072778"/>
    <w:rsid w:val="620E5486"/>
    <w:rsid w:val="63041F5D"/>
    <w:rsid w:val="63626C83"/>
    <w:rsid w:val="640B731B"/>
    <w:rsid w:val="663147F3"/>
    <w:rsid w:val="66BC58F2"/>
    <w:rsid w:val="67B60119"/>
    <w:rsid w:val="68637725"/>
    <w:rsid w:val="698C7762"/>
    <w:rsid w:val="69F61ED3"/>
    <w:rsid w:val="6A856212"/>
    <w:rsid w:val="6D4E3543"/>
    <w:rsid w:val="6E5A7EEF"/>
    <w:rsid w:val="6F24420B"/>
    <w:rsid w:val="6FEC6732"/>
    <w:rsid w:val="71970440"/>
    <w:rsid w:val="7385567A"/>
    <w:rsid w:val="73F25CD2"/>
    <w:rsid w:val="742F6D2D"/>
    <w:rsid w:val="75466405"/>
    <w:rsid w:val="78200BEC"/>
    <w:rsid w:val="79254583"/>
    <w:rsid w:val="79B53B59"/>
    <w:rsid w:val="79C94C43"/>
    <w:rsid w:val="7A0D188B"/>
    <w:rsid w:val="7A214D4A"/>
    <w:rsid w:val="7A951295"/>
    <w:rsid w:val="7BC06106"/>
    <w:rsid w:val="7BE91898"/>
    <w:rsid w:val="7C826FCD"/>
    <w:rsid w:val="7CE309DD"/>
    <w:rsid w:val="7DBA39AE"/>
    <w:rsid w:val="7E33329E"/>
    <w:rsid w:val="7E735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paragraph" w:styleId="4">
    <w:name w:val="heading 3"/>
    <w:basedOn w:val="1"/>
    <w:next w:val="1"/>
    <w:qFormat/>
    <w:uiPriority w:val="9"/>
    <w:pPr>
      <w:keepNext/>
      <w:keepLines/>
      <w:spacing w:before="60" w:after="60" w:line="360" w:lineRule="auto"/>
      <w:ind w:firstLine="200" w:firstLineChars="200"/>
      <w:outlineLvl w:val="2"/>
    </w:pPr>
    <w:rPr>
      <w:rFonts w:eastAsia="Tms Rmn" w:cs="Helv"/>
      <w:b/>
      <w:bCs/>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Indent"/>
    <w:basedOn w:val="1"/>
    <w:qFormat/>
    <w:uiPriority w:val="99"/>
    <w:pPr>
      <w:spacing w:after="120"/>
      <w:ind w:left="420" w:leftChars="200"/>
    </w:pPr>
  </w:style>
  <w:style w:type="paragraph" w:styleId="7">
    <w:name w:val="Plain Text"/>
    <w:basedOn w:val="1"/>
    <w:qFormat/>
    <w:uiPriority w:val="0"/>
    <w:rPr>
      <w:rFonts w:ascii="宋体" w:hAnsi="Courier New"/>
      <w:szCs w:val="21"/>
    </w:rPr>
  </w:style>
  <w:style w:type="paragraph" w:styleId="8">
    <w:name w:val="footer"/>
    <w:basedOn w:val="1"/>
    <w:unhideWhenUsed/>
    <w:qFormat/>
    <w:uiPriority w:val="99"/>
    <w:pPr>
      <w:tabs>
        <w:tab w:val="center" w:pos="4153"/>
        <w:tab w:val="right" w:pos="8306"/>
      </w:tabs>
      <w:adjustRightInd/>
      <w:spacing w:line="240" w:lineRule="auto"/>
      <w:ind w:firstLine="0" w:firstLineChars="0"/>
      <w:jc w:val="left"/>
    </w:pPr>
    <w:rPr>
      <w:rFonts w:ascii="Calibri" w:hAnsi="Calibri" w:eastAsia="宋体"/>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pPr>
      <w:tabs>
        <w:tab w:val="right" w:leader="dot" w:pos="8714"/>
      </w:tabs>
      <w:spacing w:before="60" w:line="360" w:lineRule="auto"/>
      <w:ind w:left="200" w:leftChars="200"/>
      <w:jc w:val="left"/>
    </w:pPr>
    <w:rPr>
      <w:rFonts w:eastAsia="Wingdings" w:cs="MS Mincho"/>
      <w:bCs/>
      <w:caps/>
      <w:sz w:val="30"/>
      <w:szCs w:val="20"/>
    </w:rPr>
  </w:style>
  <w:style w:type="paragraph" w:styleId="11">
    <w:name w:val="Subtitle"/>
    <w:basedOn w:val="1"/>
    <w:next w:val="1"/>
    <w:qFormat/>
    <w:uiPriority w:val="11"/>
    <w:pPr>
      <w:spacing w:before="240" w:after="60" w:line="312" w:lineRule="auto"/>
      <w:jc w:val="center"/>
      <w:outlineLvl w:val="1"/>
    </w:pPr>
    <w:rPr>
      <w:rFonts w:ascii="Calibri" w:hAnsi="Calibri" w:eastAsia="宋体" w:cs="Times New Roman"/>
      <w:b/>
      <w:bCs/>
      <w:kern w:val="28"/>
      <w:sz w:val="32"/>
      <w:szCs w:val="32"/>
    </w:rPr>
  </w:style>
  <w:style w:type="paragraph" w:styleId="12">
    <w:name w:val="footnote text"/>
    <w:basedOn w:val="1"/>
    <w:qFormat/>
    <w:uiPriority w:val="0"/>
    <w:pPr>
      <w:snapToGrid w:val="0"/>
      <w:jc w:val="left"/>
    </w:pPr>
    <w:rPr>
      <w:sz w:val="18"/>
    </w:rPr>
  </w:style>
  <w:style w:type="paragraph" w:styleId="13">
    <w:name w:val="toc 2"/>
    <w:basedOn w:val="1"/>
    <w:next w:val="1"/>
    <w:unhideWhenUsed/>
    <w:qFormat/>
    <w:uiPriority w:val="39"/>
    <w:pPr>
      <w:tabs>
        <w:tab w:val="right" w:leader="dot" w:pos="8714"/>
      </w:tabs>
      <w:spacing w:line="360" w:lineRule="auto"/>
      <w:ind w:left="350" w:leftChars="350"/>
      <w:jc w:val="left"/>
    </w:pPr>
    <w:rPr>
      <w:rFonts w:eastAsia="System" w:cs="MS Mincho"/>
      <w:smallCaps/>
      <w:sz w:val="30"/>
      <w:szCs w:val="20"/>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Body Text First Indent 2"/>
    <w:basedOn w:val="6"/>
    <w:next w:val="1"/>
    <w:qFormat/>
    <w:uiPriority w:val="0"/>
    <w:pPr>
      <w:ind w:firstLine="42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unhideWhenUsed/>
    <w:qFormat/>
    <w:uiPriority w:val="99"/>
    <w:rPr>
      <w:color w:val="0000FF"/>
      <w:u w:val="single"/>
    </w:rPr>
  </w:style>
  <w:style w:type="character" w:styleId="20">
    <w:name w:val="footnote reference"/>
    <w:basedOn w:val="18"/>
    <w:qFormat/>
    <w:uiPriority w:val="0"/>
    <w:rPr>
      <w:vertAlign w:val="superscript"/>
    </w:rPr>
  </w:style>
  <w:style w:type="paragraph" w:customStyle="1" w:styleId="21">
    <w:name w:val="独立格式"/>
    <w:basedOn w:val="11"/>
    <w:qFormat/>
    <w:uiPriority w:val="1"/>
    <w:pPr>
      <w:spacing w:before="0" w:after="0" w:line="360" w:lineRule="auto"/>
      <w:outlineLvl w:val="9"/>
    </w:pPr>
    <w:rPr>
      <w:rFonts w:ascii="Times New Roman" w:hAnsi="Times New Roman" w:eastAsia="Tms Rmn" w:cs="Times New Roman"/>
      <w:b w:val="0"/>
      <w:bCs w:val="0"/>
      <w:kern w:val="2"/>
      <w:szCs w:val="52"/>
    </w:rPr>
  </w:style>
  <w:style w:type="paragraph" w:customStyle="1" w:styleId="22">
    <w:name w:val="表格名称"/>
    <w:basedOn w:val="1"/>
    <w:qFormat/>
    <w:uiPriority w:val="0"/>
    <w:pPr>
      <w:spacing w:line="360" w:lineRule="auto"/>
      <w:jc w:val="center"/>
    </w:pPr>
    <w:rPr>
      <w:rFonts w:eastAsia="Helv" w:cs="New York"/>
      <w:b/>
      <w:sz w:val="24"/>
      <w:szCs w:val="24"/>
    </w:rPr>
  </w:style>
  <w:style w:type="paragraph" w:customStyle="1" w:styleId="23">
    <w:name w:val="表格文字"/>
    <w:basedOn w:val="21"/>
    <w:next w:val="1"/>
    <w:qFormat/>
    <w:uiPriority w:val="0"/>
    <w:pPr>
      <w:spacing w:line="360" w:lineRule="exact"/>
    </w:pPr>
    <w:rPr>
      <w:rFonts w:eastAsia="Helv" w:cs="New York"/>
      <w:sz w:val="24"/>
    </w:rPr>
  </w:style>
  <w:style w:type="character" w:customStyle="1" w:styleId="24">
    <w:name w:val="font61"/>
    <w:basedOn w:val="18"/>
    <w:qFormat/>
    <w:uiPriority w:val="0"/>
    <w:rPr>
      <w:rFonts w:ascii="仿宋_GB2312" w:hAnsi="仿宋_GB2312" w:eastAsia="仿宋_GB2312" w:cs="仿宋_GB2312"/>
      <w:b/>
      <w:bCs/>
      <w:color w:val="000000"/>
      <w:sz w:val="22"/>
      <w:szCs w:val="22"/>
      <w:u w:val="none"/>
    </w:rPr>
  </w:style>
  <w:style w:type="character" w:customStyle="1" w:styleId="25">
    <w:name w:val="font71"/>
    <w:basedOn w:val="18"/>
    <w:qFormat/>
    <w:uiPriority w:val="0"/>
    <w:rPr>
      <w:rFonts w:hint="eastAsia" w:ascii="仿宋" w:hAnsi="仿宋" w:eastAsia="仿宋" w:cs="仿宋"/>
      <w:color w:val="000000"/>
      <w:sz w:val="22"/>
      <w:szCs w:val="22"/>
      <w:u w:val="none"/>
    </w:rPr>
  </w:style>
  <w:style w:type="character" w:customStyle="1" w:styleId="26">
    <w:name w:val="font81"/>
    <w:basedOn w:val="18"/>
    <w:qFormat/>
    <w:uiPriority w:val="0"/>
    <w:rPr>
      <w:rFonts w:hint="default" w:ascii="Times New Roman" w:hAnsi="Times New Roman" w:cs="Times New Roman"/>
      <w:color w:val="000000"/>
      <w:sz w:val="22"/>
      <w:szCs w:val="22"/>
      <w:u w:val="none"/>
    </w:rPr>
  </w:style>
  <w:style w:type="character" w:customStyle="1" w:styleId="27">
    <w:name w:val="font11"/>
    <w:basedOn w:val="18"/>
    <w:qFormat/>
    <w:uiPriority w:val="0"/>
    <w:rPr>
      <w:rFonts w:hint="eastAsia" w:ascii="宋体" w:hAnsi="宋体" w:eastAsia="宋体" w:cs="宋体"/>
      <w:color w:val="000000"/>
      <w:sz w:val="22"/>
      <w:szCs w:val="22"/>
      <w:u w:val="none"/>
    </w:rPr>
  </w:style>
  <w:style w:type="character" w:customStyle="1" w:styleId="28">
    <w:name w:val="font31"/>
    <w:basedOn w:val="18"/>
    <w:qFormat/>
    <w:uiPriority w:val="0"/>
    <w:rPr>
      <w:rFonts w:hint="eastAsia" w:ascii="宋体" w:hAnsi="宋体" w:eastAsia="宋体" w:cs="宋体"/>
      <w:color w:val="00B0F0"/>
      <w:sz w:val="22"/>
      <w:szCs w:val="22"/>
      <w:u w:val="none"/>
    </w:rPr>
  </w:style>
  <w:style w:type="character" w:customStyle="1" w:styleId="29">
    <w:name w:val="font41"/>
    <w:basedOn w:val="18"/>
    <w:qFormat/>
    <w:uiPriority w:val="0"/>
    <w:rPr>
      <w:rFonts w:hint="eastAsia" w:ascii="宋体" w:hAnsi="宋体" w:eastAsia="宋体" w:cs="宋体"/>
      <w:color w:val="FF0000"/>
      <w:sz w:val="22"/>
      <w:szCs w:val="22"/>
      <w:u w:val="none"/>
    </w:rPr>
  </w:style>
  <w:style w:type="paragraph" w:customStyle="1" w:styleId="30">
    <w:name w:val="Table Text"/>
    <w:basedOn w:val="1"/>
    <w:semiHidden/>
    <w:qFormat/>
    <w:uiPriority w:val="0"/>
    <w:rPr>
      <w:rFonts w:ascii="宋体" w:hAnsi="宋体" w:eastAsia="宋体" w:cs="宋体"/>
      <w:sz w:val="10"/>
      <w:szCs w:val="10"/>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408ded5e-ebe9-428f-a35b-225c8c686b30</errorID>
      <errorWord>开展2025年</errorWord>
      <group>L1_Word</group>
      <groupName>字词问题</groupName>
      <ability>L2_Typo</ability>
      <abilityName>字词错误</abilityName>
      <candidateList>
        <item>开展2025年度</item>
      </candidateList>
      <explain/>
      <paraID>210B566E</paraID>
      <start>2</start>
      <end>9</end>
      <status>ignored</status>
      <modifiedWord/>
      <trackRevisions>false</trackRevisions>
    </reviewItem>
    <reviewItem>
      <errorID>f1bdfa37-44c0-4356-8b3c-3119e6d8115e</errorID>
      <errorWord>&lt;</errorWord>
      <group>L1_Format</group>
      <groupName>格式问题</groupName>
      <ability>L2_HalfPunc_CN</ability>
      <abilityName>全半角问题</abilityName>
      <candidateList>
        <item>〈</item>
      </candidateList>
      <explain>文本全半角错误。</explain>
      <paraID>7A873C29</paraID>
      <start>97</start>
      <end>98</end>
      <status>ignored</status>
      <modifiedWord/>
      <trackRevisions>false</trackRevisions>
    </reviewItem>
    <reviewItem>
      <errorID>e4fdc3b9-6aaf-4201-a671-bbaace913c6a</errorID>
      <errorWord>&lt;</errorWord>
      <group>L1_Format</group>
      <groupName>格式问题</groupName>
      <ability>L2_HalfPunc_CN</ability>
      <abilityName>全半角问题</abilityName>
      <candidateList>
        <item>〈</item>
      </candidateList>
      <explain>文本全半角错误。</explain>
      <paraID>7A873C29</paraID>
      <start>146</start>
      <end>147</end>
      <status>ignored</status>
      <modifiedWord/>
      <trackRevisions>false</trackRevisions>
    </reviewItem>
    <reviewItem>
      <errorID>a115f325-5997-4e06-b4e2-63d92c6b1b9f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20BF7A7E</paraID>
      <start>275</start>
      <end>276</end>
      <status>ignored</status>
      <modifiedWord/>
      <trackRevisions>false</trackRevisions>
    </reviewItem>
    <reviewItem>
      <errorID>76838028-dadc-405a-a1a5-44c66ea6d562</errorID>
      <errorWord>展陈</errorWord>
      <group>L1_Word</group>
      <groupName>字词问题</groupName>
      <ability>L2_Typo</ability>
      <abilityName>字词错误</abilityName>
      <candidateList>
        <item>拖欠</item>
      </candidateList>
      <explain/>
      <paraID>5B42DFB0</paraID>
      <start>0</start>
      <end>2</end>
      <status>ignored</status>
      <modifiedWord/>
      <trackRevisions>false</trackRevisions>
    </reviewItem>
    <reviewItem>
      <errorID>9fae86df-2640-40f9-bbac-a8e33f126ce9</errorID>
      <errorWord>，</errorWord>
      <group>L1_Word</group>
      <groupName>字词问题</groupName>
      <ability>L2_Typo</ability>
      <abilityName>字词错误</abilityName>
      <candidateList>
        <item>，而</item>
      </candidateList>
      <explain/>
      <paraID>7B55963D</paraID>
      <start>55</start>
      <end>56</end>
      <status>ignored</status>
      <modifiedWord/>
      <trackRevisions>false</trackRevisions>
    </reviewItem>
    <reviewItem>
      <errorID>0584065a-cdb3-4fe4-b284-7959f332cde7</errorID>
      <errorWord>全</errorWord>
      <group>L1_Word</group>
      <groupName>字词问题</groupName>
      <ability>L2_Typo</ability>
      <abilityName>字词错误</abilityName>
      <candidateList>
        <item>全部</item>
      </candidateList>
      <explain/>
      <paraID>47111743</paraID>
      <start>4</start>
      <end>5</end>
      <status>ignored</status>
      <modifiedWord/>
      <trackRevisions>false</trackRevisions>
    </reviewItem>
    <reviewItem>
      <errorID>7ec10639-2478-4caa-bcd1-2f30a50e4a8c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19465525</paraID>
      <start>45</start>
      <end>46</end>
      <status>ignored</status>
      <modifiedWord/>
      <trackRevisions>false</trackRevisions>
    </reviewItem>
    <reviewItem>
      <errorID>591e22ee-1948-4473-a9bf-ac09de261fce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19465525</paraID>
      <start>158</start>
      <end>159</end>
      <status>ignored</status>
      <modifiedWord/>
      <trackRevisions>false</trackRevisions>
    </reviewItem>
    <reviewItem>
      <errorID>f5ea0fc6-cf4a-44c5-9f18-fed9d87e9c95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4B963BB8</paraID>
      <start>14</start>
      <end>15</end>
      <status>ignored</status>
      <modifiedWord/>
      <trackRevisions>false</trackRevisions>
    </reviewItem>
    <reviewItem>
      <errorID>196034ef-d7e0-4f80-8d6f-1a686b0113aa</errorID>
      <errorWord>,</errorWord>
      <group>L1_Format</group>
      <groupName>格式问题</groupName>
      <ability>L2_HalfPunc_CN</ability>
      <abilityName>全半角问题</abilityName>
      <candidateList>
        <item>，</item>
      </candidateList>
      <explain>文本全半角错误。</explain>
      <paraID>2A49FAA6</paraID>
      <start>337</start>
      <end>338</end>
      <status>ignored</status>
      <modifiedWord/>
      <trackRevisions>false</trackRevisions>
    </reviewItem>
    <reviewItem>
      <errorID>efea5a56-280c-4ab5-a9ae-15cb813a9f87</errorID>
      <errorWord>70%-80%</errorWord>
      <group>L1_Knowledge</group>
      <groupName>知识性问题</groupName>
      <ability>L2_Knowledge</ability>
      <abilityName>其他知识</abilityName>
      <candidateList>
        <item>70%—80%</item>
      </candidateList>
      <explain>1. “70%-80%”中的单位“%”仅出现在后一个数字上，容易引起歧义；根据《现代汉语标点符号数字用法规范手册》，数字表示范围两边需要使用统一的格式。2. 根据标点国标 4.13 中的规则，数字、时间或地域连接符应使用（视觉上更长的）“—”或“～”。</explain>
      <paraID>588F4044</paraID>
      <start>128</start>
      <end>135</end>
      <status>ignored</status>
      <modifiedWord/>
      <trackRevisions>false</trackRevisions>
    </reviewItem>
    <reviewItem>
      <errorID>74d2fd69-072f-4a22-b6e5-393952079f01</errorID>
      <errorWord>:</errorWord>
      <group>L1_Format</group>
      <groupName>格式问题</groupName>
      <ability>L2_HalfPunc_CN</ability>
      <abilityName>全半角问题</abilityName>
      <candidateList>
        <item>：</item>
      </candidateList>
      <explain>文本全半角错误。</explain>
      <paraID>161D159D</paraID>
      <start>22</start>
      <end>23</end>
      <status>modified</status>
      <modifiedWord>：</modifiedWord>
      <trackRevisions>false</trackRevisions>
    </reviewItem>
    <reviewItem>
      <errorID>e1000ce1-db17-46b4-9c05-3a6b659324ae</errorID>
      <errorWord>(</errorWord>
      <group>L1_Format</group>
      <groupName>格式问题</groupName>
      <ability>L2_HalfPunc_CN</ability>
      <abilityName>全半角问题</abilityName>
      <candidateList>
        <item>（</item>
      </candidateList>
      <explain>文本全半角错误。</explain>
      <paraID>674ED2F5</paraID>
      <start>3</start>
      <end>4</end>
      <status>ignored</status>
      <modifiedWord/>
      <trackRevisions>false</trackRevisions>
    </reviewItem>
    <reviewItem>
      <errorID>f99d033e-b944-4dcc-8601-4940109d9306</errorID>
      <errorWord>)</errorWord>
      <group>L1_Format</group>
      <groupName>格式问题</groupName>
      <ability>L2_HalfPunc_CN</ability>
      <abilityName>全半角问题</abilityName>
      <candidateList>
        <item>）</item>
      </candidateList>
      <explain>文本全半角错误。</explain>
      <paraID>3C43D2AF</paraID>
      <start>2</start>
      <end>3</end>
      <status>ignored</status>
      <modifiedWord/>
      <trackRevisions>false</trackRevisions>
    </reviewItem>
    <reviewItem>
      <errorID>486e6e7d-9bda-4004-8e0b-b975c69e3584</errorID>
      <errorWord>(</errorWord>
      <group>L1_Format</group>
      <groupName>格式问题</groupName>
      <ability>L2_HalfPunc_CN</ability>
      <abilityName>全半角问题</abilityName>
      <candidateList>
        <item>（</item>
      </candidateList>
      <explain>文本全半角错误。</explain>
      <paraID>789D09C1</paraID>
      <start>3</start>
      <end>4</end>
      <status>ignored</status>
      <modifiedWord/>
      <trackRevisions>false</trackRevisions>
    </reviewItem>
    <reviewItem>
      <errorID>e8d4f736-76b6-44e2-94df-c40080850f1f</errorID>
      <errorWord>)</errorWord>
      <group>L1_Format</group>
      <groupName>格式问题</groupName>
      <ability>L2_HalfPunc_CN</ability>
      <abilityName>全半角问题</abilityName>
      <candidateList>
        <item>）</item>
      </candidateList>
      <explain>文本全半角错误。</explain>
      <paraID>789D09C1</paraID>
      <start>7</start>
      <end>8</end>
      <status>ignored</status>
      <modifiedWord/>
      <trackRevisions>false</trackRevisions>
    </reviewItem>
    <reviewItem>
      <errorID>4ff14a0a-1e15-4a72-bd64-1a3c9bdadec7</errorID>
      <errorWord>(</errorWord>
      <group>L1_Format</group>
      <groupName>格式问题</groupName>
      <ability>L2_HalfPunc_CN</ability>
      <abilityName>全半角问题</abilityName>
      <candidateList>
        <item>（</item>
      </candidateList>
      <explain>文本全半角错误。</explain>
      <paraID>2C04BD89</paraID>
      <start>3</start>
      <end>4</end>
      <status>ignored</status>
      <modifiedWord/>
      <trackRevisions>false</trackRevisions>
    </reviewItem>
    <reviewItem>
      <errorID>6ded35e3-ea9d-4621-8a18-16db3bf1b429</errorID>
      <errorWord>)</errorWord>
      <group>L1_Format</group>
      <groupName>格式问题</groupName>
      <ability>L2_HalfPunc_CN</ability>
      <abilityName>全半角问题</abilityName>
      <candidateList>
        <item>）</item>
      </candidateList>
      <explain>文本全半角错误。</explain>
      <paraID>2C04BD89</paraID>
      <start>6</start>
      <end>7</end>
      <status>ignored</status>
      <modifiedWord/>
      <trackRevisions>false</trackRevisions>
    </reviewItem>
    <reviewItem>
      <errorID>1ab885bb-0e90-43f3-8e13-9877fa21f130</errorID>
      <errorWord>(</errorWord>
      <group>L1_Format</group>
      <groupName>格式问题</groupName>
      <ability>L2_HalfPunc_CN</ability>
      <abilityName>全半角问题</abilityName>
      <candidateList>
        <item>（</item>
      </candidateList>
      <explain>文本全半角错误。</explain>
      <paraID>113BCA32</paraID>
      <start>3</start>
      <end>4</end>
      <status>ignored</status>
      <modifiedWord/>
      <trackRevisions>false</trackRevisions>
    </reviewItem>
    <reviewItem>
      <errorID>353323dd-2f12-4fd8-9eb4-99b9e7e4b0a7</errorID>
      <errorWord>)</errorWord>
      <group>L1_Format</group>
      <groupName>格式问题</groupName>
      <ability>L2_HalfPunc_CN</ability>
      <abilityName>全半角问题</abilityName>
      <candidateList>
        <item>）</item>
      </candidateList>
      <explain>文本全半角错误。</explain>
      <paraID>113BCA32</paraID>
      <start>7</start>
      <end>8</end>
      <status>ignored</status>
      <modifiedWord/>
      <trackRevisions>false</trackRevisions>
    </reviewItem>
    <reviewItem>
      <errorID>c1efd8b3-db92-4c79-b089-180efed1726a</errorID>
      <errorWord>&lt;</errorWord>
      <group>L1_Format</group>
      <groupName>格式问题</groupName>
      <ability>L2_HalfPunc_CN</ability>
      <abilityName>全半角问题</abilityName>
      <candidateList>
        <item>〈</item>
      </candidateList>
      <explain>文本全半角错误。</explain>
      <paraID>117A44D6</paraID>
      <start>68</start>
      <end>69</end>
      <status>ignored</status>
      <modifiedWord/>
      <trackRevisions>false</trackRevisions>
    </reviewItem>
    <reviewItem>
      <errorID>b2e11a42-8b5e-4f8d-99d3-0f09151ab10a</errorID>
      <errorWord>&gt;的通知》</errorWord>
      <group>L1_Punc</group>
      <groupName>标点问题</groupName>
      <ability>L2_Punc_CN</ability>
      <abilityName>标点符号问题</abilityName>
      <candidateList>
        <item>〉的通知》</item>
      </candidateList>
      <explain/>
      <paraID>117A44D6</paraID>
      <start>87</start>
      <end>92</end>
      <status>ignored</status>
      <modifiedWord/>
      <trackRevisions>false</trackRevisions>
    </reviewItem>
    <reviewItem>
      <errorID>e0d0dc0c-4ed2-4153-96e5-a85380cda2e9</errorID>
      <errorWord>法律、法规</errorWord>
      <group>L1_Word</group>
      <groupName>字词问题</groupName>
      <ability>L2_Typo</ability>
      <abilityName>字词错误</abilityName>
      <candidateList>
        <item>法律法规</item>
      </candidateList>
      <explain/>
      <paraID>63FFB739</paraID>
      <start>78</start>
      <end>83</end>
      <status>ignored</status>
      <modifiedWord/>
      <trackRevisions>false</trackRevisions>
    </reviewItem>
    <reviewItem>
      <errorID>265000bf-bc4d-4e2b-a936-7ca6683bdcc6</errorID>
      <errorWord>(</errorWord>
      <group>L1_Format</group>
      <groupName>格式问题</groupName>
      <ability>L2_HalfPunc_CN</ability>
      <abilityName>全半角问题</abilityName>
      <candidateList>
        <item>（</item>
      </candidateList>
      <explain>文本全半角错误。</explain>
      <paraID>5615EF1A</paraID>
      <start>24</start>
      <end>25</end>
      <status>ignored</status>
      <modifiedWord/>
      <trackRevisions>false</trackRevisions>
    </reviewItem>
    <reviewItem>
      <errorID>f80fc287-db3f-4aaa-8194-88944587117e</errorID>
      <errorWord>)</errorWord>
      <group>L1_Format</group>
      <groupName>格式问题</groupName>
      <ability>L2_HalfPunc_CN</ability>
      <abilityName>全半角问题</abilityName>
      <candidateList>
        <item>）</item>
      </candidateList>
      <explain>文本全半角错误。</explain>
      <paraID>5615EF1A</paraID>
      <start>29</start>
      <end>30</end>
      <status>ignored</status>
      <modifiedWord/>
      <trackRevisions>false</trackRevisions>
    </reviewItem>
    <reviewItem>
      <errorID>cb838312-58a9-40f8-ad68-1c61bac38611</errorID>
      <errorWord>项目在</errorWord>
      <group>L1_Word</group>
      <groupName>字词问题</groupName>
      <ability>L2_Typo</ability>
      <abilityName>字词错误</abilityName>
      <candidateList>
        <item>项目</item>
      </candidateList>
      <explain/>
      <paraID>49F78586</paraID>
      <start>21</start>
      <end>24</end>
      <status>ignored</status>
      <modifiedWord/>
      <trackRevisions>false</trackRevisions>
    </reviewItem>
    <reviewItem>
      <errorID>5a18c3c6-65e5-40d6-8a69-221c9095549e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62296A71</paraID>
      <start>14</start>
      <end>15</end>
      <status>ignored</status>
      <modifiedWord/>
      <trackRevisions>false</trackRevisions>
    </reviewItem>
    <reviewItem>
      <errorID>bf683b9f-beac-4f51-a4e9-3c6e762fefd2</errorID>
      <errorWord>平米</errorWord>
      <group>L1_Word</group>
      <groupName>字词问题</groupName>
      <ability>L2_Typo</ability>
      <abilityName>字词错误</abilityName>
      <candidateList>
        <item>平方米</item>
      </candidateList>
      <explain/>
      <paraID>7C22B6F5</paraID>
      <start>1</start>
      <end>3</end>
      <status>ignored</status>
      <modifiedWord/>
      <trackRevisions>false</trackRevisions>
    </reviewItem>
  </reviewItems>
  <config/>
</contractReview>
</file>

<file path=customXml/itemProps1.xml><?xml version="1.0" encoding="utf-8"?>
<ds:datastoreItem xmlns:ds="http://schemas.openxmlformats.org/officeDocument/2006/customXml" ds:itemID="{57770146-2b7e-4b3f-80e7-8201dc492c01}">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2221</Words>
  <Characters>2537</Characters>
  <Lines>0</Lines>
  <Paragraphs>0</Paragraphs>
  <TotalTime>25</TotalTime>
  <ScaleCrop>false</ScaleCrop>
  <LinksUpToDate>false</LinksUpToDate>
  <CharactersWithSpaces>2537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2025-10-25T10:42:00Z</dcterms:created>
  <dc:creator>杨勇</dc:creator>
  <cp:lastModifiedBy>杨勇</cp:lastModifiedBy>
  <dcterms:modified xsi:type="dcterms:W3CDTF">2026-10-14T07:40:37Z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1395B8FCB4704102B54D04C8E1BB3706_13</vt:lpwstr>
  </property>
  <property fmtid="{D5CDD505-2E9C-101B-9397-08002B2CF9AE}" pid="4" name="KSOTemplateDocerSaveRecord">
    <vt:lpwstr>eyJoZGlkIjoiYWMwNTIzNzM2YzNlMmFhZWM2Yzc3ZWFmMzIyZjM0N2YiLCJ1c2VySWQiOiI3Nzc5MjM1NjEifQ==</vt:lpwstr>
  </property>
</Properties>
</file>