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91632F">
      <w:pPr>
        <w:keepNext w:val="0"/>
        <w:keepLines w:val="0"/>
        <w:pageBreakBefore w:val="0"/>
        <w:widowControl w:val="0"/>
        <w:suppressAutoHyphens/>
        <w:kinsoku/>
        <w:wordWrap/>
        <w:overflowPunct/>
        <w:topLinePunct w:val="0"/>
        <w:autoSpaceDE/>
        <w:autoSpaceDN/>
        <w:bidi w:val="0"/>
        <w:adjustRightInd/>
        <w:snapToGrid/>
        <w:jc w:val="center"/>
        <w:textAlignment w:val="auto"/>
        <w:outlineLvl w:val="0"/>
        <w:rPr>
          <w:rFonts w:hint="eastAsia" w:ascii="楷体" w:hAnsi="楷体" w:eastAsia="楷体" w:cs="楷体"/>
          <w:b/>
          <w:bCs/>
          <w:spacing w:val="6"/>
          <w:sz w:val="44"/>
          <w:szCs w:val="44"/>
        </w:rPr>
      </w:pPr>
      <w:bookmarkStart w:id="6" w:name="_GoBack"/>
      <w:bookmarkEnd w:id="6"/>
      <w:r>
        <w:rPr>
          <w:rFonts w:hint="eastAsia" w:ascii="楷体" w:hAnsi="楷体" w:eastAsia="楷体" w:cs="楷体"/>
          <w:b/>
          <w:bCs/>
          <w:spacing w:val="6"/>
          <w:sz w:val="44"/>
          <w:szCs w:val="44"/>
          <w:lang w:val="en-US" w:eastAsia="zh-CN"/>
        </w:rPr>
        <w:t>农村牧区饮水安全保障</w:t>
      </w:r>
      <w:r>
        <w:rPr>
          <w:rFonts w:hint="eastAsia" w:ascii="楷体" w:hAnsi="楷体" w:eastAsia="楷体" w:cs="楷体"/>
          <w:b/>
          <w:bCs/>
          <w:spacing w:val="6"/>
          <w:sz w:val="44"/>
          <w:szCs w:val="44"/>
        </w:rPr>
        <w:t>项目</w:t>
      </w:r>
    </w:p>
    <w:p w14:paraId="368D0C8D">
      <w:pPr>
        <w:keepNext w:val="0"/>
        <w:keepLines w:val="0"/>
        <w:pageBreakBefore w:val="0"/>
        <w:widowControl w:val="0"/>
        <w:suppressAutoHyphens/>
        <w:kinsoku/>
        <w:wordWrap/>
        <w:overflowPunct/>
        <w:topLinePunct w:val="0"/>
        <w:autoSpaceDE/>
        <w:autoSpaceDN/>
        <w:bidi w:val="0"/>
        <w:adjustRightInd/>
        <w:snapToGrid/>
        <w:jc w:val="center"/>
        <w:textAlignment w:val="auto"/>
        <w:outlineLvl w:val="0"/>
        <w:rPr>
          <w:rFonts w:hint="eastAsia" w:ascii="楷体" w:hAnsi="楷体" w:eastAsia="楷体" w:cs="楷体"/>
          <w:b/>
          <w:bCs/>
          <w:spacing w:val="6"/>
          <w:sz w:val="44"/>
          <w:szCs w:val="44"/>
        </w:rPr>
      </w:pPr>
      <w:r>
        <w:rPr>
          <w:rFonts w:hint="eastAsia" w:ascii="楷体" w:hAnsi="楷体" w:eastAsia="楷体" w:cs="楷体"/>
          <w:b/>
          <w:bCs/>
          <w:spacing w:val="6"/>
          <w:sz w:val="44"/>
          <w:szCs w:val="44"/>
        </w:rPr>
        <w:t>绩效评价简版报告</w:t>
      </w:r>
    </w:p>
    <w:p w14:paraId="534114A8">
      <w:pPr>
        <w:keepNext w:val="0"/>
        <w:keepLines w:val="0"/>
        <w:pageBreakBefore w:val="0"/>
        <w:widowControl w:val="0"/>
        <w:suppressAutoHyphens/>
        <w:kinsoku/>
        <w:wordWrap/>
        <w:overflowPunct/>
        <w:topLinePunct w:val="0"/>
        <w:autoSpaceDE/>
        <w:autoSpaceDN/>
        <w:bidi w:val="0"/>
        <w:adjustRightInd/>
        <w:snapToGrid/>
        <w:jc w:val="center"/>
        <w:textAlignment w:val="auto"/>
        <w:outlineLvl w:val="0"/>
        <w:rPr>
          <w:rFonts w:hint="eastAsia" w:ascii="楷体" w:hAnsi="楷体" w:eastAsia="楷体" w:cs="楷体"/>
          <w:b/>
          <w:bCs/>
          <w:spacing w:val="6"/>
          <w:sz w:val="44"/>
          <w:szCs w:val="44"/>
        </w:rPr>
      </w:pPr>
    </w:p>
    <w:p w14:paraId="7E6FA900">
      <w:pPr>
        <w:numPr>
          <w:ilvl w:val="0"/>
          <w:numId w:val="1"/>
        </w:numPr>
        <w:snapToGrid w:val="0"/>
        <w:spacing w:line="360" w:lineRule="auto"/>
        <w:ind w:firstLine="640" w:firstLineChars="200"/>
        <w:jc w:val="both"/>
        <w:rPr>
          <w:rFonts w:ascii="黑体" w:hAnsi="黑体" w:eastAsia="黑体" w:cs="黑体"/>
          <w:sz w:val="32"/>
          <w:szCs w:val="32"/>
        </w:rPr>
      </w:pPr>
      <w:r>
        <w:rPr>
          <w:rFonts w:hint="eastAsia" w:ascii="黑体" w:hAnsi="黑体" w:eastAsia="黑体" w:cs="黑体"/>
          <w:sz w:val="32"/>
          <w:szCs w:val="32"/>
        </w:rPr>
        <w:t>基本情况</w:t>
      </w:r>
    </w:p>
    <w:p w14:paraId="50DE34E2">
      <w:pPr>
        <w:keepNext w:val="0"/>
        <w:keepLines w:val="0"/>
        <w:pageBreakBefore w:val="0"/>
        <w:widowControl w:val="0"/>
        <w:kinsoku w:val="0"/>
        <w:wordWrap/>
        <w:overflowPunct/>
        <w:topLinePunct w:val="0"/>
        <w:autoSpaceDE w:val="0"/>
        <w:autoSpaceDN w:val="0"/>
        <w:bidi w:val="0"/>
        <w:adjustRightInd w:val="0"/>
        <w:snapToGrid w:val="0"/>
        <w:spacing w:line="360" w:lineRule="auto"/>
        <w:ind w:firstLine="667" w:firstLineChars="200"/>
        <w:jc w:val="both"/>
        <w:textAlignment w:val="baseline"/>
        <w:rPr>
          <w:rFonts w:hint="eastAsia" w:eastAsia="仿宋_GB2312"/>
          <w:color w:val="FF0000"/>
          <w:sz w:val="32"/>
          <w:szCs w:val="32"/>
        </w:rPr>
      </w:pPr>
      <w:r>
        <w:rPr>
          <w:rFonts w:hint="eastAsia" w:ascii="楷体" w:hAnsi="楷体" w:eastAsia="楷体" w:cs="楷体"/>
          <w:b/>
          <w:bCs/>
          <w:spacing w:val="6"/>
          <w:sz w:val="32"/>
          <w:szCs w:val="32"/>
          <w:lang w:val="en-US" w:eastAsia="zh-CN"/>
        </w:rPr>
        <w:t>（一）项目内容</w:t>
      </w:r>
    </w:p>
    <w:p w14:paraId="4CCBEA85">
      <w:pPr>
        <w:pStyle w:val="6"/>
        <w:adjustRightInd w:val="0"/>
        <w:snapToGrid w:val="0"/>
        <w:spacing w:after="0" w:line="360" w:lineRule="auto"/>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sz w:val="32"/>
          <w:szCs w:val="32"/>
        </w:rPr>
        <w:t>伊金霍洛旗</w:t>
      </w:r>
      <w:r>
        <w:rPr>
          <w:rFonts w:hint="eastAsia" w:ascii="仿宋" w:hAnsi="仿宋" w:eastAsia="仿宋" w:cs="仿宋"/>
          <w:color w:val="auto"/>
          <w:kern w:val="2"/>
          <w:sz w:val="32"/>
          <w:szCs w:val="32"/>
          <w:lang w:val="en-US" w:eastAsia="zh-CN" w:bidi="ar-SA"/>
        </w:rPr>
        <w:t>农村牧区饮水安全保障项目主要包括3项建设工程，各项建设内容主要包括：</w:t>
      </w:r>
    </w:p>
    <w:p w14:paraId="1C282044">
      <w:pPr>
        <w:pStyle w:val="6"/>
        <w:adjustRightInd w:val="0"/>
        <w:snapToGrid w:val="0"/>
        <w:spacing w:after="0" w:line="360" w:lineRule="auto"/>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（1）农村供水水质提升工程计划更新改造水源井9眼、配套潜水泵7套，新建井房4座，新建水塔1座，维修水塔4座，清洗水塔15座，新增消毒设备5套，安装单户净化水处理设备29套；</w:t>
      </w:r>
    </w:p>
    <w:p w14:paraId="64D084BB">
      <w:pPr>
        <w:pStyle w:val="6"/>
        <w:adjustRightInd w:val="0"/>
        <w:snapToGrid w:val="0"/>
        <w:spacing w:after="0" w:line="360" w:lineRule="auto"/>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（2）农村供水提升改造工程计划更新机电井及配套设施设备2处，新建水塔3座，新建井房3座，更新管网7.56万米，新建阀门井及水表井329座，安装入户智能水表284套；</w:t>
      </w:r>
    </w:p>
    <w:p w14:paraId="5D0294FB">
      <w:pPr>
        <w:pStyle w:val="6"/>
        <w:adjustRightInd w:val="0"/>
        <w:snapToGrid w:val="0"/>
        <w:spacing w:after="0" w:line="360" w:lineRule="auto"/>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（3）农村供水标准化提升工程计划建设水表井305座，安装电磁流量计319台，压力传感器319个，水泵自动启停装置184台，监控设备380台，管理平台终端设备一套及软件系统一套。</w:t>
      </w:r>
    </w:p>
    <w:p w14:paraId="20760271">
      <w:pPr>
        <w:keepNext w:val="0"/>
        <w:keepLines w:val="0"/>
        <w:pageBreakBefore w:val="0"/>
        <w:widowControl w:val="0"/>
        <w:kinsoku w:val="0"/>
        <w:wordWrap/>
        <w:overflowPunct/>
        <w:topLinePunct w:val="0"/>
        <w:autoSpaceDE w:val="0"/>
        <w:autoSpaceDN w:val="0"/>
        <w:bidi w:val="0"/>
        <w:adjustRightInd w:val="0"/>
        <w:snapToGrid w:val="0"/>
        <w:spacing w:line="360" w:lineRule="auto"/>
        <w:ind w:firstLine="667" w:firstLineChars="200"/>
        <w:jc w:val="both"/>
        <w:textAlignment w:val="baseline"/>
        <w:rPr>
          <w:rFonts w:hint="eastAsia"/>
          <w:lang w:val="en-US" w:eastAsia="zh-CN"/>
        </w:rPr>
      </w:pPr>
      <w:r>
        <w:rPr>
          <w:rFonts w:hint="eastAsia" w:ascii="楷体" w:hAnsi="楷体" w:eastAsia="楷体" w:cs="楷体"/>
          <w:b/>
          <w:bCs/>
          <w:spacing w:val="6"/>
          <w:sz w:val="32"/>
          <w:szCs w:val="32"/>
          <w:highlight w:val="none"/>
          <w:lang w:val="en-US" w:eastAsia="zh-CN"/>
        </w:rPr>
        <w:t>（二）资金投入及使用情况</w:t>
      </w:r>
    </w:p>
    <w:p w14:paraId="3AA1A28F">
      <w:pPr>
        <w:pStyle w:val="6"/>
        <w:adjustRightInd w:val="0"/>
        <w:snapToGrid w:val="0"/>
        <w:spacing w:after="0" w:line="360" w:lineRule="auto"/>
        <w:ind w:firstLine="640" w:firstLineChars="200"/>
        <w:jc w:val="both"/>
        <w:rPr>
          <w:rFonts w:hint="eastAsia" w:ascii="仿宋" w:hAnsi="仿宋" w:eastAsia="仿宋"/>
          <w:color w:val="auto"/>
          <w:sz w:val="32"/>
          <w:szCs w:val="32"/>
          <w:lang w:val="en-US" w:eastAsia="zh-CN"/>
        </w:rPr>
        <w:sectPr>
          <w:headerReference r:id="rId5" w:type="default"/>
          <w:footerReference r:id="rId6" w:type="default"/>
          <w:pgSz w:w="11906" w:h="16838"/>
          <w:pgMar w:top="1440" w:right="1803" w:bottom="1440" w:left="1803" w:header="851" w:footer="992" w:gutter="0"/>
          <w:pgNumType w:fmt="decimal" w:start="1"/>
          <w:cols w:space="720" w:num="1"/>
          <w:rtlGutter w:val="0"/>
          <w:docGrid w:type="lines" w:linePitch="312" w:charSpace="0"/>
        </w:sectPr>
      </w:pPr>
      <w:r>
        <w:rPr>
          <w:rFonts w:hint="eastAsia" w:ascii="仿宋" w:hAnsi="仿宋" w:eastAsia="仿宋"/>
          <w:sz w:val="32"/>
          <w:szCs w:val="32"/>
          <w:lang w:val="en-US" w:eastAsia="zh-CN"/>
        </w:rPr>
        <w:t>依据</w:t>
      </w:r>
      <w:r>
        <w:rPr>
          <w:rFonts w:hint="eastAsia" w:ascii="仿宋" w:hAnsi="仿宋" w:eastAsia="仿宋"/>
          <w:color w:val="auto"/>
          <w:sz w:val="32"/>
          <w:szCs w:val="32"/>
          <w:lang w:val="en-US" w:eastAsia="zh-CN"/>
        </w:rPr>
        <w:t>《伊金霍洛旗农牧和水利局关于农村牧区饮水安全保障民生实事项目资金的申请》，伊金霍洛旗农村牧区饮水</w:t>
      </w:r>
    </w:p>
    <w:p w14:paraId="36D93542">
      <w:pPr>
        <w:pStyle w:val="6"/>
        <w:adjustRightInd w:val="0"/>
        <w:snapToGrid w:val="0"/>
        <w:spacing w:after="0" w:line="360" w:lineRule="auto"/>
        <w:jc w:val="both"/>
        <w:rPr>
          <w:rFonts w:hint="eastAsia" w:ascii="仿宋" w:hAnsi="仿宋" w:eastAsia="仿宋" w:cs="Arial"/>
          <w:kern w:val="0"/>
          <w:sz w:val="32"/>
          <w:szCs w:val="32"/>
          <w:highlight w:val="none"/>
          <w:lang w:val="en-US" w:eastAsia="zh-CN"/>
        </w:rPr>
      </w:pPr>
      <w:r>
        <w:rPr>
          <w:rFonts w:hint="eastAsia" w:ascii="仿宋" w:hAnsi="仿宋" w:eastAsia="仿宋"/>
          <w:color w:val="auto"/>
          <w:sz w:val="32"/>
          <w:szCs w:val="32"/>
          <w:lang w:val="en-US" w:eastAsia="zh-CN"/>
        </w:rPr>
        <w:t>安全保障项目资金申请</w:t>
      </w:r>
      <w:r>
        <w:rPr>
          <w:rFonts w:hint="eastAsia" w:ascii="仿宋" w:hAnsi="仿宋" w:eastAsia="仿宋"/>
          <w:color w:val="auto"/>
          <w:sz w:val="32"/>
          <w:szCs w:val="32"/>
        </w:rPr>
        <w:t>总</w:t>
      </w:r>
      <w:r>
        <w:rPr>
          <w:rFonts w:hint="eastAsia" w:ascii="仿宋" w:hAnsi="仿宋" w:eastAsia="仿宋"/>
          <w:color w:val="auto"/>
          <w:sz w:val="32"/>
          <w:szCs w:val="32"/>
          <w:lang w:val="en-US" w:eastAsia="zh-CN"/>
        </w:rPr>
        <w:t>额1654.00</w:t>
      </w:r>
      <w:r>
        <w:rPr>
          <w:rFonts w:hint="eastAsia" w:ascii="仿宋" w:hAnsi="仿宋" w:eastAsia="仿宋"/>
          <w:color w:val="auto"/>
          <w:sz w:val="32"/>
          <w:szCs w:val="32"/>
        </w:rPr>
        <w:t>万元，包括</w:t>
      </w:r>
      <w:r>
        <w:rPr>
          <w:rFonts w:hint="eastAsia" w:ascii="仿宋" w:hAnsi="仿宋" w:eastAsia="仿宋"/>
          <w:color w:val="auto"/>
          <w:sz w:val="32"/>
          <w:szCs w:val="32"/>
          <w:lang w:val="en-US" w:eastAsia="zh-CN"/>
        </w:rPr>
        <w:t>自治区资金400.00万元，</w:t>
      </w:r>
      <w:r>
        <w:rPr>
          <w:rFonts w:hint="eastAsia" w:ascii="仿宋" w:hAnsi="仿宋" w:eastAsia="仿宋"/>
          <w:color w:val="auto"/>
          <w:sz w:val="32"/>
          <w:szCs w:val="32"/>
        </w:rPr>
        <w:t>市级资金</w:t>
      </w:r>
      <w:r>
        <w:rPr>
          <w:rFonts w:hint="eastAsia" w:ascii="仿宋" w:hAnsi="仿宋" w:eastAsia="仿宋"/>
          <w:color w:val="auto"/>
          <w:sz w:val="32"/>
          <w:szCs w:val="32"/>
          <w:lang w:val="en-US" w:eastAsia="zh-CN"/>
        </w:rPr>
        <w:t>164.00</w:t>
      </w:r>
      <w:r>
        <w:rPr>
          <w:rFonts w:hint="eastAsia" w:ascii="仿宋" w:hAnsi="仿宋" w:eastAsia="仿宋"/>
          <w:color w:val="auto"/>
          <w:sz w:val="32"/>
          <w:szCs w:val="32"/>
        </w:rPr>
        <w:t>万元，旗级</w:t>
      </w:r>
      <w:r>
        <w:rPr>
          <w:rFonts w:hint="eastAsia" w:ascii="仿宋" w:hAnsi="仿宋" w:eastAsia="仿宋"/>
          <w:color w:val="auto"/>
          <w:sz w:val="32"/>
          <w:szCs w:val="32"/>
          <w:lang w:eastAsia="zh-CN"/>
        </w:rPr>
        <w:t>财政资金</w:t>
      </w:r>
      <w:r>
        <w:rPr>
          <w:rFonts w:hint="eastAsia" w:ascii="仿宋" w:hAnsi="仿宋" w:eastAsia="仿宋"/>
          <w:color w:val="auto"/>
          <w:sz w:val="32"/>
          <w:szCs w:val="32"/>
          <w:lang w:val="en-US" w:eastAsia="zh-CN"/>
        </w:rPr>
        <w:t>1090.00</w:t>
      </w:r>
      <w:r>
        <w:rPr>
          <w:rFonts w:hint="eastAsia" w:ascii="仿宋" w:hAnsi="仿宋" w:eastAsia="仿宋"/>
          <w:color w:val="auto"/>
          <w:sz w:val="32"/>
          <w:szCs w:val="32"/>
        </w:rPr>
        <w:t>万元。</w:t>
      </w:r>
      <w:r>
        <w:rPr>
          <w:rFonts w:hint="eastAsia" w:ascii="仿宋" w:hAnsi="仿宋" w:eastAsia="仿宋"/>
          <w:color w:val="auto"/>
          <w:sz w:val="32"/>
          <w:szCs w:val="32"/>
          <w:lang w:val="en-US" w:eastAsia="zh-CN"/>
        </w:rPr>
        <w:t>截</w:t>
      </w:r>
      <w:r>
        <w:rPr>
          <w:rFonts w:hint="eastAsia" w:ascii="仿宋" w:hAnsi="仿宋" w:eastAsia="仿宋"/>
          <w:sz w:val="32"/>
          <w:szCs w:val="32"/>
          <w:lang w:val="en-US" w:eastAsia="zh-CN"/>
        </w:rPr>
        <w:t>至评价日，自治区资金与市级资金全部支出，旗级财政资金到位550万元全部支出</w:t>
      </w:r>
      <w:r>
        <w:rPr>
          <w:rFonts w:hint="eastAsia" w:ascii="仿宋" w:hAnsi="仿宋" w:eastAsia="仿宋" w:cs="Arial"/>
          <w:kern w:val="0"/>
          <w:sz w:val="32"/>
          <w:szCs w:val="32"/>
          <w:highlight w:val="none"/>
          <w:lang w:val="en-US" w:eastAsia="zh-CN"/>
        </w:rPr>
        <w:t>。</w:t>
      </w:r>
    </w:p>
    <w:p w14:paraId="2285F3D3">
      <w:pPr>
        <w:keepNext w:val="0"/>
        <w:keepLines w:val="0"/>
        <w:pageBreakBefore w:val="0"/>
        <w:widowControl w:val="0"/>
        <w:kinsoku w:val="0"/>
        <w:wordWrap/>
        <w:overflowPunct/>
        <w:topLinePunct w:val="0"/>
        <w:autoSpaceDE w:val="0"/>
        <w:autoSpaceDN w:val="0"/>
        <w:bidi w:val="0"/>
        <w:adjustRightInd w:val="0"/>
        <w:snapToGrid w:val="0"/>
        <w:spacing w:line="360" w:lineRule="auto"/>
        <w:ind w:firstLine="667" w:firstLineChars="200"/>
        <w:jc w:val="both"/>
        <w:textAlignment w:val="baseline"/>
        <w:rPr>
          <w:rFonts w:hint="eastAsia" w:ascii="楷体" w:hAnsi="楷体" w:eastAsia="楷体" w:cs="楷体"/>
          <w:b/>
          <w:bCs/>
          <w:spacing w:val="6"/>
          <w:sz w:val="32"/>
          <w:szCs w:val="32"/>
          <w:highlight w:val="none"/>
          <w:lang w:val="en-US" w:eastAsia="zh-CN"/>
        </w:rPr>
      </w:pPr>
      <w:r>
        <w:rPr>
          <w:rFonts w:hint="eastAsia" w:ascii="楷体" w:hAnsi="楷体" w:eastAsia="楷体" w:cs="楷体"/>
          <w:b/>
          <w:bCs/>
          <w:spacing w:val="6"/>
          <w:sz w:val="32"/>
          <w:szCs w:val="32"/>
          <w:highlight w:val="none"/>
          <w:lang w:val="en-US" w:eastAsia="zh-CN"/>
        </w:rPr>
        <w:t>（三）项目绩效目标</w:t>
      </w:r>
    </w:p>
    <w:p w14:paraId="5132575E">
      <w:pPr>
        <w:keepNext w:val="0"/>
        <w:keepLines w:val="0"/>
        <w:pageBreakBefore w:val="0"/>
        <w:widowControl w:val="0"/>
        <w:kinsoku w:val="0"/>
        <w:wordWrap/>
        <w:overflowPunct/>
        <w:topLinePunct w:val="0"/>
        <w:autoSpaceDE w:val="0"/>
        <w:autoSpaceDN w:val="0"/>
        <w:bidi w:val="0"/>
        <w:adjustRightInd w:val="0"/>
        <w:snapToGrid w:val="0"/>
        <w:spacing w:line="360" w:lineRule="auto"/>
        <w:ind w:firstLine="667" w:firstLineChars="200"/>
        <w:jc w:val="both"/>
        <w:textAlignment w:val="baseline"/>
        <w:outlineLvl w:val="2"/>
        <w:rPr>
          <w:rFonts w:hint="eastAsia"/>
          <w:lang w:val="en-US" w:eastAsia="zh-CN"/>
        </w:rPr>
      </w:pPr>
      <w:bookmarkStart w:id="0" w:name="_Toc15429"/>
      <w:bookmarkStart w:id="1" w:name="_Toc17681"/>
      <w:bookmarkStart w:id="2" w:name="_Toc4579"/>
      <w:r>
        <w:rPr>
          <w:rFonts w:hint="eastAsia" w:ascii="仿宋" w:hAnsi="仿宋" w:eastAsia="仿宋" w:cs="仿宋"/>
          <w:b/>
          <w:bCs/>
          <w:spacing w:val="6"/>
          <w:sz w:val="32"/>
          <w:szCs w:val="32"/>
          <w:highlight w:val="none"/>
          <w:lang w:val="en-US" w:eastAsia="zh-CN"/>
        </w:rPr>
        <w:t>1.绩效目标</w:t>
      </w:r>
      <w:bookmarkEnd w:id="0"/>
      <w:bookmarkEnd w:id="1"/>
      <w:bookmarkEnd w:id="2"/>
    </w:p>
    <w:p w14:paraId="2A4E943E">
      <w:pPr>
        <w:pStyle w:val="6"/>
        <w:adjustRightInd w:val="0"/>
        <w:snapToGrid w:val="0"/>
        <w:spacing w:after="0" w:line="360" w:lineRule="auto"/>
        <w:ind w:firstLine="640" w:firstLineChars="200"/>
        <w:jc w:val="both"/>
        <w:rPr>
          <w:rFonts w:hint="eastAsia" w:ascii="仿宋" w:hAnsi="仿宋" w:eastAsia="仿宋"/>
          <w:sz w:val="32"/>
          <w:szCs w:val="32"/>
          <w:lang w:val="en-US" w:eastAsia="zh-CN"/>
        </w:rPr>
      </w:pPr>
      <w:r>
        <w:rPr>
          <w:rFonts w:hint="eastAsia" w:ascii="仿宋" w:hAnsi="仿宋" w:eastAsia="仿宋" w:cs="宋体"/>
          <w:color w:val="auto"/>
          <w:kern w:val="0"/>
          <w:sz w:val="32"/>
          <w:szCs w:val="32"/>
          <w:lang w:val="en-US" w:eastAsia="zh-CN"/>
        </w:rPr>
        <w:t>伊旗水利事业发展中心设置了</w:t>
      </w:r>
      <w:r>
        <w:rPr>
          <w:rFonts w:hint="eastAsia" w:ascii="仿宋" w:hAnsi="仿宋" w:eastAsia="仿宋"/>
          <w:sz w:val="32"/>
          <w:szCs w:val="32"/>
          <w:highlight w:val="none"/>
          <w:lang w:val="en-US" w:eastAsia="zh-CN"/>
        </w:rPr>
        <w:t>项目绩效目标，项目年度绩效目标为</w:t>
      </w:r>
      <w:r>
        <w:rPr>
          <w:rFonts w:hint="eastAsia" w:ascii="仿宋" w:hAnsi="仿宋" w:eastAsia="仿宋"/>
          <w:sz w:val="32"/>
          <w:szCs w:val="32"/>
          <w:lang w:val="en-US" w:eastAsia="zh-CN"/>
        </w:rPr>
        <w:t>农村牧区饮水安全保障项目建设内容：更新水源井，新建蓄水池，维修蓄水池，铺设管道，安装服务器终端设备一套、软件系统一套，有效促进农村饮水安全，解决项目区饮水困难问题。</w:t>
      </w:r>
    </w:p>
    <w:p w14:paraId="5FA60E87">
      <w:pPr>
        <w:pStyle w:val="6"/>
        <w:adjustRightInd w:val="0"/>
        <w:snapToGrid w:val="0"/>
        <w:spacing w:after="0" w:line="360" w:lineRule="auto"/>
        <w:ind w:firstLine="635" w:firstLineChars="200"/>
        <w:jc w:val="both"/>
        <w:rPr>
          <w:rFonts w:hint="eastAsia" w:ascii="仿宋" w:hAnsi="仿宋" w:eastAsia="仿宋" w:cs="仿宋"/>
          <w:b/>
          <w:bCs/>
          <w:spacing w:val="-2"/>
          <w:sz w:val="32"/>
          <w:szCs w:val="32"/>
          <w:lang w:val="en-US" w:eastAsia="zh-CN"/>
        </w:rPr>
      </w:pPr>
      <w:r>
        <w:rPr>
          <w:rFonts w:hint="eastAsia" w:ascii="仿宋" w:hAnsi="仿宋" w:eastAsia="仿宋" w:cs="仿宋"/>
          <w:b/>
          <w:bCs/>
          <w:spacing w:val="-2"/>
          <w:sz w:val="32"/>
          <w:szCs w:val="32"/>
          <w:lang w:val="en-US" w:eastAsia="zh-CN"/>
        </w:rPr>
        <w:t>2.绩效指标</w:t>
      </w:r>
    </w:p>
    <w:p w14:paraId="15329AF4">
      <w:pPr>
        <w:pStyle w:val="6"/>
        <w:adjustRightInd w:val="0"/>
        <w:snapToGrid w:val="0"/>
        <w:spacing w:after="0" w:line="360" w:lineRule="auto"/>
        <w:ind w:firstLine="640" w:firstLineChars="200"/>
        <w:jc w:val="both"/>
        <w:rPr>
          <w:rFonts w:ascii="仿宋" w:hAnsi="仿宋" w:eastAsia="仿宋" w:cstheme="minorBidi"/>
          <w:bCs/>
          <w:sz w:val="32"/>
          <w:szCs w:val="32"/>
          <w:shd w:val="clear" w:color="auto" w:fill="FFFFFF" w:themeFill="background1"/>
        </w:rPr>
      </w:pPr>
      <w:r>
        <w:rPr>
          <w:rFonts w:hint="eastAsia" w:ascii="仿宋" w:hAnsi="仿宋" w:eastAsia="仿宋"/>
          <w:sz w:val="32"/>
          <w:szCs w:val="32"/>
        </w:rPr>
        <w:t>伊金霍洛旗</w:t>
      </w:r>
      <w:r>
        <w:rPr>
          <w:rFonts w:hint="eastAsia" w:ascii="仿宋" w:hAnsi="仿宋" w:eastAsia="仿宋"/>
          <w:sz w:val="32"/>
          <w:szCs w:val="32"/>
          <w:lang w:eastAsia="zh-CN"/>
        </w:rPr>
        <w:t>农村牧区饮水安全保障项目</w:t>
      </w:r>
      <w:r>
        <w:rPr>
          <w:rFonts w:hint="eastAsia" w:ascii="仿宋" w:hAnsi="仿宋" w:eastAsia="仿宋" w:cstheme="minorBidi"/>
          <w:bCs/>
          <w:sz w:val="32"/>
          <w:szCs w:val="32"/>
          <w:shd w:val="clear" w:color="auto" w:fill="FFFFFF" w:themeFill="background1"/>
        </w:rPr>
        <w:t>绩效指标见表</w:t>
      </w:r>
      <w:r>
        <w:rPr>
          <w:rFonts w:hint="eastAsia" w:ascii="仿宋" w:hAnsi="仿宋" w:eastAsia="仿宋" w:cstheme="minorBidi"/>
          <w:bCs/>
          <w:sz w:val="32"/>
          <w:szCs w:val="32"/>
          <w:shd w:val="clear" w:color="auto" w:fill="FFFFFF" w:themeFill="background1"/>
          <w:lang w:val="en-US" w:eastAsia="zh-CN"/>
        </w:rPr>
        <w:t>1</w:t>
      </w:r>
      <w:r>
        <w:rPr>
          <w:rFonts w:hint="eastAsia" w:ascii="仿宋" w:hAnsi="仿宋" w:eastAsia="仿宋" w:cstheme="minorBidi"/>
          <w:bCs/>
          <w:sz w:val="32"/>
          <w:szCs w:val="32"/>
          <w:shd w:val="clear" w:color="auto" w:fill="FFFFFF" w:themeFill="background1"/>
        </w:rPr>
        <w:t>。</w:t>
      </w:r>
    </w:p>
    <w:p w14:paraId="5B8AE143">
      <w:pPr>
        <w:pStyle w:val="17"/>
        <w:adjustRightInd w:val="0"/>
        <w:snapToGrid w:val="0"/>
        <w:spacing w:after="0" w:line="360" w:lineRule="auto"/>
        <w:ind w:left="0" w:leftChars="0" w:firstLine="0"/>
        <w:jc w:val="center"/>
        <w:rPr>
          <w:rFonts w:ascii="黑体" w:hAnsi="黑体" w:eastAsia="黑体" w:cstheme="minorBidi"/>
          <w:sz w:val="24"/>
        </w:rPr>
      </w:pPr>
      <w:r>
        <w:rPr>
          <w:rFonts w:hint="eastAsia" w:ascii="黑体" w:hAnsi="黑体" w:eastAsia="黑体" w:cstheme="minorBidi"/>
          <w:sz w:val="24"/>
        </w:rPr>
        <w:t>表</w:t>
      </w:r>
      <w:r>
        <w:rPr>
          <w:rFonts w:hint="eastAsia" w:ascii="黑体" w:hAnsi="黑体" w:eastAsia="黑体" w:cstheme="minorBidi"/>
          <w:sz w:val="24"/>
          <w:lang w:val="en-US" w:eastAsia="zh-CN"/>
        </w:rPr>
        <w:t xml:space="preserve">1 </w:t>
      </w:r>
      <w:r>
        <w:rPr>
          <w:rFonts w:hint="eastAsia" w:ascii="黑体" w:hAnsi="黑体" w:eastAsia="黑体" w:cstheme="minorBidi"/>
          <w:sz w:val="24"/>
          <w:lang w:eastAsia="zh-CN"/>
        </w:rPr>
        <w:t>农村牧区饮水安全保障项目</w:t>
      </w:r>
      <w:r>
        <w:rPr>
          <w:rFonts w:hint="eastAsia" w:ascii="黑体" w:hAnsi="黑体" w:eastAsia="黑体" w:cstheme="minorBidi"/>
          <w:sz w:val="24"/>
        </w:rPr>
        <w:t>绩效指标表</w:t>
      </w:r>
    </w:p>
    <w:tbl>
      <w:tblPr>
        <w:tblStyle w:val="18"/>
        <w:tblW w:w="9298" w:type="dxa"/>
        <w:jc w:val="center"/>
        <w:tblLayout w:type="fixed"/>
        <w:tblCellMar>
          <w:top w:w="0" w:type="dxa"/>
          <w:left w:w="108" w:type="dxa"/>
          <w:bottom w:w="0" w:type="dxa"/>
          <w:right w:w="108" w:type="dxa"/>
        </w:tblCellMar>
      </w:tblPr>
      <w:tblGrid>
        <w:gridCol w:w="1058"/>
        <w:gridCol w:w="1207"/>
        <w:gridCol w:w="3193"/>
        <w:gridCol w:w="1017"/>
        <w:gridCol w:w="1340"/>
        <w:gridCol w:w="1483"/>
      </w:tblGrid>
      <w:tr w14:paraId="6B6A5929">
        <w:tblPrEx>
          <w:tblCellMar>
            <w:top w:w="0" w:type="dxa"/>
            <w:left w:w="108" w:type="dxa"/>
            <w:bottom w:w="0" w:type="dxa"/>
            <w:right w:w="108" w:type="dxa"/>
          </w:tblCellMar>
        </w:tblPrEx>
        <w:trPr>
          <w:trHeight w:val="397" w:hRule="atLeast"/>
          <w:tblHeader/>
          <w:jc w:val="center"/>
        </w:trPr>
        <w:tc>
          <w:tcPr>
            <w:tcW w:w="1058" w:type="dxa"/>
            <w:tcBorders>
              <w:top w:val="single" w:color="000000" w:sz="4" w:space="0"/>
              <w:left w:val="single" w:color="000000" w:sz="4" w:space="0"/>
              <w:bottom w:val="single" w:color="auto" w:sz="4" w:space="0"/>
              <w:right w:val="single" w:color="000000" w:sz="4" w:space="0"/>
            </w:tcBorders>
            <w:shd w:val="clear" w:color="auto" w:fill="auto"/>
            <w:vAlign w:val="center"/>
          </w:tcPr>
          <w:p w14:paraId="00B457B6">
            <w:pPr>
              <w:widowControl/>
              <w:adjustRightInd w:val="0"/>
              <w:snapToGrid w:val="0"/>
              <w:jc w:val="center"/>
              <w:textAlignment w:val="center"/>
              <w:rPr>
                <w:rFonts w:ascii="宋体" w:hAnsi="宋体" w:eastAsia="宋体" w:cs="宋体"/>
                <w:b/>
                <w:bCs/>
                <w:kern w:val="0"/>
                <w:szCs w:val="21"/>
                <w:lang w:bidi="ar"/>
              </w:rPr>
            </w:pPr>
            <w:r>
              <w:rPr>
                <w:rFonts w:hint="eastAsia" w:ascii="宋体" w:hAnsi="宋体" w:eastAsia="宋体" w:cs="宋体"/>
                <w:b/>
                <w:bCs/>
                <w:kern w:val="0"/>
                <w:szCs w:val="21"/>
                <w:lang w:bidi="ar"/>
              </w:rPr>
              <w:t>一级</w:t>
            </w:r>
          </w:p>
          <w:p w14:paraId="48213AB0">
            <w:pPr>
              <w:widowControl/>
              <w:adjustRightInd w:val="0"/>
              <w:snapToGrid w:val="0"/>
              <w:jc w:val="center"/>
              <w:textAlignment w:val="center"/>
              <w:rPr>
                <w:rFonts w:ascii="宋体" w:hAnsi="宋体" w:eastAsia="宋体" w:cs="宋体"/>
                <w:b/>
                <w:bCs/>
                <w:kern w:val="0"/>
                <w:szCs w:val="21"/>
                <w:lang w:bidi="ar"/>
              </w:rPr>
            </w:pPr>
            <w:r>
              <w:rPr>
                <w:rFonts w:hint="eastAsia" w:ascii="宋体" w:hAnsi="宋体" w:eastAsia="宋体" w:cs="宋体"/>
                <w:b/>
                <w:bCs/>
                <w:kern w:val="0"/>
                <w:szCs w:val="21"/>
                <w:lang w:bidi="ar"/>
              </w:rPr>
              <w:t>指标</w:t>
            </w:r>
          </w:p>
        </w:tc>
        <w:tc>
          <w:tcPr>
            <w:tcW w:w="1207" w:type="dxa"/>
            <w:tcBorders>
              <w:top w:val="single" w:color="000000" w:sz="4" w:space="0"/>
              <w:left w:val="single" w:color="000000" w:sz="4" w:space="0"/>
              <w:bottom w:val="single" w:color="auto" w:sz="4" w:space="0"/>
              <w:right w:val="single" w:color="000000" w:sz="4" w:space="0"/>
            </w:tcBorders>
            <w:shd w:val="clear" w:color="auto" w:fill="auto"/>
            <w:vAlign w:val="center"/>
          </w:tcPr>
          <w:p w14:paraId="645073A8">
            <w:pPr>
              <w:widowControl/>
              <w:adjustRightInd w:val="0"/>
              <w:snapToGrid w:val="0"/>
              <w:jc w:val="center"/>
              <w:textAlignment w:val="center"/>
              <w:rPr>
                <w:rFonts w:ascii="宋体" w:hAnsi="宋体" w:eastAsia="宋体" w:cs="宋体"/>
                <w:b/>
                <w:bCs/>
                <w:kern w:val="0"/>
                <w:szCs w:val="21"/>
                <w:lang w:bidi="ar"/>
              </w:rPr>
            </w:pPr>
            <w:r>
              <w:rPr>
                <w:rFonts w:hint="eastAsia" w:ascii="宋体" w:hAnsi="宋体" w:eastAsia="宋体" w:cs="宋体"/>
                <w:b/>
                <w:bCs/>
                <w:kern w:val="0"/>
                <w:szCs w:val="21"/>
                <w:lang w:bidi="ar"/>
              </w:rPr>
              <w:t>二级指标</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FD5E6">
            <w:pPr>
              <w:widowControl/>
              <w:adjustRightInd w:val="0"/>
              <w:snapToGrid w:val="0"/>
              <w:jc w:val="center"/>
              <w:textAlignment w:val="center"/>
              <w:rPr>
                <w:rFonts w:ascii="宋体" w:hAnsi="宋体" w:eastAsia="宋体" w:cs="宋体"/>
                <w:b/>
                <w:bCs/>
                <w:kern w:val="0"/>
                <w:szCs w:val="21"/>
                <w:lang w:bidi="ar"/>
              </w:rPr>
            </w:pPr>
            <w:r>
              <w:rPr>
                <w:rFonts w:hint="eastAsia" w:ascii="宋体" w:hAnsi="宋体" w:eastAsia="宋体" w:cs="宋体"/>
                <w:b/>
                <w:bCs/>
                <w:kern w:val="0"/>
                <w:szCs w:val="21"/>
                <w:lang w:bidi="ar"/>
              </w:rPr>
              <w:t>三级指标</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0DF5A">
            <w:pPr>
              <w:widowControl/>
              <w:adjustRightInd w:val="0"/>
              <w:snapToGrid w:val="0"/>
              <w:jc w:val="center"/>
              <w:textAlignment w:val="center"/>
              <w:rPr>
                <w:rFonts w:hint="eastAsia" w:ascii="宋体" w:hAnsi="宋体" w:eastAsia="宋体" w:cs="宋体"/>
                <w:b/>
                <w:bCs/>
                <w:kern w:val="0"/>
                <w:szCs w:val="21"/>
                <w:lang w:bidi="ar"/>
              </w:rPr>
            </w:pPr>
            <w:r>
              <w:rPr>
                <w:rFonts w:hint="eastAsia" w:ascii="宋体" w:hAnsi="宋体" w:eastAsia="宋体" w:cs="宋体"/>
                <w:b/>
                <w:bCs/>
                <w:kern w:val="0"/>
                <w:szCs w:val="21"/>
                <w:lang w:bidi="ar"/>
              </w:rPr>
              <w:t>指标</w:t>
            </w:r>
          </w:p>
          <w:p w14:paraId="140CA2C6">
            <w:pPr>
              <w:widowControl/>
              <w:adjustRightInd w:val="0"/>
              <w:snapToGrid w:val="0"/>
              <w:jc w:val="center"/>
              <w:textAlignment w:val="center"/>
              <w:rPr>
                <w:rFonts w:hint="eastAsia" w:ascii="宋体" w:hAnsi="宋体" w:eastAsia="宋体" w:cs="宋体"/>
                <w:b/>
                <w:bCs/>
                <w:kern w:val="0"/>
                <w:szCs w:val="21"/>
                <w:lang w:bidi="ar"/>
              </w:rPr>
            </w:pPr>
            <w:r>
              <w:rPr>
                <w:rFonts w:hint="eastAsia" w:ascii="宋体" w:hAnsi="宋体" w:eastAsia="宋体" w:cs="宋体"/>
                <w:b/>
                <w:bCs/>
                <w:kern w:val="0"/>
                <w:szCs w:val="21"/>
                <w:lang w:bidi="ar"/>
              </w:rPr>
              <w:t>性质</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91FA7">
            <w:pPr>
              <w:widowControl/>
              <w:adjustRightInd w:val="0"/>
              <w:snapToGrid w:val="0"/>
              <w:jc w:val="center"/>
              <w:textAlignment w:val="center"/>
              <w:rPr>
                <w:rFonts w:hint="eastAsia" w:ascii="宋体" w:hAnsi="宋体" w:eastAsia="宋体" w:cs="宋体"/>
                <w:b/>
                <w:bCs/>
                <w:kern w:val="0"/>
                <w:szCs w:val="21"/>
                <w:lang w:val="en-US" w:eastAsia="zh-CN" w:bidi="ar"/>
              </w:rPr>
            </w:pPr>
            <w:r>
              <w:rPr>
                <w:rFonts w:hint="eastAsia" w:ascii="宋体" w:hAnsi="宋体" w:eastAsia="宋体" w:cs="宋体"/>
                <w:b/>
                <w:bCs/>
                <w:kern w:val="0"/>
                <w:szCs w:val="21"/>
                <w:lang w:bidi="ar"/>
              </w:rPr>
              <w:t>指标</w:t>
            </w:r>
            <w:r>
              <w:rPr>
                <w:rFonts w:hint="eastAsia" w:ascii="宋体" w:hAnsi="宋体" w:eastAsia="宋体" w:cs="宋体"/>
                <w:b/>
                <w:bCs/>
                <w:kern w:val="0"/>
                <w:szCs w:val="21"/>
                <w:lang w:val="en-US" w:eastAsia="zh-CN" w:bidi="ar"/>
              </w:rPr>
              <w:t>方向</w:t>
            </w: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45890">
            <w:pPr>
              <w:widowControl/>
              <w:adjustRightInd w:val="0"/>
              <w:snapToGrid w:val="0"/>
              <w:jc w:val="center"/>
              <w:textAlignment w:val="center"/>
              <w:rPr>
                <w:rFonts w:ascii="宋体" w:hAnsi="宋体" w:eastAsia="宋体" w:cs="宋体"/>
                <w:b/>
                <w:bCs/>
                <w:kern w:val="0"/>
                <w:szCs w:val="21"/>
                <w:lang w:bidi="ar"/>
              </w:rPr>
            </w:pPr>
            <w:r>
              <w:rPr>
                <w:rFonts w:hint="eastAsia" w:ascii="宋体" w:hAnsi="宋体" w:eastAsia="宋体" w:cs="宋体"/>
                <w:b/>
                <w:bCs/>
                <w:kern w:val="0"/>
                <w:szCs w:val="21"/>
                <w:lang w:bidi="ar"/>
              </w:rPr>
              <w:t>指标值</w:t>
            </w:r>
          </w:p>
        </w:tc>
      </w:tr>
      <w:tr w14:paraId="6269EFBF">
        <w:tblPrEx>
          <w:tblCellMar>
            <w:top w:w="0" w:type="dxa"/>
            <w:left w:w="108" w:type="dxa"/>
            <w:bottom w:w="0" w:type="dxa"/>
            <w:right w:w="108" w:type="dxa"/>
          </w:tblCellMar>
        </w:tblPrEx>
        <w:trPr>
          <w:trHeight w:val="397" w:hRule="atLeast"/>
          <w:jc w:val="center"/>
        </w:trPr>
        <w:tc>
          <w:tcPr>
            <w:tcW w:w="1058" w:type="dxa"/>
            <w:vMerge w:val="restart"/>
            <w:tcBorders>
              <w:top w:val="single" w:color="auto" w:sz="4" w:space="0"/>
              <w:left w:val="single" w:color="auto" w:sz="4" w:space="0"/>
              <w:bottom w:val="single" w:color="auto" w:sz="4" w:space="0"/>
              <w:right w:val="single" w:color="000000" w:sz="4" w:space="0"/>
            </w:tcBorders>
            <w:shd w:val="clear" w:color="auto" w:fill="auto"/>
            <w:noWrap/>
            <w:vAlign w:val="center"/>
          </w:tcPr>
          <w:p w14:paraId="40439EDD">
            <w:pPr>
              <w:widowControl/>
              <w:adjustRightInd w:val="0"/>
              <w:snapToGrid w:val="0"/>
              <w:jc w:val="center"/>
              <w:textAlignment w:val="center"/>
              <w:rPr>
                <w:rFonts w:ascii="宋体" w:hAnsi="宋体" w:eastAsia="宋体" w:cs="宋体"/>
                <w:kern w:val="0"/>
                <w:sz w:val="24"/>
                <w:szCs w:val="24"/>
                <w:lang w:bidi="ar"/>
              </w:rPr>
            </w:pPr>
            <w:r>
              <w:rPr>
                <w:rFonts w:hint="eastAsia" w:ascii="宋体" w:hAnsi="宋体" w:eastAsia="宋体" w:cs="宋体"/>
                <w:kern w:val="0"/>
                <w:sz w:val="24"/>
                <w:szCs w:val="24"/>
                <w:lang w:bidi="ar"/>
              </w:rPr>
              <w:t>产出</w:t>
            </w:r>
          </w:p>
          <w:p w14:paraId="749954B3">
            <w:pPr>
              <w:widowControl/>
              <w:adjustRightInd w:val="0"/>
              <w:snapToGrid w:val="0"/>
              <w:jc w:val="center"/>
              <w:textAlignment w:val="center"/>
              <w:rPr>
                <w:rFonts w:ascii="宋体" w:hAnsi="宋体" w:eastAsia="宋体" w:cs="宋体"/>
                <w:kern w:val="0"/>
                <w:sz w:val="24"/>
                <w:szCs w:val="24"/>
                <w:lang w:bidi="ar"/>
              </w:rPr>
            </w:pPr>
            <w:r>
              <w:rPr>
                <w:rFonts w:hint="eastAsia" w:ascii="宋体" w:hAnsi="宋体" w:eastAsia="宋体" w:cs="宋体"/>
                <w:kern w:val="0"/>
                <w:sz w:val="24"/>
                <w:szCs w:val="24"/>
                <w:lang w:bidi="ar"/>
              </w:rPr>
              <w:t>指标</w:t>
            </w:r>
          </w:p>
        </w:tc>
        <w:tc>
          <w:tcPr>
            <w:tcW w:w="1207" w:type="dxa"/>
            <w:vMerge w:val="restart"/>
            <w:tcBorders>
              <w:top w:val="single" w:color="auto" w:sz="4" w:space="0"/>
              <w:left w:val="single" w:color="000000" w:sz="4" w:space="0"/>
              <w:bottom w:val="single" w:color="auto" w:sz="4" w:space="0"/>
              <w:right w:val="single" w:color="auto" w:sz="4" w:space="0"/>
            </w:tcBorders>
            <w:shd w:val="clear" w:color="auto" w:fill="auto"/>
            <w:noWrap/>
            <w:vAlign w:val="center"/>
          </w:tcPr>
          <w:p w14:paraId="1970C3C5">
            <w:pPr>
              <w:widowControl/>
              <w:adjustRightInd w:val="0"/>
              <w:snapToGrid w:val="0"/>
              <w:jc w:val="center"/>
              <w:textAlignment w:val="center"/>
              <w:rPr>
                <w:rFonts w:ascii="宋体" w:hAnsi="宋体" w:eastAsia="宋体" w:cs="宋体"/>
                <w:kern w:val="0"/>
                <w:sz w:val="24"/>
                <w:szCs w:val="24"/>
                <w:lang w:bidi="ar"/>
              </w:rPr>
            </w:pPr>
            <w:r>
              <w:rPr>
                <w:rFonts w:hint="eastAsia" w:ascii="宋体" w:hAnsi="宋体" w:eastAsia="宋体" w:cs="宋体"/>
                <w:kern w:val="0"/>
                <w:sz w:val="24"/>
                <w:szCs w:val="24"/>
                <w:lang w:bidi="ar"/>
              </w:rPr>
              <w:t>数量指标</w:t>
            </w:r>
          </w:p>
        </w:tc>
        <w:tc>
          <w:tcPr>
            <w:tcW w:w="3193"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B62390B">
            <w:pPr>
              <w:widowControl/>
              <w:adjustRightInd w:val="0"/>
              <w:snapToGrid w:val="0"/>
              <w:jc w:val="center"/>
              <w:textAlignment w:val="center"/>
              <w:rPr>
                <w:rFonts w:ascii="宋体" w:hAnsi="宋体" w:eastAsia="宋体" w:cs="宋体"/>
                <w:kern w:val="0"/>
                <w:sz w:val="24"/>
                <w:szCs w:val="24"/>
                <w:lang w:bidi="ar"/>
              </w:rPr>
            </w:pPr>
            <w:r>
              <w:rPr>
                <w:rFonts w:hint="eastAsia" w:ascii="宋体" w:hAnsi="宋体" w:eastAsia="宋体" w:cs="宋体"/>
                <w:kern w:val="0"/>
                <w:sz w:val="24"/>
                <w:szCs w:val="24"/>
                <w:lang w:bidi="ar"/>
              </w:rPr>
              <w:t>农村供水水质提升工程</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E22E0">
            <w:pPr>
              <w:widowControl/>
              <w:adjustRightInd w:val="0"/>
              <w:snapToGrid w:val="0"/>
              <w:jc w:val="center"/>
              <w:textAlignment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正向</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3A733">
            <w:pPr>
              <w:widowControl/>
              <w:adjustRightInd w:val="0"/>
              <w:snapToGrid w:val="0"/>
              <w:jc w:val="center"/>
              <w:textAlignment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大于等于</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A368E">
            <w:pPr>
              <w:widowControl/>
              <w:adjustRightInd w:val="0"/>
              <w:snapToGrid w:val="0"/>
              <w:jc w:val="center"/>
              <w:textAlignment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1个</w:t>
            </w:r>
          </w:p>
        </w:tc>
      </w:tr>
      <w:tr w14:paraId="77D7B565">
        <w:tblPrEx>
          <w:tblCellMar>
            <w:top w:w="0" w:type="dxa"/>
            <w:left w:w="108" w:type="dxa"/>
            <w:bottom w:w="0" w:type="dxa"/>
            <w:right w:w="108" w:type="dxa"/>
          </w:tblCellMar>
        </w:tblPrEx>
        <w:trPr>
          <w:trHeight w:val="397" w:hRule="atLeast"/>
          <w:jc w:val="center"/>
        </w:trPr>
        <w:tc>
          <w:tcPr>
            <w:tcW w:w="1058" w:type="dxa"/>
            <w:vMerge w:val="continue"/>
            <w:tcBorders>
              <w:top w:val="single" w:color="auto" w:sz="4" w:space="0"/>
              <w:left w:val="single" w:color="auto" w:sz="4" w:space="0"/>
              <w:bottom w:val="single" w:color="auto" w:sz="4" w:space="0"/>
              <w:right w:val="single" w:color="000000" w:sz="4" w:space="0"/>
            </w:tcBorders>
            <w:shd w:val="clear" w:color="auto" w:fill="auto"/>
            <w:noWrap/>
            <w:vAlign w:val="center"/>
          </w:tcPr>
          <w:p w14:paraId="510488F1">
            <w:pPr>
              <w:jc w:val="center"/>
              <w:rPr>
                <w:rFonts w:ascii="宋体" w:hAnsi="宋体" w:eastAsia="宋体" w:cs="宋体"/>
                <w:kern w:val="0"/>
                <w:sz w:val="24"/>
                <w:szCs w:val="24"/>
                <w:lang w:bidi="ar"/>
              </w:rPr>
            </w:pPr>
          </w:p>
        </w:tc>
        <w:tc>
          <w:tcPr>
            <w:tcW w:w="1207"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14:paraId="7A07F956">
            <w:pPr>
              <w:jc w:val="center"/>
              <w:rPr>
                <w:rFonts w:ascii="宋体" w:hAnsi="宋体" w:eastAsia="宋体" w:cs="宋体"/>
                <w:kern w:val="0"/>
                <w:sz w:val="24"/>
                <w:szCs w:val="24"/>
                <w:lang w:bidi="ar"/>
              </w:rPr>
            </w:pPr>
          </w:p>
        </w:tc>
        <w:tc>
          <w:tcPr>
            <w:tcW w:w="3193"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0A32BEE">
            <w:pPr>
              <w:widowControl/>
              <w:jc w:val="center"/>
              <w:textAlignment w:val="center"/>
              <w:rPr>
                <w:sz w:val="24"/>
                <w:szCs w:val="24"/>
              </w:rPr>
            </w:pPr>
            <w:r>
              <w:rPr>
                <w:rFonts w:hint="eastAsia"/>
                <w:sz w:val="24"/>
                <w:szCs w:val="24"/>
              </w:rPr>
              <w:t>农村供水提升改造工程</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E76D0">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正向</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A989C">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大于等于</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E8D50">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1个</w:t>
            </w:r>
          </w:p>
        </w:tc>
      </w:tr>
      <w:tr w14:paraId="183D7F71">
        <w:tblPrEx>
          <w:tblCellMar>
            <w:top w:w="0" w:type="dxa"/>
            <w:left w:w="108" w:type="dxa"/>
            <w:bottom w:w="0" w:type="dxa"/>
            <w:right w:w="108" w:type="dxa"/>
          </w:tblCellMar>
        </w:tblPrEx>
        <w:trPr>
          <w:trHeight w:val="397" w:hRule="atLeast"/>
          <w:jc w:val="center"/>
        </w:trPr>
        <w:tc>
          <w:tcPr>
            <w:tcW w:w="1058" w:type="dxa"/>
            <w:vMerge w:val="continue"/>
            <w:tcBorders>
              <w:top w:val="single" w:color="auto" w:sz="4" w:space="0"/>
              <w:left w:val="single" w:color="auto" w:sz="4" w:space="0"/>
              <w:bottom w:val="single" w:color="auto" w:sz="4" w:space="0"/>
              <w:right w:val="single" w:color="000000" w:sz="4" w:space="0"/>
            </w:tcBorders>
            <w:shd w:val="clear" w:color="auto" w:fill="auto"/>
            <w:noWrap/>
            <w:vAlign w:val="center"/>
          </w:tcPr>
          <w:p w14:paraId="0E4C3FF9">
            <w:pPr>
              <w:jc w:val="center"/>
              <w:rPr>
                <w:rFonts w:ascii="宋体" w:hAnsi="宋体" w:eastAsia="宋体" w:cs="宋体"/>
                <w:kern w:val="0"/>
                <w:sz w:val="24"/>
                <w:szCs w:val="24"/>
                <w:lang w:bidi="ar"/>
              </w:rPr>
            </w:pPr>
          </w:p>
        </w:tc>
        <w:tc>
          <w:tcPr>
            <w:tcW w:w="1207"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14:paraId="22A38C9F">
            <w:pPr>
              <w:jc w:val="center"/>
              <w:rPr>
                <w:rFonts w:ascii="宋体" w:hAnsi="宋体" w:eastAsia="宋体" w:cs="宋体"/>
                <w:kern w:val="0"/>
                <w:sz w:val="24"/>
                <w:szCs w:val="24"/>
                <w:lang w:bidi="ar"/>
              </w:rPr>
            </w:pPr>
          </w:p>
        </w:tc>
        <w:tc>
          <w:tcPr>
            <w:tcW w:w="3193"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9375ED6">
            <w:pPr>
              <w:widowControl/>
              <w:jc w:val="center"/>
              <w:textAlignment w:val="center"/>
              <w:rPr>
                <w:sz w:val="24"/>
                <w:szCs w:val="24"/>
              </w:rPr>
            </w:pPr>
            <w:r>
              <w:rPr>
                <w:rFonts w:hint="eastAsia"/>
                <w:sz w:val="24"/>
                <w:szCs w:val="24"/>
              </w:rPr>
              <w:t>农村供水标准化提升工程</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776C5">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正向</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42A81">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大于等于</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99341">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1个</w:t>
            </w:r>
          </w:p>
        </w:tc>
      </w:tr>
      <w:tr w14:paraId="16447E16">
        <w:tblPrEx>
          <w:tblCellMar>
            <w:top w:w="0" w:type="dxa"/>
            <w:left w:w="108" w:type="dxa"/>
            <w:bottom w:w="0" w:type="dxa"/>
            <w:right w:w="108" w:type="dxa"/>
          </w:tblCellMar>
        </w:tblPrEx>
        <w:trPr>
          <w:trHeight w:val="397" w:hRule="atLeast"/>
          <w:jc w:val="center"/>
        </w:trPr>
        <w:tc>
          <w:tcPr>
            <w:tcW w:w="1058" w:type="dxa"/>
            <w:vMerge w:val="continue"/>
            <w:tcBorders>
              <w:top w:val="single" w:color="auto" w:sz="4" w:space="0"/>
              <w:left w:val="single" w:color="auto" w:sz="4" w:space="0"/>
              <w:bottom w:val="single" w:color="auto" w:sz="4" w:space="0"/>
              <w:right w:val="single" w:color="000000" w:sz="4" w:space="0"/>
            </w:tcBorders>
            <w:shd w:val="clear" w:color="auto" w:fill="auto"/>
            <w:noWrap/>
            <w:vAlign w:val="center"/>
          </w:tcPr>
          <w:p w14:paraId="2116DF7D">
            <w:pPr>
              <w:jc w:val="center"/>
              <w:rPr>
                <w:rFonts w:ascii="宋体" w:hAnsi="宋体" w:eastAsia="宋体" w:cs="宋体"/>
                <w:kern w:val="0"/>
                <w:sz w:val="24"/>
                <w:szCs w:val="24"/>
                <w:lang w:bidi="ar"/>
              </w:rPr>
            </w:pPr>
          </w:p>
        </w:tc>
        <w:tc>
          <w:tcPr>
            <w:tcW w:w="1207" w:type="dxa"/>
            <w:vMerge w:val="restart"/>
            <w:tcBorders>
              <w:top w:val="single" w:color="auto" w:sz="4" w:space="0"/>
              <w:left w:val="single" w:color="000000" w:sz="4" w:space="0"/>
              <w:bottom w:val="single" w:color="auto" w:sz="4" w:space="0"/>
              <w:right w:val="single" w:color="000000" w:sz="4" w:space="0"/>
            </w:tcBorders>
            <w:shd w:val="clear" w:color="auto" w:fill="auto"/>
            <w:noWrap/>
            <w:vAlign w:val="center"/>
          </w:tcPr>
          <w:p w14:paraId="1B5F6C9C">
            <w:pPr>
              <w:widowControl/>
              <w:jc w:val="center"/>
              <w:textAlignment w:val="center"/>
              <w:rPr>
                <w:rFonts w:ascii="宋体" w:hAnsi="宋体" w:eastAsia="宋体" w:cs="宋体"/>
                <w:kern w:val="0"/>
                <w:sz w:val="24"/>
                <w:szCs w:val="24"/>
                <w:lang w:bidi="ar"/>
              </w:rPr>
            </w:pPr>
            <w:r>
              <w:rPr>
                <w:rFonts w:hint="eastAsia" w:ascii="宋体" w:hAnsi="宋体" w:eastAsia="宋体" w:cs="宋体"/>
                <w:kern w:val="0"/>
                <w:sz w:val="24"/>
                <w:szCs w:val="24"/>
                <w:lang w:bidi="ar"/>
              </w:rPr>
              <w:t>质量指标</w:t>
            </w:r>
          </w:p>
        </w:tc>
        <w:tc>
          <w:tcPr>
            <w:tcW w:w="3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BF7FE">
            <w:pPr>
              <w:widowControl/>
              <w:jc w:val="center"/>
              <w:textAlignment w:val="center"/>
              <w:rPr>
                <w:rFonts w:ascii="宋体" w:hAnsi="宋体" w:eastAsia="宋体" w:cs="宋体"/>
                <w:kern w:val="0"/>
                <w:sz w:val="24"/>
                <w:szCs w:val="24"/>
                <w:lang w:bidi="ar"/>
              </w:rPr>
            </w:pPr>
            <w:r>
              <w:rPr>
                <w:rFonts w:hint="eastAsia" w:ascii="宋体" w:hAnsi="宋体" w:eastAsia="宋体" w:cs="宋体"/>
                <w:kern w:val="0"/>
                <w:sz w:val="24"/>
                <w:szCs w:val="24"/>
                <w:lang w:bidi="ar"/>
              </w:rPr>
              <w:t>农村供水水质提升工程验收合格率</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9E4E9">
            <w:pPr>
              <w:widowControl/>
              <w:jc w:val="center"/>
              <w:textAlignment w:val="center"/>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正向</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841C0">
            <w:pPr>
              <w:widowControl/>
              <w:jc w:val="center"/>
              <w:textAlignment w:val="center"/>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等于</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54920">
            <w:pPr>
              <w:widowControl/>
              <w:jc w:val="center"/>
              <w:textAlignment w:val="center"/>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100%</w:t>
            </w:r>
          </w:p>
        </w:tc>
      </w:tr>
      <w:tr w14:paraId="79A3C232">
        <w:tblPrEx>
          <w:tblCellMar>
            <w:top w:w="0" w:type="dxa"/>
            <w:left w:w="108" w:type="dxa"/>
            <w:bottom w:w="0" w:type="dxa"/>
            <w:right w:w="108" w:type="dxa"/>
          </w:tblCellMar>
        </w:tblPrEx>
        <w:trPr>
          <w:trHeight w:val="397" w:hRule="atLeast"/>
          <w:jc w:val="center"/>
        </w:trPr>
        <w:tc>
          <w:tcPr>
            <w:tcW w:w="1058" w:type="dxa"/>
            <w:vMerge w:val="continue"/>
            <w:tcBorders>
              <w:top w:val="single" w:color="auto" w:sz="4" w:space="0"/>
              <w:left w:val="single" w:color="auto" w:sz="4" w:space="0"/>
              <w:bottom w:val="single" w:color="auto" w:sz="4" w:space="0"/>
              <w:right w:val="single" w:color="000000" w:sz="4" w:space="0"/>
            </w:tcBorders>
            <w:shd w:val="clear" w:color="auto" w:fill="auto"/>
            <w:noWrap/>
            <w:vAlign w:val="center"/>
          </w:tcPr>
          <w:p w14:paraId="6277651B">
            <w:pPr>
              <w:jc w:val="center"/>
              <w:rPr>
                <w:rFonts w:ascii="宋体" w:hAnsi="宋体" w:eastAsia="宋体" w:cs="宋体"/>
                <w:kern w:val="0"/>
                <w:sz w:val="24"/>
                <w:szCs w:val="24"/>
                <w:lang w:bidi="ar"/>
              </w:rPr>
            </w:pPr>
          </w:p>
        </w:tc>
        <w:tc>
          <w:tcPr>
            <w:tcW w:w="1207" w:type="dxa"/>
            <w:vMerge w:val="continue"/>
            <w:tcBorders>
              <w:top w:val="single" w:color="auto" w:sz="4" w:space="0"/>
              <w:left w:val="single" w:color="000000" w:sz="4" w:space="0"/>
              <w:bottom w:val="single" w:color="auto" w:sz="4" w:space="0"/>
              <w:right w:val="single" w:color="000000" w:sz="4" w:space="0"/>
            </w:tcBorders>
            <w:shd w:val="clear" w:color="auto" w:fill="auto"/>
            <w:noWrap/>
            <w:vAlign w:val="center"/>
          </w:tcPr>
          <w:p w14:paraId="7CBFB701">
            <w:pPr>
              <w:jc w:val="center"/>
              <w:rPr>
                <w:rFonts w:ascii="宋体" w:hAnsi="宋体" w:eastAsia="宋体" w:cs="宋体"/>
                <w:kern w:val="0"/>
                <w:sz w:val="24"/>
                <w:szCs w:val="24"/>
                <w:lang w:bidi="ar"/>
              </w:rPr>
            </w:pPr>
          </w:p>
        </w:tc>
        <w:tc>
          <w:tcPr>
            <w:tcW w:w="3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33AAD">
            <w:pPr>
              <w:widowControl/>
              <w:jc w:val="center"/>
              <w:textAlignment w:val="center"/>
              <w:rPr>
                <w:rFonts w:ascii="宋体" w:hAnsi="宋体" w:eastAsia="宋体" w:cs="宋体"/>
                <w:kern w:val="0"/>
                <w:sz w:val="24"/>
                <w:szCs w:val="24"/>
                <w:lang w:bidi="ar"/>
              </w:rPr>
            </w:pPr>
            <w:r>
              <w:rPr>
                <w:rFonts w:hint="eastAsia" w:ascii="宋体" w:hAnsi="宋体" w:eastAsia="宋体" w:cs="宋体"/>
                <w:kern w:val="0"/>
                <w:sz w:val="24"/>
                <w:szCs w:val="24"/>
                <w:lang w:bidi="ar"/>
              </w:rPr>
              <w:t>农村供水提升改造工程验收合格率</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8F2FC">
            <w:pPr>
              <w:widowControl/>
              <w:jc w:val="center"/>
              <w:textAlignment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正向</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0E23C">
            <w:pPr>
              <w:widowControl/>
              <w:jc w:val="center"/>
              <w:textAlignment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等于</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D8D87">
            <w:pPr>
              <w:widowControl/>
              <w:jc w:val="center"/>
              <w:textAlignment w:val="center"/>
              <w:rPr>
                <w:rFonts w:ascii="宋体" w:hAnsi="宋体" w:eastAsia="宋体" w:cs="宋体"/>
                <w:kern w:val="0"/>
                <w:sz w:val="24"/>
                <w:szCs w:val="24"/>
                <w:lang w:bidi="ar"/>
              </w:rPr>
            </w:pPr>
            <w:r>
              <w:rPr>
                <w:rFonts w:hint="eastAsia" w:ascii="宋体" w:hAnsi="宋体" w:eastAsia="宋体" w:cs="宋体"/>
                <w:kern w:val="0"/>
                <w:sz w:val="24"/>
                <w:szCs w:val="24"/>
                <w:lang w:val="en-US" w:eastAsia="zh-CN" w:bidi="ar"/>
              </w:rPr>
              <w:t>100%</w:t>
            </w:r>
          </w:p>
        </w:tc>
      </w:tr>
      <w:tr w14:paraId="11EB4612">
        <w:tblPrEx>
          <w:tblCellMar>
            <w:top w:w="0" w:type="dxa"/>
            <w:left w:w="108" w:type="dxa"/>
            <w:bottom w:w="0" w:type="dxa"/>
            <w:right w:w="108" w:type="dxa"/>
          </w:tblCellMar>
        </w:tblPrEx>
        <w:trPr>
          <w:trHeight w:val="397" w:hRule="atLeast"/>
          <w:jc w:val="center"/>
        </w:trPr>
        <w:tc>
          <w:tcPr>
            <w:tcW w:w="1058" w:type="dxa"/>
            <w:vMerge w:val="continue"/>
            <w:tcBorders>
              <w:top w:val="single" w:color="auto" w:sz="4" w:space="0"/>
              <w:left w:val="single" w:color="auto" w:sz="4" w:space="0"/>
              <w:bottom w:val="single" w:color="auto" w:sz="4" w:space="0"/>
              <w:right w:val="single" w:color="000000" w:sz="4" w:space="0"/>
            </w:tcBorders>
            <w:shd w:val="clear" w:color="auto" w:fill="auto"/>
            <w:noWrap/>
            <w:vAlign w:val="center"/>
          </w:tcPr>
          <w:p w14:paraId="5078078A">
            <w:pPr>
              <w:jc w:val="center"/>
              <w:rPr>
                <w:rFonts w:ascii="宋体" w:hAnsi="宋体" w:eastAsia="宋体" w:cs="宋体"/>
                <w:kern w:val="0"/>
                <w:sz w:val="24"/>
                <w:szCs w:val="24"/>
                <w:lang w:bidi="ar"/>
              </w:rPr>
            </w:pPr>
          </w:p>
        </w:tc>
        <w:tc>
          <w:tcPr>
            <w:tcW w:w="1207" w:type="dxa"/>
            <w:vMerge w:val="continue"/>
            <w:tcBorders>
              <w:top w:val="single" w:color="auto" w:sz="4" w:space="0"/>
              <w:left w:val="single" w:color="000000" w:sz="4" w:space="0"/>
              <w:bottom w:val="single" w:color="auto" w:sz="4" w:space="0"/>
              <w:right w:val="single" w:color="000000" w:sz="4" w:space="0"/>
            </w:tcBorders>
            <w:shd w:val="clear" w:color="auto" w:fill="auto"/>
            <w:noWrap/>
            <w:vAlign w:val="center"/>
          </w:tcPr>
          <w:p w14:paraId="60291393">
            <w:pPr>
              <w:jc w:val="center"/>
              <w:rPr>
                <w:rFonts w:ascii="宋体" w:hAnsi="宋体" w:eastAsia="宋体" w:cs="宋体"/>
                <w:kern w:val="0"/>
                <w:sz w:val="24"/>
                <w:szCs w:val="24"/>
                <w:lang w:bidi="ar"/>
              </w:rPr>
            </w:pPr>
          </w:p>
        </w:tc>
        <w:tc>
          <w:tcPr>
            <w:tcW w:w="3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E3B15">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农村供水标准化提升工程验收合格率</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C1613">
            <w:pPr>
              <w:widowControl/>
              <w:jc w:val="center"/>
              <w:textAlignment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正向</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FF44A">
            <w:pPr>
              <w:widowControl/>
              <w:jc w:val="center"/>
              <w:textAlignment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等于</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B11A4">
            <w:pPr>
              <w:widowControl/>
              <w:jc w:val="center"/>
              <w:textAlignment w:val="center"/>
              <w:rPr>
                <w:rFonts w:ascii="宋体" w:hAnsi="宋体" w:eastAsia="宋体" w:cs="宋体"/>
                <w:kern w:val="0"/>
                <w:sz w:val="24"/>
                <w:szCs w:val="24"/>
                <w:lang w:bidi="ar"/>
              </w:rPr>
            </w:pPr>
            <w:r>
              <w:rPr>
                <w:rFonts w:hint="eastAsia" w:ascii="宋体" w:hAnsi="宋体" w:eastAsia="宋体" w:cs="宋体"/>
                <w:kern w:val="0"/>
                <w:sz w:val="24"/>
                <w:szCs w:val="24"/>
                <w:lang w:val="en-US" w:eastAsia="zh-CN" w:bidi="ar"/>
              </w:rPr>
              <w:t>100%</w:t>
            </w:r>
          </w:p>
        </w:tc>
      </w:tr>
      <w:tr w14:paraId="1369E3CA">
        <w:tblPrEx>
          <w:tblCellMar>
            <w:top w:w="0" w:type="dxa"/>
            <w:left w:w="108" w:type="dxa"/>
            <w:bottom w:w="0" w:type="dxa"/>
            <w:right w:w="108" w:type="dxa"/>
          </w:tblCellMar>
        </w:tblPrEx>
        <w:trPr>
          <w:trHeight w:val="397" w:hRule="atLeast"/>
          <w:jc w:val="center"/>
        </w:trPr>
        <w:tc>
          <w:tcPr>
            <w:tcW w:w="1058" w:type="dxa"/>
            <w:vMerge w:val="continue"/>
            <w:tcBorders>
              <w:top w:val="single" w:color="auto" w:sz="4" w:space="0"/>
              <w:left w:val="single" w:color="auto" w:sz="4" w:space="0"/>
              <w:bottom w:val="single" w:color="auto" w:sz="4" w:space="0"/>
              <w:right w:val="single" w:color="000000" w:sz="4" w:space="0"/>
            </w:tcBorders>
            <w:shd w:val="clear" w:color="auto" w:fill="auto"/>
            <w:noWrap/>
            <w:vAlign w:val="center"/>
          </w:tcPr>
          <w:p w14:paraId="070BA6DA">
            <w:pPr>
              <w:jc w:val="center"/>
              <w:rPr>
                <w:rFonts w:ascii="宋体" w:hAnsi="宋体" w:eastAsia="宋体" w:cs="宋体"/>
                <w:kern w:val="0"/>
                <w:sz w:val="24"/>
                <w:szCs w:val="24"/>
                <w:lang w:bidi="ar"/>
              </w:rPr>
            </w:pPr>
          </w:p>
        </w:tc>
        <w:tc>
          <w:tcPr>
            <w:tcW w:w="1207" w:type="dxa"/>
            <w:vMerge w:val="restart"/>
            <w:tcBorders>
              <w:top w:val="single" w:color="auto" w:sz="4" w:space="0"/>
              <w:left w:val="single" w:color="000000" w:sz="4" w:space="0"/>
              <w:bottom w:val="single" w:color="auto" w:sz="4" w:space="0"/>
              <w:right w:val="single" w:color="000000" w:sz="4" w:space="0"/>
            </w:tcBorders>
            <w:shd w:val="clear" w:color="auto" w:fill="auto"/>
            <w:noWrap/>
            <w:vAlign w:val="center"/>
          </w:tcPr>
          <w:p w14:paraId="336E97FF">
            <w:pPr>
              <w:widowControl/>
              <w:jc w:val="center"/>
              <w:textAlignment w:val="center"/>
              <w:rPr>
                <w:rFonts w:ascii="宋体" w:hAnsi="宋体" w:eastAsia="宋体" w:cs="宋体"/>
                <w:kern w:val="0"/>
                <w:sz w:val="24"/>
                <w:szCs w:val="24"/>
                <w:lang w:bidi="ar"/>
              </w:rPr>
            </w:pPr>
            <w:r>
              <w:rPr>
                <w:rFonts w:hint="eastAsia" w:ascii="宋体" w:hAnsi="宋体" w:eastAsia="宋体" w:cs="宋体"/>
                <w:kern w:val="0"/>
                <w:sz w:val="24"/>
                <w:szCs w:val="24"/>
                <w:lang w:bidi="ar"/>
              </w:rPr>
              <w:t>时效指标</w:t>
            </w:r>
          </w:p>
        </w:tc>
        <w:tc>
          <w:tcPr>
            <w:tcW w:w="3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48203">
            <w:pPr>
              <w:widowControl/>
              <w:jc w:val="center"/>
              <w:textAlignment w:val="center"/>
              <w:rPr>
                <w:rFonts w:ascii="宋体" w:hAnsi="宋体" w:eastAsia="宋体" w:cs="宋体"/>
                <w:kern w:val="0"/>
                <w:sz w:val="24"/>
                <w:szCs w:val="24"/>
                <w:lang w:bidi="ar"/>
              </w:rPr>
            </w:pPr>
            <w:r>
              <w:rPr>
                <w:rFonts w:hint="eastAsia" w:ascii="宋体" w:hAnsi="宋体" w:eastAsia="宋体" w:cs="宋体"/>
                <w:kern w:val="0"/>
                <w:sz w:val="24"/>
                <w:szCs w:val="24"/>
                <w:lang w:bidi="ar"/>
              </w:rPr>
              <w:t>工程开工时间</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C370E">
            <w:pPr>
              <w:widowControl/>
              <w:jc w:val="center"/>
              <w:textAlignment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定性</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65EAA">
            <w:pPr>
              <w:widowControl/>
              <w:jc w:val="center"/>
              <w:textAlignment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87307">
            <w:pPr>
              <w:widowControl/>
              <w:jc w:val="center"/>
              <w:textAlignment w:val="center"/>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2025年8月</w:t>
            </w:r>
          </w:p>
        </w:tc>
      </w:tr>
      <w:tr w14:paraId="7B4DE2A3">
        <w:tblPrEx>
          <w:tblCellMar>
            <w:top w:w="0" w:type="dxa"/>
            <w:left w:w="108" w:type="dxa"/>
            <w:bottom w:w="0" w:type="dxa"/>
            <w:right w:w="108" w:type="dxa"/>
          </w:tblCellMar>
        </w:tblPrEx>
        <w:trPr>
          <w:trHeight w:val="397" w:hRule="atLeast"/>
          <w:jc w:val="center"/>
        </w:trPr>
        <w:tc>
          <w:tcPr>
            <w:tcW w:w="1058" w:type="dxa"/>
            <w:vMerge w:val="continue"/>
            <w:tcBorders>
              <w:top w:val="single" w:color="auto" w:sz="4" w:space="0"/>
              <w:left w:val="single" w:color="auto" w:sz="4" w:space="0"/>
              <w:bottom w:val="single" w:color="auto" w:sz="4" w:space="0"/>
              <w:right w:val="single" w:color="000000" w:sz="4" w:space="0"/>
            </w:tcBorders>
            <w:shd w:val="clear" w:color="auto" w:fill="auto"/>
            <w:noWrap/>
            <w:vAlign w:val="center"/>
          </w:tcPr>
          <w:p w14:paraId="04A26A38">
            <w:pPr>
              <w:jc w:val="center"/>
              <w:rPr>
                <w:rFonts w:ascii="宋体" w:hAnsi="宋体" w:eastAsia="宋体" w:cs="宋体"/>
                <w:kern w:val="0"/>
                <w:sz w:val="24"/>
                <w:szCs w:val="24"/>
                <w:lang w:bidi="ar"/>
              </w:rPr>
            </w:pPr>
          </w:p>
        </w:tc>
        <w:tc>
          <w:tcPr>
            <w:tcW w:w="1207" w:type="dxa"/>
            <w:vMerge w:val="continue"/>
            <w:tcBorders>
              <w:top w:val="single" w:color="auto" w:sz="4" w:space="0"/>
              <w:left w:val="single" w:color="000000" w:sz="4" w:space="0"/>
              <w:bottom w:val="single" w:color="auto" w:sz="4" w:space="0"/>
              <w:right w:val="single" w:color="000000" w:sz="4" w:space="0"/>
            </w:tcBorders>
            <w:shd w:val="clear" w:color="auto" w:fill="auto"/>
            <w:noWrap/>
            <w:vAlign w:val="center"/>
          </w:tcPr>
          <w:p w14:paraId="6A92D128">
            <w:pPr>
              <w:jc w:val="center"/>
              <w:rPr>
                <w:rFonts w:ascii="宋体" w:hAnsi="宋体" w:eastAsia="宋体" w:cs="宋体"/>
                <w:kern w:val="0"/>
                <w:sz w:val="24"/>
                <w:szCs w:val="24"/>
                <w:lang w:bidi="ar"/>
              </w:rPr>
            </w:pPr>
          </w:p>
        </w:tc>
        <w:tc>
          <w:tcPr>
            <w:tcW w:w="3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5643A">
            <w:pPr>
              <w:widowControl/>
              <w:jc w:val="center"/>
              <w:textAlignment w:val="center"/>
              <w:rPr>
                <w:rFonts w:ascii="宋体" w:hAnsi="宋体" w:eastAsia="宋体" w:cs="宋体"/>
                <w:kern w:val="0"/>
                <w:sz w:val="24"/>
                <w:szCs w:val="24"/>
                <w:lang w:bidi="ar"/>
              </w:rPr>
            </w:pPr>
            <w:r>
              <w:rPr>
                <w:rFonts w:hint="eastAsia" w:ascii="宋体" w:hAnsi="宋体" w:eastAsia="宋体" w:cs="宋体"/>
                <w:kern w:val="0"/>
                <w:sz w:val="24"/>
                <w:szCs w:val="24"/>
                <w:lang w:bidi="ar"/>
              </w:rPr>
              <w:t>工程</w:t>
            </w:r>
            <w:r>
              <w:rPr>
                <w:rFonts w:hint="eastAsia" w:ascii="宋体" w:hAnsi="宋体" w:eastAsia="宋体" w:cs="宋体"/>
                <w:kern w:val="0"/>
                <w:sz w:val="24"/>
                <w:szCs w:val="24"/>
                <w:lang w:val="en-US" w:eastAsia="zh-CN" w:bidi="ar"/>
              </w:rPr>
              <w:t>完</w:t>
            </w:r>
            <w:r>
              <w:rPr>
                <w:rFonts w:hint="eastAsia" w:ascii="宋体" w:hAnsi="宋体" w:eastAsia="宋体" w:cs="宋体"/>
                <w:kern w:val="0"/>
                <w:sz w:val="24"/>
                <w:szCs w:val="24"/>
                <w:lang w:bidi="ar"/>
              </w:rPr>
              <w:t>工时间</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54A4F">
            <w:pPr>
              <w:widowControl/>
              <w:jc w:val="center"/>
              <w:textAlignment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定性</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59731">
            <w:pPr>
              <w:widowControl/>
              <w:jc w:val="center"/>
              <w:textAlignment w:val="center"/>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225FA">
            <w:pPr>
              <w:widowControl/>
              <w:jc w:val="center"/>
              <w:textAlignment w:val="center"/>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2025年12月</w:t>
            </w:r>
          </w:p>
        </w:tc>
      </w:tr>
      <w:tr w14:paraId="6CD1A8F4">
        <w:tblPrEx>
          <w:tblCellMar>
            <w:top w:w="0" w:type="dxa"/>
            <w:left w:w="108" w:type="dxa"/>
            <w:bottom w:w="0" w:type="dxa"/>
            <w:right w:w="108" w:type="dxa"/>
          </w:tblCellMar>
        </w:tblPrEx>
        <w:trPr>
          <w:trHeight w:val="397" w:hRule="atLeast"/>
          <w:jc w:val="center"/>
        </w:trPr>
        <w:tc>
          <w:tcPr>
            <w:tcW w:w="1058" w:type="dxa"/>
            <w:vMerge w:val="restart"/>
            <w:tcBorders>
              <w:top w:val="single" w:color="auto" w:sz="4" w:space="0"/>
              <w:left w:val="single" w:color="auto" w:sz="4" w:space="0"/>
              <w:right w:val="single" w:color="000000" w:sz="4" w:space="0"/>
            </w:tcBorders>
            <w:shd w:val="clear" w:color="auto" w:fill="auto"/>
            <w:noWrap/>
            <w:vAlign w:val="center"/>
          </w:tcPr>
          <w:p w14:paraId="0A34DD42">
            <w:pPr>
              <w:jc w:val="center"/>
              <w:rPr>
                <w:rFonts w:ascii="宋体" w:hAnsi="宋体" w:eastAsia="宋体" w:cs="宋体"/>
                <w:kern w:val="0"/>
                <w:sz w:val="24"/>
                <w:szCs w:val="24"/>
                <w:lang w:bidi="ar"/>
              </w:rPr>
            </w:pPr>
          </w:p>
        </w:tc>
        <w:tc>
          <w:tcPr>
            <w:tcW w:w="1207" w:type="dxa"/>
            <w:vMerge w:val="restart"/>
            <w:tcBorders>
              <w:top w:val="single" w:color="auto" w:sz="4" w:space="0"/>
              <w:left w:val="single" w:color="000000" w:sz="4" w:space="0"/>
              <w:bottom w:val="single" w:color="auto" w:sz="4" w:space="0"/>
              <w:right w:val="single" w:color="000000" w:sz="4" w:space="0"/>
            </w:tcBorders>
            <w:shd w:val="clear" w:color="auto" w:fill="auto"/>
            <w:noWrap/>
            <w:vAlign w:val="center"/>
          </w:tcPr>
          <w:p w14:paraId="67C7CA61">
            <w:pPr>
              <w:widowControl/>
              <w:jc w:val="center"/>
              <w:textAlignment w:val="center"/>
              <w:rPr>
                <w:rFonts w:ascii="宋体" w:hAnsi="宋体" w:eastAsia="宋体" w:cs="宋体"/>
                <w:kern w:val="0"/>
                <w:sz w:val="24"/>
                <w:szCs w:val="24"/>
                <w:lang w:bidi="ar"/>
              </w:rPr>
            </w:pPr>
            <w:r>
              <w:rPr>
                <w:rFonts w:hint="eastAsia" w:ascii="宋体" w:hAnsi="宋体" w:eastAsia="宋体" w:cs="宋体"/>
                <w:kern w:val="0"/>
                <w:sz w:val="24"/>
                <w:szCs w:val="24"/>
                <w:lang w:bidi="ar"/>
              </w:rPr>
              <w:t>成本指标</w:t>
            </w:r>
          </w:p>
        </w:tc>
        <w:tc>
          <w:tcPr>
            <w:tcW w:w="3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69FD5">
            <w:pPr>
              <w:widowControl/>
              <w:jc w:val="center"/>
              <w:textAlignment w:val="center"/>
              <w:rPr>
                <w:rFonts w:ascii="宋体" w:hAnsi="宋体" w:eastAsia="宋体" w:cs="宋体"/>
                <w:kern w:val="0"/>
                <w:sz w:val="24"/>
                <w:szCs w:val="24"/>
                <w:lang w:bidi="ar"/>
              </w:rPr>
            </w:pPr>
            <w:r>
              <w:rPr>
                <w:rFonts w:hint="eastAsia" w:ascii="宋体" w:hAnsi="宋体" w:eastAsia="宋体" w:cs="宋体"/>
                <w:kern w:val="0"/>
                <w:sz w:val="24"/>
                <w:szCs w:val="24"/>
                <w:lang w:bidi="ar"/>
              </w:rPr>
              <w:t>农村供水水质提升工程成本</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F707F">
            <w:pPr>
              <w:widowControl/>
              <w:jc w:val="center"/>
              <w:textAlignment w:val="center"/>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反向</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490E4">
            <w:pPr>
              <w:widowControl/>
              <w:jc w:val="center"/>
              <w:textAlignment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小于等于</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085BD">
            <w:pPr>
              <w:widowControl/>
              <w:jc w:val="center"/>
              <w:textAlignment w:val="center"/>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200万元</w:t>
            </w:r>
          </w:p>
        </w:tc>
      </w:tr>
      <w:tr w14:paraId="75F138CA">
        <w:tblPrEx>
          <w:tblCellMar>
            <w:top w:w="0" w:type="dxa"/>
            <w:left w:w="108" w:type="dxa"/>
            <w:bottom w:w="0" w:type="dxa"/>
            <w:right w:w="108" w:type="dxa"/>
          </w:tblCellMar>
        </w:tblPrEx>
        <w:trPr>
          <w:trHeight w:val="397" w:hRule="atLeast"/>
          <w:jc w:val="center"/>
        </w:trPr>
        <w:tc>
          <w:tcPr>
            <w:tcW w:w="1058" w:type="dxa"/>
            <w:vMerge w:val="continue"/>
            <w:tcBorders>
              <w:top w:val="single" w:color="auto" w:sz="4" w:space="0"/>
              <w:left w:val="single" w:color="auto" w:sz="4" w:space="0"/>
              <w:bottom w:val="single" w:color="auto" w:sz="4" w:space="0"/>
              <w:right w:val="single" w:color="000000" w:sz="4" w:space="0"/>
            </w:tcBorders>
            <w:shd w:val="clear" w:color="auto" w:fill="auto"/>
            <w:noWrap/>
            <w:vAlign w:val="center"/>
          </w:tcPr>
          <w:p w14:paraId="274ABE91">
            <w:pPr>
              <w:jc w:val="center"/>
              <w:rPr>
                <w:rFonts w:ascii="宋体" w:hAnsi="宋体" w:eastAsia="宋体" w:cs="宋体"/>
                <w:kern w:val="0"/>
                <w:sz w:val="24"/>
                <w:szCs w:val="24"/>
                <w:lang w:bidi="ar"/>
              </w:rPr>
            </w:pPr>
          </w:p>
        </w:tc>
        <w:tc>
          <w:tcPr>
            <w:tcW w:w="1207" w:type="dxa"/>
            <w:vMerge w:val="continue"/>
            <w:tcBorders>
              <w:top w:val="single" w:color="auto" w:sz="4" w:space="0"/>
              <w:left w:val="single" w:color="000000" w:sz="4" w:space="0"/>
              <w:bottom w:val="single" w:color="auto" w:sz="4" w:space="0"/>
              <w:right w:val="single" w:color="000000" w:sz="4" w:space="0"/>
            </w:tcBorders>
            <w:shd w:val="clear" w:color="auto" w:fill="auto"/>
            <w:noWrap/>
            <w:vAlign w:val="center"/>
          </w:tcPr>
          <w:p w14:paraId="0062F6AD">
            <w:pPr>
              <w:widowControl/>
              <w:jc w:val="center"/>
              <w:textAlignment w:val="center"/>
              <w:rPr>
                <w:rFonts w:hint="eastAsia" w:ascii="宋体" w:hAnsi="宋体" w:eastAsia="宋体" w:cs="宋体"/>
                <w:kern w:val="0"/>
                <w:sz w:val="24"/>
                <w:szCs w:val="24"/>
                <w:lang w:bidi="ar"/>
              </w:rPr>
            </w:pPr>
          </w:p>
        </w:tc>
        <w:tc>
          <w:tcPr>
            <w:tcW w:w="3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3FB2A">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农村供水提升改造工程</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57BD7">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反向</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101DC">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小于等于</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CC891">
            <w:pPr>
              <w:widowControl/>
              <w:jc w:val="center"/>
              <w:textAlignment w:val="center"/>
              <w:rPr>
                <w:rFonts w:ascii="宋体" w:hAnsi="宋体" w:eastAsia="宋体" w:cs="宋体"/>
                <w:kern w:val="0"/>
                <w:sz w:val="24"/>
                <w:szCs w:val="24"/>
                <w:lang w:bidi="ar"/>
              </w:rPr>
            </w:pPr>
            <w:r>
              <w:rPr>
                <w:rFonts w:hint="eastAsia" w:ascii="宋体" w:hAnsi="宋体" w:eastAsia="宋体" w:cs="宋体"/>
                <w:kern w:val="0"/>
                <w:sz w:val="24"/>
                <w:szCs w:val="24"/>
                <w:lang w:val="en-US" w:eastAsia="zh-CN" w:bidi="ar"/>
              </w:rPr>
              <w:t>262万元</w:t>
            </w:r>
          </w:p>
        </w:tc>
      </w:tr>
      <w:tr w14:paraId="5A276160">
        <w:tblPrEx>
          <w:tblCellMar>
            <w:top w:w="0" w:type="dxa"/>
            <w:left w:w="108" w:type="dxa"/>
            <w:bottom w:w="0" w:type="dxa"/>
            <w:right w:w="108" w:type="dxa"/>
          </w:tblCellMar>
        </w:tblPrEx>
        <w:trPr>
          <w:trHeight w:val="397" w:hRule="atLeast"/>
          <w:jc w:val="center"/>
        </w:trPr>
        <w:tc>
          <w:tcPr>
            <w:tcW w:w="1058" w:type="dxa"/>
            <w:vMerge w:val="continue"/>
            <w:tcBorders>
              <w:top w:val="single" w:color="auto" w:sz="4" w:space="0"/>
              <w:left w:val="single" w:color="auto" w:sz="4" w:space="0"/>
              <w:bottom w:val="single" w:color="auto" w:sz="4" w:space="0"/>
              <w:right w:val="single" w:color="000000" w:sz="4" w:space="0"/>
            </w:tcBorders>
            <w:shd w:val="clear" w:color="auto" w:fill="auto"/>
            <w:noWrap/>
            <w:vAlign w:val="center"/>
          </w:tcPr>
          <w:p w14:paraId="1D5FD96F">
            <w:pPr>
              <w:jc w:val="center"/>
              <w:rPr>
                <w:rFonts w:ascii="宋体" w:hAnsi="宋体" w:eastAsia="宋体" w:cs="宋体"/>
                <w:kern w:val="0"/>
                <w:sz w:val="24"/>
                <w:szCs w:val="24"/>
                <w:lang w:bidi="ar"/>
              </w:rPr>
            </w:pPr>
          </w:p>
        </w:tc>
        <w:tc>
          <w:tcPr>
            <w:tcW w:w="1207" w:type="dxa"/>
            <w:vMerge w:val="continue"/>
            <w:tcBorders>
              <w:top w:val="single" w:color="auto" w:sz="4" w:space="0"/>
              <w:left w:val="single" w:color="000000" w:sz="4" w:space="0"/>
              <w:bottom w:val="single" w:color="auto" w:sz="4" w:space="0"/>
              <w:right w:val="single" w:color="000000" w:sz="4" w:space="0"/>
            </w:tcBorders>
            <w:shd w:val="clear" w:color="auto" w:fill="auto"/>
            <w:noWrap/>
            <w:vAlign w:val="center"/>
          </w:tcPr>
          <w:p w14:paraId="4F10EE16">
            <w:pPr>
              <w:widowControl/>
              <w:jc w:val="center"/>
              <w:textAlignment w:val="center"/>
              <w:rPr>
                <w:rFonts w:hint="eastAsia" w:ascii="宋体" w:hAnsi="宋体" w:eastAsia="宋体" w:cs="宋体"/>
                <w:kern w:val="0"/>
                <w:sz w:val="24"/>
                <w:szCs w:val="24"/>
                <w:lang w:bidi="ar"/>
              </w:rPr>
            </w:pPr>
          </w:p>
        </w:tc>
        <w:tc>
          <w:tcPr>
            <w:tcW w:w="3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AD06E">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农村供水标准化提升工程</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64BD6">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反向</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E1B92">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小于等于</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847C9">
            <w:pPr>
              <w:widowControl/>
              <w:jc w:val="center"/>
              <w:textAlignment w:val="center"/>
              <w:rPr>
                <w:rFonts w:ascii="宋体" w:hAnsi="宋体" w:eastAsia="宋体" w:cs="宋体"/>
                <w:kern w:val="0"/>
                <w:sz w:val="24"/>
                <w:szCs w:val="24"/>
                <w:lang w:bidi="ar"/>
              </w:rPr>
            </w:pPr>
            <w:r>
              <w:rPr>
                <w:rFonts w:hint="eastAsia" w:ascii="宋体" w:hAnsi="宋体" w:eastAsia="宋体" w:cs="宋体"/>
                <w:kern w:val="0"/>
                <w:sz w:val="24"/>
                <w:szCs w:val="24"/>
                <w:lang w:val="en-US" w:eastAsia="zh-CN" w:bidi="ar"/>
              </w:rPr>
              <w:t>88万元</w:t>
            </w:r>
          </w:p>
        </w:tc>
      </w:tr>
      <w:tr w14:paraId="55EF7527">
        <w:tblPrEx>
          <w:tblCellMar>
            <w:top w:w="0" w:type="dxa"/>
            <w:left w:w="108" w:type="dxa"/>
            <w:bottom w:w="0" w:type="dxa"/>
            <w:right w:w="108" w:type="dxa"/>
          </w:tblCellMar>
        </w:tblPrEx>
        <w:trPr>
          <w:trHeight w:val="397" w:hRule="atLeast"/>
          <w:jc w:val="center"/>
        </w:trPr>
        <w:tc>
          <w:tcPr>
            <w:tcW w:w="1058" w:type="dxa"/>
            <w:vMerge w:val="restart"/>
            <w:tcBorders>
              <w:top w:val="single" w:color="auto" w:sz="4" w:space="0"/>
              <w:left w:val="single" w:color="000000" w:sz="4" w:space="0"/>
              <w:bottom w:val="single" w:color="000000" w:sz="4" w:space="0"/>
              <w:right w:val="single" w:color="000000" w:sz="4" w:space="0"/>
            </w:tcBorders>
            <w:shd w:val="clear" w:color="auto" w:fill="auto"/>
            <w:noWrap/>
            <w:vAlign w:val="center"/>
          </w:tcPr>
          <w:p w14:paraId="7219FA8D">
            <w:pPr>
              <w:widowControl/>
              <w:adjustRightInd w:val="0"/>
              <w:snapToGrid w:val="0"/>
              <w:jc w:val="center"/>
              <w:textAlignment w:val="center"/>
              <w:rPr>
                <w:rFonts w:ascii="宋体" w:hAnsi="宋体" w:eastAsia="宋体" w:cs="宋体"/>
                <w:kern w:val="0"/>
                <w:sz w:val="24"/>
                <w:szCs w:val="24"/>
                <w:lang w:bidi="ar"/>
              </w:rPr>
            </w:pPr>
            <w:r>
              <w:rPr>
                <w:rFonts w:hint="eastAsia" w:ascii="宋体" w:hAnsi="宋体" w:eastAsia="宋体" w:cs="宋体"/>
                <w:kern w:val="0"/>
                <w:sz w:val="24"/>
                <w:szCs w:val="24"/>
                <w:lang w:bidi="ar"/>
              </w:rPr>
              <w:t>效益</w:t>
            </w:r>
          </w:p>
          <w:p w14:paraId="25F1CA45">
            <w:pPr>
              <w:widowControl/>
              <w:adjustRightInd w:val="0"/>
              <w:snapToGrid w:val="0"/>
              <w:jc w:val="center"/>
              <w:textAlignment w:val="center"/>
              <w:rPr>
                <w:rFonts w:ascii="宋体" w:hAnsi="宋体" w:eastAsia="宋体" w:cs="宋体"/>
                <w:kern w:val="0"/>
                <w:sz w:val="24"/>
                <w:szCs w:val="24"/>
                <w:lang w:bidi="ar"/>
              </w:rPr>
            </w:pPr>
            <w:r>
              <w:rPr>
                <w:rFonts w:hint="eastAsia" w:ascii="宋体" w:hAnsi="宋体" w:eastAsia="宋体" w:cs="宋体"/>
                <w:kern w:val="0"/>
                <w:sz w:val="24"/>
                <w:szCs w:val="24"/>
                <w:lang w:bidi="ar"/>
              </w:rPr>
              <w:t>指标</w:t>
            </w:r>
          </w:p>
        </w:tc>
        <w:tc>
          <w:tcPr>
            <w:tcW w:w="1207"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1FCD3D25">
            <w:pPr>
              <w:widowControl/>
              <w:adjustRightInd w:val="0"/>
              <w:snapToGrid w:val="0"/>
              <w:jc w:val="center"/>
              <w:textAlignment w:val="center"/>
              <w:rPr>
                <w:rFonts w:ascii="宋体" w:hAnsi="宋体" w:eastAsia="宋体" w:cs="宋体"/>
                <w:kern w:val="0"/>
                <w:sz w:val="24"/>
                <w:szCs w:val="24"/>
                <w:lang w:bidi="ar"/>
              </w:rPr>
            </w:pPr>
            <w:r>
              <w:rPr>
                <w:rFonts w:hint="eastAsia" w:ascii="宋体" w:hAnsi="宋体" w:eastAsia="宋体" w:cs="宋体"/>
                <w:kern w:val="0"/>
                <w:sz w:val="24"/>
                <w:szCs w:val="24"/>
                <w:lang w:bidi="ar"/>
              </w:rPr>
              <w:t>社会效益</w:t>
            </w:r>
          </w:p>
        </w:tc>
        <w:tc>
          <w:tcPr>
            <w:tcW w:w="3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FC540">
            <w:pPr>
              <w:widowControl/>
              <w:adjustRightInd w:val="0"/>
              <w:snapToGrid w:val="0"/>
              <w:jc w:val="center"/>
              <w:textAlignment w:val="center"/>
              <w:rPr>
                <w:rFonts w:ascii="宋体" w:hAnsi="宋体" w:eastAsia="宋体" w:cs="宋体"/>
                <w:kern w:val="0"/>
                <w:sz w:val="24"/>
                <w:szCs w:val="24"/>
                <w:lang w:bidi="ar"/>
              </w:rPr>
            </w:pPr>
            <w:r>
              <w:rPr>
                <w:rFonts w:hint="eastAsia" w:ascii="宋体" w:hAnsi="宋体" w:eastAsia="宋体" w:cs="宋体"/>
                <w:kern w:val="0"/>
                <w:sz w:val="24"/>
                <w:szCs w:val="24"/>
                <w:lang w:bidi="ar"/>
              </w:rPr>
              <w:t>有效促进农村饮水安全</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A0732">
            <w:pPr>
              <w:widowControl/>
              <w:adjustRightInd w:val="0"/>
              <w:snapToGrid w:val="0"/>
              <w:jc w:val="center"/>
              <w:textAlignment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定性</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888E5">
            <w:pPr>
              <w:widowControl/>
              <w:adjustRightInd w:val="0"/>
              <w:snapToGrid w:val="0"/>
              <w:jc w:val="center"/>
              <w:textAlignment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F2D9A">
            <w:pPr>
              <w:widowControl/>
              <w:adjustRightInd w:val="0"/>
              <w:snapToGrid w:val="0"/>
              <w:jc w:val="center"/>
              <w:textAlignment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有效促进</w:t>
            </w:r>
          </w:p>
        </w:tc>
      </w:tr>
      <w:tr w14:paraId="5600DE79">
        <w:tblPrEx>
          <w:tblCellMar>
            <w:top w:w="0" w:type="dxa"/>
            <w:left w:w="108" w:type="dxa"/>
            <w:bottom w:w="0" w:type="dxa"/>
            <w:right w:w="108" w:type="dxa"/>
          </w:tblCellMar>
        </w:tblPrEx>
        <w:trPr>
          <w:trHeight w:val="397" w:hRule="atLeast"/>
          <w:jc w:val="center"/>
        </w:trPr>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1DC16">
            <w:pPr>
              <w:jc w:val="center"/>
              <w:rPr>
                <w:rFonts w:ascii="宋体" w:hAnsi="宋体" w:eastAsia="宋体" w:cs="宋体"/>
                <w:kern w:val="0"/>
                <w:sz w:val="24"/>
                <w:szCs w:val="24"/>
                <w:lang w:bidi="ar"/>
              </w:rPr>
            </w:pPr>
          </w:p>
        </w:tc>
        <w:tc>
          <w:tcPr>
            <w:tcW w:w="1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22607">
            <w:pPr>
              <w:widowControl/>
              <w:jc w:val="center"/>
              <w:textAlignment w:val="center"/>
              <w:rPr>
                <w:rFonts w:ascii="宋体" w:hAnsi="宋体" w:eastAsia="宋体" w:cs="宋体"/>
                <w:kern w:val="0"/>
                <w:sz w:val="24"/>
                <w:szCs w:val="24"/>
                <w:lang w:bidi="ar"/>
              </w:rPr>
            </w:pPr>
            <w:r>
              <w:rPr>
                <w:rFonts w:hint="eastAsia" w:ascii="宋体" w:hAnsi="宋体" w:eastAsia="宋体" w:cs="宋体"/>
                <w:kern w:val="0"/>
                <w:sz w:val="24"/>
                <w:szCs w:val="24"/>
                <w:lang w:bidi="ar"/>
              </w:rPr>
              <w:t>可持续影响</w:t>
            </w:r>
          </w:p>
        </w:tc>
        <w:tc>
          <w:tcPr>
            <w:tcW w:w="3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392CE">
            <w:pPr>
              <w:widowControl/>
              <w:jc w:val="center"/>
              <w:textAlignment w:val="center"/>
              <w:rPr>
                <w:rFonts w:ascii="宋体" w:hAnsi="宋体" w:eastAsia="宋体" w:cs="宋体"/>
                <w:kern w:val="0"/>
                <w:sz w:val="24"/>
                <w:szCs w:val="24"/>
                <w:lang w:bidi="ar"/>
              </w:rPr>
            </w:pPr>
            <w:r>
              <w:rPr>
                <w:rFonts w:hint="eastAsia" w:ascii="宋体" w:hAnsi="宋体" w:eastAsia="宋体" w:cs="宋体"/>
                <w:kern w:val="0"/>
                <w:sz w:val="24"/>
                <w:szCs w:val="24"/>
                <w:lang w:bidi="ar"/>
              </w:rPr>
              <w:t>解决项目区饮水困难问题</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61D0D">
            <w:pPr>
              <w:widowControl/>
              <w:jc w:val="center"/>
              <w:textAlignment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定性</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E9A2F">
            <w:pPr>
              <w:widowControl/>
              <w:jc w:val="center"/>
              <w:textAlignment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8973F">
            <w:pPr>
              <w:widowControl/>
              <w:jc w:val="center"/>
              <w:textAlignment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长期</w:t>
            </w:r>
          </w:p>
        </w:tc>
      </w:tr>
      <w:tr w14:paraId="3C3EDDC7">
        <w:tblPrEx>
          <w:tblCellMar>
            <w:top w:w="0" w:type="dxa"/>
            <w:left w:w="108" w:type="dxa"/>
            <w:bottom w:w="0" w:type="dxa"/>
            <w:right w:w="108" w:type="dxa"/>
          </w:tblCellMar>
        </w:tblPrEx>
        <w:trPr>
          <w:trHeight w:val="397" w:hRule="atLeast"/>
          <w:jc w:val="center"/>
        </w:trPr>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B93BF">
            <w:pPr>
              <w:widowControl/>
              <w:adjustRightInd w:val="0"/>
              <w:snapToGrid w:val="0"/>
              <w:jc w:val="center"/>
              <w:textAlignment w:val="center"/>
              <w:rPr>
                <w:rFonts w:ascii="宋体" w:hAnsi="宋体" w:eastAsia="宋体" w:cs="宋体"/>
                <w:kern w:val="0"/>
                <w:sz w:val="24"/>
                <w:szCs w:val="24"/>
                <w:lang w:bidi="ar"/>
              </w:rPr>
            </w:pPr>
            <w:r>
              <w:rPr>
                <w:rFonts w:hint="eastAsia" w:ascii="宋体" w:hAnsi="宋体" w:eastAsia="宋体" w:cs="宋体"/>
                <w:kern w:val="0"/>
                <w:sz w:val="24"/>
                <w:szCs w:val="24"/>
                <w:lang w:bidi="ar"/>
              </w:rPr>
              <w:t>满意度指标</w:t>
            </w:r>
          </w:p>
        </w:tc>
        <w:tc>
          <w:tcPr>
            <w:tcW w:w="1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47054">
            <w:pPr>
              <w:widowControl/>
              <w:adjustRightInd w:val="0"/>
              <w:snapToGrid w:val="0"/>
              <w:jc w:val="center"/>
              <w:textAlignment w:val="center"/>
              <w:rPr>
                <w:rFonts w:ascii="宋体" w:hAnsi="宋体" w:eastAsia="宋体" w:cs="宋体"/>
                <w:kern w:val="0"/>
                <w:sz w:val="24"/>
                <w:szCs w:val="24"/>
                <w:lang w:bidi="ar"/>
              </w:rPr>
            </w:pPr>
            <w:r>
              <w:rPr>
                <w:rFonts w:hint="eastAsia" w:ascii="宋体" w:hAnsi="宋体" w:eastAsia="宋体" w:cs="宋体"/>
                <w:kern w:val="0"/>
                <w:sz w:val="24"/>
                <w:szCs w:val="24"/>
                <w:lang w:bidi="ar"/>
              </w:rPr>
              <w:t>服务对象满意度</w:t>
            </w:r>
          </w:p>
        </w:tc>
        <w:tc>
          <w:tcPr>
            <w:tcW w:w="3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2A2BD">
            <w:pPr>
              <w:widowControl/>
              <w:adjustRightInd w:val="0"/>
              <w:snapToGrid w:val="0"/>
              <w:jc w:val="center"/>
              <w:textAlignment w:val="center"/>
              <w:rPr>
                <w:rFonts w:ascii="宋体" w:hAnsi="宋体" w:eastAsia="宋体" w:cs="宋体"/>
                <w:kern w:val="0"/>
                <w:sz w:val="24"/>
                <w:szCs w:val="24"/>
                <w:lang w:bidi="ar"/>
              </w:rPr>
            </w:pPr>
            <w:r>
              <w:rPr>
                <w:rFonts w:hint="eastAsia" w:ascii="宋体" w:hAnsi="宋体" w:eastAsia="宋体" w:cs="宋体"/>
                <w:kern w:val="0"/>
                <w:sz w:val="24"/>
                <w:szCs w:val="24"/>
                <w:lang w:bidi="ar"/>
              </w:rPr>
              <w:t>农牧民满意度</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CA455">
            <w:pPr>
              <w:widowControl/>
              <w:adjustRightInd w:val="0"/>
              <w:snapToGrid w:val="0"/>
              <w:jc w:val="center"/>
              <w:textAlignment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正向</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890A1">
            <w:pPr>
              <w:widowControl/>
              <w:adjustRightInd w:val="0"/>
              <w:snapToGrid w:val="0"/>
              <w:jc w:val="center"/>
              <w:textAlignment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大于等于</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33524">
            <w:pPr>
              <w:widowControl/>
              <w:adjustRightInd w:val="0"/>
              <w:snapToGrid w:val="0"/>
              <w:jc w:val="center"/>
              <w:textAlignment w:val="center"/>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95%</w:t>
            </w:r>
          </w:p>
        </w:tc>
      </w:tr>
    </w:tbl>
    <w:p w14:paraId="41F5125C">
      <w:pPr>
        <w:snapToGrid w:val="0"/>
        <w:spacing w:line="360" w:lineRule="auto"/>
        <w:ind w:firstLine="360" w:firstLineChars="200"/>
        <w:jc w:val="both"/>
        <w:rPr>
          <w:rFonts w:hint="eastAsia" w:ascii="黑体" w:hAnsi="黑体" w:eastAsia="黑体" w:cs="黑体"/>
          <w:sz w:val="18"/>
          <w:szCs w:val="18"/>
        </w:rPr>
      </w:pPr>
    </w:p>
    <w:p w14:paraId="48EB6AF6">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ascii="黑体" w:hAnsi="黑体" w:eastAsia="黑体" w:cs="黑体"/>
          <w:sz w:val="32"/>
          <w:szCs w:val="32"/>
        </w:rPr>
      </w:pPr>
      <w:r>
        <w:rPr>
          <w:rFonts w:hint="eastAsia" w:ascii="黑体" w:hAnsi="黑体" w:eastAsia="黑体" w:cs="黑体"/>
          <w:sz w:val="32"/>
          <w:szCs w:val="32"/>
        </w:rPr>
        <w:t>二、评价结论</w:t>
      </w:r>
    </w:p>
    <w:p w14:paraId="7C6F4AC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（一）评价结果</w:t>
      </w:r>
    </w:p>
    <w:p w14:paraId="72E9F52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kern w:val="2"/>
          <w:sz w:val="32"/>
          <w:szCs w:val="32"/>
          <w:lang w:val="en-US" w:eastAsia="zh-CN" w:bidi="ar-SA"/>
        </w:rPr>
        <w:t>农村牧区饮水安全保障</w:t>
      </w:r>
      <w:r>
        <w:rPr>
          <w:rFonts w:hint="eastAsia" w:ascii="仿宋" w:hAnsi="仿宋" w:eastAsia="仿宋" w:cs="仿宋"/>
          <w:color w:val="auto"/>
          <w:sz w:val="32"/>
          <w:szCs w:val="32"/>
          <w:highlight w:val="none"/>
        </w:rPr>
        <w:t>项目综合</w:t>
      </w:r>
      <w:r>
        <w:rPr>
          <w:rFonts w:hint="eastAsia" w:ascii="仿宋" w:hAnsi="仿宋" w:eastAsia="仿宋" w:cs="仿宋"/>
          <w:color w:val="auto"/>
          <w:sz w:val="32"/>
          <w:szCs w:val="32"/>
          <w:highlight w:val="none"/>
          <w:lang w:val="en-US" w:eastAsia="zh-CN"/>
        </w:rPr>
        <w:t>评分</w:t>
      </w:r>
      <w:r>
        <w:rPr>
          <w:rFonts w:hint="eastAsia" w:ascii="仿宋" w:hAnsi="仿宋" w:eastAsia="仿宋" w:cs="仿宋"/>
          <w:b/>
          <w:bCs/>
          <w:color w:val="auto"/>
          <w:sz w:val="32"/>
          <w:szCs w:val="32"/>
          <w:highlight w:val="none"/>
          <w:lang w:val="en-US" w:eastAsia="zh-CN"/>
        </w:rPr>
        <w:t>80.46</w:t>
      </w:r>
      <w:r>
        <w:rPr>
          <w:rFonts w:hint="eastAsia" w:ascii="仿宋" w:hAnsi="仿宋" w:eastAsia="仿宋" w:cs="仿宋"/>
          <w:color w:val="auto"/>
          <w:sz w:val="32"/>
          <w:szCs w:val="32"/>
          <w:highlight w:val="none"/>
          <w:lang w:val="en-US" w:eastAsia="zh-CN"/>
        </w:rPr>
        <w:t>分</w:t>
      </w:r>
      <w:r>
        <w:rPr>
          <w:rFonts w:hint="eastAsia" w:ascii="仿宋" w:hAnsi="仿宋" w:eastAsia="仿宋" w:cs="仿宋"/>
          <w:color w:val="auto"/>
          <w:sz w:val="32"/>
          <w:szCs w:val="32"/>
          <w:highlight w:val="none"/>
        </w:rPr>
        <w:t>，评级“</w:t>
      </w:r>
      <w:r>
        <w:rPr>
          <w:rFonts w:hint="eastAsia" w:ascii="仿宋" w:hAnsi="仿宋" w:eastAsia="仿宋" w:cs="仿宋"/>
          <w:b/>
          <w:bCs/>
          <w:color w:val="auto"/>
          <w:sz w:val="32"/>
          <w:szCs w:val="32"/>
          <w:highlight w:val="none"/>
          <w:lang w:val="en-US" w:eastAsia="zh-CN"/>
        </w:rPr>
        <w:t>良</w:t>
      </w:r>
      <w:r>
        <w:rPr>
          <w:rFonts w:hint="eastAsia" w:ascii="仿宋" w:hAnsi="仿宋" w:eastAsia="仿宋" w:cs="仿宋"/>
          <w:color w:val="auto"/>
          <w:sz w:val="32"/>
          <w:szCs w:val="32"/>
          <w:highlight w:val="none"/>
        </w:rPr>
        <w:t>”。</w:t>
      </w:r>
    </w:p>
    <w:p w14:paraId="32D88849">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总体结论</w:t>
      </w:r>
    </w:p>
    <w:p w14:paraId="1D262DD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 w:hAnsi="仿宋" w:eastAsia="仿宋"/>
          <w:b w:val="0"/>
          <w:bCs w:val="0"/>
          <w:color w:val="auto"/>
          <w:sz w:val="32"/>
          <w:szCs w:val="32"/>
          <w:highlight w:val="none"/>
          <w:shd w:val="clear" w:color="auto" w:fill="FFFFFF" w:themeFill="background1"/>
          <w:lang w:val="en-US" w:eastAsia="zh-CN"/>
        </w:rPr>
      </w:pPr>
      <w:r>
        <w:rPr>
          <w:rFonts w:hint="eastAsia" w:ascii="仿宋" w:hAnsi="仿宋" w:eastAsia="仿宋" w:cs="仿宋"/>
          <w:kern w:val="0"/>
          <w:sz w:val="32"/>
          <w:szCs w:val="32"/>
          <w:lang w:val="en-US" w:eastAsia="zh-CN" w:bidi="ar"/>
        </w:rPr>
        <w:t>伊旗水利事业发展中心负责实施的</w:t>
      </w:r>
      <w:r>
        <w:rPr>
          <w:rFonts w:hint="eastAsia" w:ascii="仿宋" w:hAnsi="仿宋" w:eastAsia="仿宋"/>
          <w:sz w:val="32"/>
          <w:szCs w:val="32"/>
        </w:rPr>
        <w:t>伊金霍洛旗</w:t>
      </w:r>
      <w:r>
        <w:rPr>
          <w:rFonts w:hint="eastAsia" w:ascii="仿宋" w:hAnsi="仿宋" w:eastAsia="仿宋" w:cs="Arial"/>
          <w:b w:val="0"/>
          <w:bCs w:val="0"/>
          <w:kern w:val="0"/>
          <w:sz w:val="32"/>
          <w:szCs w:val="32"/>
          <w:highlight w:val="none"/>
          <w:lang w:val="en-US" w:eastAsia="zh-CN"/>
        </w:rPr>
        <w:t>农村牧区饮水安全保障项目，</w:t>
      </w:r>
      <w:r>
        <w:rPr>
          <w:rFonts w:hint="eastAsia" w:ascii="仿宋" w:hAnsi="仿宋" w:eastAsia="仿宋" w:cs="仿宋"/>
          <w:b w:val="0"/>
          <w:bCs w:val="0"/>
          <w:color w:val="auto"/>
          <w:kern w:val="0"/>
          <w:sz w:val="32"/>
          <w:szCs w:val="32"/>
          <w:highlight w:val="none"/>
        </w:rPr>
        <w:t>绩效目标</w:t>
      </w:r>
      <w:r>
        <w:rPr>
          <w:rFonts w:hint="eastAsia" w:ascii="仿宋" w:hAnsi="仿宋" w:eastAsia="仿宋" w:cs="仿宋"/>
          <w:b w:val="0"/>
          <w:bCs w:val="0"/>
          <w:color w:val="auto"/>
          <w:kern w:val="0"/>
          <w:sz w:val="32"/>
          <w:szCs w:val="32"/>
          <w:highlight w:val="none"/>
          <w:lang w:val="en-US" w:eastAsia="zh-CN"/>
        </w:rPr>
        <w:t>设置科学合理，预算执行率为100%</w:t>
      </w:r>
      <w:r>
        <w:rPr>
          <w:rFonts w:hint="eastAsia" w:ascii="仿宋" w:hAnsi="仿宋" w:eastAsia="仿宋" w:cs="Arial"/>
          <w:kern w:val="0"/>
          <w:sz w:val="32"/>
          <w:szCs w:val="32"/>
          <w:highlight w:val="none"/>
          <w:lang w:val="en-US" w:eastAsia="zh-CN"/>
        </w:rPr>
        <w:t>，</w:t>
      </w:r>
      <w:r>
        <w:rPr>
          <w:rFonts w:hint="eastAsia" w:ascii="仿宋" w:hAnsi="仿宋" w:eastAsia="仿宋"/>
          <w:bCs/>
          <w:kern w:val="0"/>
          <w:sz w:val="32"/>
          <w:szCs w:val="32"/>
          <w:highlight w:val="none"/>
          <w:lang w:val="en-US" w:eastAsia="zh-CN"/>
        </w:rPr>
        <w:t>管理制度健全，</w:t>
      </w:r>
      <w:r>
        <w:rPr>
          <w:rFonts w:hint="eastAsia" w:ascii="仿宋" w:hAnsi="仿宋" w:eastAsia="仿宋"/>
          <w:bCs/>
          <w:sz w:val="32"/>
          <w:szCs w:val="32"/>
          <w:shd w:val="clear" w:color="auto" w:fill="FFFFFF" w:themeFill="background1"/>
          <w:lang w:val="en-US" w:eastAsia="zh-CN"/>
        </w:rPr>
        <w:t>截至评价日，</w:t>
      </w:r>
      <w:r>
        <w:rPr>
          <w:rFonts w:hint="eastAsia" w:ascii="仿宋" w:hAnsi="仿宋" w:eastAsia="仿宋"/>
          <w:sz w:val="32"/>
          <w:szCs w:val="32"/>
        </w:rPr>
        <w:t>农村供水水质提升工程</w:t>
      </w:r>
      <w:r>
        <w:rPr>
          <w:rFonts w:hint="eastAsia" w:ascii="仿宋" w:hAnsi="仿宋" w:eastAsia="仿宋"/>
          <w:sz w:val="32"/>
          <w:szCs w:val="32"/>
          <w:lang w:eastAsia="zh-CN"/>
        </w:rPr>
        <w:t>、农村供水提升改造工程、农村供水标准化提升工程</w:t>
      </w:r>
      <w:r>
        <w:rPr>
          <w:rFonts w:hint="eastAsia" w:ascii="仿宋" w:hAnsi="仿宋" w:eastAsia="仿宋"/>
          <w:bCs/>
          <w:sz w:val="32"/>
          <w:szCs w:val="32"/>
          <w:shd w:val="clear" w:color="auto" w:fill="FFFFFF" w:themeFill="background1"/>
          <w:lang w:val="en-US" w:eastAsia="zh-CN"/>
        </w:rPr>
        <w:t>均已按计划完成。</w:t>
      </w:r>
      <w:r>
        <w:rPr>
          <w:rFonts w:hint="eastAsia" w:ascii="仿宋" w:hAnsi="仿宋" w:eastAsia="仿宋"/>
          <w:bCs/>
          <w:color w:val="auto"/>
          <w:sz w:val="32"/>
          <w:szCs w:val="32"/>
          <w:highlight w:val="none"/>
          <w:shd w:val="clear" w:color="auto" w:fill="FFFFFF" w:themeFill="background1"/>
          <w:lang w:val="en-US" w:eastAsia="zh-CN"/>
        </w:rPr>
        <w:t>但</w:t>
      </w:r>
      <w:r>
        <w:rPr>
          <w:rFonts w:hint="eastAsia" w:ascii="仿宋" w:hAnsi="仿宋" w:eastAsia="仿宋" w:cs="仿宋"/>
          <w:sz w:val="32"/>
          <w:szCs w:val="32"/>
          <w:lang w:val="en-US" w:eastAsia="zh-CN"/>
        </w:rPr>
        <w:t>评价发现，</w:t>
      </w:r>
      <w:r>
        <w:rPr>
          <w:rFonts w:hint="eastAsia" w:ascii="仿宋" w:hAnsi="仿宋" w:eastAsia="仿宋"/>
          <w:bCs/>
          <w:color w:val="auto"/>
          <w:sz w:val="32"/>
          <w:szCs w:val="32"/>
          <w:highlight w:val="none"/>
          <w:shd w:val="clear" w:color="auto" w:fill="FFFFFF" w:themeFill="background1"/>
          <w:lang w:val="en-US" w:eastAsia="zh-CN"/>
        </w:rPr>
        <w:t>项目存在调整规范性不足、组织实施有效性不足、预算编制科学性不足、资金使用合规性有待加强、产出质量时效与效益存在短板且尚有改进空间等问题。</w:t>
      </w:r>
    </w:p>
    <w:p w14:paraId="62DFB1EF">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三、主要问题及相关建议</w:t>
      </w:r>
    </w:p>
    <w:p w14:paraId="19FE725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2"/>
        <w:rPr>
          <w:rFonts w:hint="eastAsia" w:eastAsia="仿宋_GB2312"/>
          <w:b/>
          <w:bCs/>
          <w:sz w:val="32"/>
          <w:szCs w:val="32"/>
          <w:lang w:val="en-US" w:eastAsia="zh-CN"/>
        </w:rPr>
      </w:pPr>
      <w:bookmarkStart w:id="3" w:name="_Toc22655"/>
      <w:bookmarkStart w:id="4" w:name="_Toc13262"/>
      <w:bookmarkStart w:id="5" w:name="_Toc9620"/>
      <w:r>
        <w:rPr>
          <w:rFonts w:hint="eastAsia" w:ascii="楷体_GB2312" w:hAnsi="楷体_GB2312" w:eastAsia="楷体_GB2312" w:cs="楷体_GB2312"/>
          <w:sz w:val="32"/>
          <w:szCs w:val="32"/>
        </w:rPr>
        <w:t>（一）</w:t>
      </w:r>
      <w:r>
        <w:rPr>
          <w:rFonts w:hint="eastAsia" w:eastAsia="仿宋_GB2312"/>
          <w:b/>
          <w:bCs/>
          <w:sz w:val="32"/>
          <w:szCs w:val="32"/>
          <w:lang w:val="en-US" w:eastAsia="zh-CN"/>
        </w:rPr>
        <w:t>主要问题：</w:t>
      </w:r>
      <w:bookmarkEnd w:id="3"/>
      <w:bookmarkEnd w:id="4"/>
      <w:bookmarkEnd w:id="5"/>
    </w:p>
    <w:p w14:paraId="66939576">
      <w:pPr>
        <w:pStyle w:val="5"/>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Arial"/>
          <w:b w:val="0"/>
          <w:bCs w:val="0"/>
          <w:color w:val="auto"/>
          <w:kern w:val="0"/>
          <w:sz w:val="32"/>
          <w:szCs w:val="32"/>
          <w:highlight w:val="none"/>
          <w:lang w:val="en-US" w:eastAsia="zh-CN"/>
        </w:rPr>
      </w:pPr>
      <w:r>
        <w:rPr>
          <w:rFonts w:hint="eastAsia" w:ascii="仿宋" w:hAnsi="仿宋" w:eastAsia="仿宋" w:cs="仿宋"/>
          <w:b w:val="0"/>
          <w:bCs w:val="0"/>
          <w:color w:val="000000"/>
          <w:kern w:val="0"/>
          <w:sz w:val="32"/>
          <w:szCs w:val="32"/>
          <w:lang w:val="en-US" w:eastAsia="zh-CN" w:bidi="ar"/>
        </w:rPr>
        <w:t>1.项目</w:t>
      </w:r>
      <w:r>
        <w:rPr>
          <w:rFonts w:hint="eastAsia" w:ascii="仿宋" w:hAnsi="仿宋" w:eastAsia="仿宋" w:cs="仿宋"/>
          <w:b w:val="0"/>
          <w:bCs w:val="0"/>
          <w:kern w:val="0"/>
          <w:sz w:val="32"/>
          <w:szCs w:val="32"/>
          <w:highlight w:val="none"/>
          <w:lang w:val="en-US" w:eastAsia="zh-CN" w:bidi="ar"/>
        </w:rPr>
        <w:t>前期实施内容</w:t>
      </w:r>
      <w:r>
        <w:rPr>
          <w:rFonts w:hint="eastAsia" w:ascii="仿宋" w:hAnsi="仿宋" w:eastAsia="仿宋" w:cs="仿宋"/>
          <w:b w:val="0"/>
          <w:bCs w:val="0"/>
          <w:color w:val="000000"/>
          <w:kern w:val="0"/>
          <w:sz w:val="32"/>
          <w:szCs w:val="32"/>
          <w:lang w:val="en-US" w:eastAsia="zh-CN" w:bidi="ar"/>
        </w:rPr>
        <w:t>的调整工作完成时间晚于项目开工时间，</w:t>
      </w:r>
      <w:r>
        <w:rPr>
          <w:rFonts w:hint="eastAsia" w:ascii="仿宋" w:hAnsi="仿宋" w:eastAsia="仿宋" w:cs="仿宋"/>
          <w:b w:val="0"/>
          <w:bCs w:val="0"/>
          <w:color w:val="000000"/>
          <w:kern w:val="0"/>
          <w:sz w:val="32"/>
          <w:szCs w:val="32"/>
          <w:highlight w:val="none"/>
          <w:lang w:val="en-US" w:eastAsia="zh-CN" w:bidi="ar"/>
        </w:rPr>
        <w:t>项目最早开工时间为2025年8月18日，而《伊金霍洛旗水利事业发展中心关于调整2025年民生实事农村牧区</w:t>
      </w:r>
      <w:r>
        <w:rPr>
          <w:rFonts w:hint="eastAsia" w:ascii="仿宋" w:hAnsi="仿宋" w:eastAsia="仿宋" w:cs="Arial"/>
          <w:b w:val="0"/>
          <w:bCs w:val="0"/>
          <w:color w:val="auto"/>
          <w:kern w:val="0"/>
          <w:sz w:val="32"/>
          <w:szCs w:val="32"/>
          <w:highlight w:val="none"/>
          <w:lang w:val="en-US" w:eastAsia="zh-CN"/>
        </w:rPr>
        <w:t>饮水安全保障项目目标任务的请示》（伊水发〔2025〕18号）变更时间为2025年8月25日；</w:t>
      </w:r>
    </w:p>
    <w:p w14:paraId="1D73BE42">
      <w:pPr>
        <w:pStyle w:val="5"/>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Arial"/>
          <w:b w:val="0"/>
          <w:bCs w:val="0"/>
          <w:color w:val="auto"/>
          <w:kern w:val="0"/>
          <w:sz w:val="32"/>
          <w:szCs w:val="32"/>
          <w:highlight w:val="none"/>
          <w:lang w:val="en-US" w:eastAsia="zh-CN"/>
        </w:rPr>
      </w:pPr>
      <w:r>
        <w:rPr>
          <w:rFonts w:hint="eastAsia" w:ascii="仿宋" w:hAnsi="仿宋" w:eastAsia="仿宋" w:cs="Arial"/>
          <w:b w:val="0"/>
          <w:bCs w:val="0"/>
          <w:color w:val="auto"/>
          <w:kern w:val="0"/>
          <w:sz w:val="32"/>
          <w:szCs w:val="32"/>
          <w:highlight w:val="none"/>
          <w:lang w:val="en-US" w:eastAsia="zh-CN"/>
        </w:rPr>
        <w:t>2.农村牧区饮水安全保障项目实施方案资金总额为1713.77万元，财政投入资金为1654.00万元，实施方案资金总额超出财政投入资金总额，预算确定的资金量与方案工作任务计划不匹配；</w:t>
      </w:r>
    </w:p>
    <w:p w14:paraId="1883F625">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 w:val="0"/>
          <w:bCs w:val="0"/>
          <w:kern w:val="0"/>
          <w:sz w:val="32"/>
          <w:szCs w:val="32"/>
          <w:lang w:val="en-US" w:eastAsia="zh-CN" w:bidi="ar"/>
        </w:rPr>
      </w:pPr>
      <w:r>
        <w:rPr>
          <w:rFonts w:hint="eastAsia" w:ascii="仿宋" w:hAnsi="仿宋" w:eastAsia="仿宋"/>
          <w:b w:val="0"/>
          <w:bCs w:val="0"/>
          <w:color w:val="auto"/>
          <w:kern w:val="0"/>
          <w:sz w:val="32"/>
          <w:szCs w:val="32"/>
          <w:highlight w:val="none"/>
          <w:lang w:val="en-US" w:eastAsia="zh-CN"/>
        </w:rPr>
        <w:t>3.资金支出不符合项目预算批复的用途：①2025年11月使用项目资金2.06万元采购办公用品，如购买档案盒480个，并非全部用于农村牧区饮水安全保障项目；</w:t>
      </w:r>
      <w:r>
        <w:rPr>
          <w:rFonts w:hint="eastAsia" w:ascii="仿宋" w:hAnsi="仿宋" w:eastAsia="仿宋" w:cs="仿宋"/>
          <w:b w:val="0"/>
          <w:bCs w:val="0"/>
          <w:color w:val="auto"/>
          <w:kern w:val="0"/>
          <w:sz w:val="32"/>
          <w:szCs w:val="32"/>
          <w:highlight w:val="none"/>
          <w:lang w:val="en-US" w:eastAsia="zh-CN"/>
        </w:rPr>
        <w:t>②2025年12月使用项目资金180元支李冬梅水质监测水样下乡补助，</w:t>
      </w:r>
      <w:r>
        <w:rPr>
          <w:rFonts w:hint="eastAsia" w:ascii="仿宋" w:hAnsi="仿宋" w:eastAsia="仿宋" w:cs="仿宋"/>
          <w:b w:val="0"/>
          <w:bCs w:val="0"/>
          <w:kern w:val="0"/>
          <w:sz w:val="32"/>
          <w:szCs w:val="32"/>
          <w:lang w:val="en-US" w:eastAsia="zh-CN" w:bidi="ar"/>
        </w:rPr>
        <w:t>其对应的监测工作不属于农村牧区饮水安全保障项目检测范围；③</w:t>
      </w:r>
      <w:r>
        <w:rPr>
          <w:rFonts w:hint="eastAsia" w:ascii="仿宋" w:hAnsi="仿宋" w:eastAsia="仿宋" w:cs="仿宋"/>
          <w:b w:val="0"/>
          <w:bCs w:val="0"/>
          <w:color w:val="auto"/>
          <w:kern w:val="0"/>
          <w:sz w:val="32"/>
          <w:szCs w:val="32"/>
          <w:highlight w:val="none"/>
          <w:lang w:val="en-US" w:eastAsia="zh-CN"/>
        </w:rPr>
        <w:t>2025年12月使用项目资金360元支王瑞2024年12月下乡补助，</w:t>
      </w:r>
      <w:r>
        <w:rPr>
          <w:rFonts w:hint="eastAsia" w:ascii="仿宋" w:hAnsi="仿宋" w:eastAsia="仿宋" w:cs="仿宋"/>
          <w:b w:val="0"/>
          <w:bCs w:val="0"/>
          <w:kern w:val="0"/>
          <w:sz w:val="32"/>
          <w:szCs w:val="32"/>
          <w:lang w:val="en-US" w:eastAsia="zh-CN" w:bidi="ar"/>
        </w:rPr>
        <w:t>补助时段与项目实施周期不匹配；</w:t>
      </w:r>
      <w:r>
        <w:rPr>
          <w:rFonts w:hint="eastAsia" w:ascii="仿宋" w:hAnsi="仿宋" w:eastAsia="仿宋" w:cs="仿宋"/>
          <w:b w:val="0"/>
          <w:bCs w:val="0"/>
          <w:color w:val="auto"/>
          <w:kern w:val="0"/>
          <w:sz w:val="32"/>
          <w:szCs w:val="32"/>
          <w:highlight w:val="none"/>
          <w:lang w:val="en-US" w:eastAsia="zh-CN"/>
        </w:rPr>
        <w:t>80元支王瑞从阿镇到土右旗下乡补助，</w:t>
      </w:r>
      <w:r>
        <w:rPr>
          <w:rFonts w:hint="eastAsia" w:ascii="仿宋" w:hAnsi="仿宋" w:eastAsia="仿宋" w:cs="仿宋"/>
          <w:b w:val="0"/>
          <w:bCs w:val="0"/>
          <w:kern w:val="0"/>
          <w:sz w:val="32"/>
          <w:szCs w:val="32"/>
          <w:lang w:val="en-US" w:eastAsia="zh-CN" w:bidi="ar"/>
        </w:rPr>
        <w:t>对应的下乡行程未涉及本项目的任何施工点位、检测点位或管理事项，与项目实施无关；</w:t>
      </w:r>
    </w:p>
    <w:p w14:paraId="330330D6">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 w:val="0"/>
          <w:bCs w:val="0"/>
          <w:i w:val="0"/>
          <w:iCs w:val="0"/>
          <w:caps w:val="0"/>
          <w:color w:val="auto"/>
          <w:spacing w:val="0"/>
          <w:sz w:val="32"/>
          <w:szCs w:val="32"/>
          <w:shd w:val="clear" w:fill="FFFFFF"/>
          <w:lang w:val="en-US" w:eastAsia="zh-CN"/>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i w:val="0"/>
          <w:iCs w:val="0"/>
          <w:caps w:val="0"/>
          <w:spacing w:val="0"/>
          <w:sz w:val="32"/>
          <w:szCs w:val="32"/>
          <w:shd w:val="clear" w:fill="FFFFFF"/>
          <w:lang w:val="en-US" w:eastAsia="zh-CN"/>
        </w:rPr>
        <w:t>评价工作组通过查看项目现场，发现以下问题：</w:t>
      </w:r>
      <w:r>
        <w:rPr>
          <w:rFonts w:hint="eastAsia" w:ascii="仿宋" w:hAnsi="仿宋" w:eastAsia="仿宋" w:cs="仿宋"/>
          <w:b w:val="0"/>
          <w:bCs w:val="0"/>
          <w:color w:val="auto"/>
          <w:sz w:val="32"/>
          <w:szCs w:val="32"/>
          <w:lang w:val="en-US" w:eastAsia="zh-CN"/>
        </w:rPr>
        <w:t>①位于苏布尔嘎镇镇区的蓄水池存在墙皮脱落的情况；②位于苏布尔嘎镇未来小镇的供水管道阀门井内存在建筑杂物；</w:t>
      </w:r>
      <w:r>
        <w:rPr>
          <w:rFonts w:hint="eastAsia" w:ascii="仿宋" w:hAnsi="仿宋" w:eastAsia="仿宋" w:cs="仿宋"/>
          <w:b w:val="0"/>
          <w:bCs w:val="0"/>
          <w:i w:val="0"/>
          <w:iCs w:val="0"/>
          <w:caps w:val="0"/>
          <w:color w:val="auto"/>
          <w:spacing w:val="0"/>
          <w:sz w:val="32"/>
          <w:szCs w:val="32"/>
          <w:shd w:val="clear" w:fill="FFFFFF"/>
          <w:lang w:val="en-US" w:eastAsia="zh-CN"/>
        </w:rPr>
        <w:t>③部分地区存在信号较差，监控无法查看的情况；</w:t>
      </w:r>
    </w:p>
    <w:p w14:paraId="06483528">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i w:val="0"/>
          <w:iCs w:val="0"/>
          <w:caps w:val="0"/>
          <w:color w:val="auto"/>
          <w:spacing w:val="0"/>
          <w:sz w:val="32"/>
          <w:szCs w:val="32"/>
          <w:shd w:val="clear" w:fill="FFFFFF"/>
          <w:lang w:val="en-US" w:eastAsia="zh-CN"/>
        </w:rPr>
        <w:t>5.</w:t>
      </w:r>
      <w:r>
        <w:rPr>
          <w:rFonts w:hint="eastAsia" w:ascii="仿宋" w:hAnsi="仿宋" w:eastAsia="仿宋" w:cs="仿宋"/>
          <w:b w:val="0"/>
          <w:bCs w:val="0"/>
          <w:color w:val="auto"/>
          <w:sz w:val="32"/>
          <w:szCs w:val="32"/>
          <w:lang w:val="en-US" w:eastAsia="zh-CN"/>
        </w:rPr>
        <w:t>伊金霍洛旗水利事业发展中心于2026年5月15日和2026年6月18日分别开展三项工程的验收工作，但晚于实施方案要求的2025年12月验收时间；</w:t>
      </w:r>
    </w:p>
    <w:p w14:paraId="13A84545">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firstLine="640" w:firstLineChars="200"/>
        <w:jc w:val="both"/>
        <w:textAlignment w:val="auto"/>
      </w:pPr>
      <w:r>
        <w:rPr>
          <w:rFonts w:hint="eastAsia" w:ascii="仿宋" w:hAnsi="仿宋" w:eastAsia="仿宋" w:cs="Arial"/>
          <w:b w:val="0"/>
          <w:bCs w:val="0"/>
          <w:kern w:val="0"/>
          <w:sz w:val="32"/>
          <w:szCs w:val="32"/>
          <w:highlight w:val="none"/>
          <w:lang w:val="en-US" w:eastAsia="zh-CN" w:bidi="ar-SA"/>
        </w:rPr>
        <w:t>6.</w:t>
      </w:r>
      <w:r>
        <w:rPr>
          <w:rFonts w:hint="eastAsia" w:ascii="仿宋" w:hAnsi="仿宋" w:eastAsia="仿宋" w:cs="仿宋"/>
          <w:b w:val="0"/>
          <w:bCs w:val="0"/>
          <w:sz w:val="32"/>
          <w:szCs w:val="32"/>
          <w:lang w:val="en-US" w:eastAsia="zh-CN"/>
        </w:rPr>
        <w:t>评价工作组开展村民</w:t>
      </w:r>
      <w:r>
        <w:rPr>
          <w:rFonts w:hint="eastAsia" w:ascii="仿宋" w:hAnsi="仿宋" w:eastAsia="仿宋" w:cs="仿宋"/>
          <w:b w:val="0"/>
          <w:bCs w:val="0"/>
          <w:sz w:val="32"/>
          <w:szCs w:val="32"/>
          <w:highlight w:val="none"/>
          <w:shd w:val="clear" w:color="auto" w:fill="FFFFFF" w:themeFill="background1"/>
          <w:lang w:val="en-US" w:eastAsia="zh-CN"/>
        </w:rPr>
        <w:t>满意度调查结果显示，1.85%的受访者反映</w:t>
      </w:r>
      <w:r>
        <w:rPr>
          <w:rFonts w:hint="eastAsia" w:ascii="仿宋" w:hAnsi="仿宋" w:eastAsia="仿宋" w:cs="仿宋"/>
          <w:b w:val="0"/>
          <w:bCs w:val="0"/>
          <w:i w:val="0"/>
          <w:iCs w:val="0"/>
          <w:color w:val="000000"/>
          <w:kern w:val="0"/>
          <w:sz w:val="32"/>
          <w:szCs w:val="32"/>
          <w:u w:val="none"/>
          <w:lang w:val="en-US" w:eastAsia="zh-CN" w:bidi="ar"/>
        </w:rPr>
        <w:t>当前饮用水偶尔出现浑浊，3.70%的受访者</w:t>
      </w:r>
      <w:r>
        <w:rPr>
          <w:rFonts w:hint="eastAsia" w:ascii="仿宋" w:hAnsi="仿宋" w:eastAsia="仿宋" w:cs="仿宋"/>
          <w:b w:val="0"/>
          <w:bCs w:val="0"/>
          <w:sz w:val="32"/>
          <w:szCs w:val="32"/>
          <w:highlight w:val="none"/>
          <w:shd w:val="clear" w:color="auto" w:fill="FFFFFF" w:themeFill="background1"/>
          <w:lang w:val="en-US" w:eastAsia="zh-CN"/>
        </w:rPr>
        <w:t>反映</w:t>
      </w:r>
      <w:r>
        <w:rPr>
          <w:rFonts w:hint="eastAsia" w:ascii="仿宋" w:hAnsi="仿宋" w:eastAsia="仿宋" w:cs="仿宋"/>
          <w:b w:val="0"/>
          <w:bCs w:val="0"/>
          <w:i w:val="0"/>
          <w:iCs w:val="0"/>
          <w:color w:val="000000"/>
          <w:kern w:val="0"/>
          <w:sz w:val="32"/>
          <w:szCs w:val="32"/>
          <w:u w:val="none"/>
          <w:lang w:val="en-US" w:eastAsia="zh-CN" w:bidi="ar"/>
        </w:rPr>
        <w:t>当前饮用水含杂质，</w:t>
      </w:r>
      <w:r>
        <w:rPr>
          <w:rFonts w:hint="eastAsia" w:ascii="仿宋" w:hAnsi="仿宋" w:eastAsia="仿宋" w:cs="仿宋"/>
          <w:b w:val="0"/>
          <w:bCs w:val="0"/>
          <w:sz w:val="32"/>
          <w:szCs w:val="32"/>
          <w:highlight w:val="none"/>
          <w:shd w:val="clear" w:color="auto" w:fill="FFFFFF" w:themeFill="background1"/>
          <w:lang w:val="en-US" w:eastAsia="zh-CN"/>
        </w:rPr>
        <w:t>7.41%的受访者认为</w:t>
      </w:r>
      <w:r>
        <w:rPr>
          <w:rFonts w:hint="eastAsia" w:ascii="仿宋" w:hAnsi="仿宋" w:eastAsia="仿宋" w:cs="仿宋"/>
          <w:b w:val="0"/>
          <w:bCs w:val="0"/>
          <w:sz w:val="32"/>
          <w:szCs w:val="32"/>
          <w:lang w:val="en-US" w:eastAsia="zh-CN"/>
        </w:rPr>
        <w:t>当前</w:t>
      </w:r>
      <w:r>
        <w:rPr>
          <w:rFonts w:hint="eastAsia" w:ascii="仿宋" w:hAnsi="仿宋" w:eastAsia="仿宋" w:cs="仿宋"/>
          <w:b w:val="0"/>
          <w:bCs w:val="0"/>
          <w:color w:val="auto"/>
          <w:sz w:val="32"/>
          <w:szCs w:val="32"/>
          <w:lang w:val="en-US" w:eastAsia="zh-CN"/>
        </w:rPr>
        <w:t>供水量</w:t>
      </w:r>
      <w:r>
        <w:rPr>
          <w:rFonts w:hint="eastAsia" w:ascii="仿宋" w:hAnsi="仿宋" w:eastAsia="仿宋" w:cs="仿宋"/>
          <w:kern w:val="0"/>
          <w:sz w:val="32"/>
          <w:szCs w:val="32"/>
          <w:lang w:val="en-US" w:eastAsia="zh-CN"/>
        </w:rPr>
        <w:t>基本</w:t>
      </w:r>
      <w:r>
        <w:rPr>
          <w:rFonts w:hint="eastAsia" w:ascii="仿宋" w:hAnsi="仿宋" w:eastAsia="仿宋" w:cs="仿宋"/>
          <w:b w:val="0"/>
          <w:bCs w:val="0"/>
          <w:sz w:val="32"/>
          <w:szCs w:val="32"/>
          <w:lang w:val="en-US" w:eastAsia="zh-CN"/>
        </w:rPr>
        <w:t>充足</w:t>
      </w:r>
      <w:r>
        <w:rPr>
          <w:rFonts w:hint="eastAsia" w:ascii="仿宋" w:hAnsi="仿宋" w:eastAsia="仿宋" w:cs="仿宋"/>
          <w:b w:val="0"/>
          <w:bCs w:val="0"/>
          <w:i w:val="0"/>
          <w:iCs w:val="0"/>
          <w:caps w:val="0"/>
          <w:spacing w:val="0"/>
          <w:sz w:val="32"/>
          <w:szCs w:val="32"/>
          <w:shd w:val="clear" w:fill="FFFFFF"/>
          <w:lang w:val="en-US" w:eastAsia="zh-CN"/>
        </w:rPr>
        <w:t>。</w:t>
      </w:r>
    </w:p>
    <w:p w14:paraId="323FCC57">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楷体_GB2312" w:hAnsi="楷体_GB2312" w:eastAsia="楷体_GB2312" w:cs="楷体_GB2312"/>
          <w:sz w:val="32"/>
          <w:szCs w:val="32"/>
        </w:rPr>
        <w:t>（二）</w:t>
      </w:r>
      <w:r>
        <w:rPr>
          <w:rFonts w:hint="eastAsia" w:ascii="仿宋" w:hAnsi="仿宋" w:eastAsia="仿宋" w:cs="仿宋"/>
          <w:b/>
          <w:bCs/>
          <w:sz w:val="32"/>
          <w:szCs w:val="32"/>
        </w:rPr>
        <w:t>相关建议</w:t>
      </w:r>
      <w:r>
        <w:rPr>
          <w:rFonts w:hint="eastAsia" w:ascii="仿宋" w:hAnsi="仿宋" w:eastAsia="仿宋" w:cs="仿宋"/>
          <w:b/>
          <w:bCs/>
          <w:sz w:val="32"/>
          <w:szCs w:val="32"/>
          <w:lang w:eastAsia="zh-CN"/>
        </w:rPr>
        <w:t>：</w:t>
      </w:r>
    </w:p>
    <w:p w14:paraId="7E180F6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 w:hAnsi="仿宋" w:eastAsia="仿宋" w:cs="仿宋"/>
          <w:b w:val="0"/>
          <w:bCs/>
          <w:color w:val="auto"/>
          <w:kern w:val="2"/>
          <w:sz w:val="32"/>
          <w:szCs w:val="32"/>
          <w:highlight w:val="none"/>
          <w:shd w:val="clear" w:color="auto" w:fill="FFFFFF" w:themeFill="background1"/>
          <w:lang w:val="en-US" w:eastAsia="zh-CN" w:bidi="ar-SA"/>
        </w:rPr>
      </w:pPr>
      <w:r>
        <w:rPr>
          <w:rFonts w:hint="eastAsia" w:ascii="仿宋" w:hAnsi="仿宋" w:eastAsia="仿宋" w:cs="仿宋"/>
          <w:b w:val="0"/>
          <w:bCs/>
          <w:kern w:val="2"/>
          <w:sz w:val="32"/>
          <w:szCs w:val="32"/>
          <w:highlight w:val="none"/>
          <w:shd w:val="clear" w:color="auto" w:fill="FFFFFF" w:themeFill="background1"/>
          <w:lang w:val="en-US" w:eastAsia="zh-CN" w:bidi="ar-SA"/>
        </w:rPr>
        <w:t>1.建议伊旗水利事业发展中心</w:t>
      </w:r>
      <w:r>
        <w:rPr>
          <w:rFonts w:hint="eastAsia" w:ascii="仿宋" w:hAnsi="仿宋" w:eastAsia="仿宋" w:cstheme="minorBidi"/>
          <w:b w:val="0"/>
          <w:bCs/>
          <w:color w:val="auto"/>
          <w:kern w:val="2"/>
          <w:sz w:val="32"/>
          <w:szCs w:val="32"/>
          <w:highlight w:val="none"/>
          <w:shd w:val="clear" w:color="auto" w:fill="FFFFFF" w:themeFill="background1"/>
          <w:lang w:val="en-US" w:eastAsia="zh-CN" w:bidi="ar-SA"/>
        </w:rPr>
        <w:t>若项目立项内容发生调整，应在项目启动前及时履行变更手续，规范项目实施过程</w:t>
      </w:r>
      <w:r>
        <w:rPr>
          <w:rFonts w:hint="eastAsia" w:ascii="仿宋" w:hAnsi="仿宋" w:eastAsia="仿宋" w:cs="仿宋"/>
          <w:b w:val="0"/>
          <w:bCs/>
          <w:color w:val="auto"/>
          <w:kern w:val="2"/>
          <w:sz w:val="32"/>
          <w:szCs w:val="32"/>
          <w:highlight w:val="none"/>
          <w:shd w:val="clear" w:color="auto" w:fill="FFFFFF" w:themeFill="background1"/>
          <w:lang w:val="en-US" w:eastAsia="zh-CN" w:bidi="ar-SA"/>
        </w:rPr>
        <w:t>；</w:t>
      </w:r>
    </w:p>
    <w:p w14:paraId="6743701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 w:hAnsi="仿宋" w:eastAsia="仿宋" w:cs="仿宋"/>
          <w:b w:val="0"/>
          <w:bCs/>
          <w:sz w:val="32"/>
          <w:szCs w:val="32"/>
          <w:lang w:val="en-US" w:eastAsia="zh-CN"/>
        </w:rPr>
      </w:pPr>
      <w:r>
        <w:rPr>
          <w:rFonts w:hint="eastAsia" w:ascii="仿宋" w:hAnsi="仿宋" w:eastAsia="仿宋" w:cs="仿宋"/>
          <w:b w:val="0"/>
          <w:bCs/>
          <w:color w:val="auto"/>
          <w:kern w:val="2"/>
          <w:sz w:val="32"/>
          <w:szCs w:val="32"/>
          <w:highlight w:val="none"/>
          <w:shd w:val="clear" w:color="auto" w:fill="FFFFFF" w:themeFill="background1"/>
          <w:lang w:val="en-US" w:eastAsia="zh-CN" w:bidi="ar-SA"/>
        </w:rPr>
        <w:t>2.</w:t>
      </w:r>
      <w:r>
        <w:rPr>
          <w:rFonts w:hint="eastAsia" w:ascii="仿宋" w:hAnsi="仿宋" w:eastAsia="仿宋" w:cs="仿宋"/>
          <w:b w:val="0"/>
          <w:bCs/>
          <w:kern w:val="2"/>
          <w:sz w:val="32"/>
          <w:szCs w:val="32"/>
          <w:highlight w:val="none"/>
          <w:shd w:val="clear" w:color="auto" w:fill="FFFFFF" w:themeFill="background1"/>
          <w:lang w:val="en-US" w:eastAsia="zh-CN" w:bidi="ar-SA"/>
        </w:rPr>
        <w:t>建议伊旗水利事业发展中心</w:t>
      </w:r>
      <w:r>
        <w:rPr>
          <w:rFonts w:hint="eastAsia" w:ascii="仿宋" w:hAnsi="仿宋" w:eastAsia="仿宋" w:cs="仿宋"/>
          <w:b w:val="0"/>
          <w:bCs/>
          <w:sz w:val="32"/>
          <w:szCs w:val="32"/>
          <w:lang w:val="en-US" w:eastAsia="zh-CN"/>
        </w:rPr>
        <w:t>在编制预算前，全面开展项目前期调研，精准掌握项目建设规模、技术标准等基础信息，科学测算各项支出，避免出现预算与任务脱节的问题；</w:t>
      </w:r>
    </w:p>
    <w:p w14:paraId="658399C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3.</w:t>
      </w:r>
      <w:r>
        <w:rPr>
          <w:rFonts w:hint="eastAsia" w:ascii="仿宋" w:hAnsi="仿宋" w:eastAsia="仿宋" w:cs="仿宋"/>
          <w:b w:val="0"/>
          <w:bCs/>
          <w:kern w:val="2"/>
          <w:sz w:val="32"/>
          <w:szCs w:val="32"/>
          <w:highlight w:val="none"/>
          <w:shd w:val="clear" w:color="auto" w:fill="FFFFFF" w:themeFill="background1"/>
          <w:lang w:val="en-US" w:eastAsia="zh-CN" w:bidi="ar-SA"/>
        </w:rPr>
        <w:t>建议伊旗水利事业发展中心</w:t>
      </w:r>
      <w:r>
        <w:rPr>
          <w:rFonts w:hint="eastAsia" w:ascii="仿宋" w:hAnsi="仿宋" w:eastAsia="仿宋" w:cs="仿宋"/>
          <w:b w:val="0"/>
          <w:bCs/>
          <w:sz w:val="32"/>
          <w:szCs w:val="32"/>
          <w:lang w:val="en-US" w:eastAsia="zh-CN"/>
        </w:rPr>
        <w:t>明确项目支付范围，严格按照项目内容开展工作、支付款项，坚决杜绝支付不属于本项目实施内容范围的支出，做到专款专用，提升财政资金使用的精准性；</w:t>
      </w:r>
    </w:p>
    <w:p w14:paraId="14F4008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 w:hAnsi="仿宋" w:eastAsia="仿宋" w:cs="仿宋"/>
          <w:b w:val="0"/>
          <w:bCs/>
          <w:i w:val="0"/>
          <w:iCs w:val="0"/>
          <w:caps w:val="0"/>
          <w:color w:val="auto"/>
          <w:spacing w:val="0"/>
          <w:sz w:val="32"/>
          <w:szCs w:val="32"/>
          <w:shd w:val="clear" w:fill="FFFFFF"/>
          <w:lang w:val="en-US" w:eastAsia="zh-CN"/>
        </w:rPr>
      </w:pPr>
      <w:r>
        <w:rPr>
          <w:rFonts w:hint="eastAsia" w:ascii="仿宋" w:hAnsi="仿宋" w:eastAsia="仿宋" w:cs="仿宋"/>
          <w:b w:val="0"/>
          <w:bCs/>
          <w:color w:val="auto"/>
          <w:sz w:val="32"/>
          <w:szCs w:val="32"/>
          <w:lang w:val="en-US" w:eastAsia="zh-CN"/>
        </w:rPr>
        <w:t>4.</w:t>
      </w:r>
      <w:r>
        <w:rPr>
          <w:rFonts w:hint="eastAsia" w:ascii="仿宋" w:hAnsi="仿宋" w:eastAsia="仿宋" w:cs="仿宋"/>
          <w:b w:val="0"/>
          <w:bCs/>
          <w:kern w:val="2"/>
          <w:sz w:val="32"/>
          <w:szCs w:val="32"/>
          <w:highlight w:val="none"/>
          <w:shd w:val="clear" w:color="auto" w:fill="FFFFFF" w:themeFill="background1"/>
          <w:lang w:val="en-US" w:eastAsia="zh-CN" w:bidi="ar-SA"/>
        </w:rPr>
        <w:t>建议伊旗水利事业发展中心</w:t>
      </w:r>
      <w:r>
        <w:rPr>
          <w:rFonts w:hint="eastAsia" w:ascii="仿宋" w:hAnsi="仿宋" w:eastAsia="仿宋" w:cs="仿宋"/>
          <w:b w:val="0"/>
          <w:bCs/>
          <w:i w:val="0"/>
          <w:iCs w:val="0"/>
          <w:caps w:val="0"/>
          <w:color w:val="auto"/>
          <w:spacing w:val="0"/>
          <w:sz w:val="32"/>
          <w:szCs w:val="32"/>
          <w:shd w:val="clear" w:fill="FFFFFF"/>
          <w:lang w:val="en-US" w:eastAsia="zh-CN"/>
        </w:rPr>
        <w:t>加强项目现场管理，及时修缮蓄水池墙皮脱落问题，清理阀门井内杂物，并协调通信部门改善信号覆盖，确保监控设备正常运行；</w:t>
      </w:r>
    </w:p>
    <w:p w14:paraId="517DD1B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 w:hAnsi="仿宋" w:eastAsia="仿宋" w:cs="仿宋"/>
          <w:b w:val="0"/>
          <w:bCs/>
          <w:color w:val="auto"/>
          <w:sz w:val="32"/>
          <w:szCs w:val="32"/>
          <w:lang w:val="en-US" w:eastAsia="zh-CN"/>
        </w:rPr>
      </w:pPr>
      <w:r>
        <w:rPr>
          <w:rFonts w:hint="eastAsia" w:ascii="仿宋" w:hAnsi="仿宋" w:eastAsia="仿宋" w:cs="仿宋"/>
          <w:b w:val="0"/>
          <w:bCs/>
          <w:sz w:val="32"/>
          <w:szCs w:val="32"/>
          <w:lang w:val="en-US" w:eastAsia="zh-CN"/>
        </w:rPr>
        <w:t>5.</w:t>
      </w:r>
      <w:r>
        <w:rPr>
          <w:rFonts w:hint="eastAsia" w:ascii="仿宋" w:hAnsi="仿宋" w:eastAsia="仿宋" w:cs="仿宋"/>
          <w:b w:val="0"/>
          <w:bCs/>
          <w:kern w:val="2"/>
          <w:sz w:val="32"/>
          <w:szCs w:val="32"/>
          <w:highlight w:val="none"/>
          <w:shd w:val="clear" w:color="auto" w:fill="FFFFFF" w:themeFill="background1"/>
          <w:lang w:val="en-US" w:eastAsia="zh-CN" w:bidi="ar-SA"/>
        </w:rPr>
        <w:t>建议伊旗水利事业发展中心</w:t>
      </w:r>
      <w:r>
        <w:rPr>
          <w:rFonts w:hint="eastAsia" w:ascii="仿宋" w:hAnsi="仿宋" w:eastAsia="仿宋" w:cs="仿宋"/>
          <w:b w:val="0"/>
          <w:bCs/>
          <w:color w:val="auto"/>
          <w:sz w:val="32"/>
          <w:szCs w:val="32"/>
          <w:lang w:val="en-US" w:eastAsia="zh-CN"/>
        </w:rPr>
        <w:t>在后续项目推进及验收工作中，严格按照实施方案确定的时间节点推进各项工作，确保工程按时完工、如期完成验收；</w:t>
      </w:r>
    </w:p>
    <w:p w14:paraId="79A2FF6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lang w:val="en-US" w:eastAsia="zh-CN"/>
        </w:rPr>
      </w:pPr>
      <w:r>
        <w:rPr>
          <w:rFonts w:hint="eastAsia" w:ascii="仿宋" w:hAnsi="仿宋" w:eastAsia="仿宋" w:cs="仿宋"/>
          <w:b w:val="0"/>
          <w:bCs/>
          <w:color w:val="auto"/>
          <w:sz w:val="32"/>
          <w:szCs w:val="32"/>
          <w:lang w:val="en-US" w:eastAsia="zh-CN"/>
        </w:rPr>
        <w:t>6.</w:t>
      </w:r>
      <w:r>
        <w:rPr>
          <w:rFonts w:hint="eastAsia" w:ascii="仿宋" w:hAnsi="仿宋" w:eastAsia="仿宋" w:cs="仿宋"/>
          <w:b w:val="0"/>
          <w:bCs/>
          <w:kern w:val="2"/>
          <w:sz w:val="32"/>
          <w:szCs w:val="32"/>
          <w:highlight w:val="none"/>
          <w:shd w:val="clear" w:color="auto" w:fill="FFFFFF" w:themeFill="background1"/>
          <w:lang w:val="en-US" w:eastAsia="zh-CN" w:bidi="ar-SA"/>
        </w:rPr>
        <w:t>建议伊旗水利事业发展中心</w:t>
      </w:r>
      <w:r>
        <w:rPr>
          <w:rFonts w:hint="eastAsia" w:ascii="仿宋" w:hAnsi="仿宋" w:eastAsia="仿宋" w:cs="仿宋"/>
          <w:b w:val="0"/>
          <w:bCs/>
          <w:sz w:val="32"/>
          <w:szCs w:val="32"/>
          <w:lang w:val="en-US" w:eastAsia="zh-CN"/>
        </w:rPr>
        <w:t>针对效益部分存在问题，建议采取相关措施及时改进，充分</w:t>
      </w:r>
      <w:r>
        <w:rPr>
          <w:rFonts w:hint="eastAsia" w:ascii="仿宋" w:hAnsi="仿宋" w:eastAsia="仿宋" w:cs="Arial"/>
          <w:b w:val="0"/>
          <w:bCs/>
          <w:color w:val="auto"/>
          <w:kern w:val="0"/>
          <w:sz w:val="32"/>
          <w:szCs w:val="32"/>
          <w:lang w:val="en-US" w:eastAsia="zh-CN"/>
        </w:rPr>
        <w:t>发</w:t>
      </w:r>
      <w:r>
        <w:rPr>
          <w:rFonts w:hint="eastAsia" w:ascii="仿宋" w:hAnsi="仿宋" w:eastAsia="仿宋" w:cs="Arial"/>
          <w:b w:val="0"/>
          <w:bCs/>
          <w:color w:val="000000"/>
          <w:kern w:val="0"/>
          <w:sz w:val="32"/>
          <w:szCs w:val="32"/>
          <w:lang w:val="en-US" w:eastAsia="zh-CN"/>
        </w:rPr>
        <w:t>挥项目效益作用。</w:t>
      </w:r>
    </w:p>
    <w:sectPr>
      <w:headerReference r:id="rId7" w:type="default"/>
      <w:footerReference r:id="rId8" w:type="default"/>
      <w:pgSz w:w="11906" w:h="16838"/>
      <w:pgMar w:top="1440" w:right="1803" w:bottom="1440" w:left="1803" w:header="720" w:footer="720"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986D6A2-5C7F-47E2-B0D2-E7FA35444B7A}"/>
  </w:font>
  <w:font w:name="黑体">
    <w:panose1 w:val="02010609060101010101"/>
    <w:charset w:val="86"/>
    <w:family w:val="auto"/>
    <w:pitch w:val="default"/>
    <w:sig w:usb0="800002BF" w:usb1="38CF7CFA" w:usb2="00000016" w:usb3="00000000" w:csb0="00040001" w:csb1="00000000"/>
    <w:embedRegular r:id="rId2" w:fontKey="{20FD8BC1-8745-4F1E-B6B1-EE29AE4A0D1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Helv">
    <w:altName w:val="Arial"/>
    <w:panose1 w:val="020B0604020202030204"/>
    <w:charset w:val="00"/>
    <w:family w:val="swiss"/>
    <w:pitch w:val="default"/>
    <w:sig w:usb0="00000000" w:usb1="00000000" w:usb2="00000000" w:usb3="00000000" w:csb0="00000001" w:csb1="00000000"/>
  </w:font>
  <w:font w:name="MS Mincho">
    <w:altName w:val="Yu Gothic UI"/>
    <w:panose1 w:val="02020609040205080304"/>
    <w:charset w:val="80"/>
    <w:family w:val="modern"/>
    <w:pitch w:val="default"/>
    <w:sig w:usb0="00000000" w:usb1="00000000" w:usb2="00000010" w:usb3="00000000" w:csb0="4002009F" w:csb1="DFD70000"/>
  </w:font>
  <w:font w:name="Yu Gothic UI">
    <w:panose1 w:val="020B0500000000000000"/>
    <w:charset w:val="80"/>
    <w:family w:val="auto"/>
    <w:pitch w:val="default"/>
    <w:sig w:usb0="E00002FF" w:usb1="2AC7FDFF" w:usb2="00000016" w:usb3="00000000" w:csb0="2002009F" w:csb1="00000000"/>
  </w:font>
  <w:font w:name="System">
    <w:altName w:val="宋体"/>
    <w:panose1 w:val="00000000000000000000"/>
    <w:charset w:val="86"/>
    <w:family w:val="auto"/>
    <w:pitch w:val="default"/>
    <w:sig w:usb0="00000000" w:usb1="00000000" w:usb2="00000010" w:usb3="00000000" w:csb0="00040000" w:csb1="00000000"/>
  </w:font>
  <w:font w:name="Calibri Light">
    <w:panose1 w:val="020F0302020204030204"/>
    <w:charset w:val="00"/>
    <w:family w:val="swiss"/>
    <w:pitch w:val="default"/>
    <w:sig w:usb0="E4002EFF" w:usb1="C000247B" w:usb2="00000009" w:usb3="00000000" w:csb0="200001FF" w:csb1="00000000"/>
  </w:font>
  <w:font w:name="New York">
    <w:altName w:val="Times New Roman"/>
    <w:panose1 w:val="02040503060506020304"/>
    <w:charset w:val="00"/>
    <w:family w:val="roman"/>
    <w:pitch w:val="default"/>
    <w:sig w:usb0="00000000"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embedRegular r:id="rId3" w:fontKey="{E2EB0507-7878-42DC-AC9A-F2F44D8E62D7}"/>
  </w:font>
  <w:font w:name="楷体">
    <w:panose1 w:val="02010609060101010101"/>
    <w:charset w:val="86"/>
    <w:family w:val="modern"/>
    <w:pitch w:val="default"/>
    <w:sig w:usb0="800002BF" w:usb1="38CF7CFA" w:usb2="00000016" w:usb3="00000000" w:csb0="00040001" w:csb1="00000000"/>
    <w:embedRegular r:id="rId4" w:fontKey="{B43DC5A4-456D-4C92-8BE3-4F4FAD02C255}"/>
  </w:font>
  <w:font w:name="仿宋_GB2312">
    <w:panose1 w:val="02010609030101010101"/>
    <w:charset w:val="86"/>
    <w:family w:val="modern"/>
    <w:pitch w:val="default"/>
    <w:sig w:usb0="00000001" w:usb1="080E0000" w:usb2="00000000" w:usb3="00000000" w:csb0="00040000" w:csb1="00000000"/>
    <w:embedRegular r:id="rId5" w:fontKey="{F21B9ED6-A745-40BD-AA80-93B6DDE982CC}"/>
  </w:font>
  <w:font w:name="楷体_GB2312">
    <w:panose1 w:val="02010609030101010101"/>
    <w:charset w:val="86"/>
    <w:family w:val="modern"/>
    <w:pitch w:val="default"/>
    <w:sig w:usb0="00000001" w:usb1="080E0000" w:usb2="00000000" w:usb3="00000000" w:csb0="00040000" w:csb1="00000000"/>
    <w:embedRegular r:id="rId6" w:fontKey="{4842EEF1-02F3-440C-A171-B677D58F9EF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FAF05">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B9BB9">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4074C">
    <w:pPr>
      <w:pStyle w:val="11"/>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3FA37">
    <w:pPr>
      <w:pStyle w:val="11"/>
      <w:pBdr>
        <w:bottom w:val="none" w:color="auto" w:sz="0" w:space="1"/>
      </w:pBdr>
      <w:rPr>
        <w:rFonts w:hint="eastAsia"/>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EAB567"/>
    <w:multiLevelType w:val="singleLevel"/>
    <w:tmpl w:val="18EAB567"/>
    <w:lvl w:ilvl="0" w:tentative="0">
      <w:start w:val="1"/>
      <w:numFmt w:val="chineseCounting"/>
      <w:suff w:val="nothing"/>
      <w:lvlText w:val="%1、"/>
      <w:lvlJc w:val="left"/>
      <w:rPr>
        <w:rFonts w:hint="eastAsia"/>
      </w:rPr>
    </w:lvl>
  </w:abstractNum>
  <w:abstractNum w:abstractNumId="1">
    <w:nsid w:val="7EE40A31"/>
    <w:multiLevelType w:val="singleLevel"/>
    <w:tmpl w:val="7EE40A31"/>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931C11"/>
    <w:rsid w:val="00381040"/>
    <w:rsid w:val="00AF2402"/>
    <w:rsid w:val="00C85F20"/>
    <w:rsid w:val="00D24FF0"/>
    <w:rsid w:val="00DD1E66"/>
    <w:rsid w:val="00F72CA9"/>
    <w:rsid w:val="00FF54D9"/>
    <w:rsid w:val="012651AE"/>
    <w:rsid w:val="017311EE"/>
    <w:rsid w:val="01AD48A7"/>
    <w:rsid w:val="01C81F7D"/>
    <w:rsid w:val="02491E37"/>
    <w:rsid w:val="024B446E"/>
    <w:rsid w:val="0257278A"/>
    <w:rsid w:val="03223A5F"/>
    <w:rsid w:val="035368A4"/>
    <w:rsid w:val="03F60FF6"/>
    <w:rsid w:val="03F6739B"/>
    <w:rsid w:val="03FD2384"/>
    <w:rsid w:val="0404041C"/>
    <w:rsid w:val="04082AD7"/>
    <w:rsid w:val="041476CE"/>
    <w:rsid w:val="044C3E9A"/>
    <w:rsid w:val="046B249C"/>
    <w:rsid w:val="047F0FEB"/>
    <w:rsid w:val="04B80FCA"/>
    <w:rsid w:val="04C2712A"/>
    <w:rsid w:val="05131FEE"/>
    <w:rsid w:val="0571425F"/>
    <w:rsid w:val="05AA2098"/>
    <w:rsid w:val="05AD66DB"/>
    <w:rsid w:val="06052049"/>
    <w:rsid w:val="06357AD3"/>
    <w:rsid w:val="065A3F7A"/>
    <w:rsid w:val="06DE3AAF"/>
    <w:rsid w:val="06F04422"/>
    <w:rsid w:val="071E2D3E"/>
    <w:rsid w:val="07490829"/>
    <w:rsid w:val="077C55BA"/>
    <w:rsid w:val="078D3A1F"/>
    <w:rsid w:val="07911761"/>
    <w:rsid w:val="07DA2059"/>
    <w:rsid w:val="07E301FD"/>
    <w:rsid w:val="08A728CF"/>
    <w:rsid w:val="08C50CE5"/>
    <w:rsid w:val="08E314A9"/>
    <w:rsid w:val="093416D8"/>
    <w:rsid w:val="094445B2"/>
    <w:rsid w:val="09505B26"/>
    <w:rsid w:val="09704A16"/>
    <w:rsid w:val="09863FCC"/>
    <w:rsid w:val="09B5110F"/>
    <w:rsid w:val="09E6624A"/>
    <w:rsid w:val="0A3B3C06"/>
    <w:rsid w:val="0A6942B2"/>
    <w:rsid w:val="0A792655"/>
    <w:rsid w:val="0AA05413"/>
    <w:rsid w:val="0AC6384A"/>
    <w:rsid w:val="0ADA4610"/>
    <w:rsid w:val="0B073AE9"/>
    <w:rsid w:val="0B143B8D"/>
    <w:rsid w:val="0B493175"/>
    <w:rsid w:val="0B512FB6"/>
    <w:rsid w:val="0B993593"/>
    <w:rsid w:val="0BBE023A"/>
    <w:rsid w:val="0BDB744F"/>
    <w:rsid w:val="0C305F69"/>
    <w:rsid w:val="0C93502E"/>
    <w:rsid w:val="0CF32576"/>
    <w:rsid w:val="0D1424ED"/>
    <w:rsid w:val="0DD8218E"/>
    <w:rsid w:val="0E2005AB"/>
    <w:rsid w:val="0E760DED"/>
    <w:rsid w:val="0E9D4A66"/>
    <w:rsid w:val="0EA26534"/>
    <w:rsid w:val="0F372E00"/>
    <w:rsid w:val="0F425337"/>
    <w:rsid w:val="0F563291"/>
    <w:rsid w:val="0F6B6D3C"/>
    <w:rsid w:val="0F7C2CF7"/>
    <w:rsid w:val="0FC2156B"/>
    <w:rsid w:val="0FC24482"/>
    <w:rsid w:val="0FCF460E"/>
    <w:rsid w:val="10256733"/>
    <w:rsid w:val="10607EBB"/>
    <w:rsid w:val="10B507A3"/>
    <w:rsid w:val="10EF74F9"/>
    <w:rsid w:val="11394FC4"/>
    <w:rsid w:val="11B5604C"/>
    <w:rsid w:val="11CE7F85"/>
    <w:rsid w:val="125A7AA6"/>
    <w:rsid w:val="12E070F9"/>
    <w:rsid w:val="131E7F62"/>
    <w:rsid w:val="1340403C"/>
    <w:rsid w:val="13833F28"/>
    <w:rsid w:val="138E4DA7"/>
    <w:rsid w:val="13974BA2"/>
    <w:rsid w:val="14227D18"/>
    <w:rsid w:val="1440211B"/>
    <w:rsid w:val="14743D94"/>
    <w:rsid w:val="148D6069"/>
    <w:rsid w:val="14A67917"/>
    <w:rsid w:val="14CB202B"/>
    <w:rsid w:val="14EA3E1B"/>
    <w:rsid w:val="14FB0C59"/>
    <w:rsid w:val="151F2349"/>
    <w:rsid w:val="15962639"/>
    <w:rsid w:val="15AE56B5"/>
    <w:rsid w:val="15C34AB0"/>
    <w:rsid w:val="15FA4976"/>
    <w:rsid w:val="16946B78"/>
    <w:rsid w:val="16A8764A"/>
    <w:rsid w:val="16B8213B"/>
    <w:rsid w:val="16D276A1"/>
    <w:rsid w:val="16FF09D2"/>
    <w:rsid w:val="17033DF0"/>
    <w:rsid w:val="170945C6"/>
    <w:rsid w:val="17464176"/>
    <w:rsid w:val="175E2CE2"/>
    <w:rsid w:val="17665015"/>
    <w:rsid w:val="17732C32"/>
    <w:rsid w:val="178A237C"/>
    <w:rsid w:val="17AF1790"/>
    <w:rsid w:val="17C43233"/>
    <w:rsid w:val="17CF079E"/>
    <w:rsid w:val="17E87476"/>
    <w:rsid w:val="17F13B56"/>
    <w:rsid w:val="18790131"/>
    <w:rsid w:val="18D115FA"/>
    <w:rsid w:val="18E45469"/>
    <w:rsid w:val="19064726"/>
    <w:rsid w:val="19A30C65"/>
    <w:rsid w:val="19AC41D9"/>
    <w:rsid w:val="19C35441"/>
    <w:rsid w:val="19E3603F"/>
    <w:rsid w:val="1A1D0C33"/>
    <w:rsid w:val="1A5008E4"/>
    <w:rsid w:val="1A516B2E"/>
    <w:rsid w:val="1A9A461E"/>
    <w:rsid w:val="1AC678A3"/>
    <w:rsid w:val="1B4072CF"/>
    <w:rsid w:val="1B723C52"/>
    <w:rsid w:val="1B7350C7"/>
    <w:rsid w:val="1B972D4E"/>
    <w:rsid w:val="1BD231D9"/>
    <w:rsid w:val="1C7031D5"/>
    <w:rsid w:val="1CA4520B"/>
    <w:rsid w:val="1CA46070"/>
    <w:rsid w:val="1CB665DA"/>
    <w:rsid w:val="1CC63804"/>
    <w:rsid w:val="1CCD6D89"/>
    <w:rsid w:val="1CCE4B72"/>
    <w:rsid w:val="1CE912A0"/>
    <w:rsid w:val="1DCB65C9"/>
    <w:rsid w:val="1DF3687A"/>
    <w:rsid w:val="1E2D1660"/>
    <w:rsid w:val="1E3B1FCF"/>
    <w:rsid w:val="1E535731"/>
    <w:rsid w:val="1E8A0861"/>
    <w:rsid w:val="1ECE2E43"/>
    <w:rsid w:val="1F5F6E00"/>
    <w:rsid w:val="1F6C111A"/>
    <w:rsid w:val="1F8B5E86"/>
    <w:rsid w:val="1FEA0867"/>
    <w:rsid w:val="1FF95398"/>
    <w:rsid w:val="20126D60"/>
    <w:rsid w:val="20196340"/>
    <w:rsid w:val="20784DF2"/>
    <w:rsid w:val="207C0196"/>
    <w:rsid w:val="20804F8D"/>
    <w:rsid w:val="20857532"/>
    <w:rsid w:val="20EB33A9"/>
    <w:rsid w:val="2141739F"/>
    <w:rsid w:val="21794D99"/>
    <w:rsid w:val="217D437D"/>
    <w:rsid w:val="21C117B4"/>
    <w:rsid w:val="21D4251F"/>
    <w:rsid w:val="21EC5FFD"/>
    <w:rsid w:val="22450835"/>
    <w:rsid w:val="22625D7D"/>
    <w:rsid w:val="22BF31CF"/>
    <w:rsid w:val="22EE1421"/>
    <w:rsid w:val="23107F3A"/>
    <w:rsid w:val="23152DEF"/>
    <w:rsid w:val="24022C52"/>
    <w:rsid w:val="24032E22"/>
    <w:rsid w:val="246D0A09"/>
    <w:rsid w:val="246E2F77"/>
    <w:rsid w:val="24EF4D1E"/>
    <w:rsid w:val="25733B2E"/>
    <w:rsid w:val="25963DA5"/>
    <w:rsid w:val="25B36038"/>
    <w:rsid w:val="25F27417"/>
    <w:rsid w:val="261A696E"/>
    <w:rsid w:val="263227F8"/>
    <w:rsid w:val="26345C82"/>
    <w:rsid w:val="26466A3F"/>
    <w:rsid w:val="26A10E3D"/>
    <w:rsid w:val="26F54479"/>
    <w:rsid w:val="26F947D6"/>
    <w:rsid w:val="273F2543"/>
    <w:rsid w:val="2772678C"/>
    <w:rsid w:val="2795508D"/>
    <w:rsid w:val="283261F1"/>
    <w:rsid w:val="288F6E29"/>
    <w:rsid w:val="28CE07EE"/>
    <w:rsid w:val="293E69C9"/>
    <w:rsid w:val="295761E2"/>
    <w:rsid w:val="29C23E9E"/>
    <w:rsid w:val="29ED7694"/>
    <w:rsid w:val="2A375865"/>
    <w:rsid w:val="2A7E1C35"/>
    <w:rsid w:val="2AA16BB2"/>
    <w:rsid w:val="2B1F2B50"/>
    <w:rsid w:val="2B711B93"/>
    <w:rsid w:val="2B966A97"/>
    <w:rsid w:val="2BD12920"/>
    <w:rsid w:val="2BE8160D"/>
    <w:rsid w:val="2C091017"/>
    <w:rsid w:val="2C0B7566"/>
    <w:rsid w:val="2C3B13EC"/>
    <w:rsid w:val="2C4D0ED1"/>
    <w:rsid w:val="2C5D75B5"/>
    <w:rsid w:val="2C825FF2"/>
    <w:rsid w:val="2CC633AC"/>
    <w:rsid w:val="2CE101E6"/>
    <w:rsid w:val="2CE554FF"/>
    <w:rsid w:val="2CEB00D0"/>
    <w:rsid w:val="2D363420"/>
    <w:rsid w:val="2D654973"/>
    <w:rsid w:val="2D6D3827"/>
    <w:rsid w:val="2DA37118"/>
    <w:rsid w:val="2DB256DE"/>
    <w:rsid w:val="2DDC4F23"/>
    <w:rsid w:val="2E112405"/>
    <w:rsid w:val="2E226C81"/>
    <w:rsid w:val="2E6054F4"/>
    <w:rsid w:val="2E616AEB"/>
    <w:rsid w:val="2E755089"/>
    <w:rsid w:val="2E9F5C62"/>
    <w:rsid w:val="2EA61897"/>
    <w:rsid w:val="2ECB2EFB"/>
    <w:rsid w:val="2ED31DB0"/>
    <w:rsid w:val="2ED51684"/>
    <w:rsid w:val="2EDF0CE3"/>
    <w:rsid w:val="2EE32755"/>
    <w:rsid w:val="2F26510B"/>
    <w:rsid w:val="2F4C2313"/>
    <w:rsid w:val="2F59017E"/>
    <w:rsid w:val="2FAC3343"/>
    <w:rsid w:val="2FD8767E"/>
    <w:rsid w:val="2FE23F27"/>
    <w:rsid w:val="30801AC4"/>
    <w:rsid w:val="30997DD7"/>
    <w:rsid w:val="30AC6769"/>
    <w:rsid w:val="30BA3228"/>
    <w:rsid w:val="31232B7B"/>
    <w:rsid w:val="31BF2393"/>
    <w:rsid w:val="31C845BB"/>
    <w:rsid w:val="31D007BE"/>
    <w:rsid w:val="31ED7902"/>
    <w:rsid w:val="31F16AE2"/>
    <w:rsid w:val="31FB58A6"/>
    <w:rsid w:val="320E382B"/>
    <w:rsid w:val="329468E0"/>
    <w:rsid w:val="32B8633C"/>
    <w:rsid w:val="32D8641B"/>
    <w:rsid w:val="32DB0C08"/>
    <w:rsid w:val="32F9052C"/>
    <w:rsid w:val="331C222E"/>
    <w:rsid w:val="333A23FE"/>
    <w:rsid w:val="33457E6A"/>
    <w:rsid w:val="33732D77"/>
    <w:rsid w:val="338404DD"/>
    <w:rsid w:val="33B51A84"/>
    <w:rsid w:val="33BB353F"/>
    <w:rsid w:val="33D12D62"/>
    <w:rsid w:val="33DD30A2"/>
    <w:rsid w:val="33F151B2"/>
    <w:rsid w:val="33F36911"/>
    <w:rsid w:val="34332161"/>
    <w:rsid w:val="34397F49"/>
    <w:rsid w:val="34555CF1"/>
    <w:rsid w:val="34D36666"/>
    <w:rsid w:val="34E430F6"/>
    <w:rsid w:val="350C7DCA"/>
    <w:rsid w:val="35246EC1"/>
    <w:rsid w:val="358701FB"/>
    <w:rsid w:val="35A818A1"/>
    <w:rsid w:val="35C85891"/>
    <w:rsid w:val="361A4FBD"/>
    <w:rsid w:val="367F4CF7"/>
    <w:rsid w:val="36D7791C"/>
    <w:rsid w:val="37144295"/>
    <w:rsid w:val="37225683"/>
    <w:rsid w:val="374B6987"/>
    <w:rsid w:val="37785DC5"/>
    <w:rsid w:val="3793032E"/>
    <w:rsid w:val="37D12EE5"/>
    <w:rsid w:val="37EB4877"/>
    <w:rsid w:val="387B329C"/>
    <w:rsid w:val="392F76D8"/>
    <w:rsid w:val="39452EAF"/>
    <w:rsid w:val="394F0285"/>
    <w:rsid w:val="39565AB7"/>
    <w:rsid w:val="39A558A7"/>
    <w:rsid w:val="39A82FD8"/>
    <w:rsid w:val="39C26CA9"/>
    <w:rsid w:val="39DB55BA"/>
    <w:rsid w:val="3A12378C"/>
    <w:rsid w:val="3A2D6818"/>
    <w:rsid w:val="3A2F2A82"/>
    <w:rsid w:val="3A5524A8"/>
    <w:rsid w:val="3A5F19D4"/>
    <w:rsid w:val="3ADF6ECB"/>
    <w:rsid w:val="3AEC0481"/>
    <w:rsid w:val="3B173D7F"/>
    <w:rsid w:val="3B424722"/>
    <w:rsid w:val="3BA725FA"/>
    <w:rsid w:val="3BF734DC"/>
    <w:rsid w:val="3BF82174"/>
    <w:rsid w:val="3C1954EA"/>
    <w:rsid w:val="3C211431"/>
    <w:rsid w:val="3D1837B0"/>
    <w:rsid w:val="3D2113DC"/>
    <w:rsid w:val="3D395087"/>
    <w:rsid w:val="3D3E07D0"/>
    <w:rsid w:val="3D4445A5"/>
    <w:rsid w:val="3D4471BD"/>
    <w:rsid w:val="3D5E3F5A"/>
    <w:rsid w:val="3D74650C"/>
    <w:rsid w:val="3D7B6145"/>
    <w:rsid w:val="3E6A1397"/>
    <w:rsid w:val="3E925A00"/>
    <w:rsid w:val="3E931A45"/>
    <w:rsid w:val="3E9F547E"/>
    <w:rsid w:val="3F1141DA"/>
    <w:rsid w:val="3F204B9E"/>
    <w:rsid w:val="3F273C76"/>
    <w:rsid w:val="3F5D69FC"/>
    <w:rsid w:val="3F68728D"/>
    <w:rsid w:val="3F6C7DE3"/>
    <w:rsid w:val="3F89533D"/>
    <w:rsid w:val="40596D74"/>
    <w:rsid w:val="40634F66"/>
    <w:rsid w:val="409C46F8"/>
    <w:rsid w:val="40EA7AAF"/>
    <w:rsid w:val="41011E2C"/>
    <w:rsid w:val="412E1EF1"/>
    <w:rsid w:val="415939BD"/>
    <w:rsid w:val="41EF7538"/>
    <w:rsid w:val="42274495"/>
    <w:rsid w:val="42454272"/>
    <w:rsid w:val="42537038"/>
    <w:rsid w:val="42554B5E"/>
    <w:rsid w:val="42615727"/>
    <w:rsid w:val="427578C0"/>
    <w:rsid w:val="42A66BE4"/>
    <w:rsid w:val="42DC0DDB"/>
    <w:rsid w:val="42F425C9"/>
    <w:rsid w:val="42F56341"/>
    <w:rsid w:val="432F6DB0"/>
    <w:rsid w:val="437E7F8E"/>
    <w:rsid w:val="4392593E"/>
    <w:rsid w:val="441822E7"/>
    <w:rsid w:val="4419736C"/>
    <w:rsid w:val="444D15C4"/>
    <w:rsid w:val="445D105B"/>
    <w:rsid w:val="448A1D40"/>
    <w:rsid w:val="44966F08"/>
    <w:rsid w:val="450E7246"/>
    <w:rsid w:val="45300B14"/>
    <w:rsid w:val="454F7F8B"/>
    <w:rsid w:val="45792A25"/>
    <w:rsid w:val="45A42B40"/>
    <w:rsid w:val="464B1940"/>
    <w:rsid w:val="46503FBA"/>
    <w:rsid w:val="46601D24"/>
    <w:rsid w:val="466E61EE"/>
    <w:rsid w:val="46BB04B2"/>
    <w:rsid w:val="46BF0F2F"/>
    <w:rsid w:val="46D7196B"/>
    <w:rsid w:val="46DF0DF6"/>
    <w:rsid w:val="46E75105"/>
    <w:rsid w:val="47084895"/>
    <w:rsid w:val="473057A0"/>
    <w:rsid w:val="473B4B35"/>
    <w:rsid w:val="476A4755"/>
    <w:rsid w:val="485D6D3C"/>
    <w:rsid w:val="48A138A7"/>
    <w:rsid w:val="48BC5937"/>
    <w:rsid w:val="48C621DE"/>
    <w:rsid w:val="48F267CE"/>
    <w:rsid w:val="4907292A"/>
    <w:rsid w:val="494E0559"/>
    <w:rsid w:val="4968161B"/>
    <w:rsid w:val="496F6480"/>
    <w:rsid w:val="497E0E3E"/>
    <w:rsid w:val="49AA1621"/>
    <w:rsid w:val="49DF6F4F"/>
    <w:rsid w:val="4A280DAA"/>
    <w:rsid w:val="4A3E37AC"/>
    <w:rsid w:val="4A404346"/>
    <w:rsid w:val="4A631DE2"/>
    <w:rsid w:val="4A91694F"/>
    <w:rsid w:val="4BA51320"/>
    <w:rsid w:val="4CC74404"/>
    <w:rsid w:val="4D007DBC"/>
    <w:rsid w:val="4D1558A9"/>
    <w:rsid w:val="4D1E3396"/>
    <w:rsid w:val="4D330192"/>
    <w:rsid w:val="4D4210A2"/>
    <w:rsid w:val="4D81098C"/>
    <w:rsid w:val="4D8D2A9B"/>
    <w:rsid w:val="4DB017E2"/>
    <w:rsid w:val="4DBE5CAD"/>
    <w:rsid w:val="4DED6EE6"/>
    <w:rsid w:val="4DF416CF"/>
    <w:rsid w:val="4DF57F93"/>
    <w:rsid w:val="4E056A63"/>
    <w:rsid w:val="4E2D698F"/>
    <w:rsid w:val="4E3C5889"/>
    <w:rsid w:val="4E3F66C2"/>
    <w:rsid w:val="4E9459CA"/>
    <w:rsid w:val="4E9609D8"/>
    <w:rsid w:val="4EA83B35"/>
    <w:rsid w:val="4ED35788"/>
    <w:rsid w:val="4F255F12"/>
    <w:rsid w:val="4F3B7292"/>
    <w:rsid w:val="4F4C5DAC"/>
    <w:rsid w:val="4F531D47"/>
    <w:rsid w:val="4F5740D6"/>
    <w:rsid w:val="4F754C20"/>
    <w:rsid w:val="4F950C90"/>
    <w:rsid w:val="4FAF0E71"/>
    <w:rsid w:val="4FBD1F95"/>
    <w:rsid w:val="50313532"/>
    <w:rsid w:val="504273BB"/>
    <w:rsid w:val="5094251C"/>
    <w:rsid w:val="50C25AB5"/>
    <w:rsid w:val="50EE2903"/>
    <w:rsid w:val="5119769F"/>
    <w:rsid w:val="516601B0"/>
    <w:rsid w:val="517627A2"/>
    <w:rsid w:val="51C413B8"/>
    <w:rsid w:val="51C54ABE"/>
    <w:rsid w:val="51CF61AF"/>
    <w:rsid w:val="51DD29DF"/>
    <w:rsid w:val="51E34C0C"/>
    <w:rsid w:val="5251742F"/>
    <w:rsid w:val="52554EEE"/>
    <w:rsid w:val="52650DED"/>
    <w:rsid w:val="527C26D8"/>
    <w:rsid w:val="52854FEC"/>
    <w:rsid w:val="528E0641"/>
    <w:rsid w:val="52943481"/>
    <w:rsid w:val="52972BF3"/>
    <w:rsid w:val="52B70144"/>
    <w:rsid w:val="52C57C79"/>
    <w:rsid w:val="52CB6777"/>
    <w:rsid w:val="539F5300"/>
    <w:rsid w:val="53E25C83"/>
    <w:rsid w:val="54004D75"/>
    <w:rsid w:val="54236053"/>
    <w:rsid w:val="544875D6"/>
    <w:rsid w:val="54660D84"/>
    <w:rsid w:val="54FB3422"/>
    <w:rsid w:val="552A3C28"/>
    <w:rsid w:val="554B6D04"/>
    <w:rsid w:val="55BD4A9D"/>
    <w:rsid w:val="55E464CD"/>
    <w:rsid w:val="55FE1AC5"/>
    <w:rsid w:val="564B20A8"/>
    <w:rsid w:val="5681091C"/>
    <w:rsid w:val="56A554D5"/>
    <w:rsid w:val="56A64845"/>
    <w:rsid w:val="571E77BD"/>
    <w:rsid w:val="573A3ECB"/>
    <w:rsid w:val="57915F62"/>
    <w:rsid w:val="57C245EC"/>
    <w:rsid w:val="57FE5BA7"/>
    <w:rsid w:val="580274BB"/>
    <w:rsid w:val="586507DD"/>
    <w:rsid w:val="58767330"/>
    <w:rsid w:val="5891480F"/>
    <w:rsid w:val="58931C11"/>
    <w:rsid w:val="58937D37"/>
    <w:rsid w:val="58D8399B"/>
    <w:rsid w:val="58E6430A"/>
    <w:rsid w:val="58FF5129"/>
    <w:rsid w:val="591848B1"/>
    <w:rsid w:val="592661DA"/>
    <w:rsid w:val="59620A60"/>
    <w:rsid w:val="59B639FA"/>
    <w:rsid w:val="59BB5797"/>
    <w:rsid w:val="59D46859"/>
    <w:rsid w:val="59D95C1D"/>
    <w:rsid w:val="5A183DEC"/>
    <w:rsid w:val="5A2737B8"/>
    <w:rsid w:val="5A421A14"/>
    <w:rsid w:val="5A68269B"/>
    <w:rsid w:val="5A731BCE"/>
    <w:rsid w:val="5AA32B72"/>
    <w:rsid w:val="5AA4622B"/>
    <w:rsid w:val="5ADD173D"/>
    <w:rsid w:val="5B977B3E"/>
    <w:rsid w:val="5BCF72D8"/>
    <w:rsid w:val="5BEC2A46"/>
    <w:rsid w:val="5C0F0D95"/>
    <w:rsid w:val="5C3E4A57"/>
    <w:rsid w:val="5C690D60"/>
    <w:rsid w:val="5CB44D92"/>
    <w:rsid w:val="5CDD0987"/>
    <w:rsid w:val="5D2E6280"/>
    <w:rsid w:val="5D840C48"/>
    <w:rsid w:val="5DBC388C"/>
    <w:rsid w:val="5DEF1F1F"/>
    <w:rsid w:val="5E2035EF"/>
    <w:rsid w:val="5E510478"/>
    <w:rsid w:val="5E9F3111"/>
    <w:rsid w:val="5EA06D09"/>
    <w:rsid w:val="5EBE7E0C"/>
    <w:rsid w:val="5EC92704"/>
    <w:rsid w:val="5F2B4932"/>
    <w:rsid w:val="5F2F74DC"/>
    <w:rsid w:val="5F302E27"/>
    <w:rsid w:val="5F3B02CD"/>
    <w:rsid w:val="5F9F2289"/>
    <w:rsid w:val="5F9F7CD7"/>
    <w:rsid w:val="601931AC"/>
    <w:rsid w:val="603B13E0"/>
    <w:rsid w:val="60864E23"/>
    <w:rsid w:val="60BE0139"/>
    <w:rsid w:val="60BF686D"/>
    <w:rsid w:val="60E66D78"/>
    <w:rsid w:val="60FD0443"/>
    <w:rsid w:val="613528A4"/>
    <w:rsid w:val="6147049B"/>
    <w:rsid w:val="61693D2A"/>
    <w:rsid w:val="616B7AA3"/>
    <w:rsid w:val="618D5C6B"/>
    <w:rsid w:val="61D513C0"/>
    <w:rsid w:val="61E6537B"/>
    <w:rsid w:val="61F061FA"/>
    <w:rsid w:val="620E5486"/>
    <w:rsid w:val="62443803"/>
    <w:rsid w:val="62B965EC"/>
    <w:rsid w:val="62C85B07"/>
    <w:rsid w:val="62E40B02"/>
    <w:rsid w:val="633543D4"/>
    <w:rsid w:val="63744554"/>
    <w:rsid w:val="63786073"/>
    <w:rsid w:val="638135AD"/>
    <w:rsid w:val="63953170"/>
    <w:rsid w:val="639F6894"/>
    <w:rsid w:val="63C91173"/>
    <w:rsid w:val="63EA73A4"/>
    <w:rsid w:val="640B731B"/>
    <w:rsid w:val="643979E4"/>
    <w:rsid w:val="64594365"/>
    <w:rsid w:val="645B2050"/>
    <w:rsid w:val="64710555"/>
    <w:rsid w:val="648A0240"/>
    <w:rsid w:val="649D0C2F"/>
    <w:rsid w:val="649F5712"/>
    <w:rsid w:val="64BB4C40"/>
    <w:rsid w:val="64D15639"/>
    <w:rsid w:val="6509631A"/>
    <w:rsid w:val="65165DBE"/>
    <w:rsid w:val="651F0CCB"/>
    <w:rsid w:val="65AD68DC"/>
    <w:rsid w:val="65B55790"/>
    <w:rsid w:val="65E816C2"/>
    <w:rsid w:val="65F419D6"/>
    <w:rsid w:val="65F74980"/>
    <w:rsid w:val="662844AF"/>
    <w:rsid w:val="662D17CA"/>
    <w:rsid w:val="663C5213"/>
    <w:rsid w:val="66434B4A"/>
    <w:rsid w:val="666D4B17"/>
    <w:rsid w:val="6678672C"/>
    <w:rsid w:val="6681124B"/>
    <w:rsid w:val="669C7255"/>
    <w:rsid w:val="669F5D29"/>
    <w:rsid w:val="66A16C44"/>
    <w:rsid w:val="66FC0AE5"/>
    <w:rsid w:val="67BE3FF9"/>
    <w:rsid w:val="67EC1211"/>
    <w:rsid w:val="68117FCB"/>
    <w:rsid w:val="68306F68"/>
    <w:rsid w:val="6852376A"/>
    <w:rsid w:val="68637725"/>
    <w:rsid w:val="68646FFA"/>
    <w:rsid w:val="68653736"/>
    <w:rsid w:val="68C47869"/>
    <w:rsid w:val="68C84B0E"/>
    <w:rsid w:val="68DF1251"/>
    <w:rsid w:val="69013B4F"/>
    <w:rsid w:val="691C3EA3"/>
    <w:rsid w:val="692769A5"/>
    <w:rsid w:val="69390486"/>
    <w:rsid w:val="69626735"/>
    <w:rsid w:val="69933F6D"/>
    <w:rsid w:val="699416E8"/>
    <w:rsid w:val="69A64B05"/>
    <w:rsid w:val="69DF102E"/>
    <w:rsid w:val="69F367EF"/>
    <w:rsid w:val="6A602E21"/>
    <w:rsid w:val="6AA67245"/>
    <w:rsid w:val="6AA858C3"/>
    <w:rsid w:val="6AAE4DFC"/>
    <w:rsid w:val="6ACE2F9A"/>
    <w:rsid w:val="6B14622A"/>
    <w:rsid w:val="6B813B16"/>
    <w:rsid w:val="6B822665"/>
    <w:rsid w:val="6B851B86"/>
    <w:rsid w:val="6BD5497A"/>
    <w:rsid w:val="6C896906"/>
    <w:rsid w:val="6C911B23"/>
    <w:rsid w:val="6D204B99"/>
    <w:rsid w:val="6D2060CC"/>
    <w:rsid w:val="6D527D69"/>
    <w:rsid w:val="6D7950CD"/>
    <w:rsid w:val="6D8E6FF3"/>
    <w:rsid w:val="6DA265FA"/>
    <w:rsid w:val="6DA438F0"/>
    <w:rsid w:val="6E851A78"/>
    <w:rsid w:val="6EF015E7"/>
    <w:rsid w:val="6F277186"/>
    <w:rsid w:val="70071121"/>
    <w:rsid w:val="712B6906"/>
    <w:rsid w:val="71970440"/>
    <w:rsid w:val="719941B8"/>
    <w:rsid w:val="71A30B93"/>
    <w:rsid w:val="7207227E"/>
    <w:rsid w:val="727231E5"/>
    <w:rsid w:val="728C2A94"/>
    <w:rsid w:val="72C4340D"/>
    <w:rsid w:val="73641478"/>
    <w:rsid w:val="73697052"/>
    <w:rsid w:val="7385567A"/>
    <w:rsid w:val="73932213"/>
    <w:rsid w:val="73E035D5"/>
    <w:rsid w:val="74547AEA"/>
    <w:rsid w:val="746F034C"/>
    <w:rsid w:val="747C235C"/>
    <w:rsid w:val="74820F33"/>
    <w:rsid w:val="749476B8"/>
    <w:rsid w:val="74F3589F"/>
    <w:rsid w:val="750B5313"/>
    <w:rsid w:val="751B184D"/>
    <w:rsid w:val="75466405"/>
    <w:rsid w:val="76487698"/>
    <w:rsid w:val="76624E00"/>
    <w:rsid w:val="76797FC1"/>
    <w:rsid w:val="76D844BF"/>
    <w:rsid w:val="77094214"/>
    <w:rsid w:val="7716189F"/>
    <w:rsid w:val="7746398B"/>
    <w:rsid w:val="774C5DA8"/>
    <w:rsid w:val="778622A7"/>
    <w:rsid w:val="77A86F03"/>
    <w:rsid w:val="77AB17F5"/>
    <w:rsid w:val="77E65C7D"/>
    <w:rsid w:val="780939EE"/>
    <w:rsid w:val="783267CC"/>
    <w:rsid w:val="788D434B"/>
    <w:rsid w:val="78C20C10"/>
    <w:rsid w:val="78DC4B30"/>
    <w:rsid w:val="796B468F"/>
    <w:rsid w:val="79966776"/>
    <w:rsid w:val="79AE0B68"/>
    <w:rsid w:val="79B53B59"/>
    <w:rsid w:val="79E461EC"/>
    <w:rsid w:val="7A036672"/>
    <w:rsid w:val="7A170370"/>
    <w:rsid w:val="7A19435B"/>
    <w:rsid w:val="7A1C7BE9"/>
    <w:rsid w:val="7AC758F2"/>
    <w:rsid w:val="7AD85D51"/>
    <w:rsid w:val="7ADD3367"/>
    <w:rsid w:val="7B02692A"/>
    <w:rsid w:val="7B5A6766"/>
    <w:rsid w:val="7BAD2EC7"/>
    <w:rsid w:val="7BC77B74"/>
    <w:rsid w:val="7BE129E3"/>
    <w:rsid w:val="7BE7404C"/>
    <w:rsid w:val="7BEC3033"/>
    <w:rsid w:val="7BFB1CE6"/>
    <w:rsid w:val="7C4D5A57"/>
    <w:rsid w:val="7C66550F"/>
    <w:rsid w:val="7C6F7FEF"/>
    <w:rsid w:val="7CA33507"/>
    <w:rsid w:val="7CE309DD"/>
    <w:rsid w:val="7D0C46C2"/>
    <w:rsid w:val="7D4E0CFB"/>
    <w:rsid w:val="7D5320F2"/>
    <w:rsid w:val="7D5471E5"/>
    <w:rsid w:val="7DBA39AE"/>
    <w:rsid w:val="7E33329E"/>
    <w:rsid w:val="7E4E00D8"/>
    <w:rsid w:val="7E752D44"/>
    <w:rsid w:val="7EB467B9"/>
    <w:rsid w:val="7EC91161"/>
    <w:rsid w:val="7ED71E7C"/>
    <w:rsid w:val="7EF742CC"/>
    <w:rsid w:val="7F0460A6"/>
    <w:rsid w:val="7F6942DE"/>
    <w:rsid w:val="7F7A61FF"/>
    <w:rsid w:val="7FBD0E04"/>
    <w:rsid w:val="7FC71EF0"/>
    <w:rsid w:val="7FF53B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6"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9"/>
    <w:pPr>
      <w:keepNext/>
      <w:keepLines/>
      <w:adjustRightInd w:val="0"/>
      <w:snapToGrid w:val="0"/>
      <w:spacing w:before="260" w:after="260" w:line="416" w:lineRule="auto"/>
      <w:ind w:firstLine="600" w:firstLineChars="200"/>
      <w:outlineLvl w:val="1"/>
    </w:pPr>
    <w:rPr>
      <w:rFonts w:ascii="Arial" w:hAnsi="Arial" w:eastAsia="Symbol"/>
      <w:b/>
      <w:bCs/>
      <w:sz w:val="32"/>
      <w:szCs w:val="32"/>
    </w:rPr>
  </w:style>
  <w:style w:type="paragraph" w:styleId="3">
    <w:name w:val="heading 3"/>
    <w:basedOn w:val="1"/>
    <w:next w:val="1"/>
    <w:qFormat/>
    <w:uiPriority w:val="9"/>
    <w:pPr>
      <w:keepNext/>
      <w:keepLines/>
      <w:spacing w:before="60" w:after="60" w:line="360" w:lineRule="auto"/>
      <w:ind w:firstLine="200" w:firstLineChars="200"/>
      <w:outlineLvl w:val="2"/>
    </w:pPr>
    <w:rPr>
      <w:rFonts w:eastAsia="Tms Rmn" w:cs="Helv"/>
      <w:b/>
      <w:bCs/>
      <w:sz w:val="32"/>
      <w:szCs w:val="32"/>
    </w:rPr>
  </w:style>
  <w:style w:type="paragraph" w:styleId="4">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1"/>
    <w:qFormat/>
    <w:uiPriority w:val="0"/>
    <w:pPr>
      <w:spacing w:after="120"/>
    </w:pPr>
    <w:rPr>
      <w:rFonts w:ascii="Calibri" w:hAnsi="Calibri" w:eastAsia="宋体" w:cs="Times New Roman"/>
    </w:rPr>
  </w:style>
  <w:style w:type="paragraph" w:styleId="7">
    <w:name w:val="Body Text Indent"/>
    <w:basedOn w:val="1"/>
    <w:unhideWhenUsed/>
    <w:qFormat/>
    <w:uiPriority w:val="99"/>
    <w:pPr>
      <w:spacing w:after="120"/>
      <w:ind w:left="420" w:leftChars="200"/>
    </w:pPr>
    <w:rPr>
      <w:rFonts w:ascii="Times New Roman" w:hAnsi="Times New Roman"/>
    </w:rPr>
  </w:style>
  <w:style w:type="paragraph" w:styleId="8">
    <w:name w:val="toc 3"/>
    <w:basedOn w:val="1"/>
    <w:next w:val="1"/>
    <w:qFormat/>
    <w:uiPriority w:val="0"/>
    <w:pPr>
      <w:ind w:left="840" w:leftChars="400"/>
    </w:pPr>
  </w:style>
  <w:style w:type="paragraph" w:styleId="9">
    <w:name w:val="Plain Text"/>
    <w:basedOn w:val="1"/>
    <w:qFormat/>
    <w:uiPriority w:val="0"/>
    <w:rPr>
      <w:rFonts w:ascii="宋体" w:hAnsi="Courier New"/>
      <w:szCs w:val="21"/>
    </w:rPr>
  </w:style>
  <w:style w:type="paragraph" w:styleId="10">
    <w:name w:val="footer"/>
    <w:basedOn w:val="1"/>
    <w:unhideWhenUsed/>
    <w:qFormat/>
    <w:uiPriority w:val="99"/>
    <w:pPr>
      <w:tabs>
        <w:tab w:val="center" w:pos="4153"/>
        <w:tab w:val="right" w:pos="8306"/>
      </w:tabs>
      <w:adjustRightInd/>
      <w:spacing w:line="240" w:lineRule="auto"/>
      <w:ind w:firstLine="0" w:firstLineChars="0"/>
      <w:jc w:val="left"/>
    </w:pPr>
    <w:rPr>
      <w:rFonts w:ascii="Calibri" w:hAnsi="Calibri" w:eastAsia="宋体"/>
      <w:sz w:val="18"/>
      <w:szCs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unhideWhenUsed/>
    <w:qFormat/>
    <w:uiPriority w:val="39"/>
    <w:pPr>
      <w:tabs>
        <w:tab w:val="right" w:leader="dot" w:pos="8714"/>
      </w:tabs>
      <w:spacing w:before="60" w:line="360" w:lineRule="auto"/>
      <w:ind w:left="200" w:leftChars="200"/>
      <w:jc w:val="left"/>
    </w:pPr>
    <w:rPr>
      <w:rFonts w:eastAsia="Wingdings" w:cs="MS Mincho"/>
      <w:bCs/>
      <w:caps/>
      <w:sz w:val="30"/>
      <w:szCs w:val="20"/>
    </w:rPr>
  </w:style>
  <w:style w:type="paragraph" w:styleId="13">
    <w:name w:val="Subtitle"/>
    <w:basedOn w:val="1"/>
    <w:next w:val="1"/>
    <w:qFormat/>
    <w:uiPriority w:val="11"/>
    <w:pPr>
      <w:spacing w:before="240" w:after="60" w:line="312" w:lineRule="auto"/>
      <w:jc w:val="center"/>
      <w:outlineLvl w:val="1"/>
    </w:pPr>
    <w:rPr>
      <w:rFonts w:ascii="Calibri" w:hAnsi="Calibri" w:eastAsia="宋体" w:cs="Times New Roman"/>
      <w:b/>
      <w:bCs/>
      <w:kern w:val="28"/>
      <w:sz w:val="32"/>
      <w:szCs w:val="32"/>
    </w:rPr>
  </w:style>
  <w:style w:type="paragraph" w:styleId="14">
    <w:name w:val="footnote text"/>
    <w:basedOn w:val="1"/>
    <w:qFormat/>
    <w:uiPriority w:val="0"/>
    <w:pPr>
      <w:snapToGrid w:val="0"/>
      <w:jc w:val="left"/>
    </w:pPr>
    <w:rPr>
      <w:sz w:val="18"/>
    </w:rPr>
  </w:style>
  <w:style w:type="paragraph" w:styleId="15">
    <w:name w:val="toc 2"/>
    <w:basedOn w:val="1"/>
    <w:next w:val="1"/>
    <w:unhideWhenUsed/>
    <w:qFormat/>
    <w:uiPriority w:val="39"/>
    <w:pPr>
      <w:tabs>
        <w:tab w:val="right" w:leader="dot" w:pos="8714"/>
      </w:tabs>
      <w:spacing w:line="360" w:lineRule="auto"/>
      <w:ind w:left="350" w:leftChars="350"/>
      <w:jc w:val="left"/>
    </w:pPr>
    <w:rPr>
      <w:rFonts w:eastAsia="System" w:cs="MS Mincho"/>
      <w:smallCaps/>
      <w:sz w:val="30"/>
      <w:szCs w:val="20"/>
    </w:rPr>
  </w:style>
  <w:style w:type="paragraph" w:styleId="16">
    <w:name w:val="Title"/>
    <w:basedOn w:val="1"/>
    <w:next w:val="1"/>
    <w:qFormat/>
    <w:uiPriority w:val="10"/>
    <w:pPr>
      <w:spacing w:before="240" w:after="60"/>
      <w:jc w:val="center"/>
      <w:outlineLvl w:val="0"/>
    </w:pPr>
    <w:rPr>
      <w:rFonts w:asciiTheme="majorHAnsi" w:hAnsiTheme="majorHAnsi" w:eastAsiaTheme="majorEastAsia" w:cstheme="majorBidi"/>
      <w:b/>
      <w:bCs/>
      <w:sz w:val="32"/>
      <w:szCs w:val="32"/>
    </w:rPr>
  </w:style>
  <w:style w:type="paragraph" w:styleId="17">
    <w:name w:val="Body Text First Indent 2"/>
    <w:basedOn w:val="7"/>
    <w:qFormat/>
    <w:uiPriority w:val="6"/>
    <w:pPr>
      <w:ind w:firstLine="420"/>
    </w:pPr>
    <w:rPr>
      <w:rFonts w:cs="Times New Roman"/>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Hyperlink"/>
    <w:unhideWhenUsed/>
    <w:qFormat/>
    <w:uiPriority w:val="99"/>
    <w:rPr>
      <w:color w:val="0000FF"/>
      <w:u w:val="single"/>
    </w:rPr>
  </w:style>
  <w:style w:type="character" w:styleId="22">
    <w:name w:val="footnote reference"/>
    <w:basedOn w:val="20"/>
    <w:qFormat/>
    <w:uiPriority w:val="0"/>
    <w:rPr>
      <w:vertAlign w:val="superscript"/>
    </w:rPr>
  </w:style>
  <w:style w:type="paragraph" w:customStyle="1" w:styleId="23">
    <w:name w:val="独立格式"/>
    <w:basedOn w:val="13"/>
    <w:qFormat/>
    <w:uiPriority w:val="1"/>
    <w:pPr>
      <w:spacing w:before="0" w:after="0" w:line="360" w:lineRule="auto"/>
      <w:outlineLvl w:val="9"/>
    </w:pPr>
    <w:rPr>
      <w:rFonts w:ascii="Times New Roman" w:hAnsi="Times New Roman" w:eastAsia="Tms Rmn" w:cs="Times New Roman"/>
      <w:b w:val="0"/>
      <w:bCs w:val="0"/>
      <w:kern w:val="2"/>
      <w:szCs w:val="52"/>
    </w:rPr>
  </w:style>
  <w:style w:type="paragraph" w:customStyle="1" w:styleId="24">
    <w:name w:val="表格名称"/>
    <w:basedOn w:val="1"/>
    <w:qFormat/>
    <w:uiPriority w:val="0"/>
    <w:pPr>
      <w:spacing w:line="360" w:lineRule="auto"/>
      <w:jc w:val="center"/>
    </w:pPr>
    <w:rPr>
      <w:rFonts w:eastAsia="Helv" w:cs="New York"/>
      <w:b/>
      <w:sz w:val="24"/>
      <w:szCs w:val="24"/>
    </w:rPr>
  </w:style>
  <w:style w:type="paragraph" w:customStyle="1" w:styleId="25">
    <w:name w:val="表格文字"/>
    <w:basedOn w:val="23"/>
    <w:next w:val="1"/>
    <w:qFormat/>
    <w:uiPriority w:val="0"/>
    <w:pPr>
      <w:spacing w:line="360" w:lineRule="exact"/>
    </w:pPr>
    <w:rPr>
      <w:rFonts w:eastAsia="Helv" w:cs="New York"/>
      <w:sz w:val="24"/>
    </w:rPr>
  </w:style>
  <w:style w:type="character" w:customStyle="1" w:styleId="26">
    <w:name w:val="font61"/>
    <w:basedOn w:val="20"/>
    <w:qFormat/>
    <w:uiPriority w:val="0"/>
    <w:rPr>
      <w:rFonts w:hint="eastAsia" w:ascii="宋体" w:hAnsi="宋体" w:eastAsia="宋体" w:cs="宋体"/>
      <w:b/>
      <w:bCs/>
      <w:color w:val="000000"/>
      <w:sz w:val="24"/>
      <w:szCs w:val="24"/>
      <w:u w:val="none"/>
    </w:rPr>
  </w:style>
  <w:style w:type="character" w:customStyle="1" w:styleId="27">
    <w:name w:val="font71"/>
    <w:basedOn w:val="20"/>
    <w:qFormat/>
    <w:uiPriority w:val="0"/>
    <w:rPr>
      <w:rFonts w:hint="eastAsia" w:ascii="宋体" w:hAnsi="宋体" w:eastAsia="宋体" w:cs="宋体"/>
      <w:b/>
      <w:bCs/>
      <w:color w:val="000000"/>
      <w:sz w:val="24"/>
      <w:szCs w:val="24"/>
      <w:u w:val="none"/>
    </w:rPr>
  </w:style>
  <w:style w:type="character" w:customStyle="1" w:styleId="28">
    <w:name w:val="font31"/>
    <w:basedOn w:val="20"/>
    <w:qFormat/>
    <w:uiPriority w:val="0"/>
    <w:rPr>
      <w:rFonts w:hint="eastAsia" w:ascii="宋体" w:hAnsi="宋体" w:eastAsia="宋体" w:cs="宋体"/>
      <w:b/>
      <w:bCs/>
      <w:color w:val="000000"/>
      <w:sz w:val="24"/>
      <w:szCs w:val="24"/>
      <w:u w:val="none"/>
    </w:rPr>
  </w:style>
  <w:style w:type="character" w:customStyle="1" w:styleId="29">
    <w:name w:val="font41"/>
    <w:basedOn w:val="20"/>
    <w:qFormat/>
    <w:uiPriority w:val="0"/>
    <w:rPr>
      <w:rFonts w:hint="eastAsia" w:ascii="宋体" w:hAnsi="宋体" w:eastAsia="宋体" w:cs="宋体"/>
      <w:b/>
      <w:bCs/>
      <w:color w:val="000000"/>
      <w:sz w:val="24"/>
      <w:szCs w:val="24"/>
      <w:u w:val="none"/>
    </w:rPr>
  </w:style>
  <w:style w:type="character" w:customStyle="1" w:styleId="30">
    <w:name w:val="font51"/>
    <w:basedOn w:val="20"/>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de2cbb81-23b9-419e-bfb6-050e20f82069</errorID>
      <errorWord>)</errorWord>
      <group>L1_Format</group>
      <groupName>格式问题</groupName>
      <ability>L2_HalfPunc_CN</ability>
      <abilityName>全半角问题</abilityName>
      <candidateList>
        <item>）</item>
      </candidateList>
      <explain>文本全半角错误。</explain>
      <paraID> A57A0BA</paraID>
      <start>110</start>
      <end>111</end>
      <status>modified</status>
      <modifiedWord>）</modifiedWord>
      <trackRevisions>false</trackRevisions>
    </reviewItem>
    <reviewItem>
      <errorID>45245d1b-3444-43ee-a4b9-d3cad07bed8d</errorID>
      <errorWord>）公司</errorWord>
      <group>L1_Grammar</group>
      <groupName>语法问题</groupName>
      <ability>L2_Grammar</ability>
      <abilityName>语法错误</abilityName>
      <candidateList>
        <item>）</item>
      </candidateList>
      <explain/>
      <paraID> A57A0BA</paraID>
      <start>178</start>
      <end>181</end>
      <status>ignored</status>
      <modifiedWord/>
      <trackRevisions>false</trackRevisions>
    </reviewItem>
    <reviewItem>
      <errorID>5cf25ae8-8e69-4f19-b256-e6c9464e7a90</errorID>
      <errorWord>截止</errorWord>
      <group>L1_Word</group>
      <groupName>字词问题</groupName>
      <ability>L2_Typo</ability>
      <abilityName>字词错误</abilityName>
      <candidateList>
        <item>截至</item>
      </candidateList>
      <explain/>
      <paraID>2393A93B</paraID>
      <start>77</start>
      <end>79</end>
      <status>modified</status>
      <modifiedWord>截至</modifiedWord>
      <trackRevisions>false</trackRevisions>
    </reviewItem>
    <reviewItem>
      <errorID>7cabd14b-e67e-48a1-9933-5234d2ec2604</errorID>
      <errorWord>《中共中央、国务院</errorWord>
      <group>L1_Political</group>
      <groupName>政治性问题</groupName>
      <ability>L2_Unpolitical</ability>
      <abilityName>政治敏感错误</abilityName>
      <candidateList>
        <item>《中共中央 国务院</item>
      </candidateList>
      <explain/>
      <paraID>168AB1DC</paraID>
      <start>8</start>
      <end>17</end>
      <status>ignored</status>
      <modifiedWord/>
      <trackRevisions>false</trackRevisions>
    </reviewItem>
    <reviewItem>
      <errorID>a4a7bde9-7e9e-480e-918a-1f858bbf2465</errorID>
      <errorWord>《中共中央、国务院</errorWord>
      <group>L1_Political</group>
      <groupName>政治性问题</groupName>
      <ability>L2_Unpolitical</ability>
      <abilityName>政治敏感错误</abilityName>
      <candidateList>
        <item>《中共中央 国务院</item>
      </candidateList>
      <explain/>
      <paraID>168AB1DC</paraID>
      <start>56</start>
      <end>65</end>
      <status>ignored</status>
      <modifiedWord/>
      <trackRevisions>false</trackRevisions>
    </reviewItem>
    <reviewItem>
      <errorID>77a2b46e-8fa9-4da2-8ce0-b436c8ff2e43</errorID>
      <errorWord>，</errorWord>
      <group>L1_Word</group>
      <groupName>字词问题</groupName>
      <ability>L2_Typo</ability>
      <abilityName>字词错误</abilityName>
      <candidateList>
        <item>，以</item>
      </candidateList>
      <explain/>
      <paraID>73B53025</paraID>
      <start>98</start>
      <end>99</end>
      <status>ignored</status>
      <modifiedWord/>
      <trackRevisions>false</trackRevisions>
    </reviewItem>
    <reviewItem>
      <errorID>7cc3b121-1187-4dbf-bfcd-76013c440822</errorID>
      <errorWord>80.46</errorWord>
      <group>L1_Other</group>
      <groupName>其他问题</groupName>
      <ability>L2_Consistency</ability>
      <abilityName>一致性检查</abilityName>
      <candidateList>
        <item>80</item>
      </candidateList>
      <explain>数字一致性错误，全文明确说明综合评分取整为80分，此处汇总得分未保持一致</explain>
      <paraID> 42DF5FD</paraID>
      <start>0</start>
      <end>5</end>
      <status>ignored</status>
      <modifiedWord/>
      <trackRevisions>false</trackRevisions>
    </reviewItem>
    <reviewItem>
      <errorID>62ee9444-3e16-49c7-8283-e0c1308222df</errorID>
      <errorWord>水质</errorWord>
      <group>L1_Word</group>
      <groupName>字词问题</groupName>
      <ability>L2_Typo</ability>
      <abilityName>字词错误</abilityName>
      <candidateList>
        <item>标准化</item>
      </candidateList>
      <explain/>
      <paraID>2FB73835</paraID>
      <start>71</start>
      <end>74</end>
      <status>modified</status>
      <modifiedWord>标准化</modifiedWord>
      <trackRevisions>false</trackRevisions>
    </reviewItem>
    <reviewItem>
      <errorID>641bf63b-54ec-4205-9d52-fdcca10f67e2</errorID>
      <errorWord>，</errorWord>
      <group>L1_Punc</group>
      <groupName>标点问题</groupName>
      <ability>L2_Punc_CN</ability>
      <abilityName>标点符号问题</abilityName>
      <candidateList>
        <item>。</item>
      </candidateList>
      <explain/>
      <paraID>2DAE9943</paraID>
      <start>216</start>
      <end>217</end>
      <status>ignored</status>
      <modifiedWord/>
      <trackRevisions>false</trackRevisions>
    </reviewItem>
    <reviewItem>
      <errorID>0b0727a1-6d2e-4c70-8e72-d066eb4e5344</errorID>
      <errorWord>；</errorWord>
      <group>L1_Punc</group>
      <groupName>标点问题</groupName>
      <ability>L2_Punc_CN</ability>
      <abilityName>标点符号问题</abilityName>
      <candidateList>
        <item>。</item>
      </candidateList>
      <explain/>
      <paraID>2DAE9943</paraID>
      <start>294</start>
      <end>295</end>
      <status>modified</status>
      <modifiedWord>。</modifiedWord>
      <trackRevisions>false</trackRevisions>
    </reviewItem>
    <reviewItem>
      <errorID>9c25e8d0-fccd-4194-aca8-7031fb638754</errorID>
      <errorWord>29</errorWord>
      <group>L1_Grammar</group>
      <groupName>语法问题</groupName>
      <ability>L2_Grammar</ability>
      <abilityName>语法错误</abilityName>
      <candidateList>
        <item>装置29</item>
      </candidateList>
      <explain/>
      <paraID>15B33D1E</paraID>
      <start>77</start>
      <end>79</end>
      <status>ignored</status>
      <modifiedWord/>
      <trackRevisions>false</trackRevisions>
    </reviewItem>
    <reviewItem>
      <errorID>57458bf0-d2e3-4e28-a059-ffd028a4f825</errorID>
      <errorWord>，</errorWord>
      <group>L1_Punc</group>
      <groupName>标点问题</groupName>
      <ability>L2_Punc_CN</ability>
      <abilityName>标点符号问题</abilityName>
      <candidateList>
        <item>。</item>
      </candidateList>
      <explain/>
      <paraID>1254FFD9</paraID>
      <start>31</start>
      <end>32</end>
      <status>ignored</status>
      <modifiedWord/>
      <trackRevisions>false</trackRevisions>
    </reviewItem>
    <reviewItem>
      <errorID>dbadb08d-5a84-4c14-865f-4fa7fb4f2e98</errorID>
      <errorWord>一</errorWord>
      <group>L1_Punc</group>
      <groupName>标点问题</groupName>
      <ability>L2_Punc_CN</ability>
      <abilityName>标点符号问题</abilityName>
      <candidateList>
        <item>：一</item>
      </candidateList>
      <explain/>
      <paraID>1254FFD9</paraID>
      <start>63</start>
      <end>64</end>
      <status>ignored</status>
      <modifiedWord/>
      <trackRevisions>false</trackRevisions>
    </reviewItem>
    <reviewItem>
      <errorID>1a4ce732-6025-4877-960a-d92ade626c56</errorID>
      <errorWord>，</errorWord>
      <group>L1_Punc</group>
      <groupName>标点问题</groupName>
      <ability>L2_Punc_CN</ability>
      <abilityName>标点符号问题</abilityName>
      <candidateList>
        <item>、</item>
      </candidateList>
      <explain/>
      <paraID>1254FFD9</paraID>
      <start>129</start>
      <end>130</end>
      <status>modified</status>
      <modifiedWord>、</modifiedWord>
      <trackRevisions>false</trackRevisions>
    </reviewItem>
    <reviewItem>
      <errorID>93a7a2d5-96c0-4e94-9204-e1a86c76b5c7</errorID>
      <errorWord>水源</errorWord>
      <group>L1_Word</group>
      <groupName>字词问题</groupName>
      <ability>L2_Typo</ability>
      <abilityName>字词错误</abilityName>
      <candidateList>
        <item>水</item>
      </candidateList>
      <explain/>
      <paraID> 73FDD01</paraID>
      <start>165</start>
      <end>167</end>
      <status>ignored</status>
      <modifiedWord/>
      <trackRevisions>false</trackRevisions>
    </reviewItem>
    <reviewItem>
      <errorID>8ee8102b-e615-42bd-b4c6-4bdc9c4642a0</errorID>
      <errorWord>浑浊</errorWord>
      <group>L1_Word</group>
      <groupName>字词问题</groupName>
      <ability>L2_Typo</ability>
      <abilityName>字词错误</abilityName>
      <candidateList>
        <item>混浊</item>
      </candidateList>
      <explain/>
      <paraID>21713644</paraID>
      <start>4</start>
      <end>6</end>
      <status>ignored</status>
      <modifiedWord/>
      <trackRevisions>false</trackRevisions>
    </reviewItem>
    <reviewItem>
      <errorID>63d55736-a04d-4d60-bf5e-4a9d9ad948f7</errorID>
      <errorWord>，</errorWord>
      <group>L1_Word</group>
      <groupName>字词问题</groupName>
      <ability>L2_Typo</ability>
      <abilityName>字词错误</abilityName>
      <candidateList>
        <item>，能</item>
      </candidateList>
      <explain/>
      <paraID>650188FC</paraID>
      <start>19</start>
      <end>21</end>
      <status>modified</status>
      <modifiedWord>，能</modifiedWord>
      <trackRevisions>false</trackRevisions>
    </reviewItem>
    <reviewItem>
      <errorID>ed2a23f6-9545-443f-b17b-e9f8ac3a3ef6</errorID>
      <errorWord>问题，建议</errorWord>
      <group>L1_Word</group>
      <groupName>字词问题</groupName>
      <ability>L2_Typo</ability>
      <abilityName>字词错误</abilityName>
      <candidateList>
        <item>的问题，</item>
      </candidateList>
      <explain/>
      <paraID>2740371A</paraID>
      <start>22</start>
      <end>27</end>
      <status>ignored</status>
      <modifiedWord/>
      <trackRevisions>false</trackRevisions>
    </reviewItem>
    <reviewItem>
      <errorID>e91f3086-dd24-4cbc-b760-c118cb052d20</errorID>
      <errorWord>水利局部门</errorWord>
      <group>L1_Grammar</group>
      <groupName>语法问题</groupName>
      <ability>L2_Grammar</ability>
      <abilityName>语法错误</abilityName>
      <candidateList>
        <item>水利局</item>
      </candidateList>
      <explain/>
      <paraID> 92B6A0D</paraID>
      <start>68</start>
      <end>73</end>
      <status>ignored</status>
      <modifiedWord/>
      <trackRevisions>false</trackRevisions>
    </reviewItem>
    <reviewItem>
      <errorID>6f3d6d59-4842-42b8-9740-e136eb9261cf</errorID>
      <errorWord>法律法规</errorWord>
      <group>L1_Grammar</group>
      <groupName>语法问题</groupName>
      <ability>L2_Grammar</ability>
      <abilityName>语法错误</abilityName>
      <candidateList>
        <item>规划</item>
      </candidateList>
      <explain/>
      <paraID>665DCD75</paraID>
      <start>23</start>
      <end>27</end>
      <status>ignored</status>
      <modifiedWord/>
      <trackRevisions>false</trackRevisions>
    </reviewItem>
    <reviewItem>
      <errorID>517e70ae-1189-42fb-bc2d-0dfc14f72721</errorID>
      <errorWord>晰</errorWord>
      <group>L1_Word</group>
      <groupName>字词问题</groupName>
      <ability>L2_Typo</ability>
      <abilityName>字词错误</abilityName>
      <candidateList>
        <item>晰地</item>
      </candidateList>
      <explain/>
      <paraID>76226BD7</paraID>
      <start>37</start>
      <end>38</end>
      <status>ignored</status>
      <modifiedWord/>
      <trackRevisions>false</trackRevisions>
    </reviewItem>
    <reviewItem>
      <errorID>432dd656-8e01-41ee-aeda-cb210d6bb066</errorID>
      <errorWord>资金均</errorWord>
      <group>L1_Word</group>
      <groupName>字词问题</groupName>
      <ability>L2_Typo</ability>
      <abilityName>字词错误</abilityName>
      <candidateList>
        <item>资金</item>
      </candidateList>
      <explain/>
      <paraID>5C18D248</paraID>
      <start>8</start>
      <end>11</end>
      <status>ignored</status>
      <modifiedWord/>
      <trackRevisions>false</trackRevisions>
    </reviewItem>
    <reviewItem>
      <errorID>e9d8ce50-6009-42f9-ba35-0d45db30a103</errorID>
      <errorWord>等采购</errorWord>
      <group>L1_Grammar</group>
      <groupName>语法问题</groupName>
      <ability>L2_Grammar</ability>
      <abilityName>语法错误</abilityName>
      <candidateList>
        <item>等</item>
      </candidateList>
      <explain/>
      <paraID>70F364BD</paraID>
      <start>19</start>
      <end>22</end>
      <status>ignored</status>
      <modifiedWord/>
      <trackRevisions>false</trackRevisions>
    </reviewItem>
    <reviewItem>
      <errorID>a050898b-1801-4741-b579-62a865f5849a</errorID>
      <errorWord>相关的</errorWord>
      <group>L1_Word</group>
      <groupName>字词问题</groupName>
      <ability>L2_Typo</ability>
      <abilityName>字词错误</abilityName>
      <candidateList>
        <item>相关</item>
      </candidateList>
      <explain/>
      <paraID>2C497A07</paraID>
      <start>22</start>
      <end>25</end>
      <status>ignored</status>
      <modifiedWord/>
      <trackRevisions>false</trackRevisions>
    </reviewItem>
    <reviewItem>
      <errorID>2c5be144-d2b3-4f7d-9c89-d7c4daf72746</errorID>
      <errorWord>。</errorWord>
      <group>L1_Punc</group>
      <groupName>标点问题</groupName>
      <ability>L2_Punc_CN</ability>
      <abilityName>标点符号问题</abilityName>
      <candidateList>
        <item>；</item>
      </candidateList>
      <explain/>
      <paraID>65348280</paraID>
      <start>154</start>
      <end>155</end>
      <status>ignored</status>
      <modifiedWord/>
      <trackRevisions>false</trackRevisions>
    </reviewItem>
    <reviewItem>
      <errorID>9a5a46b0-b5af-4919-b75d-beb1334fcb07</errorID>
      <errorWord>）</errorWord>
      <group>L1_Punc</group>
      <groupName>标点问题</groupName>
      <ability>L2_Punc_CN</ability>
      <abilityName>标点符号问题</abilityName>
      <candidateList>
        <item>）；</item>
      </candidateList>
      <explain/>
      <paraID>6D53DF5E</paraID>
      <start>124</start>
      <end>125</end>
      <status>ignored</status>
      <modifiedWord/>
      <trackRevisions>false</trackRevisions>
    </reviewItem>
    <reviewItem>
      <errorID>58e6f028-723e-4116-aaaf-79ba069ff151</errorID>
      <errorWord>）</errorWord>
      <group>L1_Punc</group>
      <groupName>标点问题</groupName>
      <ability>L2_Punc_CN</ability>
      <abilityName>标点符号问题</abilityName>
      <candidateList>
        <item>）；</item>
      </candidateList>
      <explain/>
      <paraID>2CCBC260</paraID>
      <start>74</start>
      <end>75</end>
      <status>ignored</status>
      <modifiedWord/>
      <trackRevisions>false</trackRevisions>
    </reviewItem>
    <reviewItem>
      <errorID>54a4e103-04cf-4a38-9a2d-b2f36ae5f77a</errorID>
      <errorWord>安全能力</errorWord>
      <group>L1_Grammar</group>
      <groupName>语法问题</groupName>
      <ability>L2_Grammar</ability>
      <abilityName>语法错误</abilityName>
      <candidateList>
        <item>安全</item>
      </candidateList>
      <explain/>
      <paraID>56CBF917</paraID>
      <start>112</start>
      <end>116</end>
      <status>ignored</status>
      <modifiedWord/>
      <trackRevisions>false</trackRevisions>
    </reviewItem>
    <reviewItem>
      <errorID>2fdffb5c-3e5e-4c12-8932-aedfd2f81f62</errorID>
      <errorWord>，</errorWord>
      <group>L1_Punc</group>
      <groupName>标点问题</groupName>
      <ability>L2_Punc_CN</ability>
      <abilityName>标点符号问题</abilityName>
      <candidateList>
        <item>；</item>
      </candidateList>
      <explain/>
      <paraID>2B4C5474</paraID>
      <start>103</start>
      <end>104</end>
      <status>modified</status>
      <modifiedWord>；</modifiedWord>
      <trackRevisions>false</trackRevisions>
    </reviewItem>
    <reviewItem>
      <errorID>26f0cbf7-c3cd-49b8-8564-4dc1d463bb5e</errorID>
      <errorWord>，</errorWord>
      <group>L1_Punc</group>
      <groupName>标点问题</groupName>
      <ability>L2_Punc_CN</ability>
      <abilityName>标点符号问题</abilityName>
      <candidateList>
        <item>；</item>
      </candidateList>
      <explain/>
      <paraID>2B4C5474</paraID>
      <start>199</start>
      <end>200</end>
      <status>modified</status>
      <modifiedWord>；</modifiedWord>
      <trackRevisions>false</trackRevisions>
    </reviewItem>
    <reviewItem>
      <errorID>1da427b6-a170-4a40-a7f9-d2e3c618157d</errorID>
      <errorWord>2.77</errorWord>
      <group>L1_Other</group>
      <groupName>其他问题</groupName>
      <ability>L2_Consistency</ability>
      <abilityName>一致性检查</abilityName>
      <candidateList>
        <item>2.69</item>
      </candidateList>
      <explain>数字一致性错误，前文已明确该指标最终得分为2.69分，此处计算结果表述前后不一致</explain>
      <paraID>7847140E</paraID>
      <start>235</start>
      <end>239</end>
      <status>modified</status>
      <modifiedWord>2.69</modifiedWord>
      <trackRevisions>false</trackRevisions>
    </reviewItem>
    <reviewItem>
      <errorID>3d5a45ca-d0a2-457e-a40c-28ebb012f968</errorID>
      <errorWord>2.32</errorWord>
      <group>L1_Other</group>
      <groupName>其他问题</groupName>
      <ability>L2_Consistency</ability>
      <abilityName>一致性检查</abilityName>
      <candidateList>
        <item>2.30</item>
      </candidateList>
      <explain>数字一致性错误，前文已明确问卷指标合计得分为2.30分，此处计算结果表述前后不一致</explain>
      <paraID>512E8753</paraID>
      <start>87</start>
      <end>91</end>
      <status>modified</status>
      <modifiedWord>2.30</modifiedWord>
      <trackRevisions>false</trackRevisions>
    </reviewItem>
    <reviewItem>
      <errorID>1b210bda-4850-40fc-a97c-c20d9af3984c</errorID>
      <errorWord>80.46</errorWord>
      <group>L1_Other</group>
      <groupName>其他问题</groupName>
      <ability>L2_Consistency</ability>
      <abilityName>一致性检查</abilityName>
      <candidateList>
        <item>80</item>
      </candidateList>
      <explain>数字一致性错误，全文明确说明综合评分取整为80分，此处汇总得分未保持一致</explain>
      <paraID>35D138E8</paraID>
      <start>0</start>
      <end>5</end>
      <status>ignored</status>
      <modifiedWord/>
      <trackRevisions>false</trackRevisions>
    </reviewItem>
  </reviewItems>
  <config/>
</contractReview>
</file>

<file path=customXml/itemProps1.xml><?xml version="1.0" encoding="utf-8"?>
<ds:datastoreItem xmlns:ds="http://schemas.openxmlformats.org/officeDocument/2006/customXml" ds:itemID="{25521d92-6a49-4180-bc39-deca51f6cfe4}">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2299</Words>
  <Characters>2466</Characters>
  <Lines>0</Lines>
  <Paragraphs>0</Paragraphs>
  <TotalTime>0</TotalTime>
  <ScaleCrop>false</ScaleCrop>
  <LinksUpToDate>false</LinksUpToDate>
  <CharactersWithSpaces>2467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2025-10-25T10:42:00Z</dcterms:created>
  <dc:creator>杨勇</dc:creator>
  <cp:lastModifiedBy>杨勇</cp:lastModifiedBy>
  <dcterms:modified xsi:type="dcterms:W3CDTF">2026-10-14T07:40:27Z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F100E56BAA044042AB97F88B7E41B84A_13</vt:lpwstr>
  </property>
  <property fmtid="{D5CDD505-2E9C-101B-9397-08002B2CF9AE}" pid="4" name="KSOTemplateDocerSaveRecord">
    <vt:lpwstr>eyJoZGlkIjoiYWMwNTIzNzM2YzNlMmFhZWM2Yzc3ZWFmMzIyZjM0N2YiLCJ1c2VySWQiOiI3Nzc5MjM1NjEifQ==</vt:lpwstr>
  </property>
</Properties>
</file>