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left"/>
        <w:rPr>
          <w:rFonts w:hint="eastAsia" w:ascii="黑体" w:hAnsi="宋体" w:eastAsia="黑体"/>
          <w:sz w:val="32"/>
          <w:szCs w:val="32"/>
          <w:highlight w:val="none"/>
          <w:lang w:val="en-US" w:eastAsia="zh-CN"/>
        </w:rPr>
      </w:pPr>
      <w:r>
        <w:rPr>
          <w:rFonts w:hint="eastAsia" w:ascii="黑体" w:hAnsi="宋体" w:eastAsia="黑体"/>
          <w:sz w:val="32"/>
          <w:szCs w:val="32"/>
          <w:highlight w:val="none"/>
          <w:lang w:val="en-US" w:eastAsia="zh-CN"/>
        </w:rPr>
        <w:t xml:space="preserve">                       </w:t>
      </w:r>
    </w:p>
    <w:p>
      <w:pPr>
        <w:ind w:firstLine="960" w:firstLineChars="300"/>
        <w:jc w:val="left"/>
        <w:rPr>
          <w:rFonts w:hint="eastAsia" w:ascii="黑体" w:hAnsi="宋体" w:eastAsia="黑体"/>
          <w:sz w:val="32"/>
          <w:szCs w:val="32"/>
          <w:highlight w:val="none"/>
          <w:lang w:val="en-US" w:eastAsia="zh-CN"/>
        </w:rPr>
      </w:pPr>
      <w:r>
        <w:rPr>
          <w:rFonts w:hint="eastAsia" w:ascii="黑体" w:hAnsi="宋体" w:eastAsia="黑体"/>
          <w:sz w:val="32"/>
          <w:szCs w:val="32"/>
          <w:highlight w:val="none"/>
          <w:lang w:val="en-US" w:eastAsia="zh-CN"/>
        </w:rPr>
        <w:t xml:space="preserve">              </w:t>
      </w:r>
      <w:r>
        <w:rPr>
          <w:rFonts w:hint="eastAsia" w:ascii="黑体" w:hAnsi="宋体" w:eastAsia="黑体"/>
          <w:sz w:val="24"/>
          <w:szCs w:val="24"/>
          <w:highlight w:val="none"/>
          <w:lang w:val="en-US" w:eastAsia="zh-CN"/>
        </w:rPr>
        <w:t xml:space="preserve">    </w:t>
      </w:r>
    </w:p>
    <w:p>
      <w:pPr>
        <w:ind w:firstLine="960" w:firstLineChars="300"/>
        <w:jc w:val="left"/>
        <w:rPr>
          <w:rFonts w:hint="default" w:ascii="黑体" w:hAnsi="宋体" w:eastAsia="黑体"/>
          <w:sz w:val="32"/>
          <w:szCs w:val="32"/>
          <w:highlight w:val="none"/>
          <w:lang w:val="en-US" w:eastAsia="zh-CN"/>
        </w:rPr>
      </w:pPr>
    </w:p>
    <w:p>
      <w:pPr>
        <w:jc w:val="left"/>
        <w:rPr>
          <w:rFonts w:hint="default" w:ascii="黑体" w:eastAsia="黑体"/>
          <w:sz w:val="32"/>
          <w:szCs w:val="32"/>
          <w:highlight w:val="none"/>
          <w:lang w:val="en-US" w:eastAsia="zh-CN"/>
        </w:rPr>
      </w:pPr>
    </w:p>
    <w:p>
      <w:pPr>
        <w:jc w:val="both"/>
        <w:rPr>
          <w:rFonts w:ascii="黑体" w:hAnsi="黑体" w:eastAsia="黑体" w:cs="宋体"/>
          <w:b/>
          <w:sz w:val="32"/>
          <w:szCs w:val="32"/>
          <w:highlight w:val="none"/>
        </w:rPr>
      </w:pPr>
    </w:p>
    <w:p>
      <w:pPr>
        <w:spacing w:line="700" w:lineRule="exact"/>
        <w:jc w:val="center"/>
        <w:rPr>
          <w:rFonts w:hint="eastAsia" w:ascii="方正小标宋简体" w:hAnsi="方正小标宋简体" w:eastAsia="方正小标宋简体" w:cs="方正小标宋简体"/>
          <w:b w:val="0"/>
          <w:bCs/>
          <w:i w:val="0"/>
          <w:iCs w:val="0"/>
          <w:caps w:val="0"/>
          <w:spacing w:val="0"/>
          <w:sz w:val="48"/>
          <w:szCs w:val="48"/>
          <w:highlight w:val="none"/>
          <w:shd w:val="clear" w:color="auto" w:fill="auto"/>
          <w:lang w:val="en-US" w:bidi="zh-CN"/>
        </w:rPr>
      </w:pPr>
      <w:r>
        <w:rPr>
          <w:rFonts w:hint="eastAsia" w:ascii="方正小标宋简体" w:hAnsi="方正小标宋简体" w:eastAsia="方正小标宋简体" w:cs="方正小标宋简体"/>
          <w:bCs/>
          <w:sz w:val="48"/>
          <w:szCs w:val="48"/>
          <w:highlight w:val="none"/>
          <w:lang w:val="en-US" w:eastAsia="zh-CN"/>
        </w:rPr>
        <w:t>2024年度</w:t>
      </w:r>
      <w:r>
        <w:rPr>
          <w:rFonts w:hint="eastAsia" w:ascii="方正小标宋简体" w:hAnsi="方正小标宋简体" w:eastAsia="方正小标宋简体" w:cs="方正小标宋简体"/>
          <w:b w:val="0"/>
          <w:bCs/>
          <w:i w:val="0"/>
          <w:iCs w:val="0"/>
          <w:caps w:val="0"/>
          <w:spacing w:val="0"/>
          <w:sz w:val="48"/>
          <w:szCs w:val="48"/>
          <w:highlight w:val="none"/>
          <w:shd w:val="clear" w:color="auto" w:fill="auto"/>
          <w:lang w:val="en-US" w:bidi="zh-CN"/>
        </w:rPr>
        <w:t>尊师重教“七项举措”经费</w:t>
      </w:r>
    </w:p>
    <w:p>
      <w:pPr>
        <w:spacing w:line="700" w:lineRule="exact"/>
        <w:jc w:val="center"/>
        <w:rPr>
          <w:rFonts w:hint="eastAsia" w:ascii="方正小标宋简体" w:hAnsi="方正小标宋简体" w:eastAsia="方正小标宋简体" w:cs="方正小标宋简体"/>
          <w:bCs/>
          <w:sz w:val="48"/>
          <w:szCs w:val="48"/>
          <w:highlight w:val="none"/>
        </w:rPr>
      </w:pPr>
      <w:r>
        <w:rPr>
          <w:rFonts w:hint="eastAsia" w:ascii="方正小标宋简体" w:hAnsi="方正小标宋简体" w:eastAsia="方正小标宋简体" w:cs="方正小标宋简体"/>
          <w:bCs/>
          <w:i w:val="0"/>
          <w:iCs w:val="0"/>
          <w:caps w:val="0"/>
          <w:spacing w:val="0"/>
          <w:sz w:val="48"/>
          <w:szCs w:val="48"/>
          <w:highlight w:val="none"/>
          <w:shd w:val="clear" w:color="auto" w:fill="auto"/>
          <w:lang w:bidi="zh-CN"/>
        </w:rPr>
        <w:t>项目</w:t>
      </w:r>
      <w:r>
        <w:rPr>
          <w:rFonts w:hint="eastAsia" w:ascii="方正小标宋简体" w:hAnsi="方正小标宋简体" w:eastAsia="方正小标宋简体" w:cs="方正小标宋简体"/>
          <w:bCs/>
          <w:sz w:val="48"/>
          <w:szCs w:val="48"/>
          <w:highlight w:val="none"/>
        </w:rPr>
        <w:t>绩效评价</w:t>
      </w:r>
      <w:r>
        <w:rPr>
          <w:rFonts w:hint="eastAsia" w:ascii="方正小标宋简体" w:hAnsi="方正小标宋简体" w:eastAsia="方正小标宋简体" w:cs="方正小标宋简体"/>
          <w:bCs/>
          <w:sz w:val="48"/>
          <w:szCs w:val="48"/>
          <w:highlight w:val="none"/>
          <w:lang w:val="en-US" w:eastAsia="zh-CN"/>
        </w:rPr>
        <w:t>简版</w:t>
      </w:r>
      <w:r>
        <w:rPr>
          <w:rFonts w:hint="eastAsia" w:ascii="方正小标宋简体" w:hAnsi="方正小标宋简体" w:eastAsia="方正小标宋简体" w:cs="方正小标宋简体"/>
          <w:bCs/>
          <w:sz w:val="48"/>
          <w:szCs w:val="48"/>
          <w:highlight w:val="none"/>
        </w:rPr>
        <w:t>报告</w:t>
      </w:r>
    </w:p>
    <w:p>
      <w:pPr>
        <w:jc w:val="center"/>
        <w:rPr>
          <w:rFonts w:ascii="黑体" w:hAnsi="黑体" w:eastAsia="黑体" w:cs="宋体"/>
          <w:b/>
          <w:sz w:val="52"/>
          <w:szCs w:val="52"/>
          <w:highlight w:val="none"/>
        </w:rPr>
      </w:pPr>
    </w:p>
    <w:p>
      <w:pPr>
        <w:jc w:val="center"/>
        <w:rPr>
          <w:rFonts w:ascii="黑体" w:hAnsi="黑体" w:eastAsia="黑体" w:cs="宋体"/>
          <w:sz w:val="52"/>
          <w:szCs w:val="52"/>
          <w:highlight w:val="none"/>
        </w:rPr>
      </w:pPr>
    </w:p>
    <w:p>
      <w:pPr>
        <w:jc w:val="center"/>
        <w:rPr>
          <w:rFonts w:ascii="黑体" w:hAnsi="黑体" w:eastAsia="黑体" w:cs="宋体"/>
          <w:sz w:val="52"/>
          <w:szCs w:val="52"/>
          <w:highlight w:val="none"/>
        </w:rPr>
      </w:pPr>
    </w:p>
    <w:p>
      <w:pPr>
        <w:jc w:val="center"/>
        <w:rPr>
          <w:rFonts w:ascii="黑体" w:hAnsi="黑体" w:eastAsia="黑体" w:cs="宋体"/>
          <w:sz w:val="36"/>
          <w:szCs w:val="36"/>
          <w:highlight w:val="none"/>
        </w:rPr>
      </w:pPr>
    </w:p>
    <w:p>
      <w:pPr>
        <w:jc w:val="both"/>
        <w:rPr>
          <w:rFonts w:ascii="黑体" w:hAnsi="黑体" w:eastAsia="黑体" w:cs="宋体"/>
          <w:b/>
          <w:sz w:val="22"/>
          <w:szCs w:val="22"/>
          <w:highlight w:val="none"/>
        </w:rPr>
      </w:pPr>
    </w:p>
    <w:p>
      <w:pPr>
        <w:jc w:val="both"/>
        <w:rPr>
          <w:rFonts w:ascii="黑体" w:hAnsi="黑体" w:eastAsia="黑体" w:cs="宋体"/>
          <w:b/>
          <w:sz w:val="22"/>
          <w:szCs w:val="22"/>
          <w:highlight w:val="none"/>
        </w:rPr>
      </w:pPr>
    </w:p>
    <w:p>
      <w:pPr>
        <w:jc w:val="both"/>
        <w:rPr>
          <w:rFonts w:ascii="黑体" w:hAnsi="黑体" w:eastAsia="黑体" w:cs="宋体"/>
          <w:b/>
          <w:sz w:val="22"/>
          <w:szCs w:val="22"/>
          <w:highlight w:val="none"/>
        </w:rPr>
      </w:pPr>
    </w:p>
    <w:p>
      <w:pPr>
        <w:jc w:val="both"/>
        <w:rPr>
          <w:rFonts w:ascii="黑体" w:hAnsi="黑体" w:eastAsia="黑体" w:cs="宋体"/>
          <w:b/>
          <w:sz w:val="22"/>
          <w:szCs w:val="22"/>
          <w:highlight w:val="none"/>
        </w:rPr>
      </w:pPr>
    </w:p>
    <w:p>
      <w:pPr>
        <w:jc w:val="both"/>
        <w:rPr>
          <w:rFonts w:ascii="黑体" w:hAnsi="黑体" w:eastAsia="黑体" w:cs="宋体"/>
          <w:b/>
          <w:sz w:val="22"/>
          <w:szCs w:val="22"/>
          <w:highlight w:val="none"/>
        </w:rPr>
      </w:pPr>
    </w:p>
    <w:p>
      <w:pPr>
        <w:jc w:val="both"/>
        <w:rPr>
          <w:rFonts w:ascii="黑体" w:hAnsi="黑体" w:eastAsia="黑体" w:cs="宋体"/>
          <w:b/>
          <w:sz w:val="22"/>
          <w:szCs w:val="22"/>
          <w:highlight w:val="none"/>
        </w:rPr>
      </w:pPr>
    </w:p>
    <w:p>
      <w:pPr>
        <w:jc w:val="both"/>
        <w:rPr>
          <w:rFonts w:ascii="黑体" w:hAnsi="黑体" w:eastAsia="黑体" w:cs="宋体"/>
          <w:b/>
          <w:sz w:val="22"/>
          <w:szCs w:val="22"/>
          <w:highlight w:val="none"/>
        </w:rPr>
      </w:pPr>
    </w:p>
    <w:p>
      <w:pPr>
        <w:jc w:val="both"/>
        <w:rPr>
          <w:rFonts w:ascii="黑体" w:hAnsi="黑体" w:eastAsia="黑体" w:cs="宋体"/>
          <w:b/>
          <w:sz w:val="22"/>
          <w:szCs w:val="22"/>
          <w:highlight w:val="none"/>
        </w:rPr>
      </w:pPr>
    </w:p>
    <w:p>
      <w:pPr>
        <w:ind w:firstLine="1600" w:firstLineChars="500"/>
        <w:jc w:val="both"/>
        <w:rPr>
          <w:rFonts w:hint="default" w:ascii="黑体" w:hAnsi="黑体" w:eastAsia="黑体" w:cs="宋体"/>
          <w:b w:val="0"/>
          <w:bCs/>
          <w:sz w:val="32"/>
          <w:szCs w:val="32"/>
          <w:highlight w:val="none"/>
          <w:u w:val="single"/>
          <w:lang w:val="en-US" w:eastAsia="zh-CN"/>
        </w:rPr>
      </w:pPr>
      <w:r>
        <w:rPr>
          <w:rFonts w:hint="eastAsia" w:ascii="黑体" w:hAnsi="黑体" w:eastAsia="黑体" w:cs="宋体"/>
          <w:b w:val="0"/>
          <w:bCs/>
          <w:sz w:val="32"/>
          <w:szCs w:val="32"/>
          <w:highlight w:val="none"/>
          <w:lang w:val="en-US" w:eastAsia="zh-CN"/>
        </w:rPr>
        <w:t>委托单位：</w:t>
      </w:r>
      <w:r>
        <w:rPr>
          <w:rFonts w:hint="eastAsia" w:ascii="黑体" w:hAnsi="黑体" w:eastAsia="黑体" w:cs="宋体"/>
          <w:b w:val="0"/>
          <w:bCs/>
          <w:sz w:val="32"/>
          <w:szCs w:val="32"/>
          <w:highlight w:val="none"/>
          <w:u w:val="single"/>
          <w:lang w:val="en-US" w:eastAsia="zh-CN"/>
        </w:rPr>
        <w:t xml:space="preserve">伊金霍洛旗财政局          </w:t>
      </w:r>
    </w:p>
    <w:p>
      <w:pPr>
        <w:ind w:firstLine="1600" w:firstLineChars="500"/>
        <w:jc w:val="both"/>
        <w:rPr>
          <w:rFonts w:hint="default" w:ascii="黑体" w:hAnsi="黑体" w:eastAsia="黑体" w:cs="宋体"/>
          <w:b w:val="0"/>
          <w:bCs/>
          <w:sz w:val="32"/>
          <w:szCs w:val="32"/>
          <w:highlight w:val="none"/>
          <w:u w:val="single"/>
          <w:lang w:val="en-US" w:eastAsia="zh-CN"/>
        </w:rPr>
      </w:pPr>
      <w:r>
        <w:rPr>
          <w:rFonts w:hint="eastAsia" w:ascii="黑体" w:hAnsi="黑体" w:eastAsia="黑体" w:cs="宋体"/>
          <w:b w:val="0"/>
          <w:bCs/>
          <w:color w:val="auto"/>
          <w:sz w:val="32"/>
          <w:szCs w:val="32"/>
          <w:highlight w:val="none"/>
          <w:u w:val="none"/>
          <w:lang w:val="en-US" w:eastAsia="zh-CN"/>
        </w:rPr>
        <w:t>主管部门：</w:t>
      </w:r>
      <w:r>
        <w:rPr>
          <w:rFonts w:hint="eastAsia" w:ascii="黑体" w:hAnsi="黑体" w:eastAsia="黑体" w:cs="宋体"/>
          <w:b w:val="0"/>
          <w:bCs/>
          <w:sz w:val="32"/>
          <w:szCs w:val="32"/>
          <w:highlight w:val="none"/>
          <w:u w:val="single"/>
          <w:lang w:val="en-US" w:eastAsia="zh-CN"/>
        </w:rPr>
        <w:t xml:space="preserve">伊金霍洛旗教育体育局      </w:t>
      </w:r>
    </w:p>
    <w:p>
      <w:pPr>
        <w:ind w:firstLine="1600" w:firstLineChars="500"/>
        <w:jc w:val="both"/>
        <w:rPr>
          <w:rFonts w:hint="default" w:ascii="黑体" w:hAnsi="黑体" w:eastAsia="黑体" w:cs="宋体"/>
          <w:b w:val="0"/>
          <w:bCs/>
          <w:spacing w:val="113"/>
          <w:sz w:val="32"/>
          <w:szCs w:val="32"/>
          <w:highlight w:val="none"/>
          <w:lang w:val="en-US" w:eastAsia="zh-CN"/>
        </w:rPr>
      </w:pPr>
      <w:r>
        <w:rPr>
          <w:rFonts w:hint="eastAsia" w:ascii="黑体" w:hAnsi="黑体" w:eastAsia="黑体" w:cs="宋体"/>
          <w:b w:val="0"/>
          <w:bCs/>
          <w:spacing w:val="0"/>
          <w:sz w:val="32"/>
          <w:szCs w:val="32"/>
          <w:highlight w:val="none"/>
          <w:lang w:val="en-US" w:eastAsia="zh-CN"/>
        </w:rPr>
        <w:t>评价机构：</w:t>
      </w:r>
      <w:r>
        <w:rPr>
          <w:rFonts w:hint="eastAsia" w:ascii="黑体" w:hAnsi="黑体" w:eastAsia="黑体" w:cs="黑体"/>
          <w:b w:val="0"/>
          <w:bCs w:val="0"/>
          <w:sz w:val="32"/>
          <w:szCs w:val="32"/>
          <w:highlight w:val="none"/>
          <w:u w:val="single"/>
          <w:lang w:val="en-US" w:eastAsia="zh-CN"/>
        </w:rPr>
        <w:t>内蒙古正云项目管理有限公司</w:t>
      </w:r>
    </w:p>
    <w:p>
      <w:pPr>
        <w:ind w:firstLine="0" w:firstLineChars="0"/>
        <w:rPr>
          <w:rFonts w:hint="eastAsia" w:ascii="仿宋" w:hAnsi="仿宋" w:eastAsia="仿宋"/>
          <w:sz w:val="32"/>
          <w:szCs w:val="32"/>
          <w:highlight w:val="none"/>
          <w:lang w:val="en-US" w:eastAsia="zh-CN"/>
        </w:rPr>
      </w:pPr>
      <w:r>
        <w:rPr>
          <w:rFonts w:hint="eastAsia" w:ascii="仿宋" w:hAnsi="仿宋" w:eastAsia="仿宋"/>
          <w:sz w:val="32"/>
          <w:szCs w:val="32"/>
          <w:highlight w:val="none"/>
          <w:lang w:val="en-US" w:eastAsia="zh-CN"/>
        </w:rPr>
        <w:t xml:space="preserve">           </w:t>
      </w:r>
    </w:p>
    <w:p>
      <w:pPr>
        <w:ind w:firstLine="0" w:firstLineChars="0"/>
        <w:jc w:val="center"/>
        <w:rPr>
          <w:rFonts w:hint="eastAsia" w:ascii="黑体" w:hAnsi="黑体" w:eastAsia="黑体" w:cs="黑体"/>
          <w:sz w:val="32"/>
          <w:szCs w:val="32"/>
          <w:highlight w:val="none"/>
          <w:lang w:val="en-US" w:eastAsia="zh-CN"/>
        </w:rPr>
        <w:sectPr>
          <w:pgSz w:w="11906" w:h="16838"/>
          <w:pgMar w:top="1531" w:right="1474" w:bottom="1531" w:left="1474" w:header="850" w:footer="1417" w:gutter="0"/>
          <w:pgBorders>
            <w:top w:val="none" w:sz="0" w:space="0"/>
            <w:left w:val="none" w:sz="0" w:space="0"/>
            <w:bottom w:val="none" w:sz="0" w:space="0"/>
            <w:right w:val="none" w:sz="0" w:space="0"/>
          </w:pgBorders>
          <w:pgNumType w:fmt="decimal" w:start="1"/>
          <w:cols w:space="720" w:num="1"/>
          <w:rtlGutter w:val="0"/>
          <w:docGrid w:type="lines" w:linePitch="312" w:charSpace="0"/>
        </w:sectPr>
      </w:pPr>
      <w:r>
        <w:rPr>
          <w:rFonts w:hint="eastAsia" w:ascii="黑体" w:hAnsi="黑体" w:eastAsia="黑体" w:cs="黑体"/>
          <w:sz w:val="32"/>
          <w:szCs w:val="32"/>
          <w:highlight w:val="none"/>
          <w:lang w:val="en-US" w:eastAsia="zh-CN"/>
        </w:rPr>
        <w:t>2025年8月</w:t>
      </w:r>
    </w:p>
    <w:p>
      <w:pPr>
        <w:numPr>
          <w:ilvl w:val="0"/>
          <w:numId w:val="0"/>
        </w:numPr>
        <w:snapToGrid w:val="0"/>
        <w:spacing w:beforeLines="0" w:afterLines="0" w:line="600" w:lineRule="exact"/>
        <w:ind w:left="-10" w:leftChars="0" w:firstLine="640" w:firstLineChars="0"/>
        <w:rPr>
          <w:rFonts w:ascii="黑体" w:hAnsi="黑体" w:eastAsia="黑体" w:cs="黑体"/>
          <w:sz w:val="32"/>
          <w:szCs w:val="32"/>
          <w:highlight w:val="none"/>
        </w:rPr>
      </w:pPr>
      <w:r>
        <w:rPr>
          <w:rFonts w:hint="eastAsia" w:ascii="黑体" w:hAnsi="黑体" w:eastAsia="黑体" w:cs="黑体"/>
          <w:kern w:val="2"/>
          <w:sz w:val="32"/>
          <w:szCs w:val="32"/>
          <w:lang w:val="en-US" w:eastAsia="zh-CN" w:bidi="ar-SA"/>
        </w:rPr>
        <w:t>一、</w:t>
      </w:r>
      <w:r>
        <w:rPr>
          <w:rFonts w:hint="eastAsia" w:ascii="黑体" w:hAnsi="黑体" w:eastAsia="黑体" w:cs="黑体"/>
          <w:sz w:val="32"/>
          <w:szCs w:val="32"/>
          <w:highlight w:val="none"/>
        </w:rPr>
        <w:t>基本情况</w:t>
      </w:r>
    </w:p>
    <w:p>
      <w:pPr>
        <w:widowControl/>
        <w:adjustRightInd/>
        <w:snapToGrid/>
        <w:spacing w:before="0" w:beforeLines="0" w:after="0" w:afterLines="0" w:line="600" w:lineRule="exact"/>
        <w:ind w:firstLine="642" w:firstLineChars="200"/>
        <w:rPr>
          <w:rFonts w:hint="eastAsia" w:ascii="楷体_GB2312" w:hAnsi="楷体_GB2312" w:eastAsia="楷体_GB2312" w:cs="楷体_GB2312"/>
          <w:b/>
          <w:bCs/>
          <w:color w:val="000000"/>
          <w:kern w:val="0"/>
          <w:sz w:val="32"/>
          <w:szCs w:val="32"/>
          <w:highlight w:val="none"/>
          <w:lang w:val="en-US" w:eastAsia="zh-CN" w:bidi="ar"/>
        </w:rPr>
      </w:pPr>
      <w:r>
        <w:rPr>
          <w:rFonts w:hint="eastAsia" w:ascii="楷体_GB2312" w:hAnsi="楷体_GB2312" w:eastAsia="楷体_GB2312" w:cs="楷体_GB2312"/>
          <w:b/>
          <w:bCs/>
          <w:color w:val="000000"/>
          <w:kern w:val="0"/>
          <w:sz w:val="32"/>
          <w:szCs w:val="32"/>
          <w:highlight w:val="none"/>
          <w:lang w:val="en-US" w:eastAsia="zh-CN" w:bidi="ar"/>
        </w:rPr>
        <w:t>（一）项目背景</w:t>
      </w:r>
    </w:p>
    <w:p>
      <w:pPr>
        <w:widowControl/>
        <w:adjustRightInd/>
        <w:snapToGrid/>
        <w:spacing w:before="0" w:beforeLines="0" w:after="0" w:afterLines="0" w:line="60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color w:val="000000"/>
          <w:kern w:val="0"/>
          <w:sz w:val="32"/>
          <w:szCs w:val="32"/>
          <w:highlight w:val="none"/>
          <w:lang w:val="en-US" w:eastAsia="zh-CN" w:bidi="ar"/>
        </w:rPr>
        <w:t>为贯彻落实党的二十届三中全会和全国教育大会精神，根据《中共中央 国务院关于弘扬教育家精神加强新时代高素质专业化教师队伍建设的意见》部署，为加强教师待遇保障，提高教师政治地位、社会地位、职业地位，在旗委、旗政府的领导下，全旗广大教师和教育工作者坚持以习近平新时代中国特色社会主义思想为指导，深入学习贯彻习近平总书记关于教育的重要论述，全面落实立德树人根本任务，躬耕教坛，无私奉献，全旗教育发展水平明显提升。根据《中共中央 国务院关于全面深化新时代教师队伍建设改革的意见》（中发</w:t>
      </w:r>
      <w:r>
        <w:rPr>
          <w:rFonts w:hint="eastAsia" w:ascii="仿宋_GB2312" w:hAnsi="仿宋_GB2312" w:eastAsia="仿宋_GB2312" w:cs="仿宋_GB2312"/>
          <w:sz w:val="32"/>
          <w:szCs w:val="32"/>
          <w:highlight w:val="none"/>
        </w:rPr>
        <w:t>〔2018〕4号</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及自治区党委、政府和市委、市政府配套实施意见落地见效，加快高素质专业化创新型教师队伍建设，提高教师教书育人的积极性，推动教育教学高质量发展，经旗委教育工作领导小组研究，推行尊师重教“七项举措”。</w:t>
      </w:r>
    </w:p>
    <w:p>
      <w:pPr>
        <w:widowControl/>
        <w:adjustRightInd/>
        <w:snapToGrid/>
        <w:spacing w:before="0" w:beforeLines="0" w:after="0" w:afterLines="0" w:line="600" w:lineRule="exact"/>
        <w:ind w:firstLine="642" w:firstLineChars="200"/>
        <w:rPr>
          <w:rFonts w:hint="eastAsia" w:ascii="楷体_GB2312" w:hAnsi="楷体_GB2312" w:eastAsia="楷体_GB2312" w:cs="楷体_GB2312"/>
          <w:b/>
          <w:bCs/>
          <w:color w:val="000000"/>
          <w:kern w:val="0"/>
          <w:sz w:val="32"/>
          <w:szCs w:val="32"/>
          <w:highlight w:val="none"/>
          <w:lang w:val="en-US" w:eastAsia="zh-CN" w:bidi="ar"/>
        </w:rPr>
      </w:pPr>
      <w:r>
        <w:rPr>
          <w:rFonts w:hint="eastAsia" w:ascii="楷体_GB2312" w:hAnsi="楷体_GB2312" w:eastAsia="楷体_GB2312" w:cs="楷体_GB2312"/>
          <w:b/>
          <w:bCs/>
          <w:color w:val="000000"/>
          <w:kern w:val="0"/>
          <w:sz w:val="32"/>
          <w:szCs w:val="32"/>
          <w:highlight w:val="none"/>
          <w:lang w:val="en-US" w:eastAsia="zh-CN" w:bidi="ar"/>
        </w:rPr>
        <w:t>（二）项目内容</w:t>
      </w:r>
    </w:p>
    <w:p>
      <w:pPr>
        <w:keepNext w:val="0"/>
        <w:keepLines w:val="0"/>
        <w:widowControl/>
        <w:spacing w:before="0" w:beforeLines="0" w:after="0" w:afterLines="0" w:line="600" w:lineRule="exact"/>
        <w:ind w:firstLine="640" w:firstLineChars="200"/>
        <w:jc w:val="both"/>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color w:val="000000"/>
          <w:kern w:val="0"/>
          <w:sz w:val="32"/>
          <w:szCs w:val="32"/>
          <w:highlight w:val="none"/>
          <w:lang w:val="en-US" w:eastAsia="zh-CN" w:bidi="ar"/>
        </w:rPr>
        <w:t>1.服务惠师：在窗口单位设置“教师优先”标识，为教师办事提供便利。</w:t>
      </w:r>
    </w:p>
    <w:p>
      <w:pPr>
        <w:keepNext w:val="0"/>
        <w:keepLines w:val="0"/>
        <w:widowControl/>
        <w:spacing w:before="0" w:beforeLines="0" w:after="0" w:afterLines="0" w:line="600" w:lineRule="exact"/>
        <w:ind w:firstLine="640" w:firstLineChars="200"/>
        <w:jc w:val="both"/>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color w:val="000000"/>
          <w:kern w:val="0"/>
          <w:sz w:val="32"/>
          <w:szCs w:val="32"/>
          <w:highlight w:val="none"/>
          <w:lang w:val="en-US" w:eastAsia="zh-CN" w:bidi="ar"/>
        </w:rPr>
        <w:t>2.学历惠师：在职教师继续深造取得硕士学位、博士学位分</w:t>
      </w:r>
    </w:p>
    <w:p>
      <w:pPr>
        <w:keepNext w:val="0"/>
        <w:keepLines w:val="0"/>
        <w:widowControl/>
        <w:spacing w:before="0" w:beforeLines="0" w:after="0" w:afterLines="0" w:line="600" w:lineRule="exact"/>
        <w:ind w:firstLine="0" w:firstLineChars="0"/>
        <w:jc w:val="both"/>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color w:val="000000"/>
          <w:kern w:val="0"/>
          <w:sz w:val="32"/>
          <w:szCs w:val="32"/>
          <w:highlight w:val="none"/>
          <w:lang w:val="en-US" w:eastAsia="zh-CN" w:bidi="ar"/>
        </w:rPr>
        <w:t>别给予50%和80%的学费补贴。</w:t>
      </w:r>
    </w:p>
    <w:p>
      <w:pPr>
        <w:keepNext w:val="0"/>
        <w:keepLines w:val="0"/>
        <w:widowControl/>
        <w:spacing w:before="0" w:beforeLines="0" w:after="0" w:afterLines="0" w:line="600" w:lineRule="exact"/>
        <w:ind w:firstLine="640" w:firstLineChars="200"/>
        <w:jc w:val="both"/>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color w:val="000000"/>
          <w:kern w:val="0"/>
          <w:sz w:val="32"/>
          <w:szCs w:val="32"/>
          <w:highlight w:val="none"/>
          <w:lang w:val="en-US" w:eastAsia="zh-CN" w:bidi="ar"/>
        </w:rPr>
        <w:t>3.健康惠师：每两年组织40周岁以上教职工专项体检1次</w:t>
      </w:r>
    </w:p>
    <w:p>
      <w:pPr>
        <w:keepNext w:val="0"/>
        <w:keepLines w:val="0"/>
        <w:widowControl/>
        <w:spacing w:before="0" w:beforeLines="0" w:after="0" w:afterLines="0" w:line="600" w:lineRule="exact"/>
        <w:ind w:firstLine="640" w:firstLineChars="200"/>
        <w:jc w:val="both"/>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color w:val="000000"/>
          <w:kern w:val="0"/>
          <w:sz w:val="32"/>
          <w:szCs w:val="32"/>
          <w:highlight w:val="none"/>
          <w:lang w:val="en-US" w:eastAsia="zh-CN" w:bidi="ar"/>
        </w:rPr>
        <w:t>并在旗医保局体检标准上增加1000元，设立教师大病“专家诊疗周”。</w:t>
      </w:r>
    </w:p>
    <w:p>
      <w:pPr>
        <w:keepNext w:val="0"/>
        <w:keepLines w:val="0"/>
        <w:widowControl/>
        <w:numPr>
          <w:ilvl w:val="0"/>
          <w:numId w:val="0"/>
        </w:numPr>
        <w:spacing w:before="0" w:beforeLines="0" w:after="0" w:afterLines="0" w:line="600" w:lineRule="exact"/>
        <w:ind w:firstLine="640" w:firstLineChars="200"/>
        <w:jc w:val="both"/>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color w:val="000000"/>
          <w:kern w:val="0"/>
          <w:sz w:val="32"/>
          <w:szCs w:val="32"/>
          <w:highlight w:val="none"/>
          <w:lang w:val="en-US" w:eastAsia="zh-CN" w:bidi="ar"/>
        </w:rPr>
        <w:t>4.疗养惠师：针对部分优秀教师和教龄30年以上在教育教学岗位上的教师提供异地疗休养服务，关心关爱教职工身心健康。</w:t>
      </w:r>
    </w:p>
    <w:p>
      <w:pPr>
        <w:adjustRightInd w:val="0"/>
        <w:snapToGrid w:val="0"/>
        <w:spacing w:beforeLines="0" w:afterLines="0" w:line="600" w:lineRule="exact"/>
        <w:ind w:firstLine="640" w:firstLineChars="200"/>
        <w:rPr>
          <w:rFonts w:hint="eastAsia" w:eastAsia="仿宋_GB2312"/>
          <w:sz w:val="32"/>
          <w:szCs w:val="32"/>
          <w:highlight w:val="none"/>
        </w:rPr>
      </w:pPr>
      <w:r>
        <w:rPr>
          <w:rFonts w:hint="eastAsia" w:ascii="仿宋_GB2312" w:hAnsi="仿宋_GB2312" w:eastAsia="仿宋_GB2312" w:cs="仿宋_GB2312"/>
          <w:color w:val="000000"/>
          <w:kern w:val="0"/>
          <w:sz w:val="32"/>
          <w:szCs w:val="32"/>
          <w:highlight w:val="none"/>
          <w:lang w:val="en-US" w:eastAsia="zh-CN" w:bidi="ar"/>
        </w:rPr>
        <w:t>5.营养惠师：按照每人每天30元标准为教师提供营养餐。</w:t>
      </w:r>
    </w:p>
    <w:p>
      <w:pPr>
        <w:widowControl/>
        <w:adjustRightInd/>
        <w:snapToGrid/>
        <w:spacing w:beforeLines="0" w:afterLines="0" w:line="600" w:lineRule="exact"/>
        <w:ind w:firstLine="642" w:firstLineChars="200"/>
        <w:rPr>
          <w:rFonts w:hint="eastAsia" w:ascii="楷体_GB2312" w:hAnsi="楷体_GB2312" w:eastAsia="楷体_GB2312" w:cs="楷体_GB2312"/>
          <w:b/>
          <w:bCs/>
          <w:color w:val="000000"/>
          <w:kern w:val="0"/>
          <w:sz w:val="32"/>
          <w:szCs w:val="32"/>
          <w:highlight w:val="none"/>
          <w:lang w:val="en-US" w:eastAsia="zh-CN" w:bidi="ar"/>
        </w:rPr>
      </w:pPr>
      <w:r>
        <w:rPr>
          <w:rFonts w:hint="eastAsia" w:ascii="楷体_GB2312" w:hAnsi="楷体_GB2312" w:eastAsia="楷体_GB2312" w:cs="楷体_GB2312"/>
          <w:b/>
          <w:bCs/>
          <w:color w:val="000000"/>
          <w:kern w:val="0"/>
          <w:sz w:val="32"/>
          <w:szCs w:val="32"/>
          <w:highlight w:val="none"/>
          <w:lang w:val="en-US" w:eastAsia="zh-CN" w:bidi="ar"/>
        </w:rPr>
        <w:t>（三）资金投入及支出情况</w:t>
      </w:r>
    </w:p>
    <w:p>
      <w:pPr>
        <w:adjustRightInd w:val="0"/>
        <w:snapToGrid w:val="0"/>
        <w:spacing w:beforeLines="0" w:afterLines="0" w:line="600" w:lineRule="exact"/>
        <w:ind w:left="0" w:leftChars="0" w:firstLine="640" w:firstLineChars="200"/>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color w:val="000000"/>
          <w:kern w:val="0"/>
          <w:sz w:val="32"/>
          <w:szCs w:val="32"/>
          <w:highlight w:val="none"/>
          <w:lang w:val="en-US" w:eastAsia="zh-CN" w:bidi="ar"/>
        </w:rPr>
        <w:t>2024年度该项目预算总资金为1625.47万元，实际到位资金为1625.47万元，资金到位率100%。截至2024年12月31日实际支出1589.13万元，预算执行率97.76%，资金性质为一般公共预算资金，资金来源为财政拨款。</w:t>
      </w:r>
    </w:p>
    <w:p>
      <w:pPr>
        <w:widowControl/>
        <w:adjustRightInd/>
        <w:snapToGrid/>
        <w:spacing w:beforeLines="0" w:afterLines="0" w:line="600" w:lineRule="exact"/>
        <w:ind w:firstLine="642" w:firstLineChars="200"/>
        <w:rPr>
          <w:rFonts w:hint="eastAsia" w:ascii="楷体_GB2312" w:hAnsi="楷体_GB2312" w:eastAsia="楷体_GB2312" w:cs="楷体_GB2312"/>
          <w:b/>
          <w:bCs/>
          <w:color w:val="000000"/>
          <w:kern w:val="0"/>
          <w:sz w:val="32"/>
          <w:szCs w:val="32"/>
          <w:highlight w:val="none"/>
          <w:lang w:val="en-US" w:eastAsia="zh-CN" w:bidi="ar"/>
        </w:rPr>
      </w:pPr>
      <w:r>
        <w:rPr>
          <w:rFonts w:hint="eastAsia" w:ascii="楷体_GB2312" w:hAnsi="楷体_GB2312" w:eastAsia="楷体_GB2312" w:cs="楷体_GB2312"/>
          <w:b/>
          <w:bCs/>
          <w:color w:val="000000"/>
          <w:kern w:val="0"/>
          <w:sz w:val="32"/>
          <w:szCs w:val="32"/>
          <w:highlight w:val="none"/>
          <w:lang w:val="en-US" w:eastAsia="zh-CN" w:bidi="ar"/>
        </w:rPr>
        <w:t>（四）项目总体绩效目标</w:t>
      </w:r>
    </w:p>
    <w:p>
      <w:pPr>
        <w:numPr>
          <w:ilvl w:val="-1"/>
          <w:numId w:val="0"/>
        </w:numPr>
        <w:adjustRightInd w:val="0"/>
        <w:snapToGrid w:val="0"/>
        <w:spacing w:beforeLines="0" w:afterLines="0" w:line="600" w:lineRule="exact"/>
        <w:ind w:firstLine="640" w:firstLineChars="200"/>
        <w:rPr>
          <w:rFonts w:hint="eastAsia" w:eastAsia="仿宋_GB2312"/>
          <w:sz w:val="32"/>
          <w:szCs w:val="32"/>
          <w:highlight w:val="none"/>
        </w:rPr>
      </w:pPr>
      <w:r>
        <w:rPr>
          <w:rFonts w:hint="eastAsia" w:eastAsia="仿宋_GB2312"/>
          <w:sz w:val="32"/>
          <w:szCs w:val="32"/>
          <w:highlight w:val="none"/>
          <w:lang w:val="en-US" w:eastAsia="zh-CN"/>
        </w:rPr>
        <w:t>加快高素质专业化创新型教师队伍建设，提高教师教书育人的积极性，推动教育教学高质量发展。</w:t>
      </w:r>
    </w:p>
    <w:p>
      <w:pPr>
        <w:snapToGrid w:val="0"/>
        <w:spacing w:beforeLines="0" w:afterLines="0" w:line="600" w:lineRule="exact"/>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rPr>
        <w:t>二、评价结论</w:t>
      </w:r>
    </w:p>
    <w:p>
      <w:pPr>
        <w:adjustRightInd w:val="0"/>
        <w:snapToGrid w:val="0"/>
        <w:spacing w:beforeLines="0" w:afterLines="0" w:line="600" w:lineRule="exact"/>
        <w:ind w:firstLine="642" w:firstLineChars="200"/>
        <w:rPr>
          <w:rFonts w:ascii="楷体_GB2312" w:hAnsi="楷体_GB2312" w:eastAsia="楷体_GB2312" w:cs="楷体_GB2312"/>
          <w:b/>
          <w:bCs/>
          <w:sz w:val="32"/>
          <w:szCs w:val="32"/>
          <w:highlight w:val="none"/>
        </w:rPr>
      </w:pPr>
      <w:r>
        <w:rPr>
          <w:rFonts w:hint="eastAsia" w:ascii="楷体_GB2312" w:hAnsi="楷体_GB2312" w:eastAsia="楷体_GB2312" w:cs="楷体_GB2312"/>
          <w:b/>
          <w:bCs/>
          <w:sz w:val="32"/>
          <w:szCs w:val="32"/>
          <w:highlight w:val="none"/>
        </w:rPr>
        <w:t>（一）评价结果</w:t>
      </w:r>
    </w:p>
    <w:p>
      <w:pPr>
        <w:adjustRightInd w:val="0"/>
        <w:snapToGrid w:val="0"/>
        <w:spacing w:beforeLines="0" w:afterLines="0" w:line="600" w:lineRule="exact"/>
        <w:ind w:firstLine="640" w:firstLineChars="200"/>
        <w:rPr>
          <w:rFonts w:hint="eastAsia" w:eastAsia="仿宋_GB2312"/>
          <w:color w:val="auto"/>
          <w:sz w:val="32"/>
          <w:szCs w:val="32"/>
          <w:highlight w:val="none"/>
        </w:rPr>
      </w:pPr>
      <w:r>
        <w:rPr>
          <w:rFonts w:hint="eastAsia" w:ascii="仿宋_GB2312" w:hAnsi="仿宋_GB2312" w:eastAsia="仿宋_GB2312" w:cs="仿宋_GB2312"/>
          <w:color w:val="auto"/>
          <w:sz w:val="32"/>
          <w:szCs w:val="32"/>
          <w:highlight w:val="none"/>
        </w:rPr>
        <w:t>该项目绩效评价综合评分</w:t>
      </w:r>
      <w:r>
        <w:rPr>
          <w:rFonts w:hint="eastAsia" w:ascii="仿宋_GB2312" w:hAnsi="仿宋_GB2312" w:eastAsia="仿宋_GB2312" w:cs="仿宋_GB2312"/>
          <w:color w:val="auto"/>
          <w:sz w:val="32"/>
          <w:szCs w:val="32"/>
          <w:highlight w:val="none"/>
          <w:lang w:val="en-US" w:eastAsia="zh-CN"/>
        </w:rPr>
        <w:t>为</w:t>
      </w:r>
      <w:r>
        <w:rPr>
          <w:rFonts w:hint="eastAsia" w:ascii="仿宋_GB2312" w:hAnsi="仿宋_GB2312" w:eastAsia="仿宋_GB2312" w:cs="仿宋_GB2312"/>
          <w:b/>
          <w:bCs/>
          <w:color w:val="auto"/>
          <w:sz w:val="32"/>
          <w:szCs w:val="32"/>
          <w:highlight w:val="none"/>
          <w:lang w:eastAsia="zh-CN"/>
        </w:rPr>
        <w:t>8</w:t>
      </w:r>
      <w:r>
        <w:rPr>
          <w:rFonts w:hint="eastAsia" w:ascii="仿宋_GB2312" w:hAnsi="仿宋_GB2312" w:eastAsia="仿宋_GB2312" w:cs="仿宋_GB2312"/>
          <w:b/>
          <w:bCs/>
          <w:color w:val="auto"/>
          <w:sz w:val="32"/>
          <w:szCs w:val="32"/>
          <w:highlight w:val="none"/>
          <w:lang w:val="en-US" w:eastAsia="zh-CN"/>
        </w:rPr>
        <w:t>4.80</w:t>
      </w:r>
      <w:r>
        <w:rPr>
          <w:rFonts w:hint="eastAsia" w:ascii="仿宋_GB2312" w:hAnsi="仿宋_GB2312" w:eastAsia="仿宋_GB2312" w:cs="仿宋_GB2312"/>
          <w:color w:val="auto"/>
          <w:sz w:val="32"/>
          <w:szCs w:val="32"/>
          <w:highlight w:val="none"/>
          <w:lang w:val="en-US" w:eastAsia="zh-CN"/>
        </w:rPr>
        <w:t>分</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评价等级为</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b/>
          <w:bCs/>
          <w:color w:val="auto"/>
          <w:sz w:val="32"/>
          <w:szCs w:val="32"/>
          <w:highlight w:val="none"/>
          <w:lang w:val="en-US" w:eastAsia="zh-CN"/>
        </w:rPr>
        <w:t>良</w:t>
      </w:r>
      <w:r>
        <w:rPr>
          <w:rFonts w:hint="eastAsia" w:ascii="仿宋_GB2312" w:hAnsi="仿宋_GB2312" w:eastAsia="仿宋_GB2312" w:cs="仿宋_GB2312"/>
          <w:color w:val="auto"/>
          <w:sz w:val="32"/>
          <w:szCs w:val="32"/>
          <w:highlight w:val="none"/>
        </w:rPr>
        <w:t>”。</w:t>
      </w:r>
    </w:p>
    <w:p>
      <w:pPr>
        <w:numPr>
          <w:ilvl w:val="0"/>
          <w:numId w:val="0"/>
        </w:numPr>
        <w:adjustRightInd w:val="0"/>
        <w:snapToGrid w:val="0"/>
        <w:spacing w:beforeLines="0" w:afterLines="0" w:line="600" w:lineRule="exact"/>
        <w:ind w:firstLine="642" w:firstLineChars="200"/>
        <w:rPr>
          <w:rFonts w:hint="eastAsia" w:ascii="楷体_GB2312" w:hAnsi="楷体_GB2312" w:eastAsia="楷体_GB2312" w:cs="楷体_GB2312"/>
          <w:b/>
          <w:bCs/>
          <w:sz w:val="32"/>
          <w:szCs w:val="32"/>
          <w:highlight w:val="none"/>
        </w:rPr>
      </w:pPr>
      <w:r>
        <w:rPr>
          <w:rFonts w:hint="eastAsia" w:ascii="楷体_GB2312" w:hAnsi="楷体_GB2312" w:eastAsia="楷体_GB2312" w:cs="楷体_GB2312"/>
          <w:b/>
          <w:bCs/>
          <w:kern w:val="2"/>
          <w:sz w:val="32"/>
          <w:szCs w:val="32"/>
          <w:lang w:val="en-US" w:eastAsia="zh-CN" w:bidi="ar-SA"/>
        </w:rPr>
        <w:t>（二）</w:t>
      </w:r>
      <w:r>
        <w:rPr>
          <w:rFonts w:hint="eastAsia" w:ascii="楷体_GB2312" w:hAnsi="楷体_GB2312" w:eastAsia="楷体_GB2312" w:cs="楷体_GB2312"/>
          <w:b/>
          <w:bCs/>
          <w:sz w:val="32"/>
          <w:szCs w:val="32"/>
          <w:highlight w:val="none"/>
        </w:rPr>
        <w:t>总体结论</w:t>
      </w:r>
    </w:p>
    <w:p>
      <w:pPr>
        <w:adjustRightInd/>
        <w:snapToGrid/>
        <w:spacing w:beforeLines="0" w:afterLines="0" w:line="600" w:lineRule="exact"/>
        <w:ind w:firstLine="640" w:firstLineChars="200"/>
        <w:rPr>
          <w:rFonts w:hint="eastAsia" w:ascii="仿宋_GB2312" w:hAnsi="仿宋_GB2312" w:eastAsia="仿宋_GB2312" w:cs="仿宋_GB2312"/>
          <w:color w:val="FF0000"/>
          <w:kern w:val="2"/>
          <w:sz w:val="32"/>
          <w:szCs w:val="32"/>
          <w:highlight w:val="none"/>
          <w:lang w:val="en-US" w:eastAsia="zh-CN" w:bidi="ar"/>
        </w:rPr>
      </w:pPr>
      <w:r>
        <w:rPr>
          <w:rFonts w:hint="eastAsia" w:ascii="仿宋_GB2312" w:hAnsi="仿宋_GB2312" w:eastAsia="仿宋_GB2312" w:cs="仿宋_GB2312"/>
          <w:color w:val="000000" w:themeColor="text1"/>
          <w:kern w:val="2"/>
          <w:sz w:val="32"/>
          <w:szCs w:val="32"/>
          <w:highlight w:val="none"/>
          <w:lang w:val="en-US" w:eastAsia="zh-CN" w:bidi="ar"/>
          <w14:textFill>
            <w14:solidFill>
              <w14:schemeClr w14:val="tx1"/>
            </w14:solidFill>
          </w14:textFill>
        </w:rPr>
        <w:t>该项目资金支出及时，有利于提高我旗办学质量，提高教师职业幸福感，提高教师教书育人的积极性等。</w:t>
      </w:r>
      <w:r>
        <w:rPr>
          <w:rFonts w:hint="eastAsia" w:ascii="仿宋_GB2312" w:hAnsi="仿宋_GB2312" w:eastAsia="仿宋_GB2312" w:cs="仿宋_GB2312"/>
          <w:color w:val="000000" w:themeColor="text1"/>
          <w:kern w:val="0"/>
          <w:sz w:val="32"/>
          <w:szCs w:val="32"/>
          <w:highlight w:val="none"/>
          <w:lang w:val="en-US" w:eastAsia="zh-CN" w:bidi="ar"/>
          <w14:textFill>
            <w14:solidFill>
              <w14:schemeClr w14:val="tx1"/>
            </w14:solidFill>
          </w14:textFill>
        </w:rPr>
        <w:t>但关于“服务惠师”项目未按预算批复及请款用途合理使用资金，</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“健康惠师”</w:t>
      </w:r>
      <w:r>
        <w:rPr>
          <w:rFonts w:hint="eastAsia" w:ascii="仿宋_GB2312" w:hAnsi="仿宋_GB2312" w:eastAsia="仿宋_GB2312" w:cs="仿宋_GB2312"/>
          <w:color w:val="000000" w:themeColor="text1"/>
          <w:kern w:val="2"/>
          <w:sz w:val="32"/>
          <w:szCs w:val="32"/>
          <w:highlight w:val="none"/>
          <w:lang w:val="en-US" w:eastAsia="zh-CN" w:bidi="ar"/>
          <w14:textFill>
            <w14:solidFill>
              <w14:schemeClr w14:val="tx1"/>
            </w14:solidFill>
          </w14:textFill>
        </w:rPr>
        <w:t>“营养惠师”绩效</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自评产出数量指标实际完成值数据填报不准确</w:t>
      </w:r>
      <w:r>
        <w:rPr>
          <w:rFonts w:hint="eastAsia" w:ascii="仿宋_GB2312" w:hAnsi="仿宋_GB2312" w:eastAsia="仿宋_GB2312" w:cs="仿宋_GB2312"/>
          <w:color w:val="000000" w:themeColor="text1"/>
          <w:kern w:val="0"/>
          <w:sz w:val="32"/>
          <w:szCs w:val="32"/>
          <w:highlight w:val="none"/>
          <w:lang w:val="en-US" w:eastAsia="zh-CN" w:bidi="ar"/>
          <w14:textFill>
            <w14:solidFill>
              <w14:schemeClr w14:val="tx1"/>
            </w14:solidFill>
          </w14:textFill>
        </w:rPr>
        <w:t>。</w:t>
      </w:r>
    </w:p>
    <w:p>
      <w:pPr>
        <w:numPr>
          <w:ilvl w:val="0"/>
          <w:numId w:val="0"/>
        </w:numPr>
        <w:snapToGrid w:val="0"/>
        <w:spacing w:beforeLines="0" w:afterLines="0" w:line="600" w:lineRule="exact"/>
        <w:ind w:left="-10" w:leftChars="0" w:firstLine="640" w:firstLineChars="0"/>
        <w:rPr>
          <w:rFonts w:hint="eastAsia" w:ascii="黑体" w:hAnsi="黑体" w:eastAsia="黑体" w:cs="黑体"/>
          <w:sz w:val="32"/>
          <w:szCs w:val="32"/>
          <w:highlight w:val="none"/>
        </w:rPr>
      </w:pPr>
      <w:r>
        <w:rPr>
          <w:rFonts w:hint="eastAsia" w:ascii="黑体" w:hAnsi="黑体" w:eastAsia="黑体" w:cs="黑体"/>
          <w:kern w:val="2"/>
          <w:sz w:val="32"/>
          <w:szCs w:val="32"/>
          <w:lang w:val="en-US" w:eastAsia="zh-CN" w:bidi="ar-SA"/>
        </w:rPr>
        <w:t>三、</w:t>
      </w:r>
      <w:r>
        <w:rPr>
          <w:rFonts w:hint="eastAsia" w:ascii="黑体" w:hAnsi="黑体" w:eastAsia="黑体" w:cs="黑体"/>
          <w:sz w:val="32"/>
          <w:szCs w:val="32"/>
          <w:highlight w:val="none"/>
        </w:rPr>
        <w:t>主要问题及相关建议</w:t>
      </w:r>
    </w:p>
    <w:p>
      <w:pPr>
        <w:numPr>
          <w:ilvl w:val="-1"/>
          <w:numId w:val="0"/>
        </w:numPr>
        <w:adjustRightInd/>
        <w:snapToGrid/>
        <w:spacing w:beforeLines="0" w:afterLines="0" w:line="600" w:lineRule="exact"/>
        <w:ind w:firstLine="642" w:firstLineChars="200"/>
        <w:rPr>
          <w:rFonts w:hint="default"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（一）主要问题</w:t>
      </w:r>
    </w:p>
    <w:p>
      <w:pPr>
        <w:numPr>
          <w:ilvl w:val="-1"/>
          <w:numId w:val="0"/>
        </w:numPr>
        <w:adjustRightInd/>
        <w:snapToGrid/>
        <w:spacing w:beforeLines="0" w:afterLines="0" w:line="600" w:lineRule="exact"/>
        <w:ind w:firstLine="642" w:firstLineChars="200"/>
        <w:jc w:val="both"/>
        <w:rPr>
          <w:rFonts w:hint="eastAsia" w:ascii="仿宋_GB2312" w:hAnsi="仿宋_GB2312" w:eastAsia="仿宋_GB2312" w:cs="仿宋_GB2312"/>
          <w:b w:val="0"/>
          <w:bCs w:val="0"/>
          <w:color w:val="000000" w:themeColor="text1"/>
          <w:kern w:val="0"/>
          <w:sz w:val="32"/>
          <w:szCs w:val="32"/>
          <w:highlight w:val="none"/>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lang w:val="en-US" w:eastAsia="zh-CN" w:bidi="ar"/>
          <w14:textFill>
            <w14:solidFill>
              <w14:schemeClr w14:val="tx1"/>
            </w14:solidFill>
          </w14:textFill>
        </w:rPr>
        <w:t>1.项目资金支出方向与绩效目标不符。</w:t>
      </w:r>
      <w:r>
        <w:rPr>
          <w:rFonts w:hint="eastAsia" w:ascii="仿宋_GB2312" w:hAnsi="仿宋_GB2312" w:eastAsia="仿宋_GB2312" w:cs="仿宋_GB2312"/>
          <w:b w:val="0"/>
          <w:bCs w:val="0"/>
          <w:color w:val="000000" w:themeColor="text1"/>
          <w:kern w:val="0"/>
          <w:sz w:val="32"/>
          <w:szCs w:val="32"/>
          <w:highlight w:val="none"/>
          <w:lang w:eastAsia="zh-CN" w:bidi="ar"/>
          <w14:textFill>
            <w14:solidFill>
              <w14:schemeClr w14:val="tx1"/>
            </w14:solidFill>
          </w14:textFill>
        </w:rPr>
        <w:t>“</w:t>
      </w:r>
      <w:r>
        <w:rPr>
          <w:rFonts w:hint="eastAsia" w:ascii="仿宋_GB2312" w:hAnsi="仿宋_GB2312" w:eastAsia="仿宋_GB2312" w:cs="仿宋_GB2312"/>
          <w:b w:val="0"/>
          <w:bCs w:val="0"/>
          <w:color w:val="000000" w:themeColor="text1"/>
          <w:kern w:val="0"/>
          <w:sz w:val="32"/>
          <w:szCs w:val="32"/>
          <w:highlight w:val="none"/>
          <w:lang w:val="en-US" w:eastAsia="zh-CN" w:bidi="ar"/>
          <w14:textFill>
            <w14:solidFill>
              <w14:schemeClr w14:val="tx1"/>
            </w14:solidFill>
          </w14:textFill>
        </w:rPr>
        <w:t>服务惠师”项目，依据伊党教工发〔2023〕2号文件规定的资金用途为在窗口单位设置“教师优先”标识，为教师办事提供便利。绩效目标设定</w:t>
      </w:r>
      <w:bookmarkStart w:id="0" w:name="_GoBack"/>
      <w:bookmarkEnd w:id="0"/>
      <w:r>
        <w:rPr>
          <w:rFonts w:hint="eastAsia" w:ascii="仿宋_GB2312" w:hAnsi="仿宋_GB2312" w:eastAsia="仿宋_GB2312" w:cs="仿宋_GB2312"/>
          <w:b w:val="0"/>
          <w:bCs w:val="0"/>
          <w:color w:val="000000" w:themeColor="text1"/>
          <w:kern w:val="0"/>
          <w:sz w:val="32"/>
          <w:szCs w:val="32"/>
          <w:highlight w:val="none"/>
          <w:lang w:val="en-US" w:eastAsia="zh-CN" w:bidi="ar"/>
          <w14:textFill>
            <w14:solidFill>
              <w14:schemeClr w14:val="tx1"/>
            </w14:solidFill>
          </w14:textFill>
        </w:rPr>
        <w:t>为在职在岗教师办理防伪工作证，而实际支出资金用于民族语言授课能力评估和名师名班主任评选。</w:t>
      </w:r>
    </w:p>
    <w:p>
      <w:pPr>
        <w:numPr>
          <w:ilvl w:val="0"/>
          <w:numId w:val="0"/>
        </w:numPr>
        <w:adjustRightInd/>
        <w:snapToGrid/>
        <w:spacing w:beforeLines="0" w:afterLines="0" w:line="600" w:lineRule="exact"/>
        <w:ind w:firstLine="642" w:firstLineChars="200"/>
        <w:rPr>
          <w:rFonts w:hint="eastAsia" w:ascii="仿宋_GB2312" w:hAnsi="仿宋_GB2312" w:eastAsia="仿宋_GB2312" w:cs="仿宋_GB2312"/>
          <w:b w:val="0"/>
          <w:bCs w:val="0"/>
          <w:color w:val="000000" w:themeColor="text1"/>
          <w:kern w:val="0"/>
          <w:sz w:val="32"/>
          <w:szCs w:val="32"/>
          <w:highlight w:val="none"/>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lang w:val="en-US" w:eastAsia="zh-CN" w:bidi="ar"/>
          <w14:textFill>
            <w14:solidFill>
              <w14:schemeClr w14:val="tx1"/>
            </w14:solidFill>
          </w14:textFill>
        </w:rPr>
        <w:t>2.绩效自评填报数据不准确，缺乏佐证材料。</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“健康惠师”</w:t>
      </w:r>
      <w:r>
        <w:rPr>
          <w:rFonts w:hint="eastAsia" w:ascii="仿宋_GB2312" w:hAnsi="仿宋_GB2312" w:eastAsia="仿宋_GB2312" w:cs="仿宋_GB2312"/>
          <w:color w:val="000000" w:themeColor="text1"/>
          <w:kern w:val="2"/>
          <w:sz w:val="32"/>
          <w:szCs w:val="32"/>
          <w:highlight w:val="none"/>
          <w:lang w:val="en-US" w:eastAsia="zh-CN" w:bidi="ar"/>
          <w14:textFill>
            <w14:solidFill>
              <w14:schemeClr w14:val="tx1"/>
            </w14:solidFill>
          </w14:textFill>
        </w:rPr>
        <w:t>“营养惠师”绩效</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自评产出数量指标实际完成值数据填报不准确</w:t>
      </w:r>
      <w:r>
        <w:rPr>
          <w:rFonts w:hint="eastAsia" w:ascii="仿宋_GB2312" w:hAnsi="仿宋_GB2312" w:eastAsia="仿宋_GB2312" w:cs="仿宋_GB2312"/>
          <w:b w:val="0"/>
          <w:bCs w:val="0"/>
          <w:color w:val="000000" w:themeColor="text1"/>
          <w:kern w:val="0"/>
          <w:sz w:val="32"/>
          <w:szCs w:val="32"/>
          <w:highlight w:val="none"/>
          <w:lang w:val="en-US" w:eastAsia="zh-CN" w:bidi="ar"/>
          <w14:textFill>
            <w14:solidFill>
              <w14:schemeClr w14:val="tx1"/>
            </w14:solidFill>
          </w14:textFill>
        </w:rPr>
        <w:t>，缺乏佐证材料。绩效自评填写完成“健康惠师”体检人数1001人，实际完成747人；“营养惠师”教师就餐人数未按实际就餐人数填写自评。</w:t>
      </w:r>
    </w:p>
    <w:p>
      <w:pPr>
        <w:numPr>
          <w:ilvl w:val="-1"/>
          <w:numId w:val="0"/>
        </w:numPr>
        <w:snapToGrid/>
        <w:spacing w:beforeLines="0" w:afterLines="0" w:line="600" w:lineRule="exact"/>
        <w:ind w:firstLine="642" w:firstLineChars="200"/>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（二）相关建议</w:t>
      </w:r>
    </w:p>
    <w:p>
      <w:pPr>
        <w:numPr>
          <w:ilvl w:val="0"/>
          <w:numId w:val="0"/>
        </w:numPr>
        <w:adjustRightInd/>
        <w:snapToGrid/>
        <w:spacing w:beforeLines="0" w:afterLines="0" w:line="600" w:lineRule="exact"/>
        <w:ind w:firstLine="640" w:firstLineChars="200"/>
        <w:rPr>
          <w:rFonts w:hint="eastAsia" w:ascii="仿宋_GB2312" w:hAnsi="仿宋_GB2312" w:eastAsia="仿宋_GB2312" w:cs="仿宋_GB2312"/>
          <w:color w:val="000000" w:themeColor="text1"/>
          <w:kern w:val="0"/>
          <w:sz w:val="32"/>
          <w:szCs w:val="32"/>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en-US" w:eastAsia="zh-CN" w:bidi="ar"/>
          <w14:textFill>
            <w14:solidFill>
              <w14:schemeClr w14:val="tx1"/>
            </w14:solidFill>
          </w14:textFill>
        </w:rPr>
        <w:t>1.建议按照财务管理制度及预算绩效管理规定使用财政资金，确保资金专款专用。</w:t>
      </w:r>
    </w:p>
    <w:p>
      <w:pPr>
        <w:numPr>
          <w:ilvl w:val="0"/>
          <w:numId w:val="0"/>
        </w:numPr>
        <w:adjustRightInd/>
        <w:snapToGrid/>
        <w:spacing w:beforeLines="0" w:afterLines="0" w:line="600" w:lineRule="exact"/>
        <w:ind w:firstLine="640" w:firstLineChars="200"/>
      </w:pPr>
      <w:r>
        <w:rPr>
          <w:rFonts w:hint="eastAsia" w:ascii="仿宋_GB2312" w:hAnsi="仿宋_GB2312" w:eastAsia="仿宋_GB2312" w:cs="仿宋_GB2312"/>
          <w:color w:val="000000" w:themeColor="text1"/>
          <w:kern w:val="0"/>
          <w:sz w:val="32"/>
          <w:szCs w:val="32"/>
          <w:highlight w:val="none"/>
          <w:lang w:val="en-US" w:eastAsia="zh-CN" w:bidi="ar"/>
          <w14:textFill>
            <w14:solidFill>
              <w14:schemeClr w14:val="tx1"/>
            </w14:solidFill>
          </w14:textFill>
        </w:rPr>
        <w:t>2.绩效自评建议结合项目实际完成情况如实填写目标完成情况，确保绩效自评的真实性。</w:t>
      </w:r>
    </w:p>
    <w:sectPr>
      <w:footerReference r:id="rId3" w:type="default"/>
      <w:pgSz w:w="11906" w:h="16838"/>
      <w:pgMar w:top="1531" w:right="1474" w:bottom="1531" w:left="1474" w:header="850" w:footer="1417" w:gutter="0"/>
      <w:pgBorders>
        <w:top w:val="none" w:sz="0" w:space="0"/>
        <w:left w:val="none" w:sz="0" w:space="0"/>
        <w:bottom w:val="none" w:sz="0" w:space="0"/>
        <w:right w:val="none" w:sz="0" w:space="0"/>
      </w:pgBorders>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 w:name="Tms Rmn">
    <w:altName w:val="FreeSerif"/>
    <w:panose1 w:val="02020603040505020304"/>
    <w:charset w:val="00"/>
    <w:family w:val="roman"/>
    <w:pitch w:val="default"/>
    <w:sig w:usb0="00000000" w:usb1="00000000" w:usb2="00000000" w:usb3="00000000" w:csb0="00000001" w:csb1="00000000"/>
  </w:font>
  <w:font w:name="FreeSerif">
    <w:panose1 w:val="02020603050405020304"/>
    <w:charset w:val="00"/>
    <w:family w:val="auto"/>
    <w:pitch w:val="default"/>
    <w:sig w:usb0="E59FAFFF" w:usb1="C200FDFF" w:usb2="43501B29" w:usb3="04000043" w:csb0="600101FF" w:csb1="FFFF0000"/>
  </w:font>
  <w:font w:name="Helv">
    <w:altName w:val="Liberation Sans"/>
    <w:panose1 w:val="020B0604020202030204"/>
    <w:charset w:val="00"/>
    <w:family w:val="swiss"/>
    <w:pitch w:val="default"/>
    <w:sig w:usb0="00000000" w:usb1="00000000" w:usb2="00000000" w:usb3="00000000" w:csb0="00000001" w:csb1="00000000"/>
  </w:font>
  <w:font w:name="Liberation Sans">
    <w:panose1 w:val="020B0604020202020204"/>
    <w:charset w:val="00"/>
    <w:family w:val="auto"/>
    <w:pitch w:val="default"/>
    <w:sig w:usb0="A00002AF" w:usb1="500078FB" w:usb2="00000000" w:usb3="00000000" w:csb0="6000009F" w:csb1="DFD70000"/>
  </w:font>
  <w:font w:name="MS Mincho">
    <w:altName w:val="方正书宋_GBK"/>
    <w:panose1 w:val="02020609040205080304"/>
    <w:charset w:val="80"/>
    <w:family w:val="modern"/>
    <w:pitch w:val="default"/>
    <w:sig w:usb0="00000000" w:usb1="00000000" w:usb2="00000012" w:usb3="00000000" w:csb0="0002009F" w:csb1="00000000"/>
  </w:font>
  <w:font w:name="System">
    <w:altName w:val="华文中宋"/>
    <w:panose1 w:val="00000000000000000000"/>
    <w:charset w:val="86"/>
    <w:family w:val="auto"/>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New York">
    <w:altName w:val="Noto Serif"/>
    <w:panose1 w:val="02040503060506020304"/>
    <w:charset w:val="00"/>
    <w:family w:val="roman"/>
    <w:pitch w:val="default"/>
    <w:sig w:usb0="00000000" w:usb1="00000000" w:usb2="00000000" w:usb3="00000000" w:csb0="00000001" w:csb1="00000000"/>
  </w:font>
  <w:font w:name="Noto Serif">
    <w:panose1 w:val="02020502060505020204"/>
    <w:charset w:val="00"/>
    <w:family w:val="auto"/>
    <w:pitch w:val="default"/>
    <w:sig w:usb0="E00002FF" w:usb1="4000201F" w:usb2="08000029" w:usb3="00100000" w:csb0="0000019F" w:csb1="00000000"/>
  </w:font>
  <w:font w:name="微软雅黑">
    <w:altName w:val="方正黑体_GBK"/>
    <w:panose1 w:val="020B0503020204020204"/>
    <w:charset w:val="86"/>
    <w:family w:val="auto"/>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posOffset>2583815</wp:posOffset>
              </wp:positionH>
              <wp:positionV relativeFrom="paragraph">
                <wp:posOffset>0</wp:posOffset>
              </wp:positionV>
              <wp:extent cx="360045" cy="129540"/>
              <wp:effectExtent l="0" t="0" r="0" b="0"/>
              <wp:wrapNone/>
              <wp:docPr id="4" name="文本框 4"/>
              <wp:cNvGraphicFramePr/>
              <a:graphic xmlns:a="http://schemas.openxmlformats.org/drawingml/2006/main">
                <a:graphicData uri="http://schemas.microsoft.com/office/word/2010/wordprocessingShape">
                  <wps:wsp>
                    <wps:cNvSpPr txBox="1"/>
                    <wps:spPr>
                      <a:xfrm>
                        <a:off x="0" y="0"/>
                        <a:ext cx="360045" cy="129540"/>
                      </a:xfrm>
                      <a:prstGeom prst="rect">
                        <a:avLst/>
                      </a:prstGeom>
                      <a:noFill/>
                      <a:ln>
                        <a:noFill/>
                      </a:ln>
                    </wps:spPr>
                    <wps:txbx>
                      <w:txbxContent>
                        <w:p>
                          <w:pPr>
                            <w:pStyle w:val="8"/>
                            <w:ind w:firstLine="180" w:firstLineChars="100"/>
                            <w:rPr>
                              <w:rFonts w:hint="eastAsia" w:ascii="宋体" w:hAnsi="宋体" w:cs="宋体"/>
                              <w:sz w:val="28"/>
                              <w:szCs w:val="28"/>
                            </w:rPr>
                          </w:pPr>
                          <w:r>
                            <w:rPr>
                              <w:rFonts w:hint="eastAsia" w:ascii="宋体" w:hAnsi="宋体" w:cs="宋体"/>
                              <w:sz w:val="18"/>
                              <w:szCs w:val="18"/>
                            </w:rPr>
                            <w:fldChar w:fldCharType="begin"/>
                          </w:r>
                          <w:r>
                            <w:rPr>
                              <w:rFonts w:hint="eastAsia" w:ascii="宋体" w:hAnsi="宋体" w:cs="宋体"/>
                              <w:sz w:val="18"/>
                              <w:szCs w:val="18"/>
                            </w:rPr>
                            <w:instrText xml:space="preserve"> PAGE  \* MERGEFORMAT </w:instrText>
                          </w:r>
                          <w:r>
                            <w:rPr>
                              <w:rFonts w:hint="eastAsia" w:ascii="宋体" w:hAnsi="宋体" w:cs="宋体"/>
                              <w:sz w:val="18"/>
                              <w:szCs w:val="18"/>
                            </w:rPr>
                            <w:fldChar w:fldCharType="separate"/>
                          </w:r>
                          <w:r>
                            <w:rPr>
                              <w:rFonts w:hint="eastAsia" w:ascii="宋体" w:hAnsi="宋体" w:cs="宋体"/>
                              <w:sz w:val="18"/>
                              <w:szCs w:val="18"/>
                            </w:rPr>
                            <w:t>1</w:t>
                          </w:r>
                          <w:r>
                            <w:rPr>
                              <w:rFonts w:hint="eastAsia" w:ascii="宋体" w:hAnsi="宋体" w:cs="宋体"/>
                              <w:sz w:val="18"/>
                              <w:szCs w:val="18"/>
                            </w:rPr>
                            <w:fldChar w:fldCharType="end"/>
                          </w:r>
                        </w:p>
                      </w:txbxContent>
                    </wps:txbx>
                    <wps:bodyPr wrap="square" lIns="0" tIns="0" rIns="0" bIns="0" upright="0">
                      <a:noAutofit/>
                    </wps:bodyPr>
                  </wps:wsp>
                </a:graphicData>
              </a:graphic>
            </wp:anchor>
          </w:drawing>
        </mc:Choice>
        <mc:Fallback>
          <w:pict>
            <v:shape id="_x0000_s1026" o:spid="_x0000_s1026" o:spt="202" type="#_x0000_t202" style="position:absolute;left:0pt;margin-left:203.45pt;margin-top:0pt;height:10.2pt;width:28.35pt;mso-position-horizontal-relative:margin;z-index:251659264;mso-width-relative:page;mso-height-relative:page;" filled="f" stroked="f" coordsize="21600,21600" o:gfxdata="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FgAAAGRycy9QSwECFAAUAAAACACHTuJA9z0O69YAAAAH&#10;AQAADwAAAAAAAAABACAAAAA4AAAAZHJzL2Rvd25yZXYueG1sUEsBAhQAFAAAAAgAh07iQG6YJwnP&#10;AQAAmQMAAA4AAAAAAAAAAQAgAAAAOwEAAGRycy9lMm9Eb2MueG1sUEsFBgAAAAAGAAYAWQEAAHwF&#10;AAAAAA==&#10;">
              <v:fill on="f" focussize="0,0"/>
              <v:stroke on="f"/>
              <v:imagedata o:title=""/>
              <o:lock v:ext="edit" aspectratio="f"/>
              <v:textbox inset="0mm,0mm,0mm,0mm">
                <w:txbxContent>
                  <w:p>
                    <w:pPr>
                      <w:pStyle w:val="8"/>
                      <w:ind w:firstLine="180" w:firstLineChars="100"/>
                      <w:rPr>
                        <w:rFonts w:hint="eastAsia" w:ascii="宋体" w:hAnsi="宋体" w:cs="宋体"/>
                        <w:sz w:val="28"/>
                        <w:szCs w:val="28"/>
                      </w:rPr>
                    </w:pPr>
                    <w:r>
                      <w:rPr>
                        <w:rFonts w:hint="eastAsia" w:ascii="宋体" w:hAnsi="宋体" w:cs="宋体"/>
                        <w:sz w:val="18"/>
                        <w:szCs w:val="18"/>
                      </w:rPr>
                      <w:fldChar w:fldCharType="begin"/>
                    </w:r>
                    <w:r>
                      <w:rPr>
                        <w:rFonts w:hint="eastAsia" w:ascii="宋体" w:hAnsi="宋体" w:cs="宋体"/>
                        <w:sz w:val="18"/>
                        <w:szCs w:val="18"/>
                      </w:rPr>
                      <w:instrText xml:space="preserve"> PAGE  \* MERGEFORMAT </w:instrText>
                    </w:r>
                    <w:r>
                      <w:rPr>
                        <w:rFonts w:hint="eastAsia" w:ascii="宋体" w:hAnsi="宋体" w:cs="宋体"/>
                        <w:sz w:val="18"/>
                        <w:szCs w:val="18"/>
                      </w:rPr>
                      <w:fldChar w:fldCharType="separate"/>
                    </w:r>
                    <w:r>
                      <w:rPr>
                        <w:rFonts w:hint="eastAsia" w:ascii="宋体" w:hAnsi="宋体" w:cs="宋体"/>
                        <w:sz w:val="18"/>
                        <w:szCs w:val="18"/>
                      </w:rPr>
                      <w:t>1</w:t>
                    </w:r>
                    <w:r>
                      <w:rPr>
                        <w:rFonts w:hint="eastAsia" w:ascii="宋体" w:hAnsi="宋体" w:cs="宋体"/>
                        <w:sz w:val="18"/>
                        <w:szCs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48788D"/>
    <w:rsid w:val="4948788D"/>
    <w:rsid w:val="4CCC0988"/>
    <w:rsid w:val="52BA1F73"/>
    <w:rsid w:val="7BACF1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Calibri" w:hAnsi="Calibri" w:eastAsia="宋体" w:cs="Times New Roman"/>
      <w:kern w:val="2"/>
      <w:sz w:val="21"/>
      <w:szCs w:val="24"/>
      <w:lang w:val="en-US" w:eastAsia="zh-CN" w:bidi="ar-SA"/>
    </w:rPr>
  </w:style>
  <w:style w:type="paragraph" w:styleId="2">
    <w:name w:val="heading 1"/>
    <w:basedOn w:val="1"/>
    <w:next w:val="1"/>
    <w:link w:val="24"/>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19"/>
    <w:qFormat/>
    <w:uiPriority w:val="9"/>
    <w:pPr>
      <w:keepNext/>
      <w:keepLines/>
      <w:adjustRightInd w:val="0"/>
      <w:snapToGrid w:val="0"/>
      <w:spacing w:before="260" w:after="260" w:line="416" w:lineRule="auto"/>
      <w:ind w:firstLine="600" w:firstLineChars="200"/>
      <w:outlineLvl w:val="1"/>
    </w:pPr>
    <w:rPr>
      <w:rFonts w:ascii="Arial" w:hAnsi="Arial" w:eastAsia="Symbol"/>
      <w:b/>
      <w:bCs/>
      <w:sz w:val="32"/>
      <w:szCs w:val="32"/>
    </w:rPr>
  </w:style>
  <w:style w:type="paragraph" w:styleId="4">
    <w:name w:val="heading 3"/>
    <w:basedOn w:val="1"/>
    <w:next w:val="1"/>
    <w:qFormat/>
    <w:uiPriority w:val="9"/>
    <w:pPr>
      <w:keepNext/>
      <w:keepLines/>
      <w:spacing w:before="60" w:after="60" w:line="360" w:lineRule="auto"/>
      <w:ind w:firstLine="200" w:firstLineChars="200"/>
      <w:outlineLvl w:val="2"/>
    </w:pPr>
    <w:rPr>
      <w:rFonts w:eastAsia="Tms Rmn" w:cs="Helv"/>
      <w:b/>
      <w:bCs/>
      <w:sz w:val="32"/>
      <w:szCs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annotation text"/>
    <w:basedOn w:val="1"/>
    <w:unhideWhenUsed/>
    <w:qFormat/>
    <w:uiPriority w:val="99"/>
  </w:style>
  <w:style w:type="paragraph" w:styleId="6">
    <w:name w:val="Body Text"/>
    <w:basedOn w:val="1"/>
    <w:qFormat/>
    <w:uiPriority w:val="0"/>
    <w:pPr>
      <w:spacing w:before="0" w:after="140" w:line="276" w:lineRule="auto"/>
    </w:pPr>
  </w:style>
  <w:style w:type="paragraph" w:styleId="7">
    <w:name w:val="Plain Text"/>
    <w:basedOn w:val="1"/>
    <w:qFormat/>
    <w:uiPriority w:val="0"/>
    <w:rPr>
      <w:rFonts w:ascii="宋体" w:hAnsi="Courier New"/>
      <w:szCs w:val="21"/>
    </w:rPr>
  </w:style>
  <w:style w:type="paragraph" w:styleId="8">
    <w:name w:val="footer"/>
    <w:basedOn w:val="1"/>
    <w:unhideWhenUsed/>
    <w:qFormat/>
    <w:uiPriority w:val="99"/>
    <w:pPr>
      <w:tabs>
        <w:tab w:val="center" w:pos="4153"/>
        <w:tab w:val="right" w:pos="8306"/>
      </w:tabs>
      <w:adjustRightInd/>
      <w:spacing w:line="240" w:lineRule="auto"/>
      <w:ind w:firstLine="0" w:firstLineChars="0"/>
      <w:jc w:val="left"/>
    </w:pPr>
    <w:rPr>
      <w:rFonts w:ascii="Calibri" w:hAnsi="Calibri" w:eastAsia="宋体"/>
      <w:sz w:val="18"/>
      <w:szCs w:val="18"/>
    </w:rPr>
  </w:style>
  <w:style w:type="paragraph" w:styleId="9">
    <w:name w:val="toc 1"/>
    <w:basedOn w:val="1"/>
    <w:next w:val="1"/>
    <w:unhideWhenUsed/>
    <w:qFormat/>
    <w:uiPriority w:val="39"/>
    <w:pPr>
      <w:tabs>
        <w:tab w:val="right" w:leader="dot" w:pos="8714"/>
      </w:tabs>
      <w:spacing w:before="60" w:line="360" w:lineRule="auto"/>
      <w:ind w:left="200" w:leftChars="200"/>
      <w:jc w:val="left"/>
    </w:pPr>
    <w:rPr>
      <w:rFonts w:eastAsia="Wingdings" w:cs="MS Mincho"/>
      <w:bCs/>
      <w:caps/>
      <w:sz w:val="30"/>
      <w:szCs w:val="20"/>
    </w:rPr>
  </w:style>
  <w:style w:type="paragraph" w:styleId="10">
    <w:name w:val="Subtitle"/>
    <w:basedOn w:val="1"/>
    <w:next w:val="1"/>
    <w:qFormat/>
    <w:uiPriority w:val="11"/>
    <w:pPr>
      <w:spacing w:before="240" w:after="60" w:line="312" w:lineRule="auto"/>
      <w:jc w:val="center"/>
      <w:outlineLvl w:val="1"/>
    </w:pPr>
    <w:rPr>
      <w:rFonts w:ascii="Calibri" w:hAnsi="Calibri" w:eastAsia="宋体" w:cs="Times New Roman"/>
      <w:b/>
      <w:bCs/>
      <w:kern w:val="28"/>
      <w:sz w:val="32"/>
      <w:szCs w:val="32"/>
    </w:rPr>
  </w:style>
  <w:style w:type="paragraph" w:styleId="11">
    <w:name w:val="toc 2"/>
    <w:basedOn w:val="1"/>
    <w:next w:val="1"/>
    <w:unhideWhenUsed/>
    <w:qFormat/>
    <w:uiPriority w:val="39"/>
    <w:pPr>
      <w:tabs>
        <w:tab w:val="right" w:leader="dot" w:pos="8714"/>
      </w:tabs>
      <w:spacing w:line="360" w:lineRule="auto"/>
      <w:ind w:left="350" w:leftChars="350"/>
      <w:jc w:val="left"/>
    </w:pPr>
    <w:rPr>
      <w:rFonts w:eastAsia="System" w:cs="MS Mincho"/>
      <w:smallCaps/>
      <w:sz w:val="30"/>
      <w:szCs w:val="20"/>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Hyperlink"/>
    <w:unhideWhenUsed/>
    <w:qFormat/>
    <w:uiPriority w:val="99"/>
    <w:rPr>
      <w:color w:val="0000FF"/>
      <w:u w:val="single"/>
    </w:rPr>
  </w:style>
  <w:style w:type="paragraph" w:customStyle="1" w:styleId="16">
    <w:name w:val="独立格式"/>
    <w:basedOn w:val="10"/>
    <w:qFormat/>
    <w:uiPriority w:val="1"/>
    <w:pPr>
      <w:spacing w:before="0" w:after="0" w:line="360" w:lineRule="auto"/>
      <w:outlineLvl w:val="9"/>
    </w:pPr>
    <w:rPr>
      <w:rFonts w:ascii="Times New Roman" w:hAnsi="Times New Roman" w:eastAsia="Tms Rmn" w:cs="Times New Roman"/>
      <w:b w:val="0"/>
      <w:bCs w:val="0"/>
      <w:kern w:val="2"/>
      <w:szCs w:val="52"/>
    </w:rPr>
  </w:style>
  <w:style w:type="paragraph" w:customStyle="1" w:styleId="17">
    <w:name w:val="表格名称"/>
    <w:basedOn w:val="1"/>
    <w:qFormat/>
    <w:uiPriority w:val="0"/>
    <w:pPr>
      <w:spacing w:line="360" w:lineRule="auto"/>
      <w:jc w:val="center"/>
    </w:pPr>
    <w:rPr>
      <w:rFonts w:eastAsia="Helv" w:cs="New York"/>
      <w:b/>
      <w:sz w:val="24"/>
      <w:szCs w:val="24"/>
    </w:rPr>
  </w:style>
  <w:style w:type="paragraph" w:customStyle="1" w:styleId="18">
    <w:name w:val="表格文字"/>
    <w:basedOn w:val="16"/>
    <w:next w:val="1"/>
    <w:qFormat/>
    <w:uiPriority w:val="0"/>
    <w:pPr>
      <w:spacing w:line="360" w:lineRule="exact"/>
    </w:pPr>
    <w:rPr>
      <w:rFonts w:eastAsia="Helv" w:cs="New York"/>
      <w:sz w:val="24"/>
    </w:rPr>
  </w:style>
  <w:style w:type="character" w:customStyle="1" w:styleId="19">
    <w:name w:val="标题 2 Char"/>
    <w:link w:val="3"/>
    <w:qFormat/>
    <w:uiPriority w:val="9"/>
    <w:rPr>
      <w:rFonts w:ascii="Arial" w:hAnsi="Arial" w:eastAsia="Symbol"/>
      <w:b/>
      <w:bCs/>
      <w:sz w:val="32"/>
      <w:szCs w:val="32"/>
    </w:rPr>
  </w:style>
  <w:style w:type="paragraph" w:customStyle="1" w:styleId="20">
    <w:name w:val="Title-temp"/>
    <w:basedOn w:val="1"/>
    <w:next w:val="1"/>
    <w:qFormat/>
    <w:uiPriority w:val="0"/>
    <w:pPr>
      <w:spacing w:before="120" w:after="120"/>
      <w:ind w:left="100" w:leftChars="100" w:right="100" w:rightChars="100"/>
      <w:jc w:val="center"/>
    </w:pPr>
    <w:rPr>
      <w:rFonts w:eastAsia="微软雅黑"/>
      <w:sz w:val="24"/>
    </w:rPr>
  </w:style>
  <w:style w:type="paragraph" w:customStyle="1" w:styleId="21">
    <w:name w:val="question-temp"/>
    <w:basedOn w:val="1"/>
    <w:qFormat/>
    <w:uiPriority w:val="0"/>
    <w:pPr>
      <w:spacing w:after="60"/>
    </w:pPr>
    <w:rPr>
      <w:rFonts w:ascii="微软雅黑" w:hAnsi="微软雅黑" w:eastAsia="微软雅黑"/>
      <w:sz w:val="18"/>
    </w:rPr>
  </w:style>
  <w:style w:type="table" w:customStyle="1" w:styleId="22">
    <w:name w:val="Table-temp"/>
    <w:basedOn w:val="12"/>
    <w:qFormat/>
    <w:uiPriority w:val="99"/>
    <w:pPr>
      <w:jc w:val="both"/>
    </w:pPr>
    <w:rPr>
      <w:rFonts w:asciiTheme="minorEastAsia" w:hAnsiTheme="minorEastAsia" w:cstheme="minorEastAsia"/>
      <w:color w:val="404040" w:themeColor="text1" w:themeTint="BF"/>
      <w:sz w:val="18"/>
      <w:szCs w:val="15"/>
      <w14:textFill>
        <w14:solidFill>
          <w14:schemeClr w14:val="tx1">
            <w14:lumMod w14:val="75000"/>
            <w14:lumOff w14:val="25000"/>
          </w14:schemeClr>
        </w14:solidFill>
      </w14:textFil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rPr>
        <w:color w:val="808080" w:themeColor="text1" w:themeTint="80"/>
        <w14:textFill>
          <w14:solidFill>
            <w14:schemeClr w14:val="tx1">
              <w14:lumMod w14:val="50000"/>
              <w14:lumOff w14:val="50000"/>
            </w14:schemeClr>
          </w14:solidFill>
        </w14:textFill>
      </w:rPr>
      <w:tcPr>
        <w:shd w:val="clear" w:color="auto" w:fill="F1F1F1" w:themeFill="background1" w:themeFillShade="F2"/>
      </w:tcPr>
    </w:tblStylePr>
    <w:tblStylePr w:type="firstCol">
      <w:rPr>
        <w:color w:val="808080" w:themeColor="text1" w:themeTint="80"/>
        <w14:textFill>
          <w14:solidFill>
            <w14:schemeClr w14:val="tx1">
              <w14:lumMod w14:val="50000"/>
              <w14:lumOff w14:val="50000"/>
            </w14:schemeClr>
          </w14:solidFill>
        </w14:textFill>
      </w:rPr>
      <w:tcPr>
        <w:shd w:val="clear" w:color="auto" w:fill="F1F1F1" w:themeFill="background1" w:themeFillShade="F2"/>
      </w:tcPr>
    </w:tblStylePr>
  </w:style>
  <w:style w:type="paragraph" w:customStyle="1" w:styleId="23">
    <w:name w:val="option-temp"/>
    <w:qFormat/>
    <w:uiPriority w:val="0"/>
    <w:pPr>
      <w:ind w:left="100" w:leftChars="100" w:right="100" w:rightChars="100"/>
    </w:pPr>
    <w:rPr>
      <w:rFonts w:asciiTheme="minorEastAsia" w:hAnsiTheme="minorEastAsia" w:eastAsiaTheme="minorEastAsia" w:cstheme="minorEastAsia"/>
      <w:color w:val="404040" w:themeColor="text1" w:themeTint="BF"/>
      <w:kern w:val="2"/>
      <w:sz w:val="18"/>
      <w:szCs w:val="18"/>
      <w:lang w:val="en-US" w:eastAsia="zh-CN" w:bidi="ar-SA"/>
      <w14:textFill>
        <w14:solidFill>
          <w14:schemeClr w14:val="tx1">
            <w14:lumMod w14:val="75000"/>
            <w14:lumOff w14:val="25000"/>
          </w14:schemeClr>
        </w14:solidFill>
      </w14:textFill>
    </w:rPr>
  </w:style>
  <w:style w:type="character" w:customStyle="1" w:styleId="24">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1277</Words>
  <Characters>1348</Characters>
  <Lines>0</Lines>
  <Paragraphs>0</Paragraphs>
  <TotalTime>4</TotalTime>
  <ScaleCrop>false</ScaleCrop>
  <LinksUpToDate>false</LinksUpToDate>
  <CharactersWithSpaces>1418</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2025-11-07T09:53:00Z</dcterms:created>
  <dc:creator>杨勇</dc:creator>
  <cp:lastModifiedBy>aaa</cp:lastModifiedBy>
  <dcterms:modified xsi:type="dcterms:W3CDTF">2026-05-13T10:40:49Z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ICV">
    <vt:lpwstr>7EC0C4B29E243FE8B1E4036A06E16DB3</vt:lpwstr>
  </property>
  <property fmtid="{D5CDD505-2E9C-101B-9397-08002B2CF9AE}" pid="4" name="KSOTemplateDocerSaveRecord">
    <vt:lpwstr>eyJoZGlkIjoiYWMwNTIzNzM2YzNlMmFhZWM2Yzc3ZWFmMzIyZjM0N2YiLCJ1c2VySWQiOiI3Nzc5MjM1NjEifQ==</vt:lpwstr>
  </property>
</Properties>
</file>