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F209B">
      <w:pPr>
        <w:ind w:firstLine="0" w:firstLineChars="0"/>
        <w:jc w:val="left"/>
        <w:rPr>
          <w:rFonts w:hint="eastAsia" w:ascii="黑体" w:hAnsi="宋体" w:eastAsia="黑体"/>
          <w:sz w:val="24"/>
          <w:szCs w:val="24"/>
          <w:highlight w:val="none"/>
          <w:lang w:val="en-US" w:eastAsia="zh-CN"/>
        </w:rPr>
      </w:pPr>
      <w:r>
        <w:rPr>
          <w:rFonts w:hint="eastAsia" w:ascii="黑体" w:hAnsi="宋体" w:eastAsia="黑体"/>
          <w:sz w:val="32"/>
          <w:szCs w:val="32"/>
          <w:highlight w:val="none"/>
          <w:lang w:val="en-US" w:eastAsia="zh-CN"/>
        </w:rPr>
        <w:t xml:space="preserve">                                     </w:t>
      </w:r>
      <w:r>
        <w:rPr>
          <w:rFonts w:hint="eastAsia" w:ascii="黑体" w:hAnsi="宋体" w:eastAsia="黑体"/>
          <w:sz w:val="24"/>
          <w:szCs w:val="24"/>
          <w:highlight w:val="none"/>
          <w:lang w:val="en-US" w:eastAsia="zh-CN"/>
        </w:rPr>
        <w:t xml:space="preserve">     </w:t>
      </w:r>
    </w:p>
    <w:p w14:paraId="487B691D">
      <w:pPr>
        <w:ind w:firstLine="0" w:firstLineChars="0"/>
        <w:jc w:val="left"/>
        <w:rPr>
          <w:rFonts w:hint="default" w:ascii="黑体" w:eastAsia="黑体"/>
          <w:sz w:val="32"/>
          <w:szCs w:val="32"/>
          <w:highlight w:val="none"/>
          <w:lang w:val="en-US" w:eastAsia="zh-CN"/>
        </w:rPr>
      </w:pPr>
      <w:r>
        <w:rPr>
          <w:rFonts w:hint="eastAsia" w:ascii="黑体" w:hAnsi="宋体" w:eastAsia="黑体"/>
          <w:sz w:val="24"/>
          <w:szCs w:val="24"/>
          <w:highlight w:val="none"/>
          <w:lang w:val="en-US" w:eastAsia="zh-CN"/>
        </w:rPr>
        <w:t xml:space="preserve">                                 </w:t>
      </w:r>
      <w:r>
        <w:rPr>
          <w:rFonts w:hint="eastAsia" w:ascii="黑体" w:hAnsi="宋体" w:eastAsia="黑体"/>
          <w:sz w:val="32"/>
          <w:szCs w:val="32"/>
          <w:highlight w:val="none"/>
          <w:lang w:val="en-US" w:eastAsia="zh-CN"/>
        </w:rPr>
        <w:t xml:space="preserve">  </w:t>
      </w:r>
    </w:p>
    <w:p w14:paraId="4542731C">
      <w:pPr>
        <w:jc w:val="left"/>
        <w:rPr>
          <w:rFonts w:hint="default" w:ascii="黑体" w:eastAsia="黑体"/>
          <w:sz w:val="32"/>
          <w:szCs w:val="32"/>
          <w:highlight w:val="none"/>
          <w:lang w:val="en-US" w:eastAsia="zh-CN"/>
        </w:rPr>
      </w:pPr>
    </w:p>
    <w:p w14:paraId="3B4B9F01">
      <w:pPr>
        <w:jc w:val="both"/>
        <w:rPr>
          <w:rFonts w:ascii="黑体" w:hAnsi="黑体" w:eastAsia="黑体" w:cs="宋体"/>
          <w:b/>
          <w:sz w:val="52"/>
          <w:szCs w:val="52"/>
          <w:highlight w:val="none"/>
        </w:rPr>
      </w:pPr>
    </w:p>
    <w:p w14:paraId="6E357ADE">
      <w:pPr>
        <w:jc w:val="both"/>
        <w:rPr>
          <w:rFonts w:ascii="黑体" w:hAnsi="黑体" w:eastAsia="黑体" w:cs="宋体"/>
          <w:b/>
          <w:sz w:val="36"/>
          <w:szCs w:val="36"/>
          <w:highlight w:val="none"/>
        </w:rPr>
      </w:pPr>
    </w:p>
    <w:p w14:paraId="25964DA8">
      <w:pPr>
        <w:spacing w:line="700" w:lineRule="exact"/>
        <w:jc w:val="center"/>
        <w:rPr>
          <w:rFonts w:hint="eastAsia" w:ascii="方正小标宋简体" w:hAnsi="方正小标宋简体" w:eastAsia="方正小标宋简体" w:cs="方正小标宋简体"/>
          <w:bCs/>
          <w:sz w:val="48"/>
          <w:szCs w:val="48"/>
          <w:highlight w:val="none"/>
        </w:rPr>
      </w:pPr>
      <w:r>
        <w:rPr>
          <w:rFonts w:hint="eastAsia" w:ascii="方正小标宋简体" w:hAnsi="方正小标宋简体" w:eastAsia="方正小标宋简体" w:cs="方正小标宋简体"/>
          <w:bCs/>
          <w:sz w:val="48"/>
          <w:szCs w:val="48"/>
          <w:highlight w:val="none"/>
          <w:lang w:val="en-US" w:eastAsia="zh-CN"/>
        </w:rPr>
        <w:t>2024年度</w:t>
      </w:r>
      <w:r>
        <w:rPr>
          <w:rFonts w:hint="eastAsia" w:ascii="方正小标宋简体" w:hAnsi="方正小标宋简体" w:eastAsia="方正小标宋简体" w:cs="方正小标宋简体"/>
          <w:bCs/>
          <w:i w:val="0"/>
          <w:iCs w:val="0"/>
          <w:caps w:val="0"/>
          <w:color w:val="auto"/>
          <w:spacing w:val="0"/>
          <w:sz w:val="48"/>
          <w:szCs w:val="48"/>
          <w:highlight w:val="none"/>
          <w:shd w:val="clear" w:color="auto" w:fill="auto"/>
          <w:lang w:bidi="zh-CN"/>
        </w:rPr>
        <w:t>伊克昭盟自治政务委员会现场教学基地项目</w:t>
      </w:r>
      <w:r>
        <w:rPr>
          <w:rFonts w:hint="eastAsia" w:ascii="方正小标宋简体" w:hAnsi="方正小标宋简体" w:eastAsia="方正小标宋简体" w:cs="方正小标宋简体"/>
          <w:bCs/>
          <w:sz w:val="48"/>
          <w:szCs w:val="48"/>
          <w:highlight w:val="none"/>
        </w:rPr>
        <w:t>绩效评价</w:t>
      </w:r>
      <w:r>
        <w:rPr>
          <w:rFonts w:hint="eastAsia" w:ascii="方正小标宋简体" w:hAnsi="方正小标宋简体" w:eastAsia="方正小标宋简体" w:cs="方正小标宋简体"/>
          <w:bCs/>
          <w:sz w:val="48"/>
          <w:szCs w:val="48"/>
          <w:highlight w:val="none"/>
          <w:lang w:val="en-US" w:eastAsia="zh-CN"/>
        </w:rPr>
        <w:t>简版</w:t>
      </w:r>
      <w:r>
        <w:rPr>
          <w:rFonts w:hint="eastAsia" w:ascii="方正小标宋简体" w:hAnsi="方正小标宋简体" w:eastAsia="方正小标宋简体" w:cs="方正小标宋简体"/>
          <w:bCs/>
          <w:sz w:val="48"/>
          <w:szCs w:val="48"/>
          <w:highlight w:val="none"/>
        </w:rPr>
        <w:t>报告</w:t>
      </w:r>
    </w:p>
    <w:p w14:paraId="14A45C30">
      <w:pPr>
        <w:jc w:val="center"/>
        <w:rPr>
          <w:rFonts w:ascii="黑体" w:hAnsi="黑体" w:eastAsia="黑体" w:cs="宋体"/>
          <w:b/>
          <w:sz w:val="52"/>
          <w:szCs w:val="52"/>
          <w:highlight w:val="none"/>
        </w:rPr>
      </w:pPr>
    </w:p>
    <w:p w14:paraId="694B0305">
      <w:pPr>
        <w:jc w:val="center"/>
        <w:rPr>
          <w:rFonts w:ascii="黑体" w:hAnsi="黑体" w:eastAsia="黑体" w:cs="宋体"/>
          <w:sz w:val="52"/>
          <w:szCs w:val="52"/>
          <w:highlight w:val="none"/>
        </w:rPr>
      </w:pPr>
    </w:p>
    <w:p w14:paraId="6DC3675A">
      <w:pPr>
        <w:jc w:val="center"/>
        <w:rPr>
          <w:rFonts w:ascii="黑体" w:hAnsi="黑体" w:eastAsia="黑体" w:cs="宋体"/>
          <w:sz w:val="52"/>
          <w:szCs w:val="52"/>
          <w:highlight w:val="none"/>
        </w:rPr>
      </w:pPr>
    </w:p>
    <w:p w14:paraId="3EE179A3">
      <w:pPr>
        <w:jc w:val="center"/>
        <w:rPr>
          <w:rFonts w:ascii="黑体" w:hAnsi="黑体" w:eastAsia="黑体" w:cs="宋体"/>
          <w:sz w:val="36"/>
          <w:szCs w:val="36"/>
          <w:highlight w:val="none"/>
        </w:rPr>
      </w:pPr>
    </w:p>
    <w:p w14:paraId="00E01613">
      <w:pPr>
        <w:jc w:val="center"/>
        <w:rPr>
          <w:rFonts w:ascii="黑体" w:hAnsi="黑体" w:eastAsia="黑体" w:cs="宋体"/>
          <w:b/>
          <w:sz w:val="52"/>
          <w:szCs w:val="52"/>
          <w:highlight w:val="none"/>
        </w:rPr>
      </w:pPr>
    </w:p>
    <w:p w14:paraId="524FC061">
      <w:pPr>
        <w:jc w:val="both"/>
        <w:rPr>
          <w:rFonts w:ascii="黑体" w:hAnsi="黑体" w:eastAsia="黑体" w:cs="宋体"/>
          <w:b/>
          <w:sz w:val="22"/>
          <w:szCs w:val="22"/>
          <w:highlight w:val="none"/>
        </w:rPr>
      </w:pPr>
    </w:p>
    <w:p w14:paraId="5A29819D">
      <w:pPr>
        <w:jc w:val="both"/>
        <w:rPr>
          <w:rFonts w:ascii="黑体" w:hAnsi="黑体" w:eastAsia="黑体" w:cs="宋体"/>
          <w:b/>
          <w:sz w:val="22"/>
          <w:szCs w:val="22"/>
          <w:highlight w:val="none"/>
        </w:rPr>
      </w:pPr>
    </w:p>
    <w:p w14:paraId="7B27E97D">
      <w:pPr>
        <w:jc w:val="both"/>
        <w:rPr>
          <w:rFonts w:ascii="黑体" w:hAnsi="黑体" w:eastAsia="黑体" w:cs="宋体"/>
          <w:b/>
          <w:sz w:val="22"/>
          <w:szCs w:val="22"/>
          <w:highlight w:val="none"/>
        </w:rPr>
      </w:pPr>
    </w:p>
    <w:p w14:paraId="5A180D21">
      <w:pPr>
        <w:jc w:val="both"/>
        <w:rPr>
          <w:rFonts w:ascii="黑体" w:hAnsi="黑体" w:eastAsia="黑体" w:cs="宋体"/>
          <w:b/>
          <w:sz w:val="22"/>
          <w:szCs w:val="22"/>
          <w:highlight w:val="none"/>
        </w:rPr>
      </w:pPr>
    </w:p>
    <w:p w14:paraId="10235277">
      <w:pPr>
        <w:ind w:firstLine="1600" w:firstLineChars="500"/>
        <w:jc w:val="both"/>
        <w:rPr>
          <w:rFonts w:hint="default" w:ascii="黑体" w:hAnsi="黑体" w:eastAsia="黑体" w:cs="宋体"/>
          <w:b w:val="0"/>
          <w:bCs/>
          <w:sz w:val="32"/>
          <w:szCs w:val="32"/>
          <w:highlight w:val="none"/>
          <w:u w:val="single"/>
          <w:lang w:val="en-US" w:eastAsia="zh-CN"/>
        </w:rPr>
      </w:pPr>
      <w:r>
        <w:rPr>
          <w:rFonts w:hint="eastAsia" w:ascii="黑体" w:hAnsi="黑体" w:eastAsia="黑体" w:cs="宋体"/>
          <w:b w:val="0"/>
          <w:bCs/>
          <w:sz w:val="32"/>
          <w:szCs w:val="32"/>
          <w:highlight w:val="none"/>
          <w:lang w:val="en-US" w:eastAsia="zh-CN"/>
        </w:rPr>
        <w:t>委托单位：</w:t>
      </w:r>
      <w:r>
        <w:rPr>
          <w:rFonts w:hint="eastAsia" w:ascii="黑体" w:hAnsi="黑体" w:eastAsia="黑体" w:cs="宋体"/>
          <w:b w:val="0"/>
          <w:bCs/>
          <w:sz w:val="32"/>
          <w:szCs w:val="32"/>
          <w:highlight w:val="none"/>
          <w:u w:val="single"/>
          <w:lang w:val="en-US" w:eastAsia="zh-CN"/>
        </w:rPr>
        <w:t xml:space="preserve">伊金霍洛旗财政局          </w:t>
      </w:r>
    </w:p>
    <w:p w14:paraId="7FFC75B2">
      <w:pPr>
        <w:ind w:firstLine="1600" w:firstLineChars="500"/>
        <w:jc w:val="both"/>
        <w:rPr>
          <w:rFonts w:hint="default" w:ascii="黑体" w:hAnsi="黑体" w:eastAsia="黑体" w:cs="宋体"/>
          <w:b w:val="0"/>
          <w:bCs/>
          <w:sz w:val="32"/>
          <w:szCs w:val="32"/>
          <w:highlight w:val="none"/>
          <w:u w:val="single"/>
          <w:lang w:val="en-US" w:eastAsia="zh-CN"/>
        </w:rPr>
      </w:pPr>
      <w:r>
        <w:rPr>
          <w:rFonts w:hint="eastAsia" w:ascii="黑体" w:hAnsi="黑体" w:eastAsia="黑体" w:cs="宋体"/>
          <w:b w:val="0"/>
          <w:bCs/>
          <w:sz w:val="32"/>
          <w:szCs w:val="32"/>
          <w:highlight w:val="none"/>
          <w:u w:val="none"/>
          <w:lang w:val="en-US" w:eastAsia="zh-CN"/>
        </w:rPr>
        <w:t>建设单位：</w:t>
      </w:r>
      <w:r>
        <w:rPr>
          <w:rFonts w:hint="eastAsia" w:ascii="黑体" w:hAnsi="黑体" w:eastAsia="黑体" w:cs="黑体"/>
          <w:b w:val="0"/>
          <w:bCs w:val="0"/>
          <w:sz w:val="32"/>
          <w:szCs w:val="32"/>
          <w:highlight w:val="none"/>
          <w:u w:val="single"/>
          <w:lang w:val="en-US" w:eastAsia="zh-CN"/>
        </w:rPr>
        <w:t>伊金霍洛旗札萨克镇人民政府</w:t>
      </w:r>
    </w:p>
    <w:p w14:paraId="7A8E93EE">
      <w:pPr>
        <w:ind w:firstLine="1600" w:firstLineChars="500"/>
        <w:jc w:val="both"/>
        <w:rPr>
          <w:rFonts w:hint="default" w:ascii="黑体" w:hAnsi="黑体" w:eastAsia="黑体" w:cs="宋体"/>
          <w:b w:val="0"/>
          <w:bCs/>
          <w:spacing w:val="113"/>
          <w:sz w:val="32"/>
          <w:szCs w:val="32"/>
          <w:highlight w:val="none"/>
          <w:lang w:val="en-US" w:eastAsia="zh-CN"/>
        </w:rPr>
      </w:pPr>
      <w:r>
        <w:rPr>
          <w:rFonts w:hint="eastAsia" w:ascii="黑体" w:hAnsi="黑体" w:eastAsia="黑体" w:cs="宋体"/>
          <w:b w:val="0"/>
          <w:bCs/>
          <w:spacing w:val="0"/>
          <w:sz w:val="32"/>
          <w:szCs w:val="32"/>
          <w:highlight w:val="none"/>
          <w:lang w:val="en-US" w:eastAsia="zh-CN"/>
        </w:rPr>
        <w:t>评价机构：</w:t>
      </w:r>
      <w:r>
        <w:rPr>
          <w:rFonts w:hint="eastAsia" w:ascii="黑体" w:hAnsi="黑体" w:eastAsia="黑体" w:cs="黑体"/>
          <w:b w:val="0"/>
          <w:bCs w:val="0"/>
          <w:sz w:val="32"/>
          <w:szCs w:val="32"/>
          <w:highlight w:val="none"/>
          <w:u w:val="single"/>
          <w:lang w:val="en-US" w:eastAsia="zh-CN"/>
        </w:rPr>
        <w:t>内蒙古正云项目管理有限公司</w:t>
      </w:r>
    </w:p>
    <w:p w14:paraId="663EAF78">
      <w:pPr>
        <w:ind w:firstLine="0" w:firstLineChars="0"/>
        <w:rPr>
          <w:rFonts w:ascii="仿宋" w:hAnsi="仿宋" w:eastAsia="仿宋"/>
          <w:sz w:val="32"/>
          <w:szCs w:val="32"/>
          <w:highlight w:val="none"/>
        </w:rPr>
      </w:pPr>
    </w:p>
    <w:p w14:paraId="2921469E">
      <w:pPr>
        <w:ind w:firstLine="640" w:firstLineChars="200"/>
        <w:rPr>
          <w:rFonts w:hint="eastAsia" w:ascii="黑体" w:hAnsi="黑体" w:eastAsia="黑体" w:cs="黑体"/>
          <w:sz w:val="32"/>
          <w:szCs w:val="32"/>
          <w:highlight w:val="none"/>
          <w:lang w:val="en-US" w:eastAsia="zh-CN"/>
        </w:rPr>
        <w:sectPr>
          <w:pgSz w:w="11906" w:h="16838"/>
          <w:pgMar w:top="1531" w:right="1474" w:bottom="1531" w:left="1474" w:header="850" w:footer="1417" w:gutter="0"/>
          <w:pgBorders>
            <w:top w:val="none" w:sz="0" w:space="0"/>
            <w:left w:val="none" w:sz="0" w:space="0"/>
            <w:bottom w:val="none" w:sz="0" w:space="0"/>
            <w:right w:val="none" w:sz="0" w:space="0"/>
          </w:pgBorders>
          <w:pgNumType w:fmt="decimal" w:start="1"/>
          <w:cols w:space="720" w:num="1"/>
          <w:rtlGutter w:val="0"/>
          <w:docGrid w:type="lines" w:linePitch="312" w:charSpace="0"/>
        </w:sectPr>
      </w:pPr>
      <w:r>
        <w:rPr>
          <w:rFonts w:hint="eastAsia" w:ascii="仿宋" w:hAnsi="仿宋" w:eastAsia="仿宋"/>
          <w:sz w:val="32"/>
          <w:szCs w:val="32"/>
          <w:highlight w:val="none"/>
          <w:lang w:val="en-US" w:eastAsia="zh-CN"/>
        </w:rPr>
        <w:t xml:space="preserve">                 </w:t>
      </w:r>
      <w:r>
        <w:rPr>
          <w:rFonts w:hint="eastAsia" w:ascii="黑体" w:hAnsi="黑体" w:eastAsia="黑体" w:cs="黑体"/>
          <w:sz w:val="32"/>
          <w:szCs w:val="32"/>
          <w:highlight w:val="none"/>
          <w:lang w:val="en-US" w:eastAsia="zh-CN"/>
        </w:rPr>
        <w:t>2025年8月</w:t>
      </w:r>
    </w:p>
    <w:p w14:paraId="4FB85E5B">
      <w:pPr>
        <w:numPr>
          <w:ilvl w:val="0"/>
          <w:numId w:val="1"/>
        </w:numPr>
        <w:snapToGrid w:val="0"/>
        <w:spacing w:beforeLines="0" w:afterLines="0"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基本情况</w:t>
      </w:r>
    </w:p>
    <w:p w14:paraId="79D0A862">
      <w:pPr>
        <w:widowControl/>
        <w:adjustRightInd/>
        <w:snapToGrid/>
        <w:spacing w:before="0" w:beforeLines="0" w:after="0" w:afterLines="0" w:line="600" w:lineRule="exact"/>
        <w:ind w:firstLine="643" w:firstLineChars="200"/>
        <w:rPr>
          <w:rFonts w:hint="eastAsia" w:ascii="楷体_GB2312" w:hAnsi="楷体_GB2312" w:eastAsia="楷体_GB2312" w:cs="楷体_GB2312"/>
          <w:b/>
          <w:bCs/>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（一）项目背景</w:t>
      </w:r>
    </w:p>
    <w:p w14:paraId="21CDE34E">
      <w:pPr>
        <w:keepNext w:val="0"/>
        <w:keepLines w:val="0"/>
        <w:widowControl/>
        <w:spacing w:before="0" w:beforeLines="0" w:after="0" w:afterLines="0" w:line="600" w:lineRule="exact"/>
        <w:ind w:firstLine="640" w:firstLineChars="200"/>
        <w:jc w:val="both"/>
        <w:rPr>
          <w:rFonts w:hint="default" w:ascii="楷体_GB2312" w:hAnsi="Times New Roman" w:eastAsia="楷体_GB2312"/>
          <w:b w:val="0"/>
          <w:sz w:val="32"/>
          <w:szCs w:val="32"/>
          <w:highlight w:val="none"/>
          <w:lang w:val="en-US"/>
        </w:rPr>
      </w:pPr>
      <w:r>
        <w:rPr>
          <w:rFonts w:hint="eastAsia" w:ascii="仿宋_GB2312" w:hAnsi="仿宋_GB2312" w:eastAsia="仿宋_GB2312" w:cs="仿宋_GB2312"/>
          <w:color w:val="000000"/>
          <w:kern w:val="0"/>
          <w:sz w:val="32"/>
          <w:szCs w:val="32"/>
          <w:highlight w:val="none"/>
          <w:lang w:val="en-US" w:eastAsia="zh-CN" w:bidi="ar"/>
        </w:rPr>
        <w:t>为深入贯彻习近平总书记关于用好红色资源、赓续红色血脉的系列重要指示精神，同时加强对党在内蒙古地区的历史研究，深入挖掘党在内蒙古西部地区的</w:t>
      </w:r>
      <w:bookmarkStart w:id="0" w:name="_GoBack"/>
      <w:bookmarkEnd w:id="0"/>
      <w:r>
        <w:rPr>
          <w:rFonts w:hint="eastAsia" w:ascii="仿宋_GB2312" w:hAnsi="仿宋_GB2312" w:eastAsia="仿宋_GB2312" w:cs="仿宋_GB2312"/>
          <w:color w:val="000000"/>
          <w:kern w:val="0"/>
          <w:sz w:val="32"/>
          <w:szCs w:val="32"/>
          <w:highlight w:val="none"/>
          <w:lang w:val="en-US" w:eastAsia="zh-CN" w:bidi="ar"/>
        </w:rPr>
        <w:t>革命史，札萨克镇人民政府拟建设伊克昭盟自治政务委员会现场教学基地项目。项目建成后将用完整的画卷、丰富的史实、鲜活的事例进行全面宣传阐释，着力增强红色教育的吸引力、感召力，努力将红色血脉根植于广大干部群众心中。进入新世纪后，我国经济能力不断提升的过程中，对中国共产党的党员党性提出了新的要求，为了满足党对未来发展需求，提高党员的党性教育成为人民关注的重点，在此过程中，红色基地发挥着重要的作用。</w:t>
      </w:r>
    </w:p>
    <w:p w14:paraId="71D5574C">
      <w:pPr>
        <w:widowControl/>
        <w:adjustRightInd/>
        <w:snapToGrid/>
        <w:spacing w:before="0" w:beforeLines="0" w:after="0" w:afterLines="0" w:line="600" w:lineRule="exact"/>
        <w:ind w:firstLine="643" w:firstLineChars="200"/>
        <w:rPr>
          <w:rFonts w:hint="eastAsia" w:ascii="楷体_GB2312" w:hAnsi="楷体_GB2312" w:eastAsia="楷体_GB2312" w:cs="楷体_GB2312"/>
          <w:b/>
          <w:bCs/>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（二）项目内容</w:t>
      </w:r>
    </w:p>
    <w:p w14:paraId="50D7A6C2">
      <w:pPr>
        <w:keepNext w:val="0"/>
        <w:keepLines w:val="0"/>
        <w:widowControl/>
        <w:spacing w:before="0" w:beforeLines="0" w:after="0" w:afterLines="0" w:line="600" w:lineRule="exact"/>
        <w:ind w:firstLine="640" w:firstLineChars="200"/>
        <w:jc w:val="both"/>
        <w:rPr>
          <w:rFonts w:hint="eastAsia" w:ascii="仿宋_GB2312" w:hAnsi="仿宋_GB2312" w:eastAsia="仿宋_GB2312" w:cs="仿宋_GB2312"/>
          <w:color w:val="auto"/>
          <w:kern w:val="0"/>
          <w:sz w:val="32"/>
          <w:szCs w:val="36"/>
          <w:highlight w:val="none"/>
          <w:lang w:val="en-US" w:eastAsia="zh-CN" w:bidi="ar"/>
        </w:rPr>
      </w:pPr>
      <w:r>
        <w:rPr>
          <w:rFonts w:hint="eastAsia" w:ascii="仿宋_GB2312" w:hAnsi="仿宋_GB2312" w:eastAsia="仿宋_GB2312" w:cs="仿宋_GB2312"/>
          <w:color w:val="000000"/>
          <w:kern w:val="0"/>
          <w:sz w:val="32"/>
          <w:szCs w:val="36"/>
          <w:highlight w:val="none"/>
          <w:lang w:val="en-US" w:eastAsia="zh-CN" w:bidi="ar"/>
        </w:rPr>
        <w:t>项目规划用地面积14754.3平方米，项目新建总建筑面积5350平方米，其中地上建筑面积5260平方米，主要包括展厅、礼堂及附属用房4890平方米，旧址复原展区280平方米，水箱间90平方米；地下建筑面积90平方米。同步配套建</w:t>
      </w:r>
      <w:r>
        <w:rPr>
          <w:rFonts w:hint="eastAsia" w:ascii="仿宋_GB2312" w:hAnsi="仿宋_GB2312" w:eastAsia="仿宋_GB2312" w:cs="仿宋_GB2312"/>
          <w:color w:val="auto"/>
          <w:kern w:val="0"/>
          <w:sz w:val="32"/>
          <w:szCs w:val="36"/>
          <w:highlight w:val="none"/>
          <w:lang w:val="en-US" w:eastAsia="zh-CN" w:bidi="ar"/>
        </w:rPr>
        <w:t>设给排水、</w:t>
      </w:r>
    </w:p>
    <w:p w14:paraId="7CEC2DB0">
      <w:pPr>
        <w:keepNext w:val="0"/>
        <w:keepLines w:val="0"/>
        <w:widowControl/>
        <w:spacing w:before="0" w:beforeLines="0" w:after="0" w:afterLines="0" w:line="600" w:lineRule="exact"/>
        <w:ind w:firstLine="0" w:firstLineChars="0"/>
        <w:jc w:val="both"/>
        <w:rPr>
          <w:rFonts w:hint="eastAsia" w:ascii="仿宋_GB2312" w:hAnsi="仿宋_GB2312" w:eastAsia="仿宋_GB2312" w:cs="仿宋_GB2312"/>
          <w:color w:val="000000" w:themeColor="text1"/>
          <w:kern w:val="0"/>
          <w:sz w:val="32"/>
          <w:szCs w:val="36"/>
          <w:highlight w:val="none"/>
          <w:lang w:val="en-US" w:eastAsia="zh-CN" w:bidi="ar"/>
          <w14:textFill>
            <w14:solidFill>
              <w14:schemeClr w14:val="tx1"/>
            </w14:solidFill>
          </w14:textFill>
        </w:rPr>
      </w:pPr>
      <w:r>
        <w:rPr>
          <w:rFonts w:hint="eastAsia" w:ascii="仿宋_GB2312" w:hAnsi="仿宋_GB2312" w:eastAsia="仿宋_GB2312" w:cs="仿宋_GB2312"/>
          <w:color w:val="auto"/>
          <w:kern w:val="0"/>
          <w:sz w:val="32"/>
          <w:szCs w:val="36"/>
          <w:highlight w:val="none"/>
          <w:lang w:val="en-US" w:eastAsia="zh-CN" w:bidi="ar"/>
        </w:rPr>
        <w:t>供配电、绿化等基础工程。</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本项目建设期为10个月，计划于2023</w:t>
      </w:r>
    </w:p>
    <w:p w14:paraId="534BE4CA">
      <w:pPr>
        <w:keepNext w:val="0"/>
        <w:keepLines w:val="0"/>
        <w:widowControl/>
        <w:spacing w:before="0" w:beforeLines="0" w:after="0" w:afterLines="0" w:line="600" w:lineRule="exact"/>
        <w:ind w:firstLine="0" w:firstLineChars="0"/>
        <w:jc w:val="both"/>
        <w:rPr>
          <w:rFonts w:hint="eastAsia" w:ascii="仿宋_GB2312" w:hAnsi="仿宋_GB2312" w:eastAsia="仿宋_GB2312" w:cs="仿宋_GB2312"/>
          <w:color w:val="000000" w:themeColor="text1"/>
          <w:kern w:val="0"/>
          <w:sz w:val="32"/>
          <w:szCs w:val="36"/>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年8月开工建设，预计2024年5月竣工验收。</w:t>
      </w:r>
    </w:p>
    <w:p w14:paraId="74948475">
      <w:pPr>
        <w:widowControl/>
        <w:adjustRightInd/>
        <w:snapToGrid/>
        <w:spacing w:beforeLines="0" w:afterLines="0" w:line="600" w:lineRule="exact"/>
        <w:ind w:firstLine="643" w:firstLineChars="200"/>
        <w:rPr>
          <w:rFonts w:hint="eastAsia" w:ascii="楷体_GB2312" w:hAnsi="楷体_GB2312" w:eastAsia="楷体_GB2312" w:cs="楷体_GB2312"/>
          <w:b/>
          <w:bCs/>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（三）资金投入及支出情况</w:t>
      </w:r>
    </w:p>
    <w:p w14:paraId="54AD278A">
      <w:pPr>
        <w:widowControl/>
        <w:adjustRightInd/>
        <w:snapToGrid/>
        <w:spacing w:before="0" w:beforeLines="0" w:after="0" w:afterLines="0" w:line="600" w:lineRule="exact"/>
        <w:ind w:firstLine="640" w:firstLineChars="200"/>
        <w:jc w:val="both"/>
        <w:rPr>
          <w:rFonts w:hint="default"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本项目总投资额4500.00万元，本次绩效评价资金为700.00万元，资金来源为财政拨款。截至2024年12月31日，实际到位资金为700万元，资金到位率100%，实际支出为700万元，预算执行率100%。</w:t>
      </w:r>
    </w:p>
    <w:p w14:paraId="7A286274">
      <w:pPr>
        <w:widowControl/>
        <w:adjustRightInd/>
        <w:snapToGrid/>
        <w:spacing w:before="0" w:beforeLines="0" w:after="0" w:afterLines="0" w:line="600" w:lineRule="exact"/>
        <w:ind w:firstLine="643" w:firstLineChars="200"/>
        <w:jc w:val="left"/>
        <w:rPr>
          <w:rFonts w:hint="default" w:ascii="仿宋_GB2312" w:hAnsi="仿宋_GB2312" w:eastAsia="仿宋_GB2312" w:cs="仿宋_GB2312"/>
          <w:color w:val="000000"/>
          <w:kern w:val="0"/>
          <w:sz w:val="32"/>
          <w:szCs w:val="32"/>
          <w:highlight w:val="none"/>
          <w:lang w:val="en-US" w:eastAsia="zh-CN" w:bidi="ar"/>
        </w:rPr>
      </w:pPr>
      <w:r>
        <w:rPr>
          <w:rFonts w:hint="eastAsia" w:ascii="楷体_GB2312" w:hAnsi="楷体_GB2312" w:eastAsia="楷体_GB2312" w:cs="楷体_GB2312"/>
          <w:b/>
          <w:bCs/>
          <w:color w:val="000000"/>
          <w:kern w:val="0"/>
          <w:sz w:val="32"/>
          <w:szCs w:val="32"/>
          <w:highlight w:val="none"/>
          <w:lang w:val="en-US" w:eastAsia="zh-CN" w:bidi="ar"/>
        </w:rPr>
        <w:t>（四）项目总体绩效目标</w:t>
      </w:r>
    </w:p>
    <w:p w14:paraId="0E2D2F40">
      <w:pPr>
        <w:adjustRightInd w:val="0"/>
        <w:snapToGrid w:val="0"/>
        <w:spacing w:beforeLines="0" w:afterLines="0" w:line="600" w:lineRule="exact"/>
        <w:ind w:left="0" w:leftChars="0"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通过建设现场教学基地展厅、礼堂及附属用房，深入贯彻习近平总书记关于用好红色资源、赓续红色血脉的系列重要指示精神，同时加强对党在内蒙古地区的历史研究，深入挖掘党在内蒙古西部地区的革命史。</w:t>
      </w:r>
    </w:p>
    <w:p w14:paraId="620179AF">
      <w:pPr>
        <w:snapToGrid w:val="0"/>
        <w:spacing w:beforeLines="0" w:afterLines="0" w:line="60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二、评价结论</w:t>
      </w:r>
    </w:p>
    <w:p w14:paraId="7CD1016D">
      <w:pPr>
        <w:adjustRightInd w:val="0"/>
        <w:snapToGrid w:val="0"/>
        <w:spacing w:beforeLines="0" w:afterLines="0" w:line="600" w:lineRule="exact"/>
        <w:ind w:firstLine="643" w:firstLineChars="200"/>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（一）评价结果</w:t>
      </w:r>
    </w:p>
    <w:p w14:paraId="5CDF56D1">
      <w:pPr>
        <w:adjustRightInd w:val="0"/>
        <w:snapToGrid w:val="0"/>
        <w:spacing w:beforeLines="0" w:afterLines="0" w:line="600" w:lineRule="exact"/>
        <w:ind w:firstLine="640" w:firstLineChars="200"/>
        <w:rPr>
          <w:rFonts w:hint="eastAsia"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该项目绩效评价综合评分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为</w:t>
      </w: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7</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3.00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分</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评价等级为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中</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446D7F4D">
      <w:pPr>
        <w:numPr>
          <w:ilvl w:val="0"/>
          <w:numId w:val="2"/>
        </w:numPr>
        <w:adjustRightInd w:val="0"/>
        <w:snapToGrid w:val="0"/>
        <w:spacing w:beforeLines="0" w:afterLines="0" w:line="600" w:lineRule="exact"/>
        <w:ind w:firstLine="643" w:firstLineChars="200"/>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总体结论</w:t>
      </w:r>
    </w:p>
    <w:p w14:paraId="10C9C15F">
      <w:pPr>
        <w:numPr>
          <w:ilvl w:val="-1"/>
          <w:numId w:val="0"/>
        </w:numPr>
        <w:adjustRightInd w:val="0"/>
        <w:snapToGrid w:val="0"/>
        <w:spacing w:beforeLines="0" w:afterLines="0" w:line="600" w:lineRule="exact"/>
        <w:ind w:firstLine="640" w:firstLineChars="20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项目建成后有利于促进当地社会主义建设的进一步发展，提高当地人民群众爱国主义精神，有助于当地人民群众学习革命精神、传承红色文化，促进社会经济的和谐稳定发展。但需加快工程建设进度，加强项目建设的监督、检查和管理，资金应做到专款专用，确保工程质量和资金使用效益。</w:t>
      </w:r>
    </w:p>
    <w:p w14:paraId="166991D8">
      <w:pPr>
        <w:snapToGrid w:val="0"/>
        <w:spacing w:beforeLines="0" w:afterLines="0" w:line="600" w:lineRule="exact"/>
        <w:ind w:firstLine="640" w:firstLineChars="200"/>
        <w:rPr>
          <w:rFonts w:hint="eastAsia" w:ascii="黑体" w:hAnsi="黑体" w:eastAsia="黑体" w:cs="黑体"/>
          <w:sz w:val="32"/>
          <w:szCs w:val="32"/>
          <w:highlight w:val="none"/>
        </w:rPr>
      </w:pPr>
      <w:r>
        <w:rPr>
          <w:rFonts w:hint="eastAsia" w:ascii="黑体" w:hAnsi="黑体" w:eastAsia="黑体" w:cs="黑体"/>
          <w:color w:val="auto"/>
          <w:kern w:val="2"/>
          <w:sz w:val="32"/>
          <w:szCs w:val="32"/>
          <w:highlight w:val="none"/>
          <w:lang w:val="en-US" w:eastAsia="zh-CN" w:bidi="ar"/>
        </w:rPr>
        <w:t>三、</w:t>
      </w:r>
      <w:r>
        <w:rPr>
          <w:rFonts w:hint="eastAsia" w:ascii="黑体" w:hAnsi="黑体" w:eastAsia="黑体" w:cs="黑体"/>
          <w:sz w:val="32"/>
          <w:szCs w:val="32"/>
          <w:highlight w:val="none"/>
        </w:rPr>
        <w:t>主要问题及相关建议</w:t>
      </w:r>
    </w:p>
    <w:p w14:paraId="352E28DF">
      <w:pPr>
        <w:numPr>
          <w:ilvl w:val="-1"/>
          <w:numId w:val="0"/>
        </w:numPr>
        <w:snapToGrid w:val="0"/>
        <w:spacing w:beforeLines="0" w:afterLines="0" w:line="600" w:lineRule="exact"/>
        <w:ind w:firstLine="643" w:firstLineChars="200"/>
        <w:rPr>
          <w:rFonts w:hint="default" w:ascii="黑体" w:hAnsi="黑体" w:eastAsia="黑体" w:cs="黑体"/>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（一）主要问题</w:t>
      </w:r>
    </w:p>
    <w:p w14:paraId="20B53AD7">
      <w:pPr>
        <w:adjustRightInd/>
        <w:snapToGrid/>
        <w:spacing w:beforeLines="0" w:afterLines="0" w:line="600" w:lineRule="exact"/>
        <w:ind w:firstLine="643" w:firstLineChars="200"/>
        <w:rPr>
          <w:rFonts w:hint="eastAsia" w:ascii="仿宋_GB2312" w:hAnsi="仿宋_GB2312" w:eastAsia="仿宋_GB2312" w:cs="仿宋_GB2312"/>
          <w:b/>
          <w:bCs/>
          <w:color w:val="000000" w:themeColor="text1"/>
          <w:sz w:val="32"/>
          <w:szCs w:val="32"/>
          <w:highlight w:val="yellow"/>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1.分批拨款时预算项目绩效目标不够明确。</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每个预算项目绩效目标未具体明确到资金的支出方向，只体现了项目总目标，未将项目分开体现实际用途，即使用这笔资金要具体完成哪些工作。</w:t>
      </w:r>
    </w:p>
    <w:p w14:paraId="14051B06">
      <w:pPr>
        <w:adjustRightInd/>
        <w:snapToGrid/>
        <w:spacing w:beforeLines="0" w:afterLines="0" w:line="600" w:lineRule="exact"/>
        <w:ind w:firstLine="643" w:firstLineChars="200"/>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2.施工总体进度及分项工程进度滞后于原定计划。</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按照可研批复</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项目2023年8月开工，2024年5月竣工验收。截至评价日该项目未竣工验收。</w:t>
      </w:r>
    </w:p>
    <w:p w14:paraId="348B1C83">
      <w:pPr>
        <w:numPr>
          <w:ilvl w:val="-1"/>
          <w:numId w:val="0"/>
        </w:numPr>
        <w:snapToGrid w:val="0"/>
        <w:spacing w:beforeLines="0" w:afterLines="0" w:line="600" w:lineRule="exact"/>
        <w:ind w:firstLine="643" w:firstLineChars="200"/>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3.个别工程外观质量监控一般。</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经现场调研，工程墙面露出墙体，木制门窗变形无法正常关合，个别屋檐板有坠落倾向。</w:t>
      </w:r>
    </w:p>
    <w:p w14:paraId="5827C79B">
      <w:pPr>
        <w:numPr>
          <w:ilvl w:val="-1"/>
          <w:numId w:val="0"/>
        </w:numPr>
        <w:snapToGrid w:val="0"/>
        <w:spacing w:beforeLines="0" w:afterLines="0" w:line="600" w:lineRule="exact"/>
        <w:ind w:firstLine="643" w:firstLineChars="200"/>
        <w:rPr>
          <w:rFonts w:hint="eastAsia" w:ascii="楷体_GB2312" w:hAnsi="楷体_GB2312" w:eastAsia="楷体_GB2312" w:cs="楷体_GB2312"/>
          <w:b/>
          <w:bCs/>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（二）相关建议</w:t>
      </w:r>
    </w:p>
    <w:p w14:paraId="6B9A7068">
      <w:pPr>
        <w:numPr>
          <w:ilvl w:val="-1"/>
          <w:numId w:val="0"/>
        </w:numPr>
        <w:adjustRightInd/>
        <w:snapToGrid w:val="0"/>
        <w:spacing w:beforeLines="0" w:afterLines="0" w:line="60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1.做好分批请款的预算绩效目标，可参照本次工程产值汇总表、本次资金预算表、本次费用明细等设定具体的绩效目标及指标值，绩效目标及产出指标设定要明确可考核。</w:t>
      </w:r>
    </w:p>
    <w:p w14:paraId="2A4DEB64">
      <w:pPr>
        <w:numPr>
          <w:ilvl w:val="-1"/>
          <w:numId w:val="0"/>
        </w:numPr>
        <w:adjustRightInd w:val="0"/>
        <w:snapToGrid w:val="0"/>
        <w:spacing w:beforeLines="0" w:afterLines="0" w:line="600" w:lineRule="exact"/>
        <w:ind w:firstLine="640" w:firstLineChars="20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2.做好项目阶段性计划产出进度表，按工程进度计划表实施，把每个节点的完成项目进行产值汇总验收，及时跟进工程进度，如有未完成的项目要及时复盘，分析项目完工滞后的主要原因。</w:t>
      </w:r>
    </w:p>
    <w:p w14:paraId="6E470664">
      <w:pPr>
        <w:adjustRightInd w:val="0"/>
        <w:snapToGrid w:val="0"/>
        <w:spacing w:beforeLines="0" w:afterLines="0" w:line="600" w:lineRule="exact"/>
        <w:ind w:firstLine="640" w:firstLineChars="200"/>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3.在项目监管过程中，从原材料采购到施工现场要严把工程质量关，加大实时监督力度，重点排除工程质量隐患，发现问题应及时预防和修复，做好突发事件的应急预案，做到防患于未然。</w:t>
      </w:r>
    </w:p>
    <w:sectPr>
      <w:footerReference r:id="rId3" w:type="default"/>
      <w:pgSz w:w="11906" w:h="16838"/>
      <w:pgMar w:top="1531" w:right="1474" w:bottom="1531" w:left="1474" w:header="850" w:footer="1417"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
    <w:altName w:val="Arial"/>
    <w:panose1 w:val="020B0604020202030204"/>
    <w:charset w:val="00"/>
    <w:family w:val="swiss"/>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System">
    <w:altName w:val="宋体"/>
    <w:panose1 w:val="00000000000000000000"/>
    <w:charset w:val="86"/>
    <w:family w:val="auto"/>
    <w:pitch w:val="default"/>
    <w:sig w:usb0="00000000" w:usb1="00000000" w:usb2="00000010" w:usb3="00000000" w:csb0="00040000" w:csb1="00000000"/>
  </w:font>
  <w:font w:name="New York">
    <w:altName w:val="Times New Roman"/>
    <w:panose1 w:val="02040503060506020304"/>
    <w:charset w:val="00"/>
    <w:family w:val="roman"/>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0CDFE">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939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99390" cy="1828800"/>
                      </a:xfrm>
                      <a:prstGeom prst="rect">
                        <a:avLst/>
                      </a:prstGeom>
                      <a:noFill/>
                      <a:ln>
                        <a:noFill/>
                      </a:ln>
                    </wps:spPr>
                    <wps:txbx>
                      <w:txbxContent>
                        <w:p w14:paraId="14076B4B">
                          <w:pPr>
                            <w:pStyle w:val="8"/>
                            <w:rPr>
                              <w:rFonts w:hint="eastAsia" w:ascii="宋体" w:hAnsi="宋体" w:cs="宋体"/>
                              <w:sz w:val="28"/>
                              <w:szCs w:val="28"/>
                            </w:rPr>
                          </w:pPr>
                          <w:r>
                            <w:rPr>
                              <w:rFonts w:hint="default" w:ascii="Calibri" w:hAnsi="Calibri" w:cs="Calibri"/>
                              <w:sz w:val="18"/>
                              <w:szCs w:val="18"/>
                            </w:rPr>
                            <w:fldChar w:fldCharType="begin"/>
                          </w:r>
                          <w:r>
                            <w:rPr>
                              <w:rFonts w:hint="default" w:ascii="Calibri" w:hAnsi="Calibri" w:cs="Calibri"/>
                              <w:sz w:val="18"/>
                              <w:szCs w:val="18"/>
                            </w:rPr>
                            <w:instrText xml:space="preserve"> PAGE  \* MERGEFORMAT </w:instrText>
                          </w:r>
                          <w:r>
                            <w:rPr>
                              <w:rFonts w:hint="default" w:ascii="Calibri" w:hAnsi="Calibri" w:cs="Calibri"/>
                              <w:sz w:val="18"/>
                              <w:szCs w:val="18"/>
                            </w:rPr>
                            <w:fldChar w:fldCharType="separate"/>
                          </w:r>
                          <w:r>
                            <w:rPr>
                              <w:rFonts w:hint="default" w:ascii="Calibri" w:hAnsi="Calibri" w:cs="Calibri"/>
                              <w:sz w:val="18"/>
                              <w:szCs w:val="18"/>
                            </w:rPr>
                            <w:t>1</w:t>
                          </w:r>
                          <w:r>
                            <w:rPr>
                              <w:rFonts w:hint="default" w:ascii="Calibri" w:hAnsi="Calibri" w:cs="Calibri"/>
                              <w:sz w:val="18"/>
                              <w:szCs w:val="18"/>
                            </w:rPr>
                            <w:fldChar w:fldCharType="end"/>
                          </w:r>
                        </w:p>
                      </w:txbxContent>
                    </wps:txbx>
                    <wps:bodyPr wrap="square" lIns="0" tIns="0" rIns="0" bIns="0" upright="0">
                      <a:spAutoFit/>
                    </wps:bodyPr>
                  </wps:wsp>
                </a:graphicData>
              </a:graphic>
            </wp:anchor>
          </w:drawing>
        </mc:Choice>
        <mc:Fallback>
          <w:pict>
            <v:shape id="文本框 4" o:spid="_x0000_s1026" o:spt="202" type="#_x0000_t202" style="position:absolute;left:0pt;margin-top:0pt;height:144pt;width:15.7pt;mso-position-horizontal:center;mso-position-horizontal-relative:margin;z-index:251659264;mso-width-relative:page;mso-height-relative:page;" filled="f" stroked="f" coordsize="21600,21600" o:gfxdata="UEsDBAoAAAAAAIdO4kAAAAAAAAAAAAAAAAAEAAAAZHJzL1BLAwQUAAAACACHTuJAQjqeXdIAAAAE&#10;AQAADwAAAGRycy9kb3ducmV2LnhtbE2PsU7EMBBEeyT+wVokGsTZDugUQpwrEDR0HDR0e/GSRNjr&#10;KPYl4b4eQwPNSqMZzbytd6t3YqYpDoEN6I0CQdwGO3Bn4O316boEEROyRReYDHxRhF1zflZjZcPC&#10;LzTvUydyCccKDfQpjZWUse3JY9yEkTh7H2HymLKcOmknXHK5d7JQais9DpwXehzpoaf2c3/0Brbr&#10;43j1fEfFcmrdzO8nrRNpYy4vtLoHkWhNf2H4wc/o0GSmQziyjcIZyI+k35u9G30L4mCgKEsFsqnl&#10;f/jmG1BLAwQUAAAACACHTuJA9KXL59EBAACaAwAADgAAAGRycy9lMm9Eb2MueG1srVNLbtswEN0X&#10;yB0I7mPJTlvYguWghZGiQNEWSHsAmqIsAvyFQ1nyBdobdNVN9z2Xz5EhJTltsskiG3k0M3rz3pvx&#10;+rrXihyEB2lNSeeznBJhuK2k2Zf0+7ebyyUlEJipmLJGlPQogF5vLl6tO1eIhW2sqoQnCGKg6FxJ&#10;mxBckWXAG6EZzKwTBou19ZoFfPX7rPKsQ3StskWev8066yvnLRcAmN0ORToi+ucA2rqWXGwtb7Uw&#10;YUD1QrGAkqCRDugmsa1rwcOXugYRiCopKg3piUMw3sVntlmzYu+ZayQfKbDnUHikSTNpcOgZassC&#10;I62XT6C05N6CrcOMW50NQpIjqGKeP/LmtmFOJC1oNbiz6fBysPzz4asnsirpG0oM07jw06+fp99/&#10;T39+kNfRns5BgV23DvtC/972eDRTHjAZVfe11/EX9RCso7nHs7miD4THj1arqxVWOJbmy8VymSf3&#10;s4evnYfwQVhNYlBSj8tLnrLDJwjIBFunljjM2BupVFqgMv8lsDFmskh9oBij0O/6Uc/OVkeU0+He&#10;Swp3LfOCEvXRoLHxSKbAT8FuClrn5b5JVxQngnvXBqSR2MUZA/A4GleWSI/nFW/i3/fU9fCX2tw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jqeXdIAAAAEAQAADwAAAAAAAAABACAAAAAiAAAAZHJz&#10;L2Rvd25yZXYueG1sUEsBAhQAFAAAAAgAh07iQPSly+fRAQAAmgMAAA4AAAAAAAAAAQAgAAAAIQEA&#10;AGRycy9lMm9Eb2MueG1sUEsFBgAAAAAGAAYAWQEAAGQFAAAAAA==&#10;">
              <v:fill on="f" focussize="0,0"/>
              <v:stroke on="f"/>
              <v:imagedata o:title=""/>
              <o:lock v:ext="edit" aspectratio="f"/>
              <v:textbox inset="0mm,0mm,0mm,0mm" style="mso-fit-shape-to-text:t;">
                <w:txbxContent>
                  <w:p w14:paraId="14076B4B">
                    <w:pPr>
                      <w:pStyle w:val="8"/>
                      <w:rPr>
                        <w:rFonts w:hint="eastAsia" w:ascii="宋体" w:hAnsi="宋体" w:cs="宋体"/>
                        <w:sz w:val="28"/>
                        <w:szCs w:val="28"/>
                      </w:rPr>
                    </w:pPr>
                    <w:r>
                      <w:rPr>
                        <w:rFonts w:hint="default" w:ascii="Calibri" w:hAnsi="Calibri" w:cs="Calibri"/>
                        <w:sz w:val="18"/>
                        <w:szCs w:val="18"/>
                      </w:rPr>
                      <w:fldChar w:fldCharType="begin"/>
                    </w:r>
                    <w:r>
                      <w:rPr>
                        <w:rFonts w:hint="default" w:ascii="Calibri" w:hAnsi="Calibri" w:cs="Calibri"/>
                        <w:sz w:val="18"/>
                        <w:szCs w:val="18"/>
                      </w:rPr>
                      <w:instrText xml:space="preserve"> PAGE  \* MERGEFORMAT </w:instrText>
                    </w:r>
                    <w:r>
                      <w:rPr>
                        <w:rFonts w:hint="default" w:ascii="Calibri" w:hAnsi="Calibri" w:cs="Calibri"/>
                        <w:sz w:val="18"/>
                        <w:szCs w:val="18"/>
                      </w:rPr>
                      <w:fldChar w:fldCharType="separate"/>
                    </w:r>
                    <w:r>
                      <w:rPr>
                        <w:rFonts w:hint="default" w:ascii="Calibri" w:hAnsi="Calibri" w:cs="Calibri"/>
                        <w:sz w:val="18"/>
                        <w:szCs w:val="18"/>
                      </w:rPr>
                      <w:t>1</w:t>
                    </w:r>
                    <w:r>
                      <w:rPr>
                        <w:rFonts w:hint="default" w:ascii="Calibri" w:hAnsi="Calibri" w:cs="Calibri"/>
                        <w:sz w:val="18"/>
                        <w:szCs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EAB567"/>
    <w:multiLevelType w:val="singleLevel"/>
    <w:tmpl w:val="18EAB567"/>
    <w:lvl w:ilvl="0" w:tentative="0">
      <w:start w:val="1"/>
      <w:numFmt w:val="chineseCounting"/>
      <w:suff w:val="nothing"/>
      <w:lvlText w:val="%1、"/>
      <w:lvlJc w:val="left"/>
      <w:rPr>
        <w:rFonts w:hint="eastAsia"/>
      </w:rPr>
    </w:lvl>
  </w:abstractNum>
  <w:abstractNum w:abstractNumId="1">
    <w:nsid w:val="7EE40A31"/>
    <w:multiLevelType w:val="singleLevel"/>
    <w:tmpl w:val="7EE40A3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425EED"/>
    <w:rsid w:val="367E5524"/>
    <w:rsid w:val="5ED75447"/>
    <w:rsid w:val="7A425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9"/>
    <w:qFormat/>
    <w:uiPriority w:val="9"/>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4">
    <w:name w:val="heading 3"/>
    <w:basedOn w:val="1"/>
    <w:next w:val="1"/>
    <w:link w:val="20"/>
    <w:qFormat/>
    <w:uiPriority w:val="9"/>
    <w:pPr>
      <w:keepNext/>
      <w:keepLines/>
      <w:spacing w:before="60" w:after="60" w:line="360" w:lineRule="auto"/>
      <w:ind w:firstLine="200" w:firstLineChars="200"/>
      <w:outlineLvl w:val="2"/>
    </w:pPr>
    <w:rPr>
      <w:rFonts w:eastAsia="Tms Rmn" w:cs="Helv"/>
      <w:b/>
      <w:bCs/>
      <w:sz w:val="32"/>
      <w:szCs w:val="32"/>
    </w:rPr>
  </w:style>
  <w:style w:type="character" w:default="1" w:styleId="14">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annotation text"/>
    <w:basedOn w:val="1"/>
    <w:unhideWhenUsed/>
    <w:qFormat/>
    <w:uiPriority w:val="99"/>
  </w:style>
  <w:style w:type="paragraph" w:styleId="6">
    <w:name w:val="Body Text"/>
    <w:basedOn w:val="1"/>
    <w:qFormat/>
    <w:uiPriority w:val="0"/>
    <w:pPr>
      <w:spacing w:before="0" w:after="140" w:line="276" w:lineRule="auto"/>
    </w:pPr>
  </w:style>
  <w:style w:type="paragraph" w:styleId="7">
    <w:name w:val="Plain Text"/>
    <w:basedOn w:val="1"/>
    <w:qFormat/>
    <w:uiPriority w:val="0"/>
    <w:rPr>
      <w:rFonts w:ascii="宋体" w:hAnsi="Courier New"/>
      <w:szCs w:val="21"/>
    </w:rPr>
  </w:style>
  <w:style w:type="paragraph" w:styleId="8">
    <w:name w:val="footer"/>
    <w:basedOn w:val="1"/>
    <w:unhideWhenUsed/>
    <w:qFormat/>
    <w:uiPriority w:val="99"/>
    <w:pPr>
      <w:tabs>
        <w:tab w:val="center" w:pos="4153"/>
        <w:tab w:val="right" w:pos="8306"/>
      </w:tabs>
      <w:adjustRightInd/>
      <w:spacing w:line="240" w:lineRule="auto"/>
      <w:ind w:firstLine="0" w:firstLineChars="0"/>
      <w:jc w:val="left"/>
    </w:pPr>
    <w:rPr>
      <w:rFonts w:ascii="Calibri" w:hAnsi="Calibri" w:eastAsia="宋体"/>
      <w:sz w:val="18"/>
      <w:szCs w:val="18"/>
    </w:rPr>
  </w:style>
  <w:style w:type="paragraph" w:styleId="9">
    <w:name w:val="toc 1"/>
    <w:basedOn w:val="1"/>
    <w:next w:val="1"/>
    <w:unhideWhenUsed/>
    <w:qFormat/>
    <w:uiPriority w:val="39"/>
    <w:pPr>
      <w:tabs>
        <w:tab w:val="right" w:leader="dot" w:pos="8714"/>
      </w:tabs>
      <w:spacing w:before="60" w:line="360" w:lineRule="auto"/>
      <w:ind w:left="200" w:leftChars="200"/>
      <w:jc w:val="left"/>
    </w:pPr>
    <w:rPr>
      <w:rFonts w:eastAsia="Wingdings" w:cs="MS Mincho"/>
      <w:bCs/>
      <w:caps/>
      <w:sz w:val="30"/>
      <w:szCs w:val="20"/>
    </w:rPr>
  </w:style>
  <w:style w:type="paragraph" w:styleId="10">
    <w:name w:val="Subtitle"/>
    <w:basedOn w:val="1"/>
    <w:next w:val="1"/>
    <w:qFormat/>
    <w:uiPriority w:val="11"/>
    <w:pPr>
      <w:spacing w:before="240" w:after="60" w:line="312" w:lineRule="auto"/>
      <w:jc w:val="center"/>
      <w:outlineLvl w:val="1"/>
    </w:pPr>
    <w:rPr>
      <w:rFonts w:ascii="Calibri" w:hAnsi="Calibri" w:eastAsia="宋体" w:cs="Times New Roman"/>
      <w:b/>
      <w:bCs/>
      <w:kern w:val="28"/>
      <w:sz w:val="32"/>
      <w:szCs w:val="32"/>
    </w:rPr>
  </w:style>
  <w:style w:type="paragraph" w:styleId="11">
    <w:name w:val="toc 2"/>
    <w:basedOn w:val="1"/>
    <w:next w:val="1"/>
    <w:unhideWhenUsed/>
    <w:qFormat/>
    <w:uiPriority w:val="39"/>
    <w:pPr>
      <w:tabs>
        <w:tab w:val="right" w:leader="dot" w:pos="8714"/>
      </w:tabs>
      <w:spacing w:line="360" w:lineRule="auto"/>
      <w:ind w:left="350" w:leftChars="350"/>
      <w:jc w:val="left"/>
    </w:pPr>
    <w:rPr>
      <w:rFonts w:eastAsia="System" w:cs="MS Mincho"/>
      <w:smallCaps/>
      <w:sz w:val="30"/>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unhideWhenUsed/>
    <w:qFormat/>
    <w:uiPriority w:val="99"/>
    <w:rPr>
      <w:color w:val="0000FF"/>
      <w:u w:val="single"/>
    </w:rPr>
  </w:style>
  <w:style w:type="paragraph" w:customStyle="1" w:styleId="16">
    <w:name w:val="独立格式"/>
    <w:basedOn w:val="10"/>
    <w:qFormat/>
    <w:uiPriority w:val="1"/>
    <w:pPr>
      <w:spacing w:before="0" w:after="0" w:line="360" w:lineRule="auto"/>
      <w:outlineLvl w:val="9"/>
    </w:pPr>
    <w:rPr>
      <w:rFonts w:ascii="Times New Roman" w:hAnsi="Times New Roman" w:eastAsia="Tms Rmn" w:cs="Times New Roman"/>
      <w:b w:val="0"/>
      <w:bCs w:val="0"/>
      <w:kern w:val="2"/>
      <w:szCs w:val="52"/>
    </w:rPr>
  </w:style>
  <w:style w:type="paragraph" w:customStyle="1" w:styleId="17">
    <w:name w:val="表格名称"/>
    <w:basedOn w:val="1"/>
    <w:qFormat/>
    <w:uiPriority w:val="0"/>
    <w:pPr>
      <w:spacing w:line="360" w:lineRule="auto"/>
      <w:jc w:val="center"/>
    </w:pPr>
    <w:rPr>
      <w:rFonts w:eastAsia="Helv" w:cs="New York"/>
      <w:b/>
      <w:sz w:val="24"/>
      <w:szCs w:val="24"/>
    </w:rPr>
  </w:style>
  <w:style w:type="paragraph" w:customStyle="1" w:styleId="18">
    <w:name w:val="表格文字"/>
    <w:basedOn w:val="16"/>
    <w:next w:val="1"/>
    <w:qFormat/>
    <w:uiPriority w:val="0"/>
    <w:pPr>
      <w:spacing w:line="360" w:lineRule="exact"/>
    </w:pPr>
    <w:rPr>
      <w:rFonts w:eastAsia="Helv" w:cs="New York"/>
      <w:sz w:val="24"/>
    </w:rPr>
  </w:style>
  <w:style w:type="character" w:customStyle="1" w:styleId="19">
    <w:name w:val="标题 2 Char"/>
    <w:link w:val="3"/>
    <w:qFormat/>
    <w:uiPriority w:val="9"/>
    <w:rPr>
      <w:rFonts w:ascii="Arial" w:hAnsi="Arial" w:eastAsia="Symbol"/>
      <w:b/>
      <w:bCs/>
      <w:sz w:val="32"/>
      <w:szCs w:val="32"/>
    </w:rPr>
  </w:style>
  <w:style w:type="character" w:customStyle="1" w:styleId="20">
    <w:name w:val="标题 3 Char"/>
    <w:link w:val="4"/>
    <w:qFormat/>
    <w:uiPriority w:val="9"/>
    <w:rPr>
      <w:rFonts w:eastAsia="Tms Rmn" w:cs="Helv"/>
      <w:b/>
      <w:bCs/>
      <w:sz w:val="32"/>
      <w:szCs w:val="32"/>
    </w:rPr>
  </w:style>
  <w:style w:type="character" w:customStyle="1" w:styleId="2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1402</Words>
  <Characters>1473</Characters>
  <Lines>0</Lines>
  <Paragraphs>0</Paragraphs>
  <TotalTime>3</TotalTime>
  <ScaleCrop>false</ScaleCrop>
  <LinksUpToDate>false</LinksUpToDate>
  <CharactersWithSpaces>1577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2025-11-07T01:50:00Z</dcterms:created>
  <dc:creator>杨勇</dc:creator>
  <cp:lastModifiedBy>杨勇</cp:lastModifiedBy>
  <dcterms:modified xsi:type="dcterms:W3CDTF">2025-11-14T01:52:43Z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3B2562A8C4444174855590B7B2CC60DC_11</vt:lpwstr>
  </property>
  <property fmtid="{D5CDD505-2E9C-101B-9397-08002B2CF9AE}" pid="4" name="KSOTemplateDocerSaveRecord">
    <vt:lpwstr>eyJoZGlkIjoiYWMwNTIzNzM2YzNlMmFhZWM2Yzc3ZWFmMzIyZjM0N2YiLCJ1c2VySWQiOiI3Nzc5MjM1NjEifQ==</vt:lpwstr>
  </property>
</Properties>
</file>