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202DC"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</w:p>
    <w:p w14:paraId="2282D264">
      <w:pPr>
        <w:jc w:val="center"/>
        <w:rPr>
          <w:rFonts w:ascii="黑体" w:hAnsi="黑体" w:eastAsia="黑体" w:cs="宋体"/>
          <w:b/>
          <w:sz w:val="52"/>
          <w:szCs w:val="52"/>
        </w:rPr>
      </w:pPr>
    </w:p>
    <w:p w14:paraId="0080469F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Calibri" w:hAnsi="Calibri" w:eastAsia="方正小标宋简体" w:cs="方正小标宋简体"/>
          <w:bCs/>
          <w:sz w:val="44"/>
          <w:szCs w:val="44"/>
          <w:lang w:val="en-US"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年伊金霍洛旗农村牧区人居环境</w:t>
      </w:r>
    </w:p>
    <w:p w14:paraId="56F00DC0">
      <w:pPr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综合整治项目绩效评价简版报告</w:t>
      </w:r>
    </w:p>
    <w:p w14:paraId="35D845D4">
      <w:pPr>
        <w:jc w:val="center"/>
        <w:rPr>
          <w:rFonts w:ascii="黑体" w:hAnsi="黑体" w:eastAsia="黑体" w:cs="宋体"/>
          <w:b/>
          <w:sz w:val="52"/>
          <w:szCs w:val="52"/>
        </w:rPr>
      </w:pPr>
    </w:p>
    <w:p w14:paraId="18F15B26">
      <w:pPr>
        <w:jc w:val="center"/>
        <w:rPr>
          <w:rFonts w:ascii="黑体" w:hAnsi="黑体" w:eastAsia="黑体" w:cs="宋体"/>
          <w:sz w:val="52"/>
          <w:szCs w:val="52"/>
        </w:rPr>
      </w:pPr>
    </w:p>
    <w:p w14:paraId="6EA65CAC">
      <w:pPr>
        <w:jc w:val="center"/>
        <w:rPr>
          <w:rFonts w:ascii="黑体" w:hAnsi="黑体" w:eastAsia="黑体" w:cs="宋体"/>
          <w:sz w:val="52"/>
          <w:szCs w:val="52"/>
        </w:rPr>
      </w:pPr>
    </w:p>
    <w:p w14:paraId="1B365185">
      <w:pPr>
        <w:jc w:val="center"/>
        <w:rPr>
          <w:rFonts w:ascii="黑体" w:hAnsi="黑体" w:eastAsia="黑体" w:cs="宋体"/>
          <w:b/>
          <w:sz w:val="52"/>
          <w:szCs w:val="52"/>
        </w:rPr>
      </w:pP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299"/>
      </w:tblGrid>
      <w:tr w14:paraId="2F644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840" w:type="dxa"/>
            <w:noWrap w:val="0"/>
            <w:vAlign w:val="top"/>
          </w:tcPr>
          <w:p w14:paraId="0A13D0F6">
            <w:pPr>
              <w:keepNext w:val="0"/>
              <w:keepLines w:val="0"/>
              <w:pageBreakBefore w:val="0"/>
              <w:widowControl w:val="0"/>
              <w:tabs>
                <w:tab w:val="left" w:leader="underscore" w:pos="79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 w:cs="Times New Roman (正文 CS 字体)"/>
                <w:sz w:val="32"/>
                <w:szCs w:val="32"/>
              </w:rPr>
              <w:t>评价委托单位：</w:t>
            </w:r>
          </w:p>
        </w:tc>
        <w:tc>
          <w:tcPr>
            <w:tcW w:w="5299" w:type="dxa"/>
            <w:noWrap w:val="0"/>
            <w:vAlign w:val="top"/>
          </w:tcPr>
          <w:p w14:paraId="7F1AA3DF">
            <w:pPr>
              <w:snapToGrid w:val="0"/>
              <w:rPr>
                <w:rFonts w:hint="default" w:ascii="仿宋" w:hAnsi="仿宋" w:eastAsia="仿宋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鄂尔多斯市伊金霍洛旗财政局        </w:t>
            </w:r>
          </w:p>
        </w:tc>
      </w:tr>
      <w:tr w14:paraId="790A7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840" w:type="dxa"/>
            <w:noWrap w:val="0"/>
            <w:vAlign w:val="top"/>
          </w:tcPr>
          <w:p w14:paraId="02D127D8">
            <w:pPr>
              <w:keepNext w:val="0"/>
              <w:keepLines w:val="0"/>
              <w:pageBreakBefore w:val="0"/>
              <w:widowControl w:val="0"/>
              <w:tabs>
                <w:tab w:val="left" w:leader="underscore" w:pos="79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黑体" w:hAnsi="黑体" w:eastAsia="黑体" w:cs="Times New Roman (正文 CS 字体)"/>
                <w:sz w:val="32"/>
                <w:szCs w:val="32"/>
              </w:rPr>
              <w:t>被评价单位：</w:t>
            </w:r>
          </w:p>
        </w:tc>
        <w:tc>
          <w:tcPr>
            <w:tcW w:w="5299" w:type="dxa"/>
            <w:noWrap w:val="0"/>
            <w:vAlign w:val="top"/>
          </w:tcPr>
          <w:p w14:paraId="388BD55B">
            <w:pPr>
              <w:snapToGrid w:val="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伊金霍洛旗乡村振兴统筹发展中心  </w:t>
            </w:r>
          </w:p>
        </w:tc>
      </w:tr>
      <w:tr w14:paraId="3A6E0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840" w:type="dxa"/>
            <w:noWrap w:val="0"/>
            <w:vAlign w:val="top"/>
          </w:tcPr>
          <w:p w14:paraId="75C6A78F">
            <w:pPr>
              <w:keepNext w:val="0"/>
              <w:keepLines w:val="0"/>
              <w:pageBreakBefore w:val="0"/>
              <w:widowControl w:val="0"/>
              <w:tabs>
                <w:tab w:val="left" w:leader="underscore" w:pos="79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distribute"/>
              <w:textAlignment w:val="auto"/>
            </w:pPr>
            <w:r>
              <w:rPr>
                <w:rFonts w:hint="eastAsia" w:ascii="黑体" w:hAnsi="黑体" w:eastAsia="黑体" w:cs="Times New Roman (正文 CS 字体)"/>
                <w:sz w:val="32"/>
                <w:szCs w:val="32"/>
                <w:lang w:val="en-US" w:eastAsia="zh-CN"/>
              </w:rPr>
              <w:t>评价机构：</w:t>
            </w:r>
          </w:p>
        </w:tc>
        <w:tc>
          <w:tcPr>
            <w:tcW w:w="5299" w:type="dxa"/>
            <w:noWrap w:val="0"/>
            <w:vAlign w:val="top"/>
          </w:tcPr>
          <w:p w14:paraId="6208908C">
            <w:pPr>
              <w:snapToGrid w:val="0"/>
              <w:rPr>
                <w:rFonts w:hint="default" w:ascii="仿宋" w:hAnsi="仿宋" w:eastAsia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内蒙古誉恒项目管理有限责任公司  </w:t>
            </w:r>
          </w:p>
        </w:tc>
      </w:tr>
    </w:tbl>
    <w:p w14:paraId="7FE827B9">
      <w:pPr>
        <w:rPr>
          <w:rFonts w:ascii="仿宋" w:hAnsi="仿宋" w:eastAsia="仿宋"/>
          <w:sz w:val="32"/>
          <w:szCs w:val="32"/>
        </w:rPr>
      </w:pPr>
    </w:p>
    <w:p w14:paraId="396184F7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Calibri" w:hAnsi="Calibri" w:eastAsia="仿宋"/>
          <w:sz w:val="32"/>
          <w:szCs w:val="32"/>
        </w:rPr>
        <w:t>20</w:t>
      </w:r>
      <w:r>
        <w:rPr>
          <w:rFonts w:hint="eastAsia" w:ascii="Calibri" w:hAnsi="Calibri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Calibri" w:hAnsi="Calibri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</w:p>
    <w:p w14:paraId="6DFA66D2">
      <w:pPr>
        <w:jc w:val="center"/>
        <w:rPr>
          <w:rFonts w:ascii="仿宋" w:hAnsi="仿宋" w:eastAsia="仿宋"/>
          <w:sz w:val="32"/>
          <w:szCs w:val="32"/>
        </w:rPr>
        <w:sectPr>
          <w:pgSz w:w="11906" w:h="16838"/>
          <w:pgMar w:top="2098" w:right="1474" w:bottom="1701" w:left="1474" w:header="851" w:footer="992" w:gutter="0"/>
          <w:pgNumType w:fmt="numberInDash"/>
          <w:cols w:space="720" w:num="1"/>
          <w:docGrid w:type="lines" w:linePitch="312" w:charSpace="0"/>
        </w:sectPr>
      </w:pPr>
    </w:p>
    <w:p w14:paraId="0C0BA4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基本情况</w:t>
      </w:r>
    </w:p>
    <w:p w14:paraId="44FE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（一）项目内容</w:t>
      </w:r>
    </w:p>
    <w:p w14:paraId="74BF09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项目主要建设内容：建设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个污水处理站出水暂存池、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个垃圾转运房和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个垃圾转运站。</w:t>
      </w:r>
    </w:p>
    <w:p w14:paraId="1C511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（二）资金投入及支出情况</w:t>
      </w:r>
    </w:p>
    <w:p w14:paraId="7E8905BB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该项目申请旗财政配套资金</w:t>
      </w:r>
      <w:r>
        <w:rPr>
          <w:rFonts w:hint="default" w:ascii="Calibri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2170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万元，实际到位配套资金</w:t>
      </w:r>
      <w:r>
        <w:rPr>
          <w:rFonts w:hint="default" w:ascii="Calibri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2170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万元，资金到位率</w:t>
      </w:r>
      <w:r>
        <w:rPr>
          <w:rFonts w:hint="default" w:ascii="Calibri" w:hAnsi="Calibri" w:eastAsia="仿宋_GB2312" w:cs="Times New Roman"/>
          <w:b w:val="0"/>
          <w:kern w:val="2"/>
          <w:sz w:val="32"/>
          <w:szCs w:val="32"/>
          <w:lang w:val="en-US" w:eastAsia="zh-CN" w:bidi="ar-SA"/>
        </w:rPr>
        <w:t>100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%。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本次重点评价</w:t>
      </w:r>
      <w:r>
        <w:rPr>
          <w:rFonts w:hint="default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2024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度使用金额</w:t>
      </w:r>
      <w:r>
        <w:rPr>
          <w:rFonts w:hint="eastAsia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298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79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万元的情况，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根据项目实施情况，</w:t>
      </w:r>
      <w:r>
        <w:rPr>
          <w:rFonts w:hint="eastAsia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截至评价日2024年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度使用评价金额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支付完成</w:t>
      </w:r>
      <w:r>
        <w:rPr>
          <w:rFonts w:hint="default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298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7902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万元，资金执行率为</w:t>
      </w:r>
      <w:r>
        <w:rPr>
          <w:rFonts w:hint="default" w:ascii="Calibri" w:hAnsi="Calibri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100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  <w:t>%，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具体资金执行情况详见下表。</w:t>
      </w:r>
    </w:p>
    <w:p w14:paraId="04C78302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表</w:t>
      </w:r>
      <w:r>
        <w:rPr>
          <w:rFonts w:hint="eastAsia" w:ascii="Calibri" w:hAnsi="Calibri" w:eastAsia="方正小标宋简体" w:cs="方正小标宋简体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：</w:t>
      </w:r>
      <w:r>
        <w:rPr>
          <w:rFonts w:hint="eastAsia" w:ascii="Calibri" w:hAnsi="Calibri" w:eastAsia="方正小标宋简体" w:cs="方正小标宋简体"/>
          <w:lang w:val="en-US"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年伊金霍洛旗农村牧区人居环境综合整治项目资金分配情况</w:t>
      </w:r>
    </w:p>
    <w:p w14:paraId="7C057323">
      <w:pPr>
        <w:pStyle w:val="1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                                    单位：（万元）</w:t>
      </w: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341"/>
        <w:gridCol w:w="3350"/>
        <w:gridCol w:w="1319"/>
        <w:gridCol w:w="1383"/>
      </w:tblGrid>
      <w:tr w14:paraId="3787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24" w:type="pct"/>
            <w:noWrap w:val="0"/>
            <w:vAlign w:val="center"/>
          </w:tcPr>
          <w:p w14:paraId="12A3CBF6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  <w:t>序号</w:t>
            </w:r>
          </w:p>
        </w:tc>
        <w:tc>
          <w:tcPr>
            <w:tcW w:w="1276" w:type="pct"/>
            <w:noWrap w:val="0"/>
            <w:vAlign w:val="center"/>
          </w:tcPr>
          <w:p w14:paraId="2029BF99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  <w:t>付款单位</w:t>
            </w:r>
          </w:p>
        </w:tc>
        <w:tc>
          <w:tcPr>
            <w:tcW w:w="1826" w:type="pct"/>
            <w:noWrap w:val="0"/>
            <w:vAlign w:val="center"/>
          </w:tcPr>
          <w:p w14:paraId="327364CE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  <w:t>收款单位</w:t>
            </w:r>
          </w:p>
        </w:tc>
        <w:tc>
          <w:tcPr>
            <w:tcW w:w="718" w:type="pct"/>
            <w:noWrap w:val="0"/>
            <w:vAlign w:val="center"/>
          </w:tcPr>
          <w:p w14:paraId="337A0132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  <w:t>用途</w:t>
            </w:r>
          </w:p>
        </w:tc>
        <w:tc>
          <w:tcPr>
            <w:tcW w:w="754" w:type="pct"/>
            <w:noWrap w:val="0"/>
            <w:vAlign w:val="center"/>
          </w:tcPr>
          <w:p w14:paraId="4A191CE1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eastAsia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黑体" w:hAnsi="黑体" w:eastAsia="黑体" w:cs="华文仿宋"/>
                <w:b/>
                <w:kern w:val="2"/>
                <w:sz w:val="24"/>
                <w:szCs w:val="52"/>
                <w:lang w:val="en-US" w:eastAsia="zh-CN" w:bidi="ar-SA"/>
              </w:rPr>
              <w:t>付款金额</w:t>
            </w:r>
          </w:p>
        </w:tc>
      </w:tr>
      <w:tr w14:paraId="3396F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4" w:type="pct"/>
            <w:noWrap w:val="0"/>
            <w:vAlign w:val="center"/>
          </w:tcPr>
          <w:p w14:paraId="45987BCE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  <w:t>1</w:t>
            </w:r>
          </w:p>
        </w:tc>
        <w:tc>
          <w:tcPr>
            <w:tcW w:w="1276" w:type="pct"/>
            <w:noWrap w:val="0"/>
            <w:vAlign w:val="center"/>
          </w:tcPr>
          <w:p w14:paraId="355DD988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伊金霍洛旗乡村振兴统筹发展中心</w:t>
            </w:r>
          </w:p>
        </w:tc>
        <w:tc>
          <w:tcPr>
            <w:tcW w:w="1826" w:type="pct"/>
            <w:noWrap w:val="0"/>
            <w:vAlign w:val="center"/>
          </w:tcPr>
          <w:p w14:paraId="2BABC8F6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世邦建工集团有限公司</w:t>
            </w:r>
          </w:p>
        </w:tc>
        <w:tc>
          <w:tcPr>
            <w:tcW w:w="718" w:type="pct"/>
            <w:noWrap w:val="0"/>
            <w:vAlign w:val="center"/>
          </w:tcPr>
          <w:p w14:paraId="02F83F65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基础建设费用</w:t>
            </w:r>
          </w:p>
        </w:tc>
        <w:tc>
          <w:tcPr>
            <w:tcW w:w="754" w:type="pct"/>
            <w:noWrap w:val="0"/>
            <w:vAlign w:val="center"/>
          </w:tcPr>
          <w:p w14:paraId="258A38FB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250</w:t>
            </w:r>
            <w:r>
              <w:rPr>
                <w:rFonts w:hint="eastAsia" w:ascii="宋体" w:hAnsi="宋体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.</w:t>
            </w: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7009</w:t>
            </w:r>
          </w:p>
        </w:tc>
      </w:tr>
      <w:tr w14:paraId="144C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4" w:type="pct"/>
            <w:noWrap w:val="0"/>
            <w:vAlign w:val="center"/>
          </w:tcPr>
          <w:p w14:paraId="5E14E6A6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  <w:t>2</w:t>
            </w:r>
          </w:p>
        </w:tc>
        <w:tc>
          <w:tcPr>
            <w:tcW w:w="1276" w:type="pct"/>
            <w:noWrap w:val="0"/>
            <w:vAlign w:val="center"/>
          </w:tcPr>
          <w:p w14:paraId="27BED5A5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伊金霍洛旗乡村振兴统筹发展中心</w:t>
            </w:r>
          </w:p>
        </w:tc>
        <w:tc>
          <w:tcPr>
            <w:tcW w:w="1826" w:type="pct"/>
            <w:noWrap w:val="0"/>
            <w:vAlign w:val="center"/>
          </w:tcPr>
          <w:p w14:paraId="23C9A1C1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  <w:t>中城科泽工程设计集团有限责任公司</w:t>
            </w:r>
          </w:p>
        </w:tc>
        <w:tc>
          <w:tcPr>
            <w:tcW w:w="718" w:type="pct"/>
            <w:noWrap w:val="0"/>
            <w:vAlign w:val="center"/>
          </w:tcPr>
          <w:p w14:paraId="6307F24F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设计服务费用</w:t>
            </w:r>
          </w:p>
        </w:tc>
        <w:tc>
          <w:tcPr>
            <w:tcW w:w="754" w:type="pct"/>
            <w:noWrap w:val="0"/>
            <w:vAlign w:val="center"/>
          </w:tcPr>
          <w:p w14:paraId="793D9EDC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.</w:t>
            </w: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24</w:t>
            </w:r>
          </w:p>
        </w:tc>
      </w:tr>
      <w:tr w14:paraId="5A55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4" w:type="pct"/>
            <w:noWrap w:val="0"/>
            <w:vAlign w:val="center"/>
          </w:tcPr>
          <w:p w14:paraId="218C622C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  <w:t>3</w:t>
            </w:r>
          </w:p>
        </w:tc>
        <w:tc>
          <w:tcPr>
            <w:tcW w:w="1276" w:type="pct"/>
            <w:noWrap w:val="0"/>
            <w:vAlign w:val="center"/>
          </w:tcPr>
          <w:p w14:paraId="244097E5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伊金霍洛旗乡村振兴统筹发展中心</w:t>
            </w:r>
          </w:p>
        </w:tc>
        <w:tc>
          <w:tcPr>
            <w:tcW w:w="1826" w:type="pct"/>
            <w:noWrap w:val="0"/>
            <w:vAlign w:val="center"/>
          </w:tcPr>
          <w:p w14:paraId="73DEFF20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内蒙古首信建设监理有限公司</w:t>
            </w:r>
          </w:p>
        </w:tc>
        <w:tc>
          <w:tcPr>
            <w:tcW w:w="718" w:type="pct"/>
            <w:noWrap w:val="0"/>
            <w:vAlign w:val="center"/>
          </w:tcPr>
          <w:p w14:paraId="65EAA81F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监理费用</w:t>
            </w:r>
          </w:p>
        </w:tc>
        <w:tc>
          <w:tcPr>
            <w:tcW w:w="754" w:type="pct"/>
            <w:noWrap w:val="0"/>
            <w:vAlign w:val="center"/>
          </w:tcPr>
          <w:p w14:paraId="679E9C23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15</w:t>
            </w:r>
            <w:r>
              <w:rPr>
                <w:rFonts w:hint="eastAsia" w:ascii="宋体" w:hAnsi="宋体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.</w:t>
            </w: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478</w:t>
            </w:r>
          </w:p>
        </w:tc>
      </w:tr>
      <w:tr w14:paraId="271D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24" w:type="pct"/>
            <w:noWrap w:val="0"/>
            <w:vAlign w:val="center"/>
          </w:tcPr>
          <w:p w14:paraId="55C64BE5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4</w:t>
            </w:r>
          </w:p>
        </w:tc>
        <w:tc>
          <w:tcPr>
            <w:tcW w:w="1276" w:type="pct"/>
            <w:noWrap w:val="0"/>
            <w:vAlign w:val="center"/>
          </w:tcPr>
          <w:p w14:paraId="066B0635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伊金霍洛旗乡村振兴统筹发展中心</w:t>
            </w:r>
          </w:p>
        </w:tc>
        <w:tc>
          <w:tcPr>
            <w:tcW w:w="1826" w:type="pct"/>
            <w:noWrap w:val="0"/>
            <w:vAlign w:val="center"/>
          </w:tcPr>
          <w:p w14:paraId="69F2B752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包头市科达勘察工程有限责任公司</w:t>
            </w:r>
          </w:p>
        </w:tc>
        <w:tc>
          <w:tcPr>
            <w:tcW w:w="718" w:type="pct"/>
            <w:noWrap w:val="0"/>
            <w:vAlign w:val="center"/>
          </w:tcPr>
          <w:p w14:paraId="2A0A9E2C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kern w:val="2"/>
                <w:sz w:val="24"/>
                <w:szCs w:val="52"/>
                <w:lang w:val="en-US" w:eastAsia="zh-CN" w:bidi="ar-SA"/>
              </w:rPr>
              <w:t>勘察费用</w:t>
            </w:r>
          </w:p>
        </w:tc>
        <w:tc>
          <w:tcPr>
            <w:tcW w:w="754" w:type="pct"/>
            <w:noWrap w:val="0"/>
            <w:vAlign w:val="center"/>
          </w:tcPr>
          <w:p w14:paraId="47717C52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.</w:t>
            </w: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3713</w:t>
            </w:r>
          </w:p>
        </w:tc>
      </w:tr>
      <w:tr w14:paraId="770E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245" w:type="pct"/>
            <w:gridSpan w:val="4"/>
            <w:noWrap w:val="0"/>
            <w:vAlign w:val="center"/>
          </w:tcPr>
          <w:p w14:paraId="5D9402C0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eastAsia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  <w:t>合计</w:t>
            </w:r>
          </w:p>
        </w:tc>
        <w:tc>
          <w:tcPr>
            <w:tcW w:w="754" w:type="pct"/>
            <w:noWrap w:val="0"/>
            <w:vAlign w:val="center"/>
          </w:tcPr>
          <w:p w14:paraId="0BBFE1A0">
            <w:pPr>
              <w:widowControl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jc w:val="center"/>
              <w:outlineLvl w:val="9"/>
              <w:rPr>
                <w:rFonts w:hint="default" w:ascii="宋体" w:hAnsi="宋体" w:eastAsia="宋体" w:cs="华文仿宋"/>
                <w:b w:val="0"/>
                <w:kern w:val="2"/>
                <w:sz w:val="24"/>
                <w:szCs w:val="52"/>
                <w:lang w:val="en-US" w:eastAsia="zh-CN" w:bidi="ar-SA"/>
              </w:rPr>
            </w:pP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298</w:t>
            </w:r>
            <w:r>
              <w:rPr>
                <w:rFonts w:hint="eastAsia" w:ascii="宋体" w:hAnsi="宋体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.</w:t>
            </w:r>
            <w:r>
              <w:rPr>
                <w:rFonts w:hint="eastAsia" w:ascii="Calibri" w:hAnsi="Calibri" w:eastAsia="宋体" w:cs="New York"/>
                <w:b w:val="0"/>
                <w:kern w:val="2"/>
                <w:sz w:val="24"/>
                <w:szCs w:val="52"/>
                <w:lang w:val="en-US" w:eastAsia="zh-CN" w:bidi="ar-SA"/>
              </w:rPr>
              <w:t>7902</w:t>
            </w:r>
          </w:p>
        </w:tc>
      </w:tr>
    </w:tbl>
    <w:p w14:paraId="6086D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（三）项目绩效目标</w:t>
      </w:r>
    </w:p>
    <w:p w14:paraId="6AA0E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该项目通过实施农村牧区人居环境综合整治项目，加大乡村人居环境建设，完善相关嘎查村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基础设施，有效提升乡村人居环境治理水平。项目于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月开工，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年在伊金霍洛镇建设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个污水处理站出水暂存池、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个垃圾转运房和</w:t>
      </w:r>
      <w:r>
        <w:rPr>
          <w:rFonts w:hint="default" w:ascii="Calibri" w:hAnsi="Calibri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个垃圾转运站。</w:t>
      </w:r>
    </w:p>
    <w:p w14:paraId="15516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二、评价结论</w:t>
      </w:r>
    </w:p>
    <w:p w14:paraId="67553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（一）评价结果</w:t>
      </w:r>
    </w:p>
    <w:p w14:paraId="53D15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该项目绩效评价综合评分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97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，评级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2FFB44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</w:rPr>
        <w:t>总体结论</w:t>
      </w:r>
    </w:p>
    <w:p w14:paraId="00F79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项目紧扣乡村振兴战略，完成垃圾收运、污水治理、村容村貌提升等核心任务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提升伊金霍洛旗农村牧区生活污水治理率，提升农村牧区生活污水资源重复利用率，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农牧民满意度超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97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%，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切实改善了居住环境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契合农村牧区生态保护与民生需求。</w:t>
      </w:r>
    </w:p>
    <w:p w14:paraId="0211C9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主要问题及相关建议</w:t>
      </w:r>
    </w:p>
    <w:p w14:paraId="3110B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未开展竣工结算、审计决算、产权登记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等工作，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后续收尾工作进度滞后。</w:t>
      </w:r>
    </w:p>
    <w:p w14:paraId="35A94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议：项目单位应加强落实各主管单位后续管理责任，督促第三方单位尽早完成竣工结算工作，同时项目单位在严格执行资产管理相关制度的情况下，尽早完成相关资产的转移、确权工作，防范资产流失和闲置浪费，实现项目资产稳定良性运转，确保项目资产持续发挥作用。</w:t>
      </w:r>
    </w:p>
    <w:p w14:paraId="2B922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项目合同签订不规范，合同要素不齐全。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对合同签订过程管理不足，导致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技术服务委托合同无签订金额；建设工程造价咨询合同无签订日期；监理标段中标通知书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约定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监理期限（</w:t>
      </w:r>
      <w:r>
        <w:rPr>
          <w:rFonts w:hint="default" w:ascii="Calibri" w:hAnsi="Calibri" w:eastAsia="仿宋_GB2312" w:cs="Times New Roman"/>
          <w:sz w:val="32"/>
          <w:szCs w:val="32"/>
          <w:lang w:val="en-US" w:eastAsia="zh-CN"/>
        </w:rPr>
        <w:t>130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日历天）与建设工程监理合同约定监理期限（</w:t>
      </w:r>
      <w:r>
        <w:rPr>
          <w:rFonts w:hint="default" w:ascii="Calibri" w:hAnsi="Calibri" w:eastAsia="仿宋_GB2312" w:cs="Times New Roman"/>
          <w:sz w:val="32"/>
          <w:szCs w:val="32"/>
          <w:lang w:val="en-US" w:eastAsia="zh-CN"/>
        </w:rPr>
        <w:t>214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日历天）不一致。</w:t>
      </w:r>
    </w:p>
    <w:p w14:paraId="10B57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议：项目单位应立即对已签合同开展要素完整性核查，补充缺失的签订日期、服务期限等要素。为避免之后发生类似情况，建议项目单位参照财政部《政府采购合同（示范文本）》，分类制定采购、咨询类合同标准化模板，强制包含“签订日期、服务期限、权利义务、违约责任、争议解决”等</w:t>
      </w:r>
      <w:r>
        <w:rPr>
          <w:rFonts w:hint="default" w:ascii="Calibri" w:hAnsi="Calibri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项核心条款，从源头杜绝要素缺失。同时加强合同审核管理，重点核查服务期限与项目进度匹配性、权利义务对等性等风险点，审核签字留痕并存档备查，保障合同的法律效力。</w:t>
      </w:r>
    </w:p>
    <w:sectPr>
      <w:footerReference r:id="rId5" w:type="default"/>
      <w:pgSz w:w="11906" w:h="16838"/>
      <w:pgMar w:top="2098" w:right="1474" w:bottom="1701" w:left="1474" w:header="720" w:footer="720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Helv">
    <w:altName w:val="Arial"/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FC68E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0E7FA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nvsskBAACb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d+e+y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B0E7FA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A448A8"/>
    <w:multiLevelType w:val="singleLevel"/>
    <w:tmpl w:val="6DA448A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3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4C3CE7"/>
    <w:rsid w:val="026C6D7F"/>
    <w:rsid w:val="027345B1"/>
    <w:rsid w:val="069F392E"/>
    <w:rsid w:val="07025EBA"/>
    <w:rsid w:val="08BC2A1A"/>
    <w:rsid w:val="0A1B17B6"/>
    <w:rsid w:val="0A3C34DB"/>
    <w:rsid w:val="0C6B516E"/>
    <w:rsid w:val="0D02513E"/>
    <w:rsid w:val="0E3B2427"/>
    <w:rsid w:val="0FCE3F06"/>
    <w:rsid w:val="119A7465"/>
    <w:rsid w:val="1427781A"/>
    <w:rsid w:val="159D110C"/>
    <w:rsid w:val="15B036FB"/>
    <w:rsid w:val="19856C4C"/>
    <w:rsid w:val="1A3B730B"/>
    <w:rsid w:val="1EC41FC5"/>
    <w:rsid w:val="1F925AD9"/>
    <w:rsid w:val="20C73DEA"/>
    <w:rsid w:val="247104F9"/>
    <w:rsid w:val="275D1C2E"/>
    <w:rsid w:val="27D72D69"/>
    <w:rsid w:val="27EE00B2"/>
    <w:rsid w:val="293B7B90"/>
    <w:rsid w:val="2CA60F5C"/>
    <w:rsid w:val="2D1E4F96"/>
    <w:rsid w:val="2D9D410D"/>
    <w:rsid w:val="2F2F348A"/>
    <w:rsid w:val="301D7787"/>
    <w:rsid w:val="33ED4DD6"/>
    <w:rsid w:val="348558FB"/>
    <w:rsid w:val="36E30F78"/>
    <w:rsid w:val="374B7F7F"/>
    <w:rsid w:val="3AB807D8"/>
    <w:rsid w:val="3BC907C3"/>
    <w:rsid w:val="3CED228F"/>
    <w:rsid w:val="40226F0D"/>
    <w:rsid w:val="413D4778"/>
    <w:rsid w:val="41594602"/>
    <w:rsid w:val="43F87E97"/>
    <w:rsid w:val="49556BC0"/>
    <w:rsid w:val="49CF51F6"/>
    <w:rsid w:val="4B776A25"/>
    <w:rsid w:val="4C9B1D07"/>
    <w:rsid w:val="4CA02E7A"/>
    <w:rsid w:val="4E4C150B"/>
    <w:rsid w:val="5100038B"/>
    <w:rsid w:val="51BD4B29"/>
    <w:rsid w:val="53346A12"/>
    <w:rsid w:val="53681D4A"/>
    <w:rsid w:val="54B31022"/>
    <w:rsid w:val="55D02A22"/>
    <w:rsid w:val="56026953"/>
    <w:rsid w:val="57B4518F"/>
    <w:rsid w:val="58D565A1"/>
    <w:rsid w:val="5A1F15AF"/>
    <w:rsid w:val="5AB0697E"/>
    <w:rsid w:val="5D1E61C8"/>
    <w:rsid w:val="5FED5F7E"/>
    <w:rsid w:val="61D64494"/>
    <w:rsid w:val="62B86D17"/>
    <w:rsid w:val="62E75D20"/>
    <w:rsid w:val="63AC3FD3"/>
    <w:rsid w:val="653476C4"/>
    <w:rsid w:val="6593496C"/>
    <w:rsid w:val="67513297"/>
    <w:rsid w:val="681E586F"/>
    <w:rsid w:val="68EB3277"/>
    <w:rsid w:val="6A845731"/>
    <w:rsid w:val="6BC229B5"/>
    <w:rsid w:val="6C393129"/>
    <w:rsid w:val="6CCB3AEB"/>
    <w:rsid w:val="6D5B6C1D"/>
    <w:rsid w:val="6D7B72BF"/>
    <w:rsid w:val="6E69536A"/>
    <w:rsid w:val="72347A3D"/>
    <w:rsid w:val="74BD2EF5"/>
    <w:rsid w:val="752C0E9F"/>
    <w:rsid w:val="772E7150"/>
    <w:rsid w:val="79921C19"/>
    <w:rsid w:val="7EC47F2F"/>
    <w:rsid w:val="7EEB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next w:val="1"/>
    <w:unhideWhenUsed/>
    <w:qFormat/>
    <w:uiPriority w:val="0"/>
    <w:pPr>
      <w:keepNext/>
      <w:keepLines/>
      <w:widowControl w:val="0"/>
      <w:adjustRightInd w:val="0"/>
      <w:snapToGrid w:val="0"/>
      <w:spacing w:before="120" w:beforeLines="120" w:beforeAutospacing="0" w:after="80" w:afterLines="80" w:afterAutospacing="0" w:line="288" w:lineRule="auto"/>
      <w:jc w:val="both"/>
      <w:outlineLvl w:val="1"/>
    </w:pPr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6">
    <w:name w:val="heading 3"/>
    <w:next w:val="1"/>
    <w:unhideWhenUsed/>
    <w:qFormat/>
    <w:uiPriority w:val="0"/>
    <w:pPr>
      <w:keepNext/>
      <w:keepLines/>
      <w:widowControl w:val="0"/>
      <w:adjustRightInd w:val="0"/>
      <w:snapToGrid w:val="0"/>
      <w:spacing w:before="120" w:beforeLines="120" w:beforeAutospacing="0" w:after="80" w:afterLines="80" w:afterAutospacing="0" w:line="288" w:lineRule="auto"/>
      <w:jc w:val="both"/>
      <w:outlineLvl w:val="2"/>
    </w:pPr>
    <w:rPr>
      <w:rFonts w:ascii="Calibri" w:hAnsi="Calibri" w:eastAsia="宋体" w:cs="Times New Roman"/>
      <w:b/>
      <w:bCs/>
      <w:kern w:val="2"/>
      <w:sz w:val="30"/>
      <w:szCs w:val="30"/>
      <w:lang w:val="en-US" w:eastAsia="zh-CN"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/>
    </w:pPr>
    <w:rPr>
      <w:rFonts w:hint="eastAsia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7">
    <w:name w:val="toa heading"/>
    <w:next w:val="1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"/>
    <w:basedOn w:val="1"/>
    <w:qFormat/>
    <w:uiPriority w:val="0"/>
    <w:pPr>
      <w:widowControl w:val="0"/>
      <w:adjustRightInd w:val="0"/>
      <w:snapToGrid w:val="0"/>
      <w:spacing w:after="120" w:afterLines="0" w:afterAutospacing="0" w:line="288" w:lineRule="auto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10">
    <w:name w:val="footer"/>
    <w:qFormat/>
    <w:uiPriority w:val="0"/>
    <w:pPr>
      <w:widowControl w:val="0"/>
      <w:tabs>
        <w:tab w:val="center" w:pos="4153"/>
        <w:tab w:val="right" w:pos="8306"/>
      </w:tabs>
      <w:adjustRightInd w:val="0"/>
      <w:snapToGrid w:val="0"/>
      <w:spacing w:after="20" w:afterLines="20" w:line="288" w:lineRule="auto"/>
      <w:ind w:firstLine="0" w:firstLineChars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1"/>
    <w:next w:val="1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13">
    <w:name w:val="Subtitle"/>
    <w:next w:val="1"/>
    <w:qFormat/>
    <w:uiPriority w:val="0"/>
    <w:pPr>
      <w:widowControl w:val="0"/>
      <w:adjustRightInd w:val="0"/>
      <w:snapToGrid w:val="0"/>
      <w:spacing w:before="240" w:beforeLines="0" w:beforeAutospacing="0" w:after="60" w:afterLines="0" w:afterAutospacing="0" w:line="312" w:lineRule="auto"/>
      <w:jc w:val="center"/>
      <w:outlineLvl w:val="1"/>
    </w:pPr>
    <w:rPr>
      <w:rFonts w:ascii="Cambria" w:hAnsi="Cambria" w:eastAsia="宋体" w:cs="Times New Roman"/>
      <w:b/>
      <w:kern w:val="28"/>
      <w:sz w:val="32"/>
      <w:szCs w:val="32"/>
      <w:lang w:val="en-US" w:eastAsia="zh-CN" w:bidi="ar-SA"/>
    </w:rPr>
  </w:style>
  <w:style w:type="paragraph" w:styleId="14">
    <w:name w:val="toc 2"/>
    <w:next w:val="1"/>
    <w:qFormat/>
    <w:uiPriority w:val="0"/>
    <w:pPr>
      <w:widowControl w:val="0"/>
      <w:adjustRightInd w:val="0"/>
      <w:snapToGrid w:val="0"/>
      <w:spacing w:after="20" w:afterLines="20" w:line="288" w:lineRule="auto"/>
      <w:ind w:left="420" w:left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table" w:styleId="1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qFormat/>
    <w:uiPriority w:val="0"/>
    <w:rPr>
      <w:rFonts w:ascii="Calibri" w:hAnsi="Calibri" w:eastAsia="宋体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paragraph" w:customStyle="1" w:styleId="19">
    <w:name w:val="表格名称"/>
    <w:qFormat/>
    <w:uiPriority w:val="0"/>
    <w:pPr>
      <w:widowControl w:val="0"/>
      <w:adjustRightInd w:val="0"/>
      <w:snapToGrid w:val="0"/>
      <w:spacing w:after="20" w:afterLines="20" w:line="360" w:lineRule="auto"/>
      <w:jc w:val="center"/>
    </w:pPr>
    <w:rPr>
      <w:rFonts w:ascii="Calibri" w:hAnsi="Calibri" w:eastAsia="Helv" w:cs="New York"/>
      <w:b/>
      <w:kern w:val="2"/>
      <w:sz w:val="24"/>
      <w:szCs w:val="24"/>
      <w:lang w:val="en-US" w:eastAsia="zh-CN" w:bidi="ar-SA"/>
    </w:rPr>
  </w:style>
  <w:style w:type="paragraph" w:customStyle="1" w:styleId="20">
    <w:name w:val="表格文字"/>
    <w:next w:val="1"/>
    <w:qFormat/>
    <w:uiPriority w:val="0"/>
    <w:pPr>
      <w:widowControl w:val="0"/>
      <w:adjustRightInd w:val="0"/>
      <w:snapToGrid w:val="0"/>
      <w:spacing w:before="0" w:beforeLines="0" w:beforeAutospacing="0" w:after="0" w:afterLines="0" w:afterAutospacing="0" w:line="360" w:lineRule="exact"/>
      <w:jc w:val="center"/>
      <w:outlineLvl w:val="9"/>
    </w:pPr>
    <w:rPr>
      <w:rFonts w:ascii="Times New Roman" w:hAnsi="Times New Roman" w:eastAsia="Helv" w:cs="New York"/>
      <w:kern w:val="2"/>
      <w:sz w:val="24"/>
      <w:szCs w:val="52"/>
      <w:lang w:val="en-US" w:eastAsia="zh-CN" w:bidi="ar-SA"/>
    </w:rPr>
  </w:style>
  <w:style w:type="paragraph" w:customStyle="1" w:styleId="21">
    <w:name w:val="独立格式"/>
    <w:qFormat/>
    <w:uiPriority w:val="1"/>
    <w:pPr>
      <w:widowControl w:val="0"/>
      <w:adjustRightInd w:val="0"/>
      <w:snapToGrid w:val="0"/>
      <w:spacing w:before="0" w:beforeLines="0" w:beforeAutospacing="0" w:after="0" w:afterLines="0" w:afterAutospacing="0" w:line="360" w:lineRule="auto"/>
      <w:jc w:val="center"/>
      <w:outlineLvl w:val="9"/>
    </w:pPr>
    <w:rPr>
      <w:rFonts w:ascii="Times New Roman" w:hAnsi="Times New Roman" w:eastAsia="Tms Rmn" w:cs="Times New Roman"/>
      <w:kern w:val="2"/>
      <w:sz w:val="32"/>
      <w:szCs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1212</Words>
  <Characters>1304</Characters>
  <Lines>0</Lines>
  <Paragraphs>0</Paragraphs>
  <TotalTime>3</TotalTime>
  <ScaleCrop>false</ScaleCrop>
  <LinksUpToDate>false</LinksUpToDate>
  <CharactersWithSpaces>1377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2025-09-25T10:49:00Z</dcterms:created>
  <dc:creator>文档存本地丢失不负责</dc:creator>
  <cp:lastModifiedBy>杨勇</cp:lastModifiedBy>
  <dcterms:modified xsi:type="dcterms:W3CDTF">2025-11-14T01:41:21Z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AE1ADDF7FC3148A28DE5EF101AB44B6D_13</vt:lpwstr>
  </property>
  <property fmtid="{D5CDD505-2E9C-101B-9397-08002B2CF9AE}" pid="4" name="KSOTemplateDocerSaveRecord">
    <vt:lpwstr>eyJoZGlkIjoiYWMwNTIzNzM2YzNlMmFhZWM2Yzc3ZWFmMzIyZjM0N2YiLCJ1c2VySWQiOiI3Nzc5MjM1NjEifQ==</vt:lpwstr>
  </property>
</Properties>
</file>