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8D554">
      <w:pPr>
        <w:bidi w:val="0"/>
      </w:pPr>
      <w:bookmarkStart w:id="0" w:name="_Toc15631"/>
    </w:p>
    <w:p w14:paraId="47070AB7">
      <w:pPr>
        <w:bidi w:val="0"/>
      </w:pPr>
    </w:p>
    <w:p w14:paraId="472770FF">
      <w:pPr>
        <w:bidi w:val="0"/>
      </w:pPr>
    </w:p>
    <w:p w14:paraId="51A0291F">
      <w:pPr>
        <w:bidi w:val="0"/>
      </w:pPr>
    </w:p>
    <w:p w14:paraId="51D7DCA4">
      <w:pPr>
        <w:pStyle w:val="6"/>
        <w:bidi w:val="0"/>
        <w:rPr>
          <w:rFonts w:hint="eastAsia"/>
        </w:rPr>
      </w:pPr>
      <w:r>
        <w:rPr>
          <w:rFonts w:hint="eastAsia" w:ascii="方正小标宋简体" w:hAnsi="方正小标宋简体" w:eastAsia="方正小标宋简体" w:cs="方正小标宋简体"/>
          <w:lang w:val="en-US" w:eastAsia="zh-CN"/>
        </w:rPr>
        <w:t>2024</w:t>
      </w:r>
      <w:r>
        <w:rPr>
          <w:rFonts w:hint="eastAsia"/>
        </w:rPr>
        <w:t>年伊金霍洛旗城市管理综合行政执法局</w:t>
      </w:r>
    </w:p>
    <w:p w14:paraId="5F118922">
      <w:pPr>
        <w:pStyle w:val="6"/>
        <w:bidi w:val="0"/>
        <w:rPr>
          <w:rFonts w:hint="eastAsia"/>
        </w:rPr>
      </w:pPr>
      <w:r>
        <w:rPr>
          <w:rFonts w:hint="eastAsia"/>
          <w:lang w:eastAsia="zh-CN"/>
        </w:rPr>
        <w:t>部门整体支出绩效评价</w:t>
      </w:r>
      <w:r>
        <w:rPr>
          <w:rFonts w:hint="eastAsia"/>
          <w:lang w:val="en-US" w:eastAsia="zh-CN"/>
        </w:rPr>
        <w:t>简版</w:t>
      </w:r>
      <w:r>
        <w:rPr>
          <w:rFonts w:hint="eastAsia"/>
        </w:rPr>
        <w:t>报告</w:t>
      </w:r>
    </w:p>
    <w:p w14:paraId="761B15F7">
      <w:pPr>
        <w:bidi w:val="0"/>
      </w:pPr>
    </w:p>
    <w:p w14:paraId="5B07A08D">
      <w:pPr>
        <w:bidi w:val="0"/>
      </w:pPr>
    </w:p>
    <w:p w14:paraId="7650D566">
      <w:pPr>
        <w:bidi w:val="0"/>
      </w:pPr>
    </w:p>
    <w:p w14:paraId="42815793">
      <w:pPr>
        <w:bidi w:val="0"/>
      </w:pPr>
    </w:p>
    <w:p w14:paraId="39E98E28">
      <w:pPr>
        <w:bidi w:val="0"/>
      </w:pPr>
    </w:p>
    <w:tbl>
      <w:tblPr>
        <w:tblStyle w:val="21"/>
        <w:tblW w:w="0" w:type="auto"/>
        <w:jc w:val="center"/>
        <w:tblLayout w:type="fixed"/>
        <w:tblCellMar>
          <w:top w:w="0" w:type="dxa"/>
          <w:left w:w="108" w:type="dxa"/>
          <w:bottom w:w="0" w:type="dxa"/>
          <w:right w:w="108" w:type="dxa"/>
        </w:tblCellMar>
      </w:tblPr>
      <w:tblGrid>
        <w:gridCol w:w="2456"/>
        <w:gridCol w:w="4583"/>
      </w:tblGrid>
      <w:tr w14:paraId="7E4BA5A5">
        <w:tblPrEx>
          <w:tblCellMar>
            <w:top w:w="0" w:type="dxa"/>
            <w:left w:w="108" w:type="dxa"/>
            <w:bottom w:w="0" w:type="dxa"/>
            <w:right w:w="108" w:type="dxa"/>
          </w:tblCellMar>
        </w:tblPrEx>
        <w:trPr>
          <w:trHeight w:val="794" w:hRule="atLeast"/>
          <w:jc w:val="center"/>
        </w:trPr>
        <w:tc>
          <w:tcPr>
            <w:tcW w:w="2456" w:type="dxa"/>
            <w:noWrap w:val="0"/>
            <w:vAlign w:val="top"/>
          </w:tcPr>
          <w:p w14:paraId="6AE54353">
            <w:pPr>
              <w:bidi w:val="0"/>
              <w:ind w:left="0" w:leftChars="0" w:firstLine="0" w:firstLineChars="0"/>
            </w:pPr>
            <w:r>
              <w:rPr>
                <w:rFonts w:hint="eastAsia" w:ascii="黑体" w:hAnsi="黑体" w:eastAsia="黑体" w:cs="黑体"/>
              </w:rPr>
              <w:t>评价委托单位：</w:t>
            </w:r>
          </w:p>
        </w:tc>
        <w:tc>
          <w:tcPr>
            <w:tcW w:w="4583" w:type="dxa"/>
            <w:noWrap w:val="0"/>
            <w:vAlign w:val="top"/>
          </w:tcPr>
          <w:p w14:paraId="3617A225">
            <w:pPr>
              <w:bidi w:val="0"/>
              <w:ind w:left="0" w:leftChars="0" w:firstLine="0" w:firstLineChars="0"/>
              <w:jc w:val="left"/>
              <w:rPr>
                <w:rFonts w:hint="default"/>
                <w:u w:val="single"/>
                <w:lang w:val="en-US" w:eastAsia="zh-CN"/>
              </w:rPr>
            </w:pPr>
            <w:r>
              <w:rPr>
                <w:rFonts w:hint="eastAsia"/>
                <w:u w:val="single"/>
                <w:lang w:val="en-US" w:eastAsia="zh-CN"/>
              </w:rPr>
              <w:t>伊金霍洛旗财政局</w:t>
            </w:r>
          </w:p>
        </w:tc>
      </w:tr>
      <w:tr w14:paraId="1D20A34A">
        <w:tblPrEx>
          <w:tblCellMar>
            <w:top w:w="0" w:type="dxa"/>
            <w:left w:w="108" w:type="dxa"/>
            <w:bottom w:w="0" w:type="dxa"/>
            <w:right w:w="108" w:type="dxa"/>
          </w:tblCellMar>
        </w:tblPrEx>
        <w:trPr>
          <w:trHeight w:val="794" w:hRule="atLeast"/>
          <w:jc w:val="center"/>
        </w:trPr>
        <w:tc>
          <w:tcPr>
            <w:tcW w:w="2456" w:type="dxa"/>
            <w:noWrap w:val="0"/>
            <w:vAlign w:val="top"/>
          </w:tcPr>
          <w:p w14:paraId="1E748804">
            <w:pPr>
              <w:bidi w:val="0"/>
              <w:ind w:left="0" w:leftChars="0" w:firstLine="0" w:firstLineChars="0"/>
            </w:pPr>
            <w:r>
              <w:rPr>
                <w:rFonts w:hint="eastAsia" w:ascii="黑体" w:hAnsi="黑体" w:eastAsia="黑体" w:cs="黑体"/>
              </w:rPr>
              <w:t>被评价单位：</w:t>
            </w:r>
          </w:p>
        </w:tc>
        <w:tc>
          <w:tcPr>
            <w:tcW w:w="4583" w:type="dxa"/>
            <w:noWrap w:val="0"/>
            <w:vAlign w:val="top"/>
          </w:tcPr>
          <w:p w14:paraId="2F76D61F">
            <w:pPr>
              <w:bidi w:val="0"/>
              <w:ind w:left="0" w:leftChars="0" w:firstLine="0" w:firstLineChars="0"/>
              <w:jc w:val="left"/>
              <w:rPr>
                <w:rFonts w:hint="eastAsia"/>
                <w:u w:val="single"/>
              </w:rPr>
            </w:pPr>
            <w:r>
              <w:rPr>
                <w:rFonts w:hint="eastAsia"/>
                <w:u w:val="single"/>
              </w:rPr>
              <w:t>伊金霍洛旗城市管理综合行政执法局</w:t>
            </w:r>
          </w:p>
        </w:tc>
      </w:tr>
      <w:tr w14:paraId="2865BF47">
        <w:tblPrEx>
          <w:tblCellMar>
            <w:top w:w="0" w:type="dxa"/>
            <w:left w:w="108" w:type="dxa"/>
            <w:bottom w:w="0" w:type="dxa"/>
            <w:right w:w="108" w:type="dxa"/>
          </w:tblCellMar>
        </w:tblPrEx>
        <w:trPr>
          <w:trHeight w:val="794" w:hRule="atLeast"/>
          <w:jc w:val="center"/>
        </w:trPr>
        <w:tc>
          <w:tcPr>
            <w:tcW w:w="2456" w:type="dxa"/>
            <w:noWrap w:val="0"/>
            <w:vAlign w:val="top"/>
          </w:tcPr>
          <w:p w14:paraId="777BD6C2">
            <w:pPr>
              <w:bidi w:val="0"/>
              <w:ind w:left="0" w:leftChars="0" w:firstLine="0" w:firstLineChars="0"/>
              <w:rPr>
                <w:rFonts w:hint="eastAsia" w:ascii="黑体" w:hAnsi="黑体" w:eastAsia="黑体" w:cs="黑体"/>
              </w:rPr>
            </w:pPr>
            <w:r>
              <w:rPr>
                <w:rFonts w:hint="eastAsia" w:ascii="黑体" w:hAnsi="黑体" w:eastAsia="黑体" w:cs="黑体"/>
              </w:rPr>
              <w:t>评价机构：</w:t>
            </w:r>
          </w:p>
          <w:p w14:paraId="341E8999">
            <w:pPr>
              <w:bidi w:val="0"/>
            </w:pPr>
          </w:p>
        </w:tc>
        <w:tc>
          <w:tcPr>
            <w:tcW w:w="4583" w:type="dxa"/>
            <w:noWrap w:val="0"/>
            <w:vAlign w:val="top"/>
          </w:tcPr>
          <w:p w14:paraId="58F3592A">
            <w:pPr>
              <w:bidi w:val="0"/>
              <w:ind w:left="0" w:leftChars="0" w:firstLine="0" w:firstLineChars="0"/>
              <w:jc w:val="left"/>
              <w:rPr>
                <w:rFonts w:hint="default"/>
                <w:u w:val="single"/>
              </w:rPr>
            </w:pPr>
            <w:r>
              <w:rPr>
                <w:rFonts w:hint="default"/>
                <w:u w:val="single"/>
              </w:rPr>
              <w:t>内蒙古千诺咨询有限公司</w:t>
            </w:r>
          </w:p>
          <w:p w14:paraId="6B678A26">
            <w:pPr>
              <w:bidi w:val="0"/>
              <w:jc w:val="left"/>
              <w:rPr>
                <w:u w:val="single"/>
              </w:rPr>
            </w:pPr>
          </w:p>
        </w:tc>
      </w:tr>
    </w:tbl>
    <w:p w14:paraId="483E3A8F">
      <w:pPr>
        <w:bidi w:val="0"/>
      </w:pPr>
    </w:p>
    <w:p w14:paraId="137D5EE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rPr>
        <w:t>20</w:t>
      </w:r>
      <w:r>
        <w:rPr>
          <w:rFonts w:hint="eastAsia"/>
          <w:lang w:val="en-US" w:eastAsia="zh-CN"/>
        </w:rPr>
        <w:t>25</w:t>
      </w:r>
      <w:r>
        <w:rPr>
          <w:rFonts w:hint="eastAsia"/>
        </w:rPr>
        <w:t>年</w:t>
      </w:r>
      <w:r>
        <w:rPr>
          <w:rFonts w:hint="eastAsia"/>
          <w:lang w:val="en-US" w:eastAsia="zh-CN"/>
        </w:rPr>
        <w:t>9</w:t>
      </w:r>
      <w:r>
        <w:rPr>
          <w:rFonts w:hint="eastAsia"/>
        </w:rPr>
        <w:t>月</w:t>
      </w:r>
    </w:p>
    <w:p w14:paraId="202B544A">
      <w:pPr>
        <w:bidi w:val="0"/>
        <w:sectPr>
          <w:pgSz w:w="11906" w:h="16838"/>
          <w:pgMar w:top="2098" w:right="1474" w:bottom="1701" w:left="1474" w:header="851" w:footer="992" w:gutter="0"/>
          <w:pgNumType w:fmt="upperRoman"/>
          <w:cols w:space="720" w:num="1"/>
          <w:docGrid w:type="lines" w:linePitch="312" w:charSpace="0"/>
        </w:sectPr>
      </w:pPr>
    </w:p>
    <w:p w14:paraId="4C342205">
      <w:pPr>
        <w:pStyle w:val="4"/>
        <w:bidi w:val="0"/>
      </w:pPr>
      <w:bookmarkStart w:id="1" w:name="_Toc24185"/>
      <w:r>
        <w:rPr>
          <w:rFonts w:hint="eastAsia"/>
          <w:lang w:val="en-US" w:eastAsia="zh-CN"/>
        </w:rPr>
        <w:t>一、</w:t>
      </w:r>
      <w:r>
        <w:rPr>
          <w:rFonts w:hint="eastAsia"/>
        </w:rPr>
        <w:t>基本情况</w:t>
      </w:r>
      <w:bookmarkEnd w:id="1"/>
    </w:p>
    <w:p w14:paraId="637995C8">
      <w:pPr>
        <w:pStyle w:val="5"/>
        <w:bidi w:val="0"/>
        <w:rPr>
          <w:rFonts w:hint="eastAsia"/>
          <w:lang w:val="en-US" w:eastAsia="zh-CN"/>
        </w:rPr>
      </w:pPr>
      <w:bookmarkStart w:id="2" w:name="_Toc21722"/>
      <w:bookmarkStart w:id="3" w:name="_Toc22212"/>
      <w:bookmarkStart w:id="4" w:name="_Toc21544"/>
      <w:bookmarkStart w:id="5" w:name="_Toc901"/>
      <w:bookmarkStart w:id="6" w:name="_Toc11436"/>
      <w:r>
        <w:rPr>
          <w:rFonts w:hint="eastAsia"/>
        </w:rPr>
        <w:t>（</w:t>
      </w:r>
      <w:r>
        <w:rPr>
          <w:rFonts w:hint="eastAsia"/>
          <w:lang w:val="en-US" w:eastAsia="zh-CN"/>
        </w:rPr>
        <w:t>一</w:t>
      </w:r>
      <w:r>
        <w:rPr>
          <w:rFonts w:hint="eastAsia"/>
        </w:rPr>
        <w:t>）</w:t>
      </w:r>
      <w:r>
        <w:rPr>
          <w:rFonts w:hint="eastAsia"/>
          <w:lang w:val="en-US" w:eastAsia="zh-CN"/>
        </w:rPr>
        <w:t>单位基本情况</w:t>
      </w:r>
      <w:bookmarkEnd w:id="2"/>
      <w:bookmarkEnd w:id="3"/>
      <w:bookmarkEnd w:id="4"/>
      <w:bookmarkEnd w:id="5"/>
      <w:bookmarkEnd w:id="6"/>
    </w:p>
    <w:p w14:paraId="65FB46C6">
      <w:pPr>
        <w:bidi w:val="0"/>
        <w:rPr>
          <w:rFonts w:hint="eastAsia"/>
          <w:lang w:val="en-US" w:eastAsia="zh-CN"/>
        </w:rPr>
      </w:pPr>
      <w:r>
        <w:rPr>
          <w:rFonts w:hint="eastAsia"/>
          <w:lang w:val="en-US" w:eastAsia="zh-CN"/>
        </w:rPr>
        <w:t>1.部门职能</w:t>
      </w:r>
    </w:p>
    <w:p w14:paraId="5C06382E">
      <w:pPr>
        <w:bidi w:val="0"/>
        <w:rPr>
          <w:rFonts w:hint="eastAsia"/>
          <w:lang w:val="en-US" w:eastAsia="zh-CN"/>
        </w:rPr>
      </w:pPr>
      <w:r>
        <w:rPr>
          <w:rFonts w:hint="eastAsia"/>
          <w:lang w:val="en-US" w:eastAsia="zh-CN"/>
        </w:rPr>
        <w:t>（1）贯彻执行城市管理执法法律法规，提出改进城市管理的建议并组织实施。承担拟订全旗城市管理综合行政执法事业发展规划及有关政策的前期调查研究工作，并提出建议。</w:t>
      </w:r>
    </w:p>
    <w:p w14:paraId="50E909EC">
      <w:pPr>
        <w:bidi w:val="0"/>
        <w:rPr>
          <w:rFonts w:hint="eastAsia"/>
          <w:lang w:val="en-US" w:eastAsia="zh-CN"/>
        </w:rPr>
      </w:pPr>
      <w:r>
        <w:rPr>
          <w:rFonts w:hint="eastAsia"/>
          <w:lang w:val="en-US" w:eastAsia="zh-CN"/>
        </w:rPr>
        <w:t>（2）承担阿镇规划区内的违法建设行为治理工作。参与建设工程放验线和竣工验收工作；承担城市建筑物外立面、户外广告设施和招牌、停车场管理、建筑垃圾倾倒、侵占城市道路沿石以上违法停放车辆、无证经营等城市公共空间管理及市容市貌管理工作；承担社会生活噪声污染、建筑施工扬尘污染、餐饮服务业油烟污染、露天烧烤污染、城市焚烧沥青塑料垃圾等烟尘和恶臭污染、露天焚烧秸秆落叶等烟尘污染、燃放烟花爆竹污染等方面的管理工作。</w:t>
      </w:r>
    </w:p>
    <w:p w14:paraId="1BE21230">
      <w:pPr>
        <w:bidi w:val="0"/>
        <w:rPr>
          <w:rFonts w:hint="eastAsia"/>
          <w:lang w:val="en-US" w:eastAsia="zh-CN"/>
        </w:rPr>
      </w:pPr>
      <w:r>
        <w:rPr>
          <w:rFonts w:hint="eastAsia"/>
          <w:lang w:val="en-US" w:eastAsia="zh-CN"/>
        </w:rPr>
        <w:t>（3）承担住房和城乡建设领域法律、法规和规章规定的全部行政处罚权及相应的执法职能。承担自然资源规划管理方面法律、法规和规章规定（阿镇规划区内建设工程规划许可含临时建设工程规划许可）的部分行政处罚权及相应的执法职能；承担生态环境保护方面（社会生活噪声污染、建筑施工噪声污染、建筑施工扬尘污染、餐饮服务业油烟污染、露天烧烤污染、城市焚烧沥青塑料垃圾等烟尘和恶臭污染、露天焚烧秸秆落叶等烟尘污染、燃放烟花爆竹污染）法律、法规和规章规定的部分行政处罚权及相应的执法职能；承担交通管理（侵占城市道路沿石以上违法停放车辆）方面法律、法规和规章规定的部分行政处罚权及相应的执法职能；承担市场监督管理方面（户外公共场所无照经营、违规设置户外广告、户外公共场所食品销售和餐饮摊点无证经营的监管）法律、法规和规章规定的部分行政处罚权及相应的执法职能；承担水利管理方面（向城市河道倾倒废弃物和垃圾及违规取土、城市河道违法建筑物拆除）法律、法规和规章规定的部分行政处罚权及相应的执法职能；承担爱国卫生管理方面（门前三包监管）法律、法规和规章规定的部分行政处罚权及相应的执法职能；承担文明行为管理方面法律、法规和规章规定的部分行政处罚权及相应的执法职能。</w:t>
      </w:r>
    </w:p>
    <w:p w14:paraId="2CEE55CC">
      <w:pPr>
        <w:bidi w:val="0"/>
        <w:rPr>
          <w:rFonts w:hint="eastAsia"/>
          <w:lang w:val="en-US" w:eastAsia="zh-CN"/>
        </w:rPr>
      </w:pPr>
      <w:r>
        <w:rPr>
          <w:rFonts w:hint="eastAsia"/>
          <w:lang w:val="en-US" w:eastAsia="zh-CN"/>
        </w:rPr>
        <w:t>（4）配合相关部门办理街道两侧和公共场地临时堆放物料、噪声污染、建筑施工搭建非永久性建筑物、构筑物或其他设施（包括建设工地内的临建和围挡）的事项；</w:t>
      </w:r>
      <w:r>
        <w:rPr>
          <w:rFonts w:hint="eastAsia"/>
          <w:highlight w:val="yellow"/>
          <w:lang w:val="en-US" w:eastAsia="zh-CN"/>
        </w:rPr>
        <w:t xml:space="preserve">                                                                                                                                                                                                                                                                                                                                                                                             </w:t>
      </w:r>
      <w:r>
        <w:rPr>
          <w:rFonts w:hint="eastAsia"/>
          <w:lang w:val="en-US" w:eastAsia="zh-CN"/>
        </w:rPr>
        <w:t>户外广告的设置事项；在城市建筑物、设施上张挂、张贴宣传品事项；城市建筑垃圾处置核准的事项。</w:t>
      </w:r>
    </w:p>
    <w:p w14:paraId="53150D37">
      <w:pPr>
        <w:bidi w:val="0"/>
        <w:rPr>
          <w:rFonts w:hint="eastAsia"/>
          <w:lang w:val="en-US" w:eastAsia="zh-CN"/>
        </w:rPr>
      </w:pPr>
      <w:r>
        <w:rPr>
          <w:rFonts w:hint="eastAsia"/>
          <w:lang w:val="en-US" w:eastAsia="zh-CN"/>
        </w:rPr>
        <w:t>（5）组织查处重大复杂违法违规案件及上级交办案件。组织协调、配合相关部门推进城市管理综合行政执法工作，统一调动各镇城管执法机构力量。</w:t>
      </w:r>
    </w:p>
    <w:p w14:paraId="715ACA39">
      <w:pPr>
        <w:bidi w:val="0"/>
        <w:rPr>
          <w:rFonts w:hint="default"/>
          <w:lang w:val="en-US" w:eastAsia="zh-CN"/>
        </w:rPr>
      </w:pPr>
      <w:r>
        <w:rPr>
          <w:rFonts w:hint="eastAsia"/>
          <w:lang w:val="en-US" w:eastAsia="zh-CN"/>
        </w:rPr>
        <w:t xml:space="preserve">（6）承担各镇城管执法机构的业务指导和考核评价工作，承担城管执法人员队伍建设和行业培训工作，制定城管执法行业管理规范和执法行为规范。指导、监督城管执法机构及其执法人员依法行政工作。               </w:t>
      </w:r>
    </w:p>
    <w:p w14:paraId="3164434F">
      <w:pPr>
        <w:bidi w:val="0"/>
        <w:rPr>
          <w:rFonts w:hint="eastAsia"/>
          <w:lang w:val="en-US" w:eastAsia="zh-CN"/>
        </w:rPr>
      </w:pPr>
      <w:r>
        <w:rPr>
          <w:rFonts w:hint="eastAsia"/>
          <w:lang w:val="en-US" w:eastAsia="zh-CN"/>
        </w:rPr>
        <w:t>（7）完成旗委和旗政府交办的其他任务。</w:t>
      </w:r>
    </w:p>
    <w:p w14:paraId="6872190F">
      <w:pPr>
        <w:bidi w:val="0"/>
        <w:rPr>
          <w:rFonts w:hint="eastAsia"/>
        </w:rPr>
      </w:pPr>
      <w:r>
        <w:rPr>
          <w:rFonts w:hint="eastAsia"/>
          <w:lang w:val="en-US" w:eastAsia="zh-CN"/>
        </w:rPr>
        <w:t>2.</w:t>
      </w:r>
      <w:r>
        <w:rPr>
          <w:rFonts w:hint="eastAsia"/>
        </w:rPr>
        <w:t>部门机构设置及人员情况</w:t>
      </w:r>
    </w:p>
    <w:p w14:paraId="7BEE359C">
      <w:pPr>
        <w:bidi w:val="0"/>
        <w:rPr>
          <w:rFonts w:hint="eastAsia"/>
          <w:lang w:val="en-US" w:eastAsia="zh-CN"/>
        </w:rPr>
      </w:pPr>
      <w:r>
        <w:rPr>
          <w:rFonts w:hint="eastAsia"/>
          <w:lang w:val="en-US" w:eastAsia="zh-CN"/>
        </w:rPr>
        <w:t>（1）机构设置基本情况</w:t>
      </w:r>
    </w:p>
    <w:p w14:paraId="6FC93737">
      <w:pPr>
        <w:bidi w:val="0"/>
        <w:rPr>
          <w:rFonts w:hint="eastAsia"/>
          <w:lang w:val="en-US" w:eastAsia="zh-CN"/>
        </w:rPr>
      </w:pPr>
      <w:r>
        <w:rPr>
          <w:rFonts w:hint="eastAsia"/>
          <w:lang w:val="en-US" w:eastAsia="zh-CN"/>
        </w:rPr>
        <w:t>伊金霍洛旗城市管理综合行政执法局为旗人民政府直属事业单位，设分支机构2个，分别为空港物流园区综合行政执法中队、蒙苏经济开发区综合行政执法中队。共有5个内设机构，为综合办公室、法治办公室、督查办公室、市容管理执法中队、规划管理执法中队。</w:t>
      </w:r>
    </w:p>
    <w:p w14:paraId="65196BAC">
      <w:pPr>
        <w:bidi w:val="0"/>
        <w:rPr>
          <w:rFonts w:hint="eastAsia"/>
          <w:lang w:val="en-US" w:eastAsia="zh-CN"/>
        </w:rPr>
      </w:pPr>
      <w:r>
        <w:rPr>
          <w:rFonts w:hint="eastAsia"/>
          <w:lang w:val="en-US" w:eastAsia="zh-CN"/>
        </w:rPr>
        <w:t>（2）人员基本情况</w:t>
      </w:r>
    </w:p>
    <w:p w14:paraId="3E77BC61">
      <w:pPr>
        <w:bidi w:val="0"/>
        <w:rPr>
          <w:rFonts w:hint="default"/>
          <w:lang w:val="en-US" w:eastAsia="zh-CN"/>
        </w:rPr>
      </w:pPr>
      <w:r>
        <w:rPr>
          <w:rFonts w:hint="eastAsia"/>
          <w:lang w:val="en-US" w:eastAsia="zh-CN"/>
        </w:rPr>
        <w:t>2024年编制数为29人。2024年末财政供养人员实有人数125人，其中在职人员123人、退养人员2人。</w:t>
      </w:r>
    </w:p>
    <w:p w14:paraId="7B830CC0">
      <w:pPr>
        <w:pStyle w:val="5"/>
        <w:bidi w:val="0"/>
        <w:rPr>
          <w:rFonts w:hint="eastAsia"/>
        </w:rPr>
      </w:pPr>
      <w:bookmarkStart w:id="7" w:name="_Toc4132"/>
      <w:bookmarkStart w:id="8" w:name="_Toc3169"/>
      <w:bookmarkStart w:id="9" w:name="_Toc28739"/>
      <w:bookmarkStart w:id="10" w:name="_Toc17690"/>
      <w:bookmarkStart w:id="11" w:name="_Toc30223"/>
      <w:r>
        <w:rPr>
          <w:rFonts w:hint="eastAsia"/>
        </w:rPr>
        <w:t>（</w:t>
      </w:r>
      <w:r>
        <w:rPr>
          <w:rFonts w:hint="eastAsia"/>
          <w:lang w:val="en-US" w:eastAsia="zh-CN"/>
        </w:rPr>
        <w:t>二</w:t>
      </w:r>
      <w:r>
        <w:rPr>
          <w:rFonts w:hint="eastAsia"/>
        </w:rPr>
        <w:t>）</w:t>
      </w:r>
      <w:r>
        <w:rPr>
          <w:rFonts w:hint="eastAsia"/>
          <w:lang w:val="en-US" w:eastAsia="zh-CN"/>
        </w:rPr>
        <w:t>部门整体</w:t>
      </w:r>
      <w:r>
        <w:rPr>
          <w:rFonts w:hint="eastAsia"/>
        </w:rPr>
        <w:t>绩效目标</w:t>
      </w:r>
      <w:bookmarkEnd w:id="7"/>
      <w:bookmarkEnd w:id="8"/>
      <w:bookmarkEnd w:id="9"/>
      <w:bookmarkEnd w:id="10"/>
      <w:bookmarkEnd w:id="11"/>
    </w:p>
    <w:p w14:paraId="24F31C38">
      <w:pPr>
        <w:bidi w:val="0"/>
        <w:rPr>
          <w:rFonts w:hint="default"/>
          <w:lang w:val="en-US" w:eastAsia="zh-CN"/>
        </w:rPr>
      </w:pPr>
      <w:r>
        <w:rPr>
          <w:rFonts w:hint="eastAsia"/>
          <w:lang w:val="en-US" w:eastAsia="zh-CN"/>
        </w:rPr>
        <w:t>1.年度目标</w:t>
      </w:r>
    </w:p>
    <w:p w14:paraId="160FD0A4">
      <w:pPr>
        <w:bidi w:val="0"/>
        <w:rPr>
          <w:rFonts w:hint="eastAsia"/>
          <w:lang w:val="en-US" w:eastAsia="zh-CN"/>
        </w:rPr>
      </w:pPr>
      <w:r>
        <w:rPr>
          <w:rFonts w:hint="eastAsia"/>
          <w:lang w:val="en-US" w:eastAsia="zh-CN"/>
        </w:rPr>
        <w:t>保障伊金霍洛旗“创城”工作顺利通过测评；强化队伍管理；加大城市管理顽症的治理力度，基本杜绝违法违章行为；严格规范公正文明执法，整体提升行政执法水平；全面地宣传城市管理的法律法规，取得广大人民群众对城市管理工作的理解、支持及参与；提升伊金霍洛旗城区环境精细化管理水平，美化城市环境，打造宜居品质城市。</w:t>
      </w:r>
    </w:p>
    <w:p w14:paraId="04B70963">
      <w:pPr>
        <w:pStyle w:val="5"/>
        <w:bidi w:val="0"/>
        <w:rPr>
          <w:rFonts w:hint="default"/>
          <w:lang w:val="en-US" w:eastAsia="zh-CN"/>
        </w:rPr>
      </w:pPr>
      <w:bookmarkStart w:id="12" w:name="_Toc19930"/>
      <w:bookmarkStart w:id="13" w:name="_Toc10340"/>
      <w:bookmarkStart w:id="14" w:name="_Toc8274"/>
      <w:bookmarkStart w:id="15" w:name="_Toc4599"/>
      <w:bookmarkStart w:id="16" w:name="_Toc6886"/>
      <w:r>
        <w:rPr>
          <w:rFonts w:hint="eastAsia"/>
          <w:lang w:val="en-US" w:eastAsia="zh-CN"/>
        </w:rPr>
        <w:t>（三）一般公共预算支出情况</w:t>
      </w:r>
      <w:bookmarkEnd w:id="12"/>
      <w:bookmarkEnd w:id="13"/>
      <w:bookmarkEnd w:id="14"/>
      <w:bookmarkEnd w:id="15"/>
      <w:bookmarkEnd w:id="16"/>
    </w:p>
    <w:p w14:paraId="54A957BC">
      <w:pPr>
        <w:bidi w:val="0"/>
        <w:rPr>
          <w:rFonts w:hint="default"/>
          <w:lang w:val="en-US" w:eastAsia="zh-CN"/>
        </w:rPr>
      </w:pPr>
      <w:r>
        <w:rPr>
          <w:rFonts w:hint="eastAsia"/>
          <w:lang w:val="en-US" w:eastAsia="zh-CN"/>
        </w:rPr>
        <w:t>1.基本支出情况</w:t>
      </w:r>
    </w:p>
    <w:p w14:paraId="5D464F9B">
      <w:pPr>
        <w:bidi w:val="0"/>
        <w:rPr>
          <w:rFonts w:hint="eastAsia"/>
          <w:lang w:val="en-US" w:eastAsia="zh-CN"/>
        </w:rPr>
      </w:pPr>
      <w:r>
        <w:rPr>
          <w:rFonts w:hint="eastAsia"/>
          <w:lang w:val="en-US" w:eastAsia="zh-CN"/>
        </w:rPr>
        <w:t>2024年基本支出年初预算2035.08万元，其中包括人员经费1760.57万元，公用经费274.51万元。2024年基本支出全年预算2260.01万元，其中人员经费1829.31万元，公用经费430.70万元。2024年基本支出决算2260.01万元，其中人员经费1829.31万元，公用经费430.70万元。</w:t>
      </w:r>
    </w:p>
    <w:p w14:paraId="06FB2ADA">
      <w:pPr>
        <w:bidi w:val="0"/>
        <w:rPr>
          <w:rFonts w:hint="default"/>
          <w:lang w:val="en-US" w:eastAsia="zh-CN"/>
        </w:rPr>
      </w:pPr>
      <w:r>
        <w:rPr>
          <w:rFonts w:hint="eastAsia"/>
          <w:lang w:val="en-US" w:eastAsia="zh-CN"/>
        </w:rPr>
        <w:t>2.</w:t>
      </w:r>
      <w:r>
        <w:rPr>
          <w:rFonts w:hint="default"/>
          <w:lang w:val="en-US" w:eastAsia="zh-CN"/>
        </w:rPr>
        <w:t>项目支出</w:t>
      </w:r>
      <w:r>
        <w:rPr>
          <w:rFonts w:hint="eastAsia"/>
          <w:lang w:val="en-US" w:eastAsia="zh-CN"/>
        </w:rPr>
        <w:t>资金管理情况</w:t>
      </w:r>
    </w:p>
    <w:p w14:paraId="236E37B2">
      <w:pPr>
        <w:rPr>
          <w:rFonts w:hint="eastAsia"/>
          <w:lang w:val="en-US" w:eastAsia="zh-CN"/>
        </w:rPr>
      </w:pPr>
      <w:r>
        <w:rPr>
          <w:rFonts w:hint="eastAsia"/>
          <w:lang w:val="en-US" w:eastAsia="zh-CN"/>
        </w:rPr>
        <w:t>2024年</w:t>
      </w:r>
      <w:r>
        <w:rPr>
          <w:rFonts w:hint="default"/>
          <w:lang w:val="en-US" w:eastAsia="zh-CN"/>
        </w:rPr>
        <w:t>项目支出</w:t>
      </w:r>
      <w:r>
        <w:rPr>
          <w:rFonts w:hint="eastAsia"/>
          <w:lang w:val="en-US" w:eastAsia="zh-CN"/>
        </w:rPr>
        <w:t>年初预算318.70</w:t>
      </w:r>
      <w:r>
        <w:rPr>
          <w:rFonts w:hint="default"/>
          <w:lang w:val="en-US" w:eastAsia="zh-CN"/>
        </w:rPr>
        <w:t>万元，</w:t>
      </w:r>
      <w:r>
        <w:rPr>
          <w:rFonts w:hint="eastAsia"/>
          <w:lang w:val="en-US" w:eastAsia="zh-CN"/>
        </w:rPr>
        <w:t>项目</w:t>
      </w:r>
      <w:r>
        <w:rPr>
          <w:rFonts w:hint="default"/>
          <w:lang w:val="en-US" w:eastAsia="zh-CN"/>
        </w:rPr>
        <w:t>支出</w:t>
      </w:r>
      <w:r>
        <w:rPr>
          <w:rFonts w:hint="eastAsia"/>
          <w:lang w:val="en-US" w:eastAsia="zh-CN"/>
        </w:rPr>
        <w:t>全年预算1811.31万元，决算1811.31</w:t>
      </w:r>
      <w:r>
        <w:rPr>
          <w:rFonts w:hint="default"/>
          <w:lang w:val="en-US" w:eastAsia="zh-CN"/>
        </w:rPr>
        <w:t>万元。</w:t>
      </w:r>
    </w:p>
    <w:p w14:paraId="483B4295">
      <w:pPr>
        <w:bidi w:val="0"/>
        <w:rPr>
          <w:rFonts w:hint="eastAsia"/>
          <w:lang w:val="en-US" w:eastAsia="zh-CN"/>
        </w:rPr>
      </w:pPr>
      <w:r>
        <w:rPr>
          <w:rFonts w:hint="eastAsia"/>
          <w:lang w:val="en-US" w:eastAsia="zh-CN"/>
        </w:rPr>
        <w:t>3.“三公”经费支出情况</w:t>
      </w:r>
    </w:p>
    <w:p w14:paraId="642B554B">
      <w:pPr>
        <w:bidi w:val="0"/>
        <w:rPr>
          <w:rFonts w:hint="eastAsia"/>
          <w:lang w:val="en-US" w:eastAsia="zh-CN"/>
        </w:rPr>
      </w:pPr>
      <w:r>
        <w:rPr>
          <w:rFonts w:hint="eastAsia"/>
          <w:lang w:val="en-US" w:eastAsia="zh-CN"/>
        </w:rPr>
        <w:t>伊金霍洛旗城市管理综合行政执法局2024年“三公”经费年初预</w:t>
      </w:r>
      <w:r>
        <w:rPr>
          <w:rFonts w:hint="eastAsia"/>
          <w:highlight w:val="none"/>
          <w:lang w:val="en-US" w:eastAsia="zh-CN"/>
        </w:rPr>
        <w:t>算为129.00万元，全年预算数为225.62万元，年末决算数为225.62万元。因公</w:t>
      </w:r>
      <w:r>
        <w:rPr>
          <w:rFonts w:hint="eastAsia"/>
          <w:lang w:val="en-US" w:eastAsia="zh-CN"/>
        </w:rPr>
        <w:t>出国费0.00万元；公用车购置及运行维护费225.62万元；公务接待费0.00万元。</w:t>
      </w:r>
    </w:p>
    <w:p w14:paraId="2B90D21F">
      <w:pPr>
        <w:pStyle w:val="4"/>
        <w:bidi w:val="0"/>
      </w:pPr>
      <w:bookmarkStart w:id="17" w:name="_Toc12877"/>
      <w:bookmarkStart w:id="18" w:name="_Toc17369"/>
      <w:bookmarkStart w:id="19" w:name="_Toc31111"/>
      <w:bookmarkStart w:id="20" w:name="_Toc12502"/>
      <w:bookmarkStart w:id="21" w:name="_Toc974"/>
      <w:r>
        <w:rPr>
          <w:rFonts w:hint="eastAsia"/>
        </w:rPr>
        <w:t>二、评价结论</w:t>
      </w:r>
      <w:bookmarkEnd w:id="17"/>
      <w:bookmarkEnd w:id="18"/>
      <w:bookmarkEnd w:id="19"/>
      <w:bookmarkEnd w:id="20"/>
      <w:bookmarkEnd w:id="21"/>
    </w:p>
    <w:p w14:paraId="2146EBBB">
      <w:pPr>
        <w:pStyle w:val="5"/>
        <w:bidi w:val="0"/>
      </w:pPr>
      <w:bookmarkStart w:id="22" w:name="_Toc21135"/>
      <w:bookmarkStart w:id="23" w:name="_Toc25627"/>
      <w:bookmarkStart w:id="24" w:name="_Toc4042"/>
      <w:bookmarkStart w:id="25" w:name="_Toc5244"/>
      <w:bookmarkStart w:id="26" w:name="_Toc27352"/>
      <w:r>
        <w:rPr>
          <w:rFonts w:hint="eastAsia"/>
        </w:rPr>
        <w:t>（一）评价结果</w:t>
      </w:r>
      <w:bookmarkEnd w:id="22"/>
      <w:bookmarkEnd w:id="23"/>
      <w:bookmarkEnd w:id="24"/>
      <w:bookmarkEnd w:id="25"/>
      <w:bookmarkEnd w:id="26"/>
    </w:p>
    <w:p w14:paraId="0A50061F">
      <w:pPr>
        <w:bidi w:val="0"/>
        <w:rPr>
          <w:rFonts w:hint="eastAsia"/>
          <w:highlight w:val="none"/>
        </w:rPr>
      </w:pPr>
      <w:r>
        <w:rPr>
          <w:rFonts w:hint="eastAsia"/>
          <w:highlight w:val="none"/>
        </w:rPr>
        <w:t>该项目绩效评价综合评分</w:t>
      </w:r>
      <w:r>
        <w:rPr>
          <w:rFonts w:hint="eastAsia"/>
          <w:highlight w:val="none"/>
          <w:lang w:val="en-US" w:eastAsia="zh-CN"/>
        </w:rPr>
        <w:t>为89.19分</w:t>
      </w:r>
      <w:r>
        <w:rPr>
          <w:rFonts w:hint="eastAsia"/>
          <w:highlight w:val="none"/>
        </w:rPr>
        <w:t>，评级</w:t>
      </w:r>
      <w:r>
        <w:rPr>
          <w:rFonts w:hint="eastAsia"/>
          <w:highlight w:val="none"/>
          <w:lang w:val="en-US" w:eastAsia="zh-CN"/>
        </w:rPr>
        <w:t>为</w:t>
      </w:r>
      <w:r>
        <w:rPr>
          <w:rFonts w:hint="eastAsia"/>
          <w:highlight w:val="none"/>
        </w:rPr>
        <w:t>“</w:t>
      </w:r>
      <w:r>
        <w:rPr>
          <w:rFonts w:hint="eastAsia"/>
          <w:highlight w:val="none"/>
          <w:lang w:val="en-US" w:eastAsia="zh-CN"/>
        </w:rPr>
        <w:t>良</w:t>
      </w:r>
      <w:r>
        <w:rPr>
          <w:rFonts w:hint="eastAsia"/>
          <w:highlight w:val="none"/>
        </w:rPr>
        <w:t>”。</w:t>
      </w:r>
    </w:p>
    <w:p w14:paraId="62FE91C0">
      <w:pPr>
        <w:pStyle w:val="5"/>
        <w:bidi w:val="0"/>
        <w:rPr>
          <w:rFonts w:hint="eastAsia"/>
          <w:highlight w:val="none"/>
        </w:rPr>
      </w:pPr>
      <w:bookmarkStart w:id="27" w:name="_Toc27081"/>
      <w:bookmarkStart w:id="28" w:name="_Toc22491"/>
      <w:bookmarkStart w:id="29" w:name="_Toc1137"/>
      <w:bookmarkStart w:id="30" w:name="_Toc12296"/>
      <w:bookmarkStart w:id="31" w:name="_Toc9296"/>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rPr>
        <w:t>总体结论</w:t>
      </w:r>
      <w:bookmarkEnd w:id="27"/>
      <w:bookmarkEnd w:id="28"/>
      <w:bookmarkEnd w:id="29"/>
      <w:bookmarkEnd w:id="30"/>
      <w:bookmarkEnd w:id="31"/>
    </w:p>
    <w:p w14:paraId="77828015">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sz w:val="32"/>
          <w:szCs w:val="32"/>
          <w:highlight w:val="none"/>
        </w:rPr>
      </w:pPr>
      <w:r>
        <w:rPr>
          <w:rFonts w:hint="eastAsia" w:eastAsia="仿宋_GB2312"/>
          <w:sz w:val="32"/>
          <w:szCs w:val="32"/>
          <w:highlight w:val="none"/>
        </w:rPr>
        <w:t>2024年</w:t>
      </w:r>
      <w:r>
        <w:rPr>
          <w:rFonts w:hint="eastAsia"/>
          <w:sz w:val="32"/>
          <w:szCs w:val="32"/>
          <w:highlight w:val="none"/>
          <w:lang w:val="en-US" w:eastAsia="zh-CN"/>
        </w:rPr>
        <w:t>伊金霍洛旗城市管理综合行政执法局</w:t>
      </w:r>
      <w:r>
        <w:rPr>
          <w:rFonts w:hint="eastAsia" w:eastAsia="仿宋_GB2312"/>
          <w:sz w:val="32"/>
          <w:szCs w:val="32"/>
          <w:highlight w:val="none"/>
        </w:rPr>
        <w:t>部门整体</w:t>
      </w:r>
      <w:r>
        <w:rPr>
          <w:rFonts w:hint="eastAsia"/>
          <w:sz w:val="32"/>
          <w:szCs w:val="32"/>
          <w:highlight w:val="none"/>
          <w:lang w:eastAsia="zh-CN"/>
        </w:rPr>
        <w:t>绩效目标表</w:t>
      </w:r>
      <w:r>
        <w:rPr>
          <w:rFonts w:hint="eastAsia" w:eastAsia="仿宋_GB2312"/>
          <w:sz w:val="32"/>
          <w:szCs w:val="32"/>
          <w:highlight w:val="none"/>
        </w:rPr>
        <w:t>现良好，职责履行和部门效益成效显著，得分率分别为</w:t>
      </w:r>
      <w:r>
        <w:rPr>
          <w:rFonts w:hint="eastAsia"/>
          <w:sz w:val="32"/>
          <w:szCs w:val="32"/>
          <w:highlight w:val="none"/>
          <w:lang w:eastAsia="zh-CN"/>
        </w:rPr>
        <w:t>94.22</w:t>
      </w:r>
      <w:r>
        <w:rPr>
          <w:rFonts w:hint="eastAsia" w:eastAsia="仿宋_GB2312"/>
          <w:sz w:val="32"/>
          <w:szCs w:val="32"/>
          <w:highlight w:val="none"/>
        </w:rPr>
        <w:t>%和91.5%。城市精细化管理、环境整治、创城等重点项目基本完成，市容环境达标率100%，违法停放、占道经营等问题</w:t>
      </w:r>
      <w:r>
        <w:rPr>
          <w:rFonts w:hint="eastAsia"/>
          <w:sz w:val="32"/>
          <w:szCs w:val="32"/>
          <w:highlight w:val="none"/>
          <w:lang w:val="en-US" w:eastAsia="zh-CN"/>
        </w:rPr>
        <w:t>得到</w:t>
      </w:r>
      <w:r>
        <w:rPr>
          <w:rFonts w:hint="eastAsia" w:eastAsia="仿宋_GB2312"/>
          <w:sz w:val="32"/>
          <w:szCs w:val="32"/>
          <w:highlight w:val="none"/>
        </w:rPr>
        <w:t>有效治理，群众投诉办结率100%，获“最具幸福感城市”荣誉，居民满意度达82.74%。资金使用合规，成本控制合理，资产利用效率高。但项目决策存在明显短板，得分率仅</w:t>
      </w:r>
      <w:r>
        <w:rPr>
          <w:rFonts w:hint="eastAsia"/>
          <w:sz w:val="32"/>
          <w:szCs w:val="32"/>
          <w:highlight w:val="none"/>
          <w:lang w:val="en-US" w:eastAsia="zh-CN"/>
        </w:rPr>
        <w:t>79</w:t>
      </w:r>
      <w:r>
        <w:rPr>
          <w:rFonts w:hint="eastAsia" w:eastAsia="仿宋_GB2312"/>
          <w:sz w:val="32"/>
          <w:szCs w:val="32"/>
          <w:highlight w:val="none"/>
        </w:rPr>
        <w:t>%，主要表现为年度目标不具体、绩效指标与预算脱节、</w:t>
      </w:r>
      <w:r>
        <w:rPr>
          <w:rFonts w:hint="eastAsia"/>
          <w:sz w:val="32"/>
          <w:szCs w:val="32"/>
          <w:highlight w:val="none"/>
          <w:lang w:eastAsia="zh-CN"/>
        </w:rPr>
        <w:t>“</w:t>
      </w:r>
      <w:r>
        <w:rPr>
          <w:rFonts w:hint="eastAsia"/>
          <w:sz w:val="32"/>
          <w:szCs w:val="32"/>
          <w:highlight w:val="none"/>
          <w:lang w:val="en-US" w:eastAsia="zh-CN"/>
        </w:rPr>
        <w:t>十四五</w:t>
      </w:r>
      <w:r>
        <w:rPr>
          <w:rFonts w:hint="eastAsia"/>
          <w:sz w:val="32"/>
          <w:szCs w:val="32"/>
          <w:highlight w:val="none"/>
          <w:lang w:eastAsia="zh-CN"/>
        </w:rPr>
        <w:t>”</w:t>
      </w:r>
      <w:r>
        <w:rPr>
          <w:rFonts w:hint="eastAsia"/>
          <w:sz w:val="32"/>
          <w:szCs w:val="32"/>
          <w:highlight w:val="none"/>
          <w:lang w:val="en-US" w:eastAsia="zh-CN"/>
        </w:rPr>
        <w:t>中期</w:t>
      </w:r>
      <w:bookmarkStart w:id="47" w:name="_GoBack"/>
      <w:bookmarkEnd w:id="47"/>
      <w:r>
        <w:rPr>
          <w:rFonts w:hint="eastAsia"/>
          <w:sz w:val="32"/>
          <w:szCs w:val="32"/>
          <w:highlight w:val="none"/>
          <w:lang w:val="en-US" w:eastAsia="zh-CN"/>
        </w:rPr>
        <w:t>评估</w:t>
      </w:r>
      <w:r>
        <w:rPr>
          <w:rFonts w:hint="eastAsia" w:eastAsia="仿宋_GB2312"/>
          <w:sz w:val="32"/>
          <w:szCs w:val="32"/>
          <w:highlight w:val="none"/>
        </w:rPr>
        <w:t>缺失。部门管理得分率</w:t>
      </w:r>
      <w:r>
        <w:rPr>
          <w:rFonts w:hint="eastAsia"/>
          <w:sz w:val="32"/>
          <w:szCs w:val="32"/>
          <w:highlight w:val="none"/>
          <w:lang w:eastAsia="zh-CN"/>
        </w:rPr>
        <w:t>8</w:t>
      </w:r>
      <w:r>
        <w:rPr>
          <w:rFonts w:hint="eastAsia"/>
          <w:sz w:val="32"/>
          <w:szCs w:val="32"/>
          <w:highlight w:val="none"/>
          <w:lang w:val="en-US" w:eastAsia="zh-CN"/>
        </w:rPr>
        <w:t>3.65</w:t>
      </w:r>
      <w:r>
        <w:rPr>
          <w:rFonts w:hint="eastAsia"/>
          <w:sz w:val="32"/>
          <w:szCs w:val="32"/>
          <w:highlight w:val="none"/>
          <w:lang w:eastAsia="zh-CN"/>
        </w:rPr>
        <w:t>%</w:t>
      </w:r>
      <w:r>
        <w:rPr>
          <w:rFonts w:hint="eastAsia" w:eastAsia="仿宋_GB2312"/>
          <w:sz w:val="32"/>
          <w:szCs w:val="32"/>
          <w:highlight w:val="none"/>
        </w:rPr>
        <w:t>，制度健全，但存在预算调整未集体决策、合同签订不规范、绩效监控</w:t>
      </w:r>
      <w:r>
        <w:rPr>
          <w:rFonts w:hint="eastAsia"/>
          <w:sz w:val="32"/>
          <w:szCs w:val="32"/>
          <w:highlight w:val="none"/>
          <w:lang w:eastAsia="zh-CN"/>
        </w:rPr>
        <w:t>不规范</w:t>
      </w:r>
      <w:r>
        <w:rPr>
          <w:rFonts w:hint="eastAsia" w:eastAsia="仿宋_GB2312"/>
          <w:sz w:val="32"/>
          <w:szCs w:val="32"/>
          <w:highlight w:val="none"/>
        </w:rPr>
        <w:t>等</w:t>
      </w:r>
      <w:r>
        <w:rPr>
          <w:rFonts w:hint="eastAsia"/>
          <w:sz w:val="32"/>
          <w:szCs w:val="32"/>
          <w:highlight w:val="none"/>
          <w:lang w:val="en-US" w:eastAsia="zh-CN"/>
        </w:rPr>
        <w:t>情况</w:t>
      </w:r>
      <w:r>
        <w:rPr>
          <w:rFonts w:hint="eastAsia" w:eastAsia="仿宋_GB2312"/>
          <w:sz w:val="32"/>
          <w:szCs w:val="32"/>
          <w:highlight w:val="none"/>
        </w:rPr>
        <w:t>。</w:t>
      </w:r>
    </w:p>
    <w:p w14:paraId="2C2CBD03">
      <w:pPr>
        <w:pStyle w:val="4"/>
        <w:bidi w:val="0"/>
        <w:rPr>
          <w:rFonts w:hint="eastAsia"/>
          <w:highlight w:val="none"/>
        </w:rPr>
      </w:pPr>
      <w:bookmarkStart w:id="32" w:name="_Toc25345"/>
      <w:bookmarkStart w:id="33" w:name="_Toc23140"/>
      <w:bookmarkStart w:id="34" w:name="_Toc27087"/>
      <w:bookmarkStart w:id="35" w:name="_Toc14088"/>
      <w:bookmarkStart w:id="36" w:name="_Toc17114"/>
      <w:r>
        <w:rPr>
          <w:rFonts w:hint="eastAsia"/>
          <w:highlight w:val="none"/>
        </w:rPr>
        <w:t>三、主要问题及相关建议</w:t>
      </w:r>
      <w:bookmarkEnd w:id="32"/>
      <w:bookmarkEnd w:id="33"/>
      <w:bookmarkEnd w:id="34"/>
      <w:bookmarkEnd w:id="35"/>
      <w:bookmarkEnd w:id="36"/>
    </w:p>
    <w:p w14:paraId="6B678102">
      <w:pPr>
        <w:pStyle w:val="5"/>
        <w:bidi w:val="0"/>
        <w:rPr>
          <w:rFonts w:hint="eastAsia" w:eastAsia="楷体_GB2312"/>
          <w:highlight w:val="none"/>
          <w:lang w:val="en-US" w:eastAsia="zh-CN"/>
        </w:rPr>
      </w:pPr>
      <w:bookmarkStart w:id="37" w:name="_Toc10870"/>
      <w:bookmarkStart w:id="38" w:name="_Toc13035"/>
      <w:bookmarkStart w:id="39" w:name="_Toc26055"/>
      <w:bookmarkStart w:id="40" w:name="_Toc8818"/>
      <w:bookmarkStart w:id="41" w:name="_Toc19114"/>
      <w:r>
        <w:rPr>
          <w:rFonts w:hint="eastAsia"/>
          <w:highlight w:val="none"/>
        </w:rPr>
        <w:t>（一）</w:t>
      </w:r>
      <w:r>
        <w:rPr>
          <w:rFonts w:hint="eastAsia"/>
          <w:highlight w:val="none"/>
          <w:lang w:val="en-US" w:eastAsia="zh-CN"/>
        </w:rPr>
        <w:t>主要问题</w:t>
      </w:r>
      <w:bookmarkEnd w:id="37"/>
      <w:bookmarkEnd w:id="38"/>
      <w:bookmarkEnd w:id="39"/>
      <w:bookmarkEnd w:id="40"/>
      <w:bookmarkEnd w:id="41"/>
    </w:p>
    <w:p w14:paraId="6006F6F2">
      <w:pPr>
        <w:bidi w:val="0"/>
        <w:rPr>
          <w:rFonts w:hint="eastAsia"/>
          <w:highlight w:val="none"/>
        </w:rPr>
      </w:pPr>
      <w:r>
        <w:rPr>
          <w:rFonts w:hint="eastAsia"/>
          <w:highlight w:val="none"/>
          <w:lang w:val="en-US" w:eastAsia="zh-CN"/>
        </w:rPr>
        <w:t>1.</w:t>
      </w:r>
      <w:r>
        <w:rPr>
          <w:rFonts w:hint="eastAsia"/>
          <w:highlight w:val="none"/>
          <w:lang w:eastAsia="zh-CN"/>
        </w:rPr>
        <w:t>绩效管理脱节，过程监控与自评</w:t>
      </w:r>
      <w:r>
        <w:rPr>
          <w:rFonts w:hint="eastAsia"/>
          <w:highlight w:val="none"/>
          <w:lang w:val="en-US" w:eastAsia="zh-CN"/>
        </w:rPr>
        <w:t>不规范</w:t>
      </w:r>
      <w:r>
        <w:rPr>
          <w:rFonts w:hint="eastAsia"/>
          <w:highlight w:val="none"/>
          <w:lang w:eastAsia="zh-CN"/>
        </w:rPr>
        <w:t>。</w:t>
      </w:r>
      <w:r>
        <w:rPr>
          <w:rFonts w:hint="eastAsia"/>
          <w:highlight w:val="none"/>
        </w:rPr>
        <w:t xml:space="preserve"> </w:t>
      </w:r>
    </w:p>
    <w:p w14:paraId="5B5EABC2">
      <w:pPr>
        <w:bidi w:val="0"/>
        <w:rPr>
          <w:rFonts w:hint="default"/>
          <w:lang w:val="en-US" w:eastAsia="zh-CN"/>
        </w:rPr>
      </w:pPr>
      <w:r>
        <w:rPr>
          <w:rFonts w:hint="eastAsia"/>
          <w:highlight w:val="none"/>
          <w:lang w:val="en-US" w:eastAsia="zh-CN"/>
        </w:rPr>
        <w:t>2.项目库不完善，项目申报内容过于笼统。</w:t>
      </w:r>
    </w:p>
    <w:p w14:paraId="6C51DB80">
      <w:pPr>
        <w:pStyle w:val="5"/>
        <w:bidi w:val="0"/>
        <w:rPr>
          <w:rFonts w:hint="default"/>
          <w:highlight w:val="none"/>
          <w:lang w:val="en-US" w:eastAsia="zh-CN"/>
        </w:rPr>
      </w:pPr>
      <w:bookmarkStart w:id="42" w:name="_Toc31525"/>
      <w:bookmarkStart w:id="43" w:name="_Toc694"/>
      <w:bookmarkStart w:id="44" w:name="_Toc2304"/>
      <w:bookmarkStart w:id="45" w:name="_Toc23623"/>
      <w:bookmarkStart w:id="46" w:name="_Toc25417"/>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lang w:val="en-US" w:eastAsia="zh-CN"/>
        </w:rPr>
        <w:t>相关建议</w:t>
      </w:r>
      <w:bookmarkEnd w:id="42"/>
      <w:bookmarkEnd w:id="43"/>
      <w:bookmarkEnd w:id="44"/>
      <w:bookmarkEnd w:id="45"/>
      <w:bookmarkEnd w:id="46"/>
    </w:p>
    <w:p w14:paraId="2FCF742E">
      <w:pPr>
        <w:bidi w:val="0"/>
        <w:rPr>
          <w:rFonts w:hint="eastAsia"/>
          <w:highlight w:val="none"/>
        </w:rPr>
      </w:pPr>
      <w:r>
        <w:rPr>
          <w:rFonts w:hint="eastAsia"/>
          <w:highlight w:val="none"/>
          <w:lang w:val="en-US" w:eastAsia="zh-CN"/>
        </w:rPr>
        <w:t>1.</w:t>
      </w:r>
      <w:r>
        <w:rPr>
          <w:rFonts w:hint="eastAsia"/>
          <w:highlight w:val="none"/>
          <w:lang w:eastAsia="zh-CN"/>
        </w:rPr>
        <w:t>建议强化动态监控和结果应用机制，推动绩效与预算挂钩。</w:t>
      </w:r>
      <w:r>
        <w:rPr>
          <w:rFonts w:hint="eastAsia"/>
          <w:highlight w:val="none"/>
        </w:rPr>
        <w:t xml:space="preserve"> </w:t>
      </w:r>
    </w:p>
    <w:p w14:paraId="32BCF58A">
      <w:pPr>
        <w:bidi w:val="0"/>
        <w:rPr>
          <w:rFonts w:hint="default"/>
          <w:lang w:val="en-US" w:eastAsia="zh-CN"/>
        </w:rPr>
      </w:pPr>
      <w:r>
        <w:rPr>
          <w:rFonts w:hint="eastAsia"/>
          <w:highlight w:val="none"/>
          <w:lang w:val="en-US" w:eastAsia="zh-CN"/>
        </w:rPr>
        <w:t>2.</w:t>
      </w:r>
      <w:r>
        <w:rPr>
          <w:rFonts w:hint="eastAsia"/>
          <w:highlight w:val="none"/>
        </w:rPr>
        <w:t>建议</w:t>
      </w:r>
      <w:r>
        <w:rPr>
          <w:rFonts w:hint="eastAsia"/>
          <w:highlight w:val="none"/>
          <w:lang w:eastAsia="zh-CN"/>
        </w:rPr>
        <w:t>强化项目入库程序，严控项目准入</w:t>
      </w:r>
      <w:r>
        <w:rPr>
          <w:rFonts w:hint="eastAsia"/>
          <w:highlight w:val="none"/>
        </w:rPr>
        <w:t>。</w:t>
      </w:r>
      <w:bookmarkEnd w:id="0"/>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9D1CD1-A638-452B-8F80-0E94D4B223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909B26D-8457-4D13-95B4-A95A78C98A3C}"/>
  </w:font>
  <w:font w:name="楷体_GB2312">
    <w:panose1 w:val="02010609030101010101"/>
    <w:charset w:val="86"/>
    <w:family w:val="auto"/>
    <w:pitch w:val="default"/>
    <w:sig w:usb0="00000001" w:usb1="080E0000" w:usb2="00000000" w:usb3="00000000" w:csb0="00040000" w:csb1="00000000"/>
    <w:embedRegular r:id="rId3" w:fontKey="{9D875A46-1954-4A4D-B707-AA1E7D1B369E}"/>
  </w:font>
  <w:font w:name="方正小标宋简体">
    <w:panose1 w:val="03000509000000000000"/>
    <w:charset w:val="86"/>
    <w:family w:val="auto"/>
    <w:pitch w:val="default"/>
    <w:sig w:usb0="00000001" w:usb1="080E0000" w:usb2="00000000" w:usb3="00000000" w:csb0="00040000" w:csb1="00000000"/>
    <w:embedRegular r:id="rId4" w:fontKey="{56585C4B-32D9-4883-A594-5570AAC88AE4}"/>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
    <w:altName w:val="Arial"/>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469D7">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66D9E">
                          <w:pPr>
                            <w:pStyle w:val="15"/>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V</w:t>
                          </w:r>
                          <w:r>
                            <w:rPr>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41566D9E">
                    <w:pPr>
                      <w:pStyle w:val="15"/>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V</w:t>
                    </w:r>
                    <w:r>
                      <w:rPr>
                        <w:sz w:val="28"/>
                        <w:szCs w:val="4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MDNmNWYzNzI2M2I2YWYxYjE3OWIyOTI4YjVhY2EifQ=="/>
    <w:docVar w:name="KSO_WPS_MARK_KEY" w:val="c251280e-6a28-4762-b059-f20f89f45dfc"/>
  </w:docVars>
  <w:rsids>
    <w:rsidRoot w:val="35C34076"/>
    <w:rsid w:val="00032291"/>
    <w:rsid w:val="00730722"/>
    <w:rsid w:val="01747E56"/>
    <w:rsid w:val="03364C2F"/>
    <w:rsid w:val="035F782F"/>
    <w:rsid w:val="03BB2127"/>
    <w:rsid w:val="041D1AF3"/>
    <w:rsid w:val="04464128"/>
    <w:rsid w:val="04552A21"/>
    <w:rsid w:val="048B360D"/>
    <w:rsid w:val="049F4025"/>
    <w:rsid w:val="04D46A84"/>
    <w:rsid w:val="050531F4"/>
    <w:rsid w:val="052D6C99"/>
    <w:rsid w:val="05667A7F"/>
    <w:rsid w:val="05DF601E"/>
    <w:rsid w:val="064C70DE"/>
    <w:rsid w:val="07066233"/>
    <w:rsid w:val="093F53C8"/>
    <w:rsid w:val="0ADB7791"/>
    <w:rsid w:val="0B3D750A"/>
    <w:rsid w:val="0B827859"/>
    <w:rsid w:val="0BC23BF9"/>
    <w:rsid w:val="0CE428FD"/>
    <w:rsid w:val="0CF54BA1"/>
    <w:rsid w:val="0D442F3A"/>
    <w:rsid w:val="0DC103AB"/>
    <w:rsid w:val="0DF20A80"/>
    <w:rsid w:val="0E787D43"/>
    <w:rsid w:val="0EE93E6B"/>
    <w:rsid w:val="0F5D63CD"/>
    <w:rsid w:val="1094309A"/>
    <w:rsid w:val="11701346"/>
    <w:rsid w:val="11B94DCB"/>
    <w:rsid w:val="140A3E2E"/>
    <w:rsid w:val="14E84EB5"/>
    <w:rsid w:val="160D0B3E"/>
    <w:rsid w:val="16154D02"/>
    <w:rsid w:val="171E5EA3"/>
    <w:rsid w:val="175E5A76"/>
    <w:rsid w:val="17624B2F"/>
    <w:rsid w:val="17A463DC"/>
    <w:rsid w:val="18190CF9"/>
    <w:rsid w:val="181A60A8"/>
    <w:rsid w:val="18C55FDE"/>
    <w:rsid w:val="18C83EE5"/>
    <w:rsid w:val="19121286"/>
    <w:rsid w:val="191556B5"/>
    <w:rsid w:val="19F97D1D"/>
    <w:rsid w:val="1C263F4C"/>
    <w:rsid w:val="1C3120DE"/>
    <w:rsid w:val="1C6B4388"/>
    <w:rsid w:val="1D434EFC"/>
    <w:rsid w:val="1D8951A6"/>
    <w:rsid w:val="1DBA69C3"/>
    <w:rsid w:val="1E0F16A4"/>
    <w:rsid w:val="1E3F0626"/>
    <w:rsid w:val="1EAA7568"/>
    <w:rsid w:val="1F061F3F"/>
    <w:rsid w:val="1F562045"/>
    <w:rsid w:val="1F996766"/>
    <w:rsid w:val="207F30F4"/>
    <w:rsid w:val="20DA0F33"/>
    <w:rsid w:val="20E746ED"/>
    <w:rsid w:val="210C15B1"/>
    <w:rsid w:val="21C14970"/>
    <w:rsid w:val="22486D9E"/>
    <w:rsid w:val="227D6481"/>
    <w:rsid w:val="22CE41CB"/>
    <w:rsid w:val="22F151AB"/>
    <w:rsid w:val="23B048C6"/>
    <w:rsid w:val="24F26C8B"/>
    <w:rsid w:val="26C44663"/>
    <w:rsid w:val="26E17B1B"/>
    <w:rsid w:val="27400656"/>
    <w:rsid w:val="28BF4116"/>
    <w:rsid w:val="290A574F"/>
    <w:rsid w:val="2B593A95"/>
    <w:rsid w:val="2C4B561E"/>
    <w:rsid w:val="2CAB0931"/>
    <w:rsid w:val="2D504A34"/>
    <w:rsid w:val="2E3A2BBB"/>
    <w:rsid w:val="2E414224"/>
    <w:rsid w:val="2E732724"/>
    <w:rsid w:val="2F7E1D1C"/>
    <w:rsid w:val="30FB63F1"/>
    <w:rsid w:val="31097AD7"/>
    <w:rsid w:val="313D1180"/>
    <w:rsid w:val="317A631C"/>
    <w:rsid w:val="317E3A62"/>
    <w:rsid w:val="3316110F"/>
    <w:rsid w:val="33235D62"/>
    <w:rsid w:val="33772E96"/>
    <w:rsid w:val="34303C0B"/>
    <w:rsid w:val="35850171"/>
    <w:rsid w:val="35C34076"/>
    <w:rsid w:val="35EF63D1"/>
    <w:rsid w:val="369C3C02"/>
    <w:rsid w:val="36EF3861"/>
    <w:rsid w:val="371D35B1"/>
    <w:rsid w:val="375A7DB4"/>
    <w:rsid w:val="37C007D3"/>
    <w:rsid w:val="38577DB0"/>
    <w:rsid w:val="3875259B"/>
    <w:rsid w:val="38933BC6"/>
    <w:rsid w:val="395615E0"/>
    <w:rsid w:val="39745705"/>
    <w:rsid w:val="39FA6120"/>
    <w:rsid w:val="3A386910"/>
    <w:rsid w:val="3AA6076F"/>
    <w:rsid w:val="3B041E42"/>
    <w:rsid w:val="3B3D600A"/>
    <w:rsid w:val="3B6B546F"/>
    <w:rsid w:val="3B7F3113"/>
    <w:rsid w:val="3C9C7334"/>
    <w:rsid w:val="3CB163D2"/>
    <w:rsid w:val="3CD12B48"/>
    <w:rsid w:val="3DC15EDC"/>
    <w:rsid w:val="3F285800"/>
    <w:rsid w:val="3FD41A89"/>
    <w:rsid w:val="3FFC5B94"/>
    <w:rsid w:val="404155FA"/>
    <w:rsid w:val="40774D89"/>
    <w:rsid w:val="40E31A67"/>
    <w:rsid w:val="40E82ADD"/>
    <w:rsid w:val="40F721B9"/>
    <w:rsid w:val="410A182B"/>
    <w:rsid w:val="414F6657"/>
    <w:rsid w:val="421871D8"/>
    <w:rsid w:val="42CD04BB"/>
    <w:rsid w:val="43761230"/>
    <w:rsid w:val="44245B90"/>
    <w:rsid w:val="44E52799"/>
    <w:rsid w:val="450C5B9B"/>
    <w:rsid w:val="45827952"/>
    <w:rsid w:val="45AC3256"/>
    <w:rsid w:val="46412B93"/>
    <w:rsid w:val="465613B8"/>
    <w:rsid w:val="466B0DF4"/>
    <w:rsid w:val="46C5648E"/>
    <w:rsid w:val="46D855A0"/>
    <w:rsid w:val="47901DC6"/>
    <w:rsid w:val="47C802AD"/>
    <w:rsid w:val="480B64D2"/>
    <w:rsid w:val="48E03FDF"/>
    <w:rsid w:val="49471FF4"/>
    <w:rsid w:val="4A7C4281"/>
    <w:rsid w:val="4C3C02AF"/>
    <w:rsid w:val="4C43011D"/>
    <w:rsid w:val="4D0202B6"/>
    <w:rsid w:val="4D3A201A"/>
    <w:rsid w:val="4D561559"/>
    <w:rsid w:val="4D8600BD"/>
    <w:rsid w:val="4DB61A04"/>
    <w:rsid w:val="4E063F47"/>
    <w:rsid w:val="4E99587B"/>
    <w:rsid w:val="4EEF00E8"/>
    <w:rsid w:val="4F137088"/>
    <w:rsid w:val="4FCD667C"/>
    <w:rsid w:val="4FE473BC"/>
    <w:rsid w:val="4FE63299"/>
    <w:rsid w:val="5079451B"/>
    <w:rsid w:val="50B3417E"/>
    <w:rsid w:val="5100417E"/>
    <w:rsid w:val="5199045A"/>
    <w:rsid w:val="51F15BDE"/>
    <w:rsid w:val="51FF4E5F"/>
    <w:rsid w:val="528448E0"/>
    <w:rsid w:val="53C51D46"/>
    <w:rsid w:val="547729B6"/>
    <w:rsid w:val="54BE2DD2"/>
    <w:rsid w:val="55933427"/>
    <w:rsid w:val="55B003E5"/>
    <w:rsid w:val="56917F52"/>
    <w:rsid w:val="5848574E"/>
    <w:rsid w:val="58A31DB7"/>
    <w:rsid w:val="58BC728D"/>
    <w:rsid w:val="58FA51DB"/>
    <w:rsid w:val="597376A5"/>
    <w:rsid w:val="599975CF"/>
    <w:rsid w:val="5A726AC1"/>
    <w:rsid w:val="5A8C1CDA"/>
    <w:rsid w:val="5AC31CF8"/>
    <w:rsid w:val="5B75650D"/>
    <w:rsid w:val="5B8B1199"/>
    <w:rsid w:val="5BBB7CD0"/>
    <w:rsid w:val="5C795BB0"/>
    <w:rsid w:val="5D0A6EA6"/>
    <w:rsid w:val="5D9328D0"/>
    <w:rsid w:val="5E355E89"/>
    <w:rsid w:val="5ED56534"/>
    <w:rsid w:val="5EE306B7"/>
    <w:rsid w:val="5EF54B13"/>
    <w:rsid w:val="5F245B8C"/>
    <w:rsid w:val="61321087"/>
    <w:rsid w:val="61BF1007"/>
    <w:rsid w:val="61F8342E"/>
    <w:rsid w:val="61FD6172"/>
    <w:rsid w:val="62315455"/>
    <w:rsid w:val="624C14B5"/>
    <w:rsid w:val="625046A7"/>
    <w:rsid w:val="626F262F"/>
    <w:rsid w:val="62B44945"/>
    <w:rsid w:val="62B845B3"/>
    <w:rsid w:val="62DF3642"/>
    <w:rsid w:val="630E05F3"/>
    <w:rsid w:val="63706D84"/>
    <w:rsid w:val="63DC2AB8"/>
    <w:rsid w:val="65A15C33"/>
    <w:rsid w:val="65C1082C"/>
    <w:rsid w:val="66747690"/>
    <w:rsid w:val="66870663"/>
    <w:rsid w:val="668D4B82"/>
    <w:rsid w:val="67191FF2"/>
    <w:rsid w:val="6751773B"/>
    <w:rsid w:val="676D466E"/>
    <w:rsid w:val="677A598C"/>
    <w:rsid w:val="67D82B34"/>
    <w:rsid w:val="69047494"/>
    <w:rsid w:val="693F2A7C"/>
    <w:rsid w:val="69463148"/>
    <w:rsid w:val="696A28B5"/>
    <w:rsid w:val="69D03A4A"/>
    <w:rsid w:val="6A065D6D"/>
    <w:rsid w:val="6A583DDE"/>
    <w:rsid w:val="6AF91C7B"/>
    <w:rsid w:val="6B307FBB"/>
    <w:rsid w:val="6B861817"/>
    <w:rsid w:val="6BCA3618"/>
    <w:rsid w:val="6CE12720"/>
    <w:rsid w:val="6CF42B09"/>
    <w:rsid w:val="6CF66663"/>
    <w:rsid w:val="6D3D5D81"/>
    <w:rsid w:val="6D400035"/>
    <w:rsid w:val="6E004F03"/>
    <w:rsid w:val="6E0C60FE"/>
    <w:rsid w:val="6E5C7EA4"/>
    <w:rsid w:val="6EA06185"/>
    <w:rsid w:val="6EE0209C"/>
    <w:rsid w:val="6EE5144B"/>
    <w:rsid w:val="6F134DCC"/>
    <w:rsid w:val="70620808"/>
    <w:rsid w:val="70E36464"/>
    <w:rsid w:val="7134723F"/>
    <w:rsid w:val="714874B8"/>
    <w:rsid w:val="71582468"/>
    <w:rsid w:val="71734B1E"/>
    <w:rsid w:val="71D62915"/>
    <w:rsid w:val="72DB0274"/>
    <w:rsid w:val="72E92098"/>
    <w:rsid w:val="734E60FF"/>
    <w:rsid w:val="7364527E"/>
    <w:rsid w:val="73D17001"/>
    <w:rsid w:val="73F674E5"/>
    <w:rsid w:val="74091871"/>
    <w:rsid w:val="741B02BB"/>
    <w:rsid w:val="74641F4A"/>
    <w:rsid w:val="74DE651C"/>
    <w:rsid w:val="75714ED4"/>
    <w:rsid w:val="75904D02"/>
    <w:rsid w:val="75AF5D58"/>
    <w:rsid w:val="76C867F0"/>
    <w:rsid w:val="77A01835"/>
    <w:rsid w:val="77BF755B"/>
    <w:rsid w:val="78027032"/>
    <w:rsid w:val="785B2336"/>
    <w:rsid w:val="789B4F81"/>
    <w:rsid w:val="78F26BC7"/>
    <w:rsid w:val="795B1DD4"/>
    <w:rsid w:val="7965421C"/>
    <w:rsid w:val="797B0C5B"/>
    <w:rsid w:val="7A796A05"/>
    <w:rsid w:val="7A916FCB"/>
    <w:rsid w:val="7AE36009"/>
    <w:rsid w:val="7AFA6CB9"/>
    <w:rsid w:val="7B113F1D"/>
    <w:rsid w:val="7B392B1B"/>
    <w:rsid w:val="7B6A53AF"/>
    <w:rsid w:val="7C2428D0"/>
    <w:rsid w:val="7CE10113"/>
    <w:rsid w:val="7CF229CE"/>
    <w:rsid w:val="7D2B22C4"/>
    <w:rsid w:val="7E002D75"/>
    <w:rsid w:val="7E983A4B"/>
    <w:rsid w:val="7F1530A7"/>
    <w:rsid w:val="7F1F0439"/>
    <w:rsid w:val="7F4D4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420" w:firstLineChars="200"/>
      <w:jc w:val="both"/>
    </w:pPr>
    <w:rPr>
      <w:rFonts w:ascii="仿宋_GB2312" w:hAnsi="仿宋_GB2312" w:eastAsia="仿宋_GB2312" w:cs="Times New Roman"/>
      <w:kern w:val="2"/>
      <w:sz w:val="32"/>
      <w:szCs w:val="24"/>
      <w:lang w:val="en-US" w:eastAsia="zh-CN" w:bidi="ar-SA"/>
    </w:rPr>
  </w:style>
  <w:style w:type="paragraph" w:styleId="4">
    <w:name w:val="heading 1"/>
    <w:basedOn w:val="1"/>
    <w:next w:val="1"/>
    <w:qFormat/>
    <w:uiPriority w:val="0"/>
    <w:pPr>
      <w:keepNext/>
      <w:keepLines/>
      <w:adjustRightInd w:val="0"/>
      <w:snapToGrid w:val="0"/>
      <w:spacing w:beforeLines="0" w:beforeAutospacing="0" w:afterLines="0" w:afterAutospacing="0" w:line="560" w:lineRule="exact"/>
      <w:ind w:firstLine="420" w:firstLineChars="200"/>
      <w:outlineLvl w:val="0"/>
    </w:pPr>
    <w:rPr>
      <w:rFonts w:ascii="Times New Roman" w:hAnsi="Times New Roman" w:eastAsia="黑体"/>
      <w:b/>
      <w:kern w:val="44"/>
    </w:rPr>
  </w:style>
  <w:style w:type="paragraph" w:styleId="5">
    <w:name w:val="heading 2"/>
    <w:basedOn w:val="1"/>
    <w:next w:val="6"/>
    <w:unhideWhenUsed/>
    <w:qFormat/>
    <w:uiPriority w:val="0"/>
    <w:pPr>
      <w:keepNext/>
      <w:keepLines/>
      <w:spacing w:beforeLines="0" w:beforeAutospacing="0" w:afterLines="0" w:afterAutospacing="0" w:line="560" w:lineRule="exact"/>
      <w:ind w:firstLine="643" w:firstLineChars="200"/>
      <w:outlineLvl w:val="1"/>
    </w:pPr>
    <w:rPr>
      <w:rFonts w:ascii="Times New Roman" w:hAnsi="Times New Roman" w:eastAsia="楷体_GB2312"/>
      <w:b/>
    </w:rPr>
  </w:style>
  <w:style w:type="paragraph" w:styleId="7">
    <w:name w:val="heading 3"/>
    <w:basedOn w:val="1"/>
    <w:next w:val="1"/>
    <w:link w:val="30"/>
    <w:unhideWhenUsed/>
    <w:qFormat/>
    <w:uiPriority w:val="0"/>
    <w:pPr>
      <w:keepNext/>
      <w:keepLines/>
      <w:spacing w:beforeLines="0" w:beforeAutospacing="0" w:afterLines="0" w:afterAutospacing="0" w:line="360" w:lineRule="auto"/>
      <w:outlineLvl w:val="2"/>
    </w:pPr>
  </w:style>
  <w:style w:type="paragraph" w:styleId="8">
    <w:name w:val="heading 4"/>
    <w:basedOn w:val="1"/>
    <w:next w:val="1"/>
    <w:unhideWhenUsed/>
    <w:qFormat/>
    <w:uiPriority w:val="0"/>
    <w:pPr>
      <w:keepNext/>
      <w:keepLines/>
      <w:spacing w:beforeLines="0" w:beforeAutospacing="0" w:afterLines="0" w:afterAutospacing="0" w:line="360" w:lineRule="auto"/>
      <w:outlineLvl w:val="3"/>
    </w:pPr>
    <w:rPr>
      <w:rFonts w:ascii="仿宋_GB2312" w:hAnsi="仿宋_GB2312"/>
    </w:rPr>
  </w:style>
  <w:style w:type="paragraph" w:styleId="9">
    <w:name w:val="heading 5"/>
    <w:basedOn w:val="1"/>
    <w:next w:val="1"/>
    <w:unhideWhenUsed/>
    <w:qFormat/>
    <w:uiPriority w:val="0"/>
    <w:pPr>
      <w:keepNext/>
      <w:keepLines/>
      <w:spacing w:beforeLines="0" w:beforeAutospacing="0" w:afterLines="0" w:afterAutospacing="0" w:line="360" w:lineRule="auto"/>
      <w:outlineLvl w:val="4"/>
    </w:pPr>
  </w:style>
  <w:style w:type="paragraph" w:styleId="10">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6">
    <w:name w:val="Normal Indent"/>
    <w:basedOn w:val="1"/>
    <w:qFormat/>
    <w:uiPriority w:val="99"/>
    <w:pPr>
      <w:spacing w:line="360" w:lineRule="auto"/>
      <w:ind w:firstLine="0" w:firstLineChars="0"/>
      <w:jc w:val="center"/>
    </w:pPr>
    <w:rPr>
      <w:rFonts w:eastAsia="方正小标宋简体"/>
      <w:sz w:val="44"/>
    </w:rPr>
  </w:style>
  <w:style w:type="paragraph" w:styleId="11">
    <w:name w:val="caption"/>
    <w:basedOn w:val="1"/>
    <w:next w:val="1"/>
    <w:link w:val="34"/>
    <w:unhideWhenUsed/>
    <w:qFormat/>
    <w:uiPriority w:val="0"/>
    <w:pPr>
      <w:ind w:firstLine="0" w:firstLineChars="0"/>
      <w:jc w:val="center"/>
    </w:pPr>
    <w:rPr>
      <w:rFonts w:ascii="黑体" w:hAnsi="黑体" w:eastAsia="方正小标宋简体"/>
      <w:b/>
      <w:sz w:val="24"/>
    </w:rPr>
  </w:style>
  <w:style w:type="paragraph" w:styleId="12">
    <w:name w:val="annotation text"/>
    <w:basedOn w:val="1"/>
    <w:unhideWhenUsed/>
    <w:qFormat/>
    <w:uiPriority w:val="99"/>
    <w:pPr>
      <w:spacing w:line="240" w:lineRule="auto"/>
      <w:ind w:firstLine="0" w:firstLineChars="0"/>
      <w:jc w:val="center"/>
    </w:pPr>
    <w:rPr>
      <w:rFonts w:eastAsia="宋体"/>
      <w:sz w:val="24"/>
    </w:rPr>
  </w:style>
  <w:style w:type="paragraph" w:styleId="13">
    <w:name w:val="Body Text"/>
    <w:basedOn w:val="1"/>
    <w:qFormat/>
    <w:uiPriority w:val="0"/>
    <w:pPr>
      <w:spacing w:before="240" w:after="120" w:afterLines="0" w:afterAutospacing="0"/>
      <w:ind w:firstLine="0" w:firstLineChars="0"/>
    </w:pPr>
    <w:rPr>
      <w:rFonts w:ascii="Arial" w:hAnsi="Arial" w:eastAsia="宋体"/>
      <w:sz w:val="44"/>
    </w:rPr>
  </w:style>
  <w:style w:type="paragraph" w:styleId="14">
    <w:name w:val="Plain Text"/>
    <w:basedOn w:val="1"/>
    <w:qFormat/>
    <w:uiPriority w:val="0"/>
    <w:rPr>
      <w:rFonts w:ascii="宋体" w:hAnsi="Courier New"/>
      <w:szCs w:val="21"/>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pPr>
      <w:tabs>
        <w:tab w:val="right" w:leader="dot" w:pos="8306"/>
      </w:tabs>
      <w:ind w:firstLine="0" w:firstLineChars="0"/>
    </w:pPr>
    <w:rPr>
      <w:rFonts w:ascii="Times New Roman" w:hAnsi="Times New Roman"/>
      <w:b/>
    </w:rPr>
  </w:style>
  <w:style w:type="paragraph" w:styleId="18">
    <w:name w:val="Subtitle"/>
    <w:basedOn w:val="1"/>
    <w:next w:val="1"/>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9">
    <w:name w:val="toc 2"/>
    <w:basedOn w:val="1"/>
    <w:next w:val="1"/>
    <w:qFormat/>
    <w:uiPriority w:val="0"/>
    <w:pPr>
      <w:ind w:left="0" w:leftChars="0" w:firstLine="0" w:firstLineChars="0"/>
    </w:pPr>
    <w:rPr>
      <w:rFonts w:ascii="Times New Roman" w:hAnsi="Times New Roman" w:eastAsia="仿宋_GB2312"/>
    </w:rPr>
  </w:style>
  <w:style w:type="paragraph" w:styleId="20">
    <w:name w:val="Body Text First Indent"/>
    <w:basedOn w:val="13"/>
    <w:qFormat/>
    <w:uiPriority w:val="0"/>
    <w:pPr>
      <w:ind w:firstLine="420" w:firstLineChars="100"/>
    </w:p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unhideWhenUsed/>
    <w:qFormat/>
    <w:uiPriority w:val="99"/>
    <w:rPr>
      <w:color w:val="0000FF"/>
      <w:u w:val="single"/>
    </w:rPr>
  </w:style>
  <w:style w:type="paragraph" w:customStyle="1" w:styleId="26">
    <w:name w:val="表格文字"/>
    <w:basedOn w:val="27"/>
    <w:next w:val="1"/>
    <w:qFormat/>
    <w:uiPriority w:val="0"/>
    <w:pPr>
      <w:spacing w:line="240" w:lineRule="auto"/>
      <w:ind w:firstLine="0" w:firstLineChars="0"/>
      <w:jc w:val="center"/>
    </w:pPr>
    <w:rPr>
      <w:rFonts w:hint="eastAsia" w:ascii="宋体" w:hAnsi="宋体" w:eastAsia="黑体" w:cs="宋体"/>
      <w:bCs/>
      <w:sz w:val="28"/>
      <w:szCs w:val="20"/>
    </w:rPr>
  </w:style>
  <w:style w:type="paragraph" w:customStyle="1" w:styleId="27">
    <w:name w:val="独立格式"/>
    <w:basedOn w:val="18"/>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28">
    <w:name w:val="font21"/>
    <w:basedOn w:val="23"/>
    <w:qFormat/>
    <w:uiPriority w:val="0"/>
    <w:rPr>
      <w:rFonts w:ascii="宋体" w:hAnsi="宋体" w:eastAsia="宋体" w:cs="宋体"/>
      <w:b/>
      <w:bCs/>
      <w:color w:val="000000"/>
      <w:sz w:val="14"/>
      <w:szCs w:val="14"/>
      <w:u w:val="none"/>
    </w:rPr>
  </w:style>
  <w:style w:type="character" w:customStyle="1" w:styleId="29">
    <w:name w:val="font31"/>
    <w:basedOn w:val="23"/>
    <w:qFormat/>
    <w:uiPriority w:val="0"/>
    <w:rPr>
      <w:rFonts w:ascii="宋体" w:hAnsi="宋体" w:eastAsia="宋体" w:cs="宋体"/>
      <w:color w:val="000000"/>
      <w:sz w:val="14"/>
      <w:szCs w:val="14"/>
      <w:u w:val="none"/>
    </w:rPr>
  </w:style>
  <w:style w:type="character" w:customStyle="1" w:styleId="30">
    <w:name w:val="标题 3 Char"/>
    <w:link w:val="7"/>
    <w:qFormat/>
    <w:uiPriority w:val="0"/>
  </w:style>
  <w:style w:type="character" w:customStyle="1" w:styleId="31">
    <w:name w:val="font51"/>
    <w:basedOn w:val="23"/>
    <w:qFormat/>
    <w:uiPriority w:val="0"/>
    <w:rPr>
      <w:rFonts w:hint="eastAsia" w:ascii="宋体" w:hAnsi="宋体" w:eastAsia="宋体" w:cs="宋体"/>
      <w:color w:val="000000"/>
      <w:sz w:val="24"/>
      <w:szCs w:val="24"/>
      <w:u w:val="none"/>
    </w:rPr>
  </w:style>
  <w:style w:type="character" w:customStyle="1" w:styleId="32">
    <w:name w:val="font61"/>
    <w:basedOn w:val="23"/>
    <w:qFormat/>
    <w:uiPriority w:val="0"/>
    <w:rPr>
      <w:rFonts w:hint="default" w:ascii="Calibri" w:hAnsi="Calibri" w:cs="Calibri"/>
      <w:color w:val="000000"/>
      <w:sz w:val="24"/>
      <w:szCs w:val="24"/>
      <w:u w:val="none"/>
    </w:rPr>
  </w:style>
  <w:style w:type="paragraph" w:customStyle="1" w:styleId="33">
    <w:name w:val="表格名称"/>
    <w:basedOn w:val="1"/>
    <w:qFormat/>
    <w:uiPriority w:val="0"/>
    <w:pPr>
      <w:spacing w:line="360" w:lineRule="auto"/>
      <w:jc w:val="center"/>
    </w:pPr>
    <w:rPr>
      <w:rFonts w:eastAsia="Helv" w:cs="New York"/>
      <w:b/>
      <w:sz w:val="24"/>
      <w:szCs w:val="24"/>
    </w:rPr>
  </w:style>
  <w:style w:type="character" w:customStyle="1" w:styleId="34">
    <w:name w:val="题注 Char"/>
    <w:link w:val="11"/>
    <w:qFormat/>
    <w:uiPriority w:val="0"/>
    <w:rPr>
      <w:rFonts w:ascii="黑体" w:hAnsi="黑体" w:eastAsia="方正小标宋简体"/>
      <w:b/>
      <w:sz w:val="24"/>
    </w:rPr>
  </w:style>
  <w:style w:type="character" w:customStyle="1" w:styleId="35">
    <w:name w:val="xxgk-name-xhx1"/>
    <w:basedOn w:val="2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2370</Words>
  <Characters>2541</Characters>
  <Lines>1</Lines>
  <Paragraphs>1</Paragraphs>
  <TotalTime>5</TotalTime>
  <ScaleCrop>false</ScaleCrop>
  <LinksUpToDate>false</LinksUpToDate>
  <CharactersWithSpaces>2941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2024-06-18T06:39:00Z</dcterms:created>
  <dc:creator>荣荣小仙女~</dc:creator>
  <cp:lastModifiedBy>杨勇</cp:lastModifiedBy>
  <cp:lastPrinted>2025-09-30T07:46:00Z</cp:lastPrinted>
  <dcterms:modified xsi:type="dcterms:W3CDTF">2025-11-14T00:45:19Z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D636CEEF6D2445CF8740967935B77BC9_13</vt:lpwstr>
  </property>
  <property fmtid="{D5CDD505-2E9C-101B-9397-08002B2CF9AE}" pid="4" name="KSOTemplateDocerSaveRecord">
    <vt:lpwstr>eyJoZGlkIjoiYWMwNTIzNzM2YzNlMmFhZWM2Yzc3ZWFmMzIyZjM0N2YiLCJ1c2VySWQiOiI3Nzc5MjM1NjEifQ==</vt:lpwstr>
  </property>
</Properties>
</file>