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right" w:leader="dot" w:pos="8844"/>
        </w:tabs>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方正小标宋简体" w:hAnsi="方正小标宋简体" w:eastAsia="方正小标宋简体" w:cs="方正小标宋简体"/>
          <w:kern w:val="2"/>
          <w:sz w:val="36"/>
          <w:szCs w:val="36"/>
          <w:lang w:val="en-US" w:eastAsia="zh-CN" w:bidi="ar-SA"/>
        </w:rPr>
      </w:pPr>
      <w:r>
        <w:rPr>
          <w:rFonts w:hint="eastAsia" w:ascii="方正小标宋简体" w:hAnsi="方正小标宋简体" w:eastAsia="方正小标宋简体" w:cs="方正小标宋简体"/>
          <w:kern w:val="2"/>
          <w:sz w:val="36"/>
          <w:szCs w:val="36"/>
          <w:lang w:val="en-US" w:eastAsia="zh-CN" w:bidi="ar-SA"/>
        </w:rPr>
        <w:t>2022年伊金霍洛旗旱作</w:t>
      </w:r>
      <w:bookmarkStart w:id="61" w:name="_GoBack"/>
      <w:r>
        <w:rPr>
          <w:rFonts w:hint="eastAsia" w:ascii="方正小标宋简体" w:hAnsi="方正小标宋简体" w:eastAsia="方正小标宋简体" w:cs="方正小标宋简体"/>
          <w:kern w:val="2"/>
          <w:sz w:val="36"/>
          <w:szCs w:val="36"/>
          <w:lang w:val="en-US" w:eastAsia="zh-CN" w:bidi="ar-SA"/>
        </w:rPr>
        <w:t>高标准农田</w:t>
      </w:r>
      <w:bookmarkEnd w:id="61"/>
      <w:r>
        <w:rPr>
          <w:rFonts w:hint="eastAsia" w:ascii="方正小标宋简体" w:hAnsi="方正小标宋简体" w:eastAsia="方正小标宋简体" w:cs="方正小标宋简体"/>
          <w:kern w:val="2"/>
          <w:sz w:val="36"/>
          <w:szCs w:val="36"/>
          <w:lang w:val="en-US" w:eastAsia="zh-CN" w:bidi="ar-SA"/>
        </w:rPr>
        <w:t>建设项目</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简体" w:hAnsi="方正小标宋简体" w:eastAsia="方正小标宋简体" w:cs="方正小标宋简体"/>
          <w:snapToGrid/>
          <w:kern w:val="2"/>
          <w:sz w:val="36"/>
          <w:szCs w:val="36"/>
          <w:lang w:val="en-US" w:eastAsia="zh-CN"/>
        </w:rPr>
      </w:pPr>
      <w:r>
        <w:rPr>
          <w:rFonts w:hint="eastAsia" w:ascii="方正小标宋简体" w:hAnsi="方正小标宋简体" w:eastAsia="方正小标宋简体" w:cs="方正小标宋简体"/>
          <w:snapToGrid/>
          <w:kern w:val="2"/>
          <w:sz w:val="36"/>
          <w:szCs w:val="36"/>
          <w:lang w:eastAsia="zh-CN"/>
        </w:rPr>
        <w:t>绩效评价报告</w:t>
      </w:r>
      <w:r>
        <w:rPr>
          <w:rFonts w:hint="eastAsia" w:ascii="方正小标宋简体" w:hAnsi="方正小标宋简体" w:eastAsia="方正小标宋简体" w:cs="方正小标宋简体"/>
          <w:snapToGrid/>
          <w:kern w:val="2"/>
          <w:sz w:val="36"/>
          <w:szCs w:val="36"/>
          <w:lang w:val="en-US" w:eastAsia="zh-CN"/>
        </w:rPr>
        <w:t>简要版</w:t>
      </w:r>
    </w:p>
    <w:p>
      <w:pPr>
        <w:widowControl w:val="0"/>
        <w:kinsoku/>
        <w:autoSpaceDE/>
        <w:autoSpaceDN/>
        <w:spacing w:line="360" w:lineRule="auto"/>
        <w:ind w:firstLine="0" w:firstLineChars="0"/>
        <w:jc w:val="center"/>
        <w:textAlignment w:val="auto"/>
        <w:rPr>
          <w:rFonts w:hint="eastAsia" w:ascii="华文中宋" w:hAnsi="华文中宋" w:eastAsia="华文中宋" w:cs="仿宋_GB2312"/>
          <w:snapToGrid/>
          <w:kern w:val="2"/>
          <w:sz w:val="36"/>
          <w:szCs w:val="36"/>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2" w:firstLineChars="200"/>
        <w:jc w:val="both"/>
        <w:textAlignment w:val="auto"/>
        <w:outlineLvl w:val="0"/>
        <w:rPr>
          <w:rFonts w:hint="eastAsia" w:ascii="仿宋_GB2312" w:hAnsi="仿宋_GB2312" w:eastAsia="仿宋_GB2312" w:cs="仿宋_GB2312"/>
          <w:snapToGrid/>
          <w:kern w:val="2"/>
          <w:sz w:val="32"/>
          <w:szCs w:val="32"/>
          <w:lang w:val="en-US" w:eastAsia="zh-CN"/>
        </w:rPr>
      </w:pPr>
      <w:bookmarkStart w:id="0" w:name="_Toc15106"/>
      <w:bookmarkStart w:id="1" w:name="_Toc23828"/>
      <w:bookmarkStart w:id="2" w:name="_Toc5864"/>
      <w:bookmarkStart w:id="3" w:name="_Toc11837"/>
      <w:bookmarkStart w:id="4" w:name="_Toc23671"/>
      <w:bookmarkStart w:id="5" w:name="_Toc29733"/>
      <w:r>
        <w:rPr>
          <w:rFonts w:hint="eastAsia" w:ascii="仿宋_GB2312" w:hAnsi="仿宋_GB2312" w:eastAsia="仿宋_GB2312" w:cs="仿宋_GB2312"/>
          <w:b/>
          <w:bCs/>
          <w:snapToGrid/>
          <w:kern w:val="2"/>
          <w:sz w:val="32"/>
          <w:szCs w:val="32"/>
          <w:lang w:val="en-US" w:eastAsia="zh-CN"/>
        </w:rPr>
        <w:t>一、</w:t>
      </w:r>
      <w:bookmarkEnd w:id="0"/>
      <w:r>
        <w:rPr>
          <w:rFonts w:hint="eastAsia" w:ascii="仿宋_GB2312" w:hAnsi="仿宋_GB2312" w:eastAsia="仿宋_GB2312" w:cs="仿宋_GB2312"/>
          <w:b/>
          <w:bCs/>
          <w:snapToGrid/>
          <w:kern w:val="2"/>
          <w:sz w:val="32"/>
          <w:szCs w:val="32"/>
          <w:lang w:val="en-US" w:eastAsia="zh-CN"/>
        </w:rPr>
        <w:t>项目基本情况</w:t>
      </w:r>
      <w:bookmarkEnd w:id="1"/>
      <w:bookmarkEnd w:id="2"/>
      <w:bookmarkEnd w:id="3"/>
      <w:bookmarkEnd w:id="4"/>
      <w:bookmarkEnd w:id="5"/>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outlineLvl w:val="1"/>
        <w:rPr>
          <w:rFonts w:hint="eastAsia" w:ascii="仿宋_GB2312" w:hAnsi="仿宋_GB2312" w:eastAsia="仿宋_GB2312" w:cs="仿宋_GB2312"/>
          <w:kern w:val="2"/>
          <w:sz w:val="32"/>
          <w:szCs w:val="32"/>
          <w:lang w:val="en-US" w:eastAsia="zh-CN" w:bidi="ar-SA"/>
        </w:rPr>
      </w:pPr>
      <w:bookmarkStart w:id="6" w:name="_Toc12658"/>
      <w:bookmarkStart w:id="7" w:name="_Toc9917"/>
      <w:bookmarkStart w:id="8" w:name="_Toc29433"/>
      <w:bookmarkStart w:id="9" w:name="_Toc3297"/>
      <w:bookmarkStart w:id="10" w:name="_Toc28148"/>
      <w:bookmarkStart w:id="11" w:name="_Toc10952"/>
      <w:r>
        <w:rPr>
          <w:rFonts w:hint="eastAsia" w:ascii="仿宋_GB2312" w:hAnsi="仿宋_GB2312" w:eastAsia="仿宋_GB2312" w:cs="仿宋_GB2312"/>
          <w:kern w:val="2"/>
          <w:sz w:val="32"/>
          <w:szCs w:val="32"/>
          <w:lang w:val="en-US" w:eastAsia="zh-CN" w:bidi="ar-SA"/>
        </w:rPr>
        <w:t>（一）</w:t>
      </w:r>
      <w:bookmarkEnd w:id="6"/>
      <w:r>
        <w:rPr>
          <w:rFonts w:hint="eastAsia" w:ascii="仿宋_GB2312" w:hAnsi="仿宋_GB2312" w:eastAsia="仿宋_GB2312" w:cs="仿宋_GB2312"/>
          <w:kern w:val="2"/>
          <w:sz w:val="32"/>
          <w:szCs w:val="32"/>
          <w:lang w:val="en-US" w:eastAsia="zh-CN" w:bidi="ar-SA"/>
        </w:rPr>
        <w:t>项目背景</w:t>
      </w:r>
      <w:bookmarkEnd w:id="7"/>
      <w:bookmarkEnd w:id="8"/>
      <w:bookmarkEnd w:id="9"/>
      <w:bookmarkEnd w:id="10"/>
      <w:bookmarkEnd w:id="11"/>
    </w:p>
    <w:p>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firstLine="620" w:firstLineChars="200"/>
        <w:jc w:val="both"/>
        <w:textAlignment w:val="auto"/>
        <w:outlineLvl w:val="9"/>
        <w:rPr>
          <w:rFonts w:hint="eastAsia" w:ascii="仿宋_GB2312" w:hAnsi="仿宋_GB2312" w:eastAsia="仿宋_GB2312" w:cs="仿宋_GB2312"/>
          <w:snapToGrid/>
          <w:spacing w:val="-5"/>
          <w:kern w:val="2"/>
          <w:sz w:val="32"/>
          <w:szCs w:val="32"/>
          <w:lang w:val="en-US" w:eastAsia="zh-CN" w:bidi="ar-SA"/>
        </w:rPr>
      </w:pPr>
      <w:r>
        <w:rPr>
          <w:rFonts w:hint="eastAsia" w:ascii="仿宋_GB2312" w:hAnsi="仿宋_GB2312" w:eastAsia="仿宋_GB2312" w:cs="仿宋_GB2312"/>
          <w:snapToGrid/>
          <w:spacing w:val="-5"/>
          <w:kern w:val="2"/>
          <w:sz w:val="32"/>
          <w:szCs w:val="32"/>
          <w:lang w:val="en-US" w:eastAsia="zh-CN" w:bidi="ar-SA"/>
        </w:rPr>
        <w:t>根据《全国高标准农田建设规划（2021—2030年）》，到2022年底，我国计划新建和改造提升高标准农田1亿亩，累计建成高标准农田10亿亩以上，以此提高耕地质量，增强农田抗灾减灾能力，促进农业绿色发展，为稳定粮食产量、保障重要农产品有效供给奠定坚实基础。这一目标的设定，旨在通过科技支撑和现代化管理，推动农业高质量发展，实现农业增效、农民增收，为构建新发展格局提供有力支撑。</w:t>
      </w:r>
    </w:p>
    <w:p>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firstLine="620" w:firstLineChars="200"/>
        <w:jc w:val="both"/>
        <w:textAlignment w:val="auto"/>
        <w:outlineLvl w:val="9"/>
        <w:rPr>
          <w:rFonts w:hint="eastAsia" w:ascii="仿宋_GB2312" w:hAnsi="仿宋_GB2312" w:eastAsia="仿宋_GB2312" w:cs="仿宋_GB2312"/>
          <w:snapToGrid/>
          <w:spacing w:val="-5"/>
          <w:kern w:val="2"/>
          <w:sz w:val="32"/>
          <w:szCs w:val="32"/>
          <w:lang w:val="en-US" w:eastAsia="zh-CN" w:bidi="ar-SA"/>
        </w:rPr>
      </w:pPr>
      <w:r>
        <w:rPr>
          <w:rFonts w:hint="eastAsia" w:ascii="仿宋_GB2312" w:hAnsi="仿宋_GB2312" w:eastAsia="仿宋_GB2312" w:cs="仿宋_GB2312"/>
          <w:snapToGrid/>
          <w:spacing w:val="-5"/>
          <w:kern w:val="2"/>
          <w:sz w:val="32"/>
          <w:szCs w:val="32"/>
          <w:lang w:val="en-US" w:eastAsia="zh-CN" w:bidi="ar-SA"/>
        </w:rPr>
        <w:t>内蒙古自治区作为我国重要的农牧业生产基地，积极响应国家号召，将高标准农田建设作为推动农牧业现代化、保障粮食安全的重要抓手。面对气候变化和生态环境保护的双重挑战，内蒙古自治区在2022年进一步加大了高标准农田建设力度，重点在水资源高效利用、土壤改良、农田生态保护与修复等方面下功夫。通过引入现代农业技术和管理理念，优化农业结构，提高灌溉效率，增强草原生态系统服务功能，实现农业可持续发展。同时，结合自治区“十四五”规划，积极推动农牧业转型升级，促进农村牧区经济多元化发展，提升农牧民生活水平，为内蒙古乃至全国的粮食安全作出贡献。</w:t>
      </w:r>
    </w:p>
    <w:p>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firstLine="620" w:firstLineChars="200"/>
        <w:jc w:val="both"/>
        <w:textAlignment w:val="auto"/>
        <w:outlineLvl w:val="9"/>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spacing w:val="-5"/>
          <w:kern w:val="2"/>
          <w:sz w:val="32"/>
          <w:szCs w:val="32"/>
          <w:lang w:val="en-US" w:eastAsia="zh-CN" w:bidi="ar-SA"/>
        </w:rPr>
        <w:t>根据《鄂尔多斯市农牧局关于下达2022年农田建设任务的通知》（鄂农牧发〔2021〕444号）要求，本次伊金霍洛旗高标准农田建设项目计划建设旱作高标准农田0.5万亩。积极开展高标准农田建设是稳步提高农业综合生产能力、保障国家粮食长久安全、自求平衡的物质基础；是打造粮食核心产区、发展现代农业、建设社会主义新农村的现实要求；是公共财政支持“三农”工作的重要战略举措，是进一步提升农业综合开发水平和创新开发体制机制的需要，具有重大的现实意义和深远的历史意义。</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outlineLvl w:val="1"/>
        <w:rPr>
          <w:rFonts w:hint="eastAsia" w:ascii="仿宋_GB2312" w:hAnsi="仿宋_GB2312" w:eastAsia="仿宋_GB2312" w:cs="仿宋_GB2312"/>
          <w:kern w:val="2"/>
          <w:sz w:val="32"/>
          <w:szCs w:val="32"/>
          <w:lang w:val="en-US" w:eastAsia="zh-CN" w:bidi="ar-SA"/>
        </w:rPr>
      </w:pPr>
      <w:bookmarkStart w:id="12" w:name="_Toc20578"/>
      <w:bookmarkStart w:id="13" w:name="_Toc26530"/>
      <w:bookmarkStart w:id="14" w:name="_Toc30938"/>
      <w:bookmarkStart w:id="15" w:name="_Toc6955"/>
      <w:bookmarkStart w:id="16" w:name="_Toc4085"/>
      <w:r>
        <w:rPr>
          <w:rFonts w:hint="eastAsia" w:ascii="仿宋_GB2312" w:hAnsi="仿宋_GB2312" w:eastAsia="仿宋_GB2312" w:cs="仿宋_GB2312"/>
          <w:kern w:val="2"/>
          <w:sz w:val="32"/>
          <w:szCs w:val="32"/>
          <w:lang w:val="en-US" w:eastAsia="zh-CN" w:bidi="ar-SA"/>
        </w:rPr>
        <w:t>（二）项目主要内容</w:t>
      </w:r>
      <w:bookmarkEnd w:id="12"/>
      <w:bookmarkEnd w:id="13"/>
      <w:bookmarkEnd w:id="14"/>
      <w:r>
        <w:rPr>
          <w:rFonts w:hint="eastAsia" w:ascii="仿宋_GB2312" w:hAnsi="仿宋_GB2312" w:eastAsia="仿宋_GB2312" w:cs="仿宋_GB2312"/>
          <w:kern w:val="2"/>
          <w:sz w:val="32"/>
          <w:szCs w:val="32"/>
          <w:lang w:val="en-US" w:eastAsia="zh-CN" w:bidi="ar-SA"/>
        </w:rPr>
        <w:t>及实施情况</w:t>
      </w:r>
      <w:bookmarkEnd w:id="15"/>
      <w:bookmarkEnd w:id="16"/>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bidi="ar-SA"/>
        </w:rPr>
        <w:t>本次绩效评价对象为</w:t>
      </w:r>
      <w:r>
        <w:rPr>
          <w:rFonts w:hint="eastAsia" w:ascii="仿宋_GB2312" w:hAnsi="仿宋_GB2312" w:eastAsia="仿宋_GB2312" w:cs="仿宋_GB2312"/>
          <w:snapToGrid/>
          <w:kern w:val="2"/>
          <w:sz w:val="32"/>
          <w:szCs w:val="32"/>
          <w:lang w:val="en-US" w:eastAsia="zh-CN"/>
        </w:rPr>
        <w:t>2022年伊金霍洛旗旱作高标准农田建设项目</w:t>
      </w:r>
      <w:r>
        <w:rPr>
          <w:rFonts w:hint="eastAsia" w:ascii="仿宋_GB2312" w:hAnsi="仿宋_GB2312" w:eastAsia="仿宋_GB2312" w:cs="仿宋_GB2312"/>
          <w:snapToGrid/>
          <w:kern w:val="2"/>
          <w:sz w:val="32"/>
          <w:szCs w:val="32"/>
          <w:lang w:val="en-US" w:eastAsia="zh-CN" w:bidi="ar-SA"/>
        </w:rPr>
        <w:t>，主要用于新建旱作高标准农田0.5万亩，具体建设内容包括灌溉排水工程、土壤改良、田间道路、农田防护与生态环境保持、农田输配电等。截至2022年10月底</w:t>
      </w:r>
      <w:r>
        <w:rPr>
          <w:rFonts w:hint="eastAsia" w:ascii="仿宋_GB2312" w:hAnsi="仿宋_GB2312" w:eastAsia="仿宋_GB2312" w:cs="仿宋_GB2312"/>
          <w:snapToGrid/>
          <w:kern w:val="2"/>
          <w:sz w:val="32"/>
          <w:szCs w:val="32"/>
          <w:lang w:val="en-US" w:eastAsia="zh-CN"/>
        </w:rPr>
        <w:t>，2022年伊金霍洛旗旱作高标准农田建设项目已建设完成相关内容。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outlineLvl w:val="1"/>
        <w:rPr>
          <w:rFonts w:hint="eastAsia" w:ascii="仿宋_GB2312" w:hAnsi="仿宋_GB2312" w:eastAsia="仿宋_GB2312" w:cs="仿宋_GB2312"/>
          <w:kern w:val="2"/>
          <w:sz w:val="32"/>
          <w:szCs w:val="32"/>
          <w:highlight w:val="none"/>
          <w:lang w:val="en-US" w:eastAsia="zh-CN" w:bidi="ar-SA"/>
        </w:rPr>
      </w:pPr>
      <w:bookmarkStart w:id="17" w:name="_Toc29489"/>
      <w:bookmarkStart w:id="18" w:name="_Toc17645"/>
      <w:r>
        <w:rPr>
          <w:rFonts w:hint="eastAsia" w:ascii="仿宋_GB2312" w:hAnsi="仿宋_GB2312" w:eastAsia="仿宋_GB2312" w:cs="仿宋_GB2312"/>
          <w:kern w:val="2"/>
          <w:sz w:val="32"/>
          <w:szCs w:val="32"/>
          <w:highlight w:val="none"/>
          <w:lang w:val="en-US" w:eastAsia="zh-CN" w:bidi="ar-SA"/>
        </w:rPr>
        <w:t>（三）资金投入和使用情况</w:t>
      </w:r>
      <w:bookmarkEnd w:id="17"/>
      <w:bookmarkEnd w:id="18"/>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项目初步设计批复总投资750万元，变更设计后批复总投资755.99万元，截至目前，已到位资金750.50万元，其中：中央专项资金495万元、自治区专项资金74万元、市级配套资金22.05万元，旗级配套资金159.45万元；项目已支付资金706.50万元，预算执行率为94.14%。</w:t>
      </w:r>
    </w:p>
    <w:p>
      <w:pPr>
        <w:keepNext w:val="0"/>
        <w:keepLines w:val="0"/>
        <w:pageBreakBefore w:val="0"/>
        <w:widowControl w:val="0"/>
        <w:kinsoku/>
        <w:wordWrap/>
        <w:overflowPunct/>
        <w:topLinePunct w:val="0"/>
        <w:autoSpaceDE/>
        <w:autoSpaceDN/>
        <w:bidi w:val="0"/>
        <w:adjustRightInd w:val="0"/>
        <w:snapToGrid w:val="0"/>
        <w:spacing w:line="360" w:lineRule="auto"/>
        <w:ind w:firstLine="642" w:firstLineChars="200"/>
        <w:jc w:val="both"/>
        <w:textAlignment w:val="auto"/>
        <w:outlineLvl w:val="0"/>
        <w:rPr>
          <w:rFonts w:hint="eastAsia" w:ascii="仿宋_GB2312" w:hAnsi="仿宋_GB2312" w:eastAsia="仿宋_GB2312" w:cs="仿宋_GB2312"/>
          <w:snapToGrid/>
          <w:kern w:val="2"/>
          <w:sz w:val="32"/>
          <w:szCs w:val="32"/>
          <w:lang w:eastAsia="zh-CN"/>
        </w:rPr>
      </w:pPr>
      <w:bookmarkStart w:id="19" w:name="_Toc28297"/>
      <w:bookmarkStart w:id="20" w:name="_Toc32756"/>
      <w:bookmarkStart w:id="21" w:name="_Toc27784"/>
      <w:bookmarkStart w:id="22" w:name="_Toc180"/>
      <w:r>
        <w:rPr>
          <w:rFonts w:hint="eastAsia" w:ascii="仿宋_GB2312" w:hAnsi="仿宋_GB2312" w:eastAsia="仿宋_GB2312" w:cs="仿宋_GB2312"/>
          <w:b/>
          <w:bCs/>
          <w:snapToGrid/>
          <w:kern w:val="2"/>
          <w:sz w:val="32"/>
          <w:szCs w:val="32"/>
          <w:lang w:val="en-US" w:eastAsia="zh-CN"/>
        </w:rPr>
        <w:t>二</w:t>
      </w:r>
      <w:r>
        <w:rPr>
          <w:rFonts w:hint="eastAsia" w:ascii="仿宋_GB2312" w:hAnsi="仿宋_GB2312" w:eastAsia="仿宋_GB2312" w:cs="仿宋_GB2312"/>
          <w:b/>
          <w:bCs/>
          <w:snapToGrid/>
          <w:kern w:val="2"/>
          <w:sz w:val="32"/>
          <w:szCs w:val="32"/>
          <w:lang w:eastAsia="zh-CN"/>
        </w:rPr>
        <w:t>、</w:t>
      </w:r>
      <w:bookmarkEnd w:id="19"/>
      <w:bookmarkEnd w:id="20"/>
      <w:bookmarkEnd w:id="21"/>
      <w:bookmarkEnd w:id="22"/>
      <w:bookmarkStart w:id="23" w:name="_Toc21398"/>
      <w:bookmarkStart w:id="24" w:name="_Toc21107"/>
      <w:bookmarkStart w:id="25" w:name="_Toc10611"/>
      <w:bookmarkStart w:id="26" w:name="_Toc2880"/>
      <w:r>
        <w:rPr>
          <w:rFonts w:hint="eastAsia" w:ascii="仿宋_GB2312" w:hAnsi="仿宋_GB2312" w:eastAsia="仿宋_GB2312" w:cs="仿宋_GB2312"/>
          <w:b/>
          <w:bCs/>
          <w:snapToGrid/>
          <w:kern w:val="2"/>
          <w:sz w:val="32"/>
          <w:szCs w:val="32"/>
          <w:lang w:val="en-US" w:eastAsia="zh" w:bidi="ar"/>
        </w:rPr>
        <w:t>综合评价分析及评价结论</w:t>
      </w:r>
      <w:bookmarkEnd w:id="23"/>
      <w:bookmarkEnd w:id="24"/>
      <w:bookmarkEnd w:id="25"/>
      <w:bookmarkEnd w:id="26"/>
    </w:p>
    <w:p>
      <w:pPr>
        <w:keepNext w:val="0"/>
        <w:keepLines w:val="0"/>
        <w:pageBreakBefore w:val="0"/>
        <w:widowControl w:val="0"/>
        <w:kinsoku w:val="0"/>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通过评价，</w:t>
      </w:r>
      <w:r>
        <w:rPr>
          <w:rFonts w:hint="eastAsia" w:ascii="仿宋_GB2312" w:hAnsi="仿宋_GB2312" w:eastAsia="仿宋_GB2312" w:cs="仿宋_GB2312"/>
          <w:b w:val="0"/>
          <w:bCs w:val="0"/>
          <w:snapToGrid/>
          <w:kern w:val="2"/>
          <w:sz w:val="32"/>
          <w:szCs w:val="32"/>
          <w:lang w:val="en-US" w:eastAsia="zh-CN"/>
        </w:rPr>
        <w:t>2022年伊金霍洛旗旱作高标准农田建设项目</w:t>
      </w:r>
      <w:r>
        <w:rPr>
          <w:rFonts w:hint="eastAsia" w:ascii="仿宋_GB2312" w:hAnsi="仿宋_GB2312" w:eastAsia="仿宋_GB2312" w:cs="仿宋_GB2312"/>
          <w:snapToGrid/>
          <w:kern w:val="2"/>
          <w:sz w:val="32"/>
          <w:szCs w:val="32"/>
          <w:lang w:eastAsia="zh-CN"/>
        </w:rPr>
        <w:t>支出绩效评价综合</w:t>
      </w:r>
      <w:r>
        <w:rPr>
          <w:rFonts w:hint="eastAsia" w:ascii="仿宋_GB2312" w:hAnsi="仿宋_GB2312" w:eastAsia="仿宋_GB2312" w:cs="仿宋_GB2312"/>
          <w:snapToGrid/>
          <w:kern w:val="2"/>
          <w:sz w:val="32"/>
          <w:szCs w:val="32"/>
          <w:highlight w:val="none"/>
          <w:lang w:eastAsia="zh-CN"/>
        </w:rPr>
        <w:t>得分</w:t>
      </w:r>
      <w:r>
        <w:rPr>
          <w:rFonts w:hint="eastAsia" w:ascii="仿宋_GB2312" w:hAnsi="仿宋_GB2312" w:eastAsia="仿宋_GB2312" w:cs="仿宋_GB2312"/>
          <w:snapToGrid/>
          <w:kern w:val="2"/>
          <w:sz w:val="32"/>
          <w:szCs w:val="32"/>
          <w:highlight w:val="none"/>
          <w:lang w:val="en-US" w:eastAsia="zh-CN"/>
        </w:rPr>
        <w:t>88.97</w:t>
      </w:r>
      <w:r>
        <w:rPr>
          <w:rFonts w:hint="eastAsia" w:ascii="仿宋_GB2312" w:hAnsi="仿宋_GB2312" w:eastAsia="仿宋_GB2312" w:cs="仿宋_GB2312"/>
          <w:snapToGrid/>
          <w:kern w:val="2"/>
          <w:sz w:val="32"/>
          <w:szCs w:val="32"/>
          <w:highlight w:val="none"/>
          <w:lang w:eastAsia="zh-CN"/>
        </w:rPr>
        <w:t>分，</w:t>
      </w:r>
      <w:r>
        <w:rPr>
          <w:rFonts w:hint="eastAsia" w:ascii="仿宋_GB2312" w:hAnsi="仿宋_GB2312" w:eastAsia="仿宋_GB2312" w:cs="仿宋_GB2312"/>
          <w:snapToGrid/>
          <w:kern w:val="2"/>
          <w:sz w:val="32"/>
          <w:szCs w:val="32"/>
          <w:highlight w:val="none"/>
          <w:lang w:val="en-US" w:eastAsia="zh-CN"/>
        </w:rPr>
        <w:t>绩效</w:t>
      </w:r>
      <w:r>
        <w:rPr>
          <w:rFonts w:hint="eastAsia" w:ascii="仿宋_GB2312" w:hAnsi="仿宋_GB2312" w:eastAsia="仿宋_GB2312" w:cs="仿宋_GB2312"/>
          <w:snapToGrid/>
          <w:kern w:val="2"/>
          <w:sz w:val="32"/>
          <w:szCs w:val="32"/>
          <w:highlight w:val="none"/>
          <w:lang w:eastAsia="zh-CN"/>
        </w:rPr>
        <w:t>综合评价等</w:t>
      </w:r>
      <w:r>
        <w:rPr>
          <w:rFonts w:hint="eastAsia" w:ascii="仿宋_GB2312" w:hAnsi="仿宋_GB2312" w:eastAsia="仿宋_GB2312" w:cs="仿宋_GB2312"/>
          <w:snapToGrid/>
          <w:kern w:val="2"/>
          <w:sz w:val="32"/>
          <w:szCs w:val="32"/>
          <w:lang w:eastAsia="zh-CN"/>
        </w:rPr>
        <w:t>级为“</w:t>
      </w:r>
      <w:r>
        <w:rPr>
          <w:rFonts w:hint="eastAsia" w:ascii="仿宋_GB2312" w:hAnsi="仿宋_GB2312" w:eastAsia="仿宋_GB2312" w:cs="仿宋_GB2312"/>
          <w:snapToGrid/>
          <w:kern w:val="2"/>
          <w:sz w:val="32"/>
          <w:szCs w:val="32"/>
          <w:lang w:val="en-US" w:eastAsia="zh-CN"/>
        </w:rPr>
        <w:t>良</w:t>
      </w:r>
      <w:r>
        <w:rPr>
          <w:rFonts w:hint="eastAsia" w:ascii="仿宋_GB2312" w:hAnsi="仿宋_GB2312" w:eastAsia="仿宋_GB2312" w:cs="仿宋_GB2312"/>
          <w:snapToGrid/>
          <w:kern w:val="2"/>
          <w:sz w:val="32"/>
          <w:szCs w:val="32"/>
          <w:lang w:eastAsia="zh-CN"/>
        </w:rPr>
        <w:t>”。</w:t>
      </w:r>
    </w:p>
    <w:p>
      <w:pPr>
        <w:keepNext w:val="0"/>
        <w:keepLines w:val="0"/>
        <w:pageBreakBefore w:val="0"/>
        <w:widowControl w:val="0"/>
        <w:kinsoku w:val="0"/>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b w:val="0"/>
          <w:bCs w:val="0"/>
          <w:snapToGrid/>
          <w:kern w:val="2"/>
          <w:sz w:val="32"/>
          <w:szCs w:val="32"/>
          <w:highlight w:val="none"/>
          <w:lang w:eastAsia="zh-CN"/>
        </w:rPr>
      </w:pPr>
      <w:r>
        <w:rPr>
          <w:rFonts w:hint="eastAsia" w:ascii="仿宋_GB2312" w:hAnsi="仿宋_GB2312" w:eastAsia="仿宋_GB2312" w:cs="仿宋_GB2312"/>
          <w:b w:val="0"/>
          <w:bCs w:val="0"/>
          <w:snapToGrid/>
          <w:kern w:val="2"/>
          <w:sz w:val="32"/>
          <w:szCs w:val="32"/>
          <w:lang w:val="en-US" w:eastAsia="zh-CN"/>
        </w:rPr>
        <w:t>决策</w:t>
      </w:r>
      <w:r>
        <w:rPr>
          <w:rFonts w:hint="eastAsia" w:ascii="仿宋_GB2312" w:hAnsi="仿宋_GB2312" w:eastAsia="仿宋_GB2312" w:cs="仿宋_GB2312"/>
          <w:b w:val="0"/>
          <w:bCs w:val="0"/>
          <w:snapToGrid/>
          <w:kern w:val="2"/>
          <w:sz w:val="32"/>
          <w:szCs w:val="32"/>
          <w:lang w:eastAsia="zh-CN"/>
        </w:rPr>
        <w:t>方面</w:t>
      </w:r>
      <w:r>
        <w:rPr>
          <w:rFonts w:hint="eastAsia" w:ascii="仿宋_GB2312" w:hAnsi="仿宋_GB2312" w:eastAsia="仿宋_GB2312" w:cs="仿宋_GB2312"/>
          <w:b w:val="0"/>
          <w:bCs w:val="0"/>
          <w:snapToGrid/>
          <w:kern w:val="2"/>
          <w:sz w:val="32"/>
          <w:szCs w:val="32"/>
          <w:highlight w:val="none"/>
          <w:lang w:eastAsia="zh-CN"/>
        </w:rPr>
        <w:t>包括项目规划申报</w:t>
      </w:r>
      <w:r>
        <w:rPr>
          <w:rFonts w:hint="eastAsia" w:ascii="仿宋_GB2312" w:hAnsi="仿宋_GB2312" w:eastAsia="仿宋_GB2312" w:cs="仿宋_GB2312"/>
          <w:b w:val="0"/>
          <w:bCs w:val="0"/>
          <w:snapToGrid/>
          <w:kern w:val="2"/>
          <w:sz w:val="32"/>
          <w:szCs w:val="32"/>
          <w:lang w:eastAsia="zh-CN"/>
        </w:rPr>
        <w:t>、绩效目标、资金投入等</w:t>
      </w:r>
      <w:r>
        <w:rPr>
          <w:rFonts w:hint="eastAsia" w:ascii="仿宋_GB2312" w:hAnsi="仿宋_GB2312" w:eastAsia="仿宋_GB2312" w:cs="仿宋_GB2312"/>
          <w:b w:val="0"/>
          <w:bCs w:val="0"/>
          <w:snapToGrid/>
          <w:kern w:val="2"/>
          <w:sz w:val="32"/>
          <w:szCs w:val="32"/>
          <w:lang w:val="en-US" w:eastAsia="zh-CN"/>
        </w:rPr>
        <w:t>3</w:t>
      </w:r>
      <w:r>
        <w:rPr>
          <w:rFonts w:hint="eastAsia" w:ascii="仿宋_GB2312" w:hAnsi="仿宋_GB2312" w:eastAsia="仿宋_GB2312" w:cs="仿宋_GB2312"/>
          <w:b w:val="0"/>
          <w:bCs w:val="0"/>
          <w:snapToGrid/>
          <w:kern w:val="2"/>
          <w:sz w:val="32"/>
          <w:szCs w:val="32"/>
          <w:highlight w:val="none"/>
          <w:lang w:eastAsia="zh-CN"/>
        </w:rPr>
        <w:t>个二级指标。①项目规划申报</w:t>
      </w:r>
      <w:r>
        <w:rPr>
          <w:rFonts w:hint="eastAsia" w:ascii="仿宋_GB2312" w:hAnsi="仿宋_GB2312" w:eastAsia="仿宋_GB2312" w:cs="仿宋_GB2312"/>
          <w:b w:val="0"/>
          <w:bCs w:val="0"/>
          <w:snapToGrid/>
          <w:kern w:val="2"/>
          <w:sz w:val="32"/>
          <w:szCs w:val="32"/>
          <w:highlight w:val="none"/>
          <w:lang w:val="en-US" w:eastAsia="zh-CN"/>
        </w:rPr>
        <w:t>方面，伊金霍洛旗农牧局规划编制较为齐全，项目初步设计方案以及年度实施计划内容完整，但是项目库管理有待完善；</w:t>
      </w:r>
      <w:r>
        <w:rPr>
          <w:rFonts w:hint="eastAsia" w:ascii="仿宋_GB2312" w:hAnsi="仿宋_GB2312" w:eastAsia="仿宋_GB2312" w:cs="仿宋_GB2312"/>
          <w:b w:val="0"/>
          <w:bCs w:val="0"/>
          <w:snapToGrid/>
          <w:kern w:val="2"/>
          <w:sz w:val="32"/>
          <w:szCs w:val="32"/>
          <w:highlight w:val="none"/>
          <w:lang w:eastAsia="zh-CN"/>
        </w:rPr>
        <w:t>②</w:t>
      </w:r>
      <w:r>
        <w:rPr>
          <w:rFonts w:hint="eastAsia" w:ascii="仿宋_GB2312" w:hAnsi="仿宋_GB2312" w:eastAsia="仿宋_GB2312" w:cs="仿宋_GB2312"/>
          <w:b w:val="0"/>
          <w:bCs w:val="0"/>
          <w:snapToGrid/>
          <w:kern w:val="2"/>
          <w:sz w:val="32"/>
          <w:szCs w:val="32"/>
          <w:highlight w:val="none"/>
          <w:lang w:val="en-US" w:eastAsia="zh-CN"/>
        </w:rPr>
        <w:t>绩效目标方面，项目实施单位未编制项目整体绩效目标表，无法对项目整体绩效目标进行考核。</w:t>
      </w:r>
      <w:r>
        <w:rPr>
          <w:rFonts w:hint="eastAsia" w:ascii="仿宋_GB2312" w:hAnsi="仿宋_GB2312" w:eastAsia="仿宋_GB2312" w:cs="仿宋_GB2312"/>
          <w:b w:val="0"/>
          <w:bCs w:val="0"/>
          <w:snapToGrid/>
          <w:kern w:val="2"/>
          <w:sz w:val="32"/>
          <w:szCs w:val="32"/>
          <w:highlight w:val="none"/>
          <w:lang w:eastAsia="zh-CN"/>
        </w:rPr>
        <w:t>③</w:t>
      </w:r>
      <w:r>
        <w:rPr>
          <w:rFonts w:hint="eastAsia" w:ascii="仿宋_GB2312" w:hAnsi="仿宋_GB2312" w:eastAsia="仿宋_GB2312" w:cs="仿宋_GB2312"/>
          <w:b w:val="0"/>
          <w:bCs w:val="0"/>
          <w:snapToGrid/>
          <w:kern w:val="2"/>
          <w:sz w:val="32"/>
          <w:szCs w:val="32"/>
          <w:highlight w:val="none"/>
          <w:lang w:val="en-US" w:eastAsia="zh-CN"/>
        </w:rPr>
        <w:t>资金投入方面</w:t>
      </w:r>
      <w:r>
        <w:rPr>
          <w:rFonts w:hint="eastAsia" w:ascii="仿宋_GB2312" w:hAnsi="仿宋_GB2312" w:eastAsia="仿宋_GB2312" w:cs="仿宋_GB2312"/>
          <w:b w:val="0"/>
          <w:bCs w:val="0"/>
          <w:snapToGrid/>
          <w:kern w:val="2"/>
          <w:sz w:val="32"/>
          <w:szCs w:val="32"/>
          <w:highlight w:val="none"/>
          <w:lang w:eastAsia="zh-CN"/>
        </w:rPr>
        <w:t>，项目预算资金额度与年度目标相适应，预算编制科学合理，资金分配合理。</w:t>
      </w:r>
    </w:p>
    <w:p>
      <w:pPr>
        <w:keepNext w:val="0"/>
        <w:keepLines w:val="0"/>
        <w:pageBreakBefore w:val="0"/>
        <w:widowControl w:val="0"/>
        <w:numPr>
          <w:ilvl w:val="0"/>
          <w:numId w:val="0"/>
        </w:numPr>
        <w:kinsoku w:val="0"/>
        <w:wordWrap/>
        <w:overflowPunct/>
        <w:topLinePunct w:val="0"/>
        <w:autoSpaceDE/>
        <w:autoSpaceDN/>
        <w:bidi w:val="0"/>
        <w:adjustRightInd w:val="0"/>
        <w:snapToGrid w:val="0"/>
        <w:spacing w:after="0" w:line="360" w:lineRule="auto"/>
        <w:ind w:left="0" w:leftChars="0" w:firstLine="640" w:firstLineChars="2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lang w:val="en-US" w:eastAsia="zh-CN" w:bidi="ar-SA"/>
        </w:rPr>
        <w:t>过程方面</w:t>
      </w:r>
      <w:r>
        <w:rPr>
          <w:rFonts w:hint="eastAsia" w:ascii="仿宋_GB2312" w:hAnsi="仿宋_GB2312" w:eastAsia="仿宋_GB2312" w:cs="仿宋_GB2312"/>
          <w:b w:val="0"/>
          <w:bCs w:val="0"/>
          <w:kern w:val="2"/>
          <w:sz w:val="32"/>
          <w:szCs w:val="32"/>
          <w:highlight w:val="none"/>
          <w:lang w:val="en-US" w:eastAsia="zh-CN" w:bidi="ar-SA"/>
        </w:rPr>
        <w:t>包括</w:t>
      </w:r>
      <w:r>
        <w:rPr>
          <w:rFonts w:hint="eastAsia" w:ascii="仿宋_GB2312" w:hAnsi="仿宋_GB2312" w:eastAsia="仿宋_GB2312" w:cs="仿宋_GB2312"/>
          <w:b w:val="0"/>
          <w:bCs w:val="0"/>
          <w:kern w:val="2"/>
          <w:sz w:val="32"/>
          <w:szCs w:val="32"/>
          <w:lang w:val="en-US" w:eastAsia="zh-CN" w:bidi="ar-SA"/>
        </w:rPr>
        <w:t>资金管理和组织实施2个二级指标。</w:t>
      </w:r>
      <w:r>
        <w:rPr>
          <w:rFonts w:hint="eastAsia" w:ascii="仿宋_GB2312" w:hAnsi="仿宋_GB2312" w:eastAsia="仿宋_GB2312" w:cs="仿宋_GB2312"/>
          <w:b w:val="0"/>
          <w:bCs w:val="0"/>
          <w:kern w:val="2"/>
          <w:sz w:val="32"/>
          <w:szCs w:val="32"/>
          <w:highlight w:val="none"/>
          <w:lang w:val="en-US" w:eastAsia="zh-CN" w:bidi="ar-SA"/>
        </w:rPr>
        <w:t>①资金管理方面，项目预算资金755.99万元（变更调整后），实际到位资金750.50万元，资金到位率99.27%，实际支出资金706.50万元，预算执行率94.14%，财政资金使用合理规范，不存在截留、挤占、挪用、虚列支出等情况。②组织实施方面，伊金霍洛旗农牧局制定了相关管理制度，执行情况较好，但存在部分合同签订不规范，招投标方面有待完善，初步设计变更报告出具时间早于初步设计变更补充协议签订时间，项目变更调整流程不够规范，未及时向上级主管部门上报初步设计变更报告的请示的问题；未开展绩效监控工作，未编制绩效运行监控表和监控报告；伊金霍洛旗农牧局开展了自评工作，但未编制绩效自评表，自评报告不够完善，缺少资金执行情况。</w:t>
      </w:r>
    </w:p>
    <w:p>
      <w:pPr>
        <w:keepNext w:val="0"/>
        <w:keepLines w:val="0"/>
        <w:pageBreakBefore w:val="0"/>
        <w:widowControl w:val="0"/>
        <w:kinsoku w:val="0"/>
        <w:wordWrap/>
        <w:overflowPunct/>
        <w:topLinePunct w:val="0"/>
        <w:autoSpaceDE/>
        <w:autoSpaceDN/>
        <w:bidi w:val="0"/>
        <w:adjustRightInd w:val="0"/>
        <w:snapToGrid w:val="0"/>
        <w:spacing w:after="0" w:line="360" w:lineRule="auto"/>
        <w:ind w:left="0" w:leftChars="0" w:firstLine="640" w:firstLineChars="2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lang w:val="en-US" w:eastAsia="zh-CN" w:bidi="ar-SA"/>
        </w:rPr>
        <w:t>产出方面</w:t>
      </w:r>
      <w:r>
        <w:rPr>
          <w:rFonts w:hint="eastAsia" w:ascii="仿宋_GB2312" w:hAnsi="仿宋_GB2312" w:eastAsia="仿宋_GB2312" w:cs="仿宋_GB2312"/>
          <w:b w:val="0"/>
          <w:bCs w:val="0"/>
          <w:kern w:val="2"/>
          <w:sz w:val="32"/>
          <w:szCs w:val="32"/>
          <w:highlight w:val="none"/>
          <w:lang w:val="en-US" w:eastAsia="zh-CN" w:bidi="ar-SA"/>
        </w:rPr>
        <w:t>包括</w:t>
      </w:r>
      <w:r>
        <w:rPr>
          <w:rFonts w:hint="eastAsia" w:ascii="仿宋_GB2312" w:hAnsi="仿宋_GB2312" w:eastAsia="仿宋_GB2312" w:cs="仿宋_GB2312"/>
          <w:b w:val="0"/>
          <w:bCs w:val="0"/>
          <w:kern w:val="2"/>
          <w:sz w:val="32"/>
          <w:szCs w:val="32"/>
          <w:lang w:val="en-US" w:eastAsia="zh-CN" w:bidi="ar-SA"/>
        </w:rPr>
        <w:t>产出数量、产出质量、产出时效、产出成本等</w:t>
      </w:r>
      <w:r>
        <w:rPr>
          <w:rFonts w:hint="eastAsia" w:ascii="仿宋_GB2312" w:hAnsi="仿宋_GB2312" w:eastAsia="仿宋_GB2312" w:cs="仿宋_GB2312"/>
          <w:b w:val="0"/>
          <w:bCs w:val="0"/>
          <w:kern w:val="2"/>
          <w:sz w:val="32"/>
          <w:szCs w:val="32"/>
          <w:highlight w:val="none"/>
          <w:lang w:val="en-US" w:eastAsia="zh-CN" w:bidi="ar-SA"/>
        </w:rPr>
        <w:t>4个二级指标。①产出数量方面，高标准农田实际建设面积0.5万亩达到计划要求，其他各项建设内容基本达到计划要求，项目产出数量方面完成情况较好。②产出质量方面，2022年伊金霍洛旗旱作高标准农田建设项目按照批复的初步设计和实施计划要求，工程质量合格。③产出时效方面，该项目水利措施、农田措施、道路林网等实施进度与实施计划相符。但项目完工后，未按照要求在2022年11月15日前完成初步验收并向市级提交竣工验收申请。④产出成本方面，项目实际每亩补贴标准</w:t>
      </w:r>
      <w:r>
        <w:rPr>
          <w:rFonts w:hint="eastAsia" w:ascii="仿宋_GB2312" w:hAnsi="仿宋_GB2312" w:eastAsia="仿宋_GB2312" w:cs="仿宋_GB2312"/>
          <w:b w:val="0"/>
          <w:bCs w:val="0"/>
          <w:i w:val="0"/>
          <w:iCs w:val="0"/>
          <w:caps w:val="0"/>
          <w:color w:val="333333"/>
          <w:spacing w:val="6"/>
          <w:kern w:val="2"/>
          <w:sz w:val="32"/>
          <w:szCs w:val="32"/>
          <w:highlight w:val="none"/>
          <w:shd w:val="clear" w:fill="FFFFFF"/>
          <w:lang w:val="en-US" w:eastAsia="zh-CN" w:bidi="ar-SA"/>
        </w:rPr>
        <w:t>1511.98元</w:t>
      </w:r>
      <w:r>
        <w:rPr>
          <w:rFonts w:hint="eastAsia" w:ascii="仿宋_GB2312" w:hAnsi="仿宋_GB2312" w:eastAsia="仿宋_GB2312" w:cs="仿宋_GB2312"/>
          <w:b w:val="0"/>
          <w:bCs w:val="0"/>
          <w:kern w:val="2"/>
          <w:sz w:val="32"/>
          <w:szCs w:val="32"/>
          <w:highlight w:val="none"/>
          <w:lang w:val="en-US" w:eastAsia="zh-CN" w:bidi="ar-SA"/>
        </w:rPr>
        <w:t>，符合</w:t>
      </w:r>
      <w:r>
        <w:rPr>
          <w:rFonts w:hint="eastAsia" w:ascii="仿宋_GB2312" w:hAnsi="仿宋_GB2312" w:eastAsia="仿宋_GB2312" w:cs="仿宋_GB2312"/>
          <w:b w:val="0"/>
          <w:bCs w:val="0"/>
          <w:i w:val="0"/>
          <w:iCs w:val="0"/>
          <w:caps w:val="0"/>
          <w:color w:val="333333"/>
          <w:spacing w:val="6"/>
          <w:kern w:val="2"/>
          <w:sz w:val="32"/>
          <w:szCs w:val="32"/>
          <w:shd w:val="clear" w:fill="FFFFFF"/>
          <w:lang w:val="en-US" w:eastAsia="zh-CN" w:bidi="ar-SA"/>
        </w:rPr>
        <w:t>财政资金亩均补助标准不低于1200元的</w:t>
      </w:r>
      <w:r>
        <w:rPr>
          <w:rFonts w:hint="eastAsia" w:ascii="仿宋_GB2312" w:hAnsi="仿宋_GB2312" w:eastAsia="仿宋_GB2312" w:cs="仿宋_GB2312"/>
          <w:b w:val="0"/>
          <w:bCs w:val="0"/>
          <w:kern w:val="2"/>
          <w:sz w:val="32"/>
          <w:szCs w:val="32"/>
          <w:highlight w:val="none"/>
          <w:lang w:val="en-US" w:eastAsia="zh-CN" w:bidi="ar-SA"/>
        </w:rPr>
        <w:t>要求。</w:t>
      </w:r>
    </w:p>
    <w:p>
      <w:pPr>
        <w:keepNext w:val="0"/>
        <w:keepLines w:val="0"/>
        <w:pageBreakBefore w:val="0"/>
        <w:widowControl w:val="0"/>
        <w:kinsoku w:val="0"/>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snapToGrid/>
          <w:kern w:val="2"/>
          <w:sz w:val="32"/>
          <w:szCs w:val="32"/>
          <w:lang w:eastAsia="zh"/>
        </w:rPr>
      </w:pPr>
      <w:r>
        <w:rPr>
          <w:rFonts w:hint="eastAsia" w:ascii="仿宋_GB2312" w:hAnsi="仿宋_GB2312" w:eastAsia="仿宋_GB2312" w:cs="仿宋_GB2312"/>
          <w:b w:val="0"/>
          <w:bCs w:val="0"/>
          <w:snapToGrid/>
          <w:kern w:val="2"/>
          <w:sz w:val="32"/>
          <w:szCs w:val="32"/>
          <w:lang w:eastAsia="zh-CN"/>
        </w:rPr>
        <w:t>效</w:t>
      </w:r>
      <w:r>
        <w:rPr>
          <w:rFonts w:hint="eastAsia" w:ascii="仿宋_GB2312" w:hAnsi="仿宋_GB2312" w:eastAsia="仿宋_GB2312" w:cs="仿宋_GB2312"/>
          <w:b w:val="0"/>
          <w:bCs w:val="0"/>
          <w:snapToGrid/>
          <w:kern w:val="2"/>
          <w:sz w:val="32"/>
          <w:szCs w:val="32"/>
          <w:lang w:val="en-US" w:eastAsia="zh-CN"/>
        </w:rPr>
        <w:t>益</w:t>
      </w:r>
      <w:r>
        <w:rPr>
          <w:rFonts w:hint="eastAsia" w:ascii="仿宋_GB2312" w:hAnsi="仿宋_GB2312" w:eastAsia="仿宋_GB2312" w:cs="仿宋_GB2312"/>
          <w:b w:val="0"/>
          <w:bCs w:val="0"/>
          <w:snapToGrid/>
          <w:kern w:val="2"/>
          <w:sz w:val="32"/>
          <w:szCs w:val="32"/>
          <w:lang w:eastAsia="zh-CN"/>
        </w:rPr>
        <w:t>方面</w:t>
      </w:r>
      <w:r>
        <w:rPr>
          <w:rFonts w:hint="eastAsia" w:ascii="仿宋_GB2312" w:hAnsi="仿宋_GB2312" w:eastAsia="仿宋_GB2312" w:cs="仿宋_GB2312"/>
          <w:b w:val="0"/>
          <w:bCs w:val="0"/>
          <w:snapToGrid/>
          <w:kern w:val="2"/>
          <w:sz w:val="32"/>
          <w:szCs w:val="32"/>
          <w:highlight w:val="none"/>
          <w:lang w:eastAsia="zh-CN"/>
        </w:rPr>
        <w:t>包括</w:t>
      </w:r>
      <w:r>
        <w:rPr>
          <w:rFonts w:hint="eastAsia" w:ascii="仿宋_GB2312" w:hAnsi="仿宋_GB2312" w:eastAsia="仿宋_GB2312" w:cs="仿宋_GB2312"/>
          <w:b w:val="0"/>
          <w:bCs w:val="0"/>
          <w:snapToGrid/>
          <w:kern w:val="2"/>
          <w:sz w:val="32"/>
          <w:szCs w:val="32"/>
          <w:lang w:val="en-US" w:eastAsia="zh-CN"/>
        </w:rPr>
        <w:t>社会效益、生态效益、可持续影响和满意度</w:t>
      </w:r>
      <w:r>
        <w:rPr>
          <w:rFonts w:hint="eastAsia" w:ascii="仿宋_GB2312" w:hAnsi="仿宋_GB2312" w:eastAsia="仿宋_GB2312" w:cs="仿宋_GB2312"/>
          <w:b w:val="0"/>
          <w:bCs w:val="0"/>
          <w:snapToGrid/>
          <w:kern w:val="2"/>
          <w:sz w:val="32"/>
          <w:szCs w:val="32"/>
          <w:highlight w:val="none"/>
          <w:lang w:val="en-US" w:eastAsia="zh-CN"/>
        </w:rPr>
        <w:t>4</w:t>
      </w:r>
      <w:r>
        <w:rPr>
          <w:rFonts w:hint="eastAsia" w:ascii="仿宋_GB2312" w:hAnsi="仿宋_GB2312" w:eastAsia="仿宋_GB2312" w:cs="仿宋_GB2312"/>
          <w:b w:val="0"/>
          <w:bCs w:val="0"/>
          <w:snapToGrid/>
          <w:kern w:val="2"/>
          <w:sz w:val="32"/>
          <w:szCs w:val="32"/>
          <w:highlight w:val="none"/>
          <w:lang w:eastAsia="zh-CN"/>
        </w:rPr>
        <w:t>个二级指标。</w:t>
      </w:r>
      <w:r>
        <w:rPr>
          <w:rFonts w:hint="eastAsia" w:ascii="仿宋_GB2312" w:hAnsi="仿宋_GB2312" w:eastAsia="仿宋_GB2312" w:cs="仿宋_GB2312"/>
          <w:b w:val="0"/>
          <w:bCs w:val="0"/>
          <w:snapToGrid/>
          <w:kern w:val="2"/>
          <w:sz w:val="32"/>
          <w:szCs w:val="32"/>
          <w:highlight w:val="none"/>
          <w:lang w:val="en-US" w:eastAsia="zh-CN"/>
        </w:rPr>
        <w:t>通过</w:t>
      </w:r>
      <w:r>
        <w:rPr>
          <w:rFonts w:hint="eastAsia" w:ascii="仿宋_GB2312" w:hAnsi="仿宋_GB2312" w:eastAsia="仿宋_GB2312" w:cs="仿宋_GB2312"/>
          <w:b w:val="0"/>
          <w:bCs w:val="0"/>
          <w:snapToGrid/>
          <w:color w:val="000000"/>
          <w:kern w:val="0"/>
          <w:sz w:val="32"/>
          <w:szCs w:val="32"/>
          <w:lang w:val="en-US" w:eastAsia="zh-CN" w:bidi="ar"/>
        </w:rPr>
        <w:t>新建高标准农田0.5万亩，有效改善项目区农田基础设施条件，提升农田灌溉排水和节水能力，提升耕地质量，提高粮食综合生产能力。伊金霍洛旗农牧局制定了《伊金霍洛旗 2022年高标准农田建设项目管护方案》，建立长效管护机制，并且已完成资产移交，明确管护主体，落实管护责任。</w:t>
      </w:r>
      <w:r>
        <w:rPr>
          <w:rFonts w:hint="eastAsia" w:ascii="仿宋_GB2312" w:hAnsi="仿宋_GB2312" w:eastAsia="仿宋_GB2312" w:cs="仿宋_GB2312"/>
          <w:b w:val="0"/>
          <w:bCs w:val="0"/>
          <w:snapToGrid/>
          <w:kern w:val="2"/>
          <w:sz w:val="32"/>
          <w:szCs w:val="32"/>
          <w:highlight w:val="none"/>
          <w:lang w:eastAsia="zh-CN"/>
        </w:rPr>
        <w:t>202</w:t>
      </w:r>
      <w:r>
        <w:rPr>
          <w:rFonts w:hint="eastAsia" w:ascii="仿宋_GB2312" w:hAnsi="仿宋_GB2312" w:eastAsia="仿宋_GB2312" w:cs="仿宋_GB2312"/>
          <w:b w:val="0"/>
          <w:bCs w:val="0"/>
          <w:snapToGrid/>
          <w:kern w:val="2"/>
          <w:sz w:val="32"/>
          <w:szCs w:val="32"/>
          <w:highlight w:val="none"/>
          <w:lang w:val="en-US" w:eastAsia="zh-CN"/>
        </w:rPr>
        <w:t>2</w:t>
      </w:r>
      <w:r>
        <w:rPr>
          <w:rFonts w:hint="eastAsia" w:ascii="仿宋_GB2312" w:hAnsi="仿宋_GB2312" w:eastAsia="仿宋_GB2312" w:cs="仿宋_GB2312"/>
          <w:b w:val="0"/>
          <w:bCs w:val="0"/>
          <w:snapToGrid/>
          <w:kern w:val="2"/>
          <w:sz w:val="32"/>
          <w:szCs w:val="32"/>
          <w:highlight w:val="none"/>
          <w:lang w:eastAsia="zh-CN"/>
        </w:rPr>
        <w:t>年</w:t>
      </w:r>
      <w:r>
        <w:rPr>
          <w:rFonts w:hint="eastAsia" w:ascii="仿宋_GB2312" w:hAnsi="仿宋_GB2312" w:eastAsia="仿宋_GB2312" w:cs="仿宋_GB2312"/>
          <w:b w:val="0"/>
          <w:bCs w:val="0"/>
          <w:snapToGrid/>
          <w:kern w:val="2"/>
          <w:sz w:val="32"/>
          <w:szCs w:val="32"/>
          <w:highlight w:val="none"/>
          <w:lang w:val="en-US" w:eastAsia="zh-CN"/>
        </w:rPr>
        <w:t>伊金霍</w:t>
      </w:r>
      <w:r>
        <w:rPr>
          <w:rFonts w:hint="eastAsia" w:ascii="仿宋_GB2312" w:hAnsi="仿宋_GB2312" w:eastAsia="仿宋_GB2312" w:cs="仿宋_GB2312"/>
          <w:snapToGrid/>
          <w:kern w:val="2"/>
          <w:sz w:val="32"/>
          <w:szCs w:val="32"/>
          <w:highlight w:val="none"/>
          <w:lang w:val="en-US" w:eastAsia="zh-CN"/>
        </w:rPr>
        <w:t>洛旗旱作高标准农田建设</w:t>
      </w:r>
      <w:r>
        <w:rPr>
          <w:rFonts w:hint="eastAsia" w:ascii="仿宋_GB2312" w:hAnsi="仿宋_GB2312" w:eastAsia="仿宋_GB2312" w:cs="仿宋_GB2312"/>
          <w:snapToGrid/>
          <w:kern w:val="2"/>
          <w:sz w:val="32"/>
          <w:szCs w:val="32"/>
          <w:highlight w:val="none"/>
          <w:lang w:eastAsia="zh-CN"/>
        </w:rPr>
        <w:t>项目效益显著，</w:t>
      </w:r>
      <w:r>
        <w:rPr>
          <w:rFonts w:hint="eastAsia" w:ascii="仿宋_GB2312" w:hAnsi="仿宋_GB2312" w:eastAsia="仿宋_GB2312" w:cs="仿宋_GB2312"/>
          <w:snapToGrid/>
          <w:kern w:val="2"/>
          <w:sz w:val="32"/>
          <w:szCs w:val="32"/>
          <w:highlight w:val="none"/>
          <w:lang w:val="en-US" w:eastAsia="zh-CN"/>
        </w:rPr>
        <w:t>受益群众</w:t>
      </w:r>
      <w:r>
        <w:rPr>
          <w:rFonts w:hint="eastAsia" w:ascii="仿宋_GB2312" w:hAnsi="仿宋_GB2312" w:eastAsia="仿宋_GB2312" w:cs="仿宋_GB2312"/>
          <w:snapToGrid/>
          <w:kern w:val="2"/>
          <w:sz w:val="32"/>
          <w:szCs w:val="32"/>
          <w:highlight w:val="none"/>
          <w:lang w:eastAsia="zh-CN"/>
        </w:rPr>
        <w:t>满意度</w:t>
      </w:r>
      <w:r>
        <w:rPr>
          <w:rFonts w:hint="eastAsia" w:ascii="仿宋_GB2312" w:hAnsi="仿宋_GB2312" w:eastAsia="仿宋_GB2312" w:cs="仿宋_GB2312"/>
          <w:snapToGrid/>
          <w:kern w:val="2"/>
          <w:sz w:val="32"/>
          <w:szCs w:val="32"/>
          <w:highlight w:val="none"/>
          <w:lang w:val="en-US" w:eastAsia="zh-CN"/>
        </w:rPr>
        <w:t>较高</w:t>
      </w:r>
      <w:r>
        <w:rPr>
          <w:rFonts w:hint="eastAsia" w:ascii="仿宋_GB2312" w:hAnsi="仿宋_GB2312" w:eastAsia="仿宋_GB2312" w:cs="仿宋_GB2312"/>
          <w:snapToGrid/>
          <w:kern w:val="2"/>
          <w:sz w:val="32"/>
          <w:szCs w:val="32"/>
          <w:highlight w:val="none"/>
          <w:lang w:eastAsia="zh-CN"/>
        </w:rPr>
        <w:t>。</w:t>
      </w:r>
    </w:p>
    <w:p>
      <w:pPr>
        <w:keepNext w:val="0"/>
        <w:keepLines w:val="0"/>
        <w:pageBreakBefore w:val="0"/>
        <w:widowControl w:val="0"/>
        <w:kinsoku w:val="0"/>
        <w:wordWrap/>
        <w:overflowPunct/>
        <w:topLinePunct w:val="0"/>
        <w:autoSpaceDE/>
        <w:autoSpaceDN/>
        <w:bidi w:val="0"/>
        <w:adjustRightInd w:val="0"/>
        <w:snapToGrid w:val="0"/>
        <w:spacing w:before="0" w:after="0" w:line="360" w:lineRule="auto"/>
        <w:ind w:firstLine="642" w:firstLineChars="200"/>
        <w:jc w:val="both"/>
        <w:textAlignment w:val="auto"/>
        <w:outlineLvl w:val="0"/>
        <w:rPr>
          <w:rFonts w:hint="eastAsia" w:ascii="仿宋_GB2312" w:hAnsi="仿宋_GB2312" w:eastAsia="仿宋_GB2312" w:cs="仿宋_GB2312"/>
          <w:b w:val="0"/>
          <w:bCs/>
          <w:kern w:val="2"/>
          <w:sz w:val="32"/>
          <w:szCs w:val="32"/>
          <w:highlight w:val="none"/>
          <w:lang w:val="en-US" w:eastAsia="zh-CN" w:bidi="ar-SA"/>
        </w:rPr>
      </w:pPr>
      <w:bookmarkStart w:id="27" w:name="_Toc23562"/>
      <w:bookmarkStart w:id="28" w:name="_Toc30074"/>
      <w:bookmarkStart w:id="29" w:name="_Toc107825669"/>
      <w:bookmarkStart w:id="30" w:name="_Toc25478"/>
      <w:bookmarkStart w:id="31" w:name="_Toc1199"/>
      <w:bookmarkStart w:id="32" w:name="_Toc4460"/>
      <w:bookmarkStart w:id="33" w:name="_Toc27068"/>
      <w:r>
        <w:rPr>
          <w:rFonts w:hint="eastAsia" w:ascii="仿宋_GB2312" w:hAnsi="仿宋_GB2312" w:eastAsia="仿宋_GB2312" w:cs="仿宋_GB2312"/>
          <w:b/>
          <w:bCs w:val="0"/>
          <w:kern w:val="2"/>
          <w:sz w:val="32"/>
          <w:szCs w:val="32"/>
          <w:highlight w:val="none"/>
          <w:lang w:val="en-US" w:eastAsia="zh-CN" w:bidi="ar-SA"/>
        </w:rPr>
        <w:t>三、存在的问题</w:t>
      </w:r>
      <w:bookmarkEnd w:id="27"/>
      <w:bookmarkEnd w:id="28"/>
      <w:bookmarkEnd w:id="29"/>
      <w:bookmarkEnd w:id="30"/>
      <w:bookmarkEnd w:id="31"/>
      <w:bookmarkEnd w:id="32"/>
      <w:bookmarkEnd w:id="33"/>
    </w:p>
    <w:p>
      <w:pPr>
        <w:keepNext w:val="0"/>
        <w:keepLines w:val="0"/>
        <w:pageBreakBefore w:val="0"/>
        <w:widowControl w:val="0"/>
        <w:kinsoku w:val="0"/>
        <w:wordWrap/>
        <w:overflowPunct/>
        <w:topLinePunct w:val="0"/>
        <w:autoSpaceDE/>
        <w:autoSpaceDN/>
        <w:bidi w:val="0"/>
        <w:adjustRightInd w:val="0"/>
        <w:snapToGrid w:val="0"/>
        <w:spacing w:line="360" w:lineRule="auto"/>
        <w:ind w:firstLine="640" w:firstLineChars="200"/>
        <w:jc w:val="both"/>
        <w:textAlignment w:val="auto"/>
        <w:outlineLvl w:val="1"/>
        <w:rPr>
          <w:rFonts w:hint="eastAsia" w:ascii="仿宋_GB2312" w:hAnsi="仿宋_GB2312" w:eastAsia="仿宋_GB2312" w:cs="仿宋_GB2312"/>
          <w:kern w:val="2"/>
          <w:sz w:val="32"/>
          <w:szCs w:val="32"/>
          <w:lang w:val="en-US" w:eastAsia="zh-CN" w:bidi="ar-SA"/>
        </w:rPr>
      </w:pPr>
      <w:bookmarkStart w:id="34" w:name="_Toc3942"/>
      <w:bookmarkStart w:id="35" w:name="_Toc30738"/>
      <w:r>
        <w:rPr>
          <w:rFonts w:hint="eastAsia" w:ascii="仿宋_GB2312" w:hAnsi="仿宋_GB2312" w:eastAsia="仿宋_GB2312" w:cs="仿宋_GB2312"/>
          <w:kern w:val="2"/>
          <w:sz w:val="32"/>
          <w:szCs w:val="32"/>
          <w:highlight w:val="none"/>
          <w:lang w:val="en-US" w:eastAsia="zh-CN" w:bidi="ar-SA"/>
        </w:rPr>
        <w:t>（一）</w:t>
      </w:r>
      <w:bookmarkEnd w:id="34"/>
      <w:bookmarkEnd w:id="35"/>
      <w:bookmarkStart w:id="36" w:name="_Toc5919"/>
      <w:bookmarkStart w:id="37" w:name="_Toc2610"/>
      <w:bookmarkStart w:id="38" w:name="_Toc13114"/>
      <w:bookmarkStart w:id="39" w:name="_Toc26250"/>
      <w:bookmarkStart w:id="40" w:name="_Toc8675"/>
      <w:bookmarkStart w:id="41" w:name="_Toc32352"/>
      <w:r>
        <w:rPr>
          <w:rFonts w:hint="eastAsia" w:ascii="仿宋_GB2312" w:hAnsi="仿宋_GB2312" w:eastAsia="仿宋_GB2312" w:cs="仿宋_GB2312"/>
          <w:kern w:val="2"/>
          <w:sz w:val="32"/>
          <w:szCs w:val="32"/>
          <w:lang w:val="en-US" w:eastAsia="zh-CN" w:bidi="ar-SA"/>
        </w:rPr>
        <w:t>项目管理不够规范</w:t>
      </w:r>
      <w:bookmarkEnd w:id="36"/>
      <w:bookmarkEnd w:id="37"/>
    </w:p>
    <w:p>
      <w:pPr>
        <w:keepNext w:val="0"/>
        <w:keepLines w:val="0"/>
        <w:pageBreakBefore w:val="0"/>
        <w:widowControl w:val="0"/>
        <w:numPr>
          <w:ilvl w:val="0"/>
          <w:numId w:val="0"/>
        </w:numPr>
        <w:kinsoku w:val="0"/>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一是项目部分合同签订不规范。设计合同无签订日期；监理、设计合同中相关法律法规引用错误。</w:t>
      </w:r>
    </w:p>
    <w:p>
      <w:pPr>
        <w:keepNext w:val="0"/>
        <w:keepLines w:val="0"/>
        <w:pageBreakBefore w:val="0"/>
        <w:widowControl w:val="0"/>
        <w:numPr>
          <w:ilvl w:val="0"/>
          <w:numId w:val="0"/>
        </w:numPr>
        <w:kinsoku w:val="0"/>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lang w:val="en-US" w:eastAsia="zh-CN" w:bidi="ar-SA"/>
        </w:rPr>
        <w:t>二是项目招投标方面存在不合理的情况。施工及设备采购标段招标文件中对投标人资质要求相关规定不合理，包括对营业执照经营范围、商标证书、认证证书的要求，不符</w:t>
      </w:r>
      <w:r>
        <w:rPr>
          <w:rFonts w:hint="eastAsia" w:ascii="仿宋_GB2312" w:hAnsi="仿宋_GB2312" w:eastAsia="仿宋_GB2312" w:cs="仿宋_GB2312"/>
          <w:kern w:val="2"/>
          <w:sz w:val="32"/>
          <w:szCs w:val="32"/>
          <w:highlight w:val="none"/>
          <w:lang w:val="en-US" w:eastAsia="zh-CN" w:bidi="ar-SA"/>
        </w:rPr>
        <w:t>合《关于进一步规范招标投标过程中企业经营资质资格审查工作的通知》（发改办法规〔2020〕727号）和《中华人民共和国招标投标法实施条例》的规定。</w:t>
      </w:r>
    </w:p>
    <w:p>
      <w:pPr>
        <w:keepNext w:val="0"/>
        <w:keepLines w:val="0"/>
        <w:pageBreakBefore w:val="0"/>
        <w:widowControl w:val="0"/>
        <w:numPr>
          <w:ilvl w:val="0"/>
          <w:numId w:val="0"/>
        </w:numPr>
        <w:kinsoku w:val="0"/>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三是初步设计变更报告出具时间与建设工程设计补充协议签订日期存在时间逻辑问题。初步设计变更报告出具时间为</w:t>
      </w:r>
      <w:r>
        <w:rPr>
          <w:rFonts w:hint="eastAsia" w:ascii="仿宋_GB2312" w:hAnsi="仿宋_GB2312" w:eastAsia="仿宋_GB2312" w:cs="仿宋_GB2312"/>
          <w:kern w:val="2"/>
          <w:sz w:val="32"/>
          <w:szCs w:val="32"/>
          <w:highlight w:val="none"/>
          <w:lang w:val="en-US" w:eastAsia="zh-CN" w:bidi="ar-SA"/>
        </w:rPr>
        <w:t>2022年6月，</w:t>
      </w:r>
      <w:r>
        <w:rPr>
          <w:rFonts w:hint="eastAsia" w:ascii="仿宋_GB2312" w:hAnsi="仿宋_GB2312" w:eastAsia="仿宋_GB2312" w:cs="仿宋_GB2312"/>
          <w:kern w:val="2"/>
          <w:sz w:val="32"/>
          <w:szCs w:val="32"/>
          <w:lang w:val="en-US" w:eastAsia="zh-CN" w:bidi="ar-SA"/>
        </w:rPr>
        <w:t>早于建设工程设计补充协议的签订时间2022年9月28日。</w:t>
      </w:r>
    </w:p>
    <w:p>
      <w:pPr>
        <w:keepNext w:val="0"/>
        <w:keepLines w:val="0"/>
        <w:pageBreakBefore w:val="0"/>
        <w:widowControl w:val="0"/>
        <w:numPr>
          <w:ilvl w:val="0"/>
          <w:numId w:val="0"/>
        </w:numPr>
        <w:kinsoku w:val="0"/>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四是项目变更调整流程不够规范，未及时向上级主管部门上报初步设计变更报告的请示。伊金霍洛旗农牧局未在项目发生变更后及时向鄂尔多斯市农牧局上报项目初步设计变更报告的请示，便基于调整后的设计方案继续推进了项目建设工作。</w:t>
      </w:r>
    </w:p>
    <w:p>
      <w:pPr>
        <w:keepNext w:val="0"/>
        <w:keepLines w:val="0"/>
        <w:pageBreakBefore w:val="0"/>
        <w:widowControl w:val="0"/>
        <w:numPr>
          <w:ilvl w:val="0"/>
          <w:numId w:val="0"/>
        </w:numPr>
        <w:kinsoku w:val="0"/>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五是项目验收不及时，未在《鄂尔多斯市农牧局关于下达2022年农田建设任务的通知》</w:t>
      </w:r>
      <w:r>
        <w:rPr>
          <w:rFonts w:hint="eastAsia"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鄂农牧发</w:t>
      </w:r>
      <w:r>
        <w:rPr>
          <w:rFonts w:hint="eastAsia" w:ascii="仿宋_GB2312" w:hAnsi="仿宋_GB2312" w:eastAsia="仿宋_GB2312" w:cs="仿宋_GB2312"/>
          <w:kern w:val="2"/>
          <w:sz w:val="32"/>
          <w:szCs w:val="32"/>
          <w:lang w:val="zh-CN" w:eastAsia="zh-CN" w:bidi="ar-SA"/>
        </w:rPr>
        <w:t>〔2021〕</w:t>
      </w:r>
      <w:r>
        <w:rPr>
          <w:rFonts w:hint="eastAsia" w:ascii="仿宋_GB2312" w:hAnsi="仿宋_GB2312" w:eastAsia="仿宋_GB2312" w:cs="仿宋_GB2312"/>
          <w:kern w:val="2"/>
          <w:sz w:val="32"/>
          <w:szCs w:val="32"/>
          <w:lang w:val="en-US" w:eastAsia="zh-CN" w:bidi="ar-SA"/>
        </w:rPr>
        <w:t>444</w:t>
      </w:r>
      <w:r>
        <w:rPr>
          <w:rFonts w:hint="eastAsia" w:ascii="仿宋_GB2312" w:hAnsi="仿宋_GB2312" w:eastAsia="仿宋_GB2312" w:cs="仿宋_GB2312"/>
          <w:kern w:val="2"/>
          <w:sz w:val="32"/>
          <w:szCs w:val="32"/>
          <w:lang w:val="zh-CN" w:eastAsia="zh-CN" w:bidi="ar-SA"/>
        </w:rPr>
        <w:t>号）</w:t>
      </w:r>
      <w:r>
        <w:rPr>
          <w:rFonts w:hint="eastAsia" w:ascii="仿宋_GB2312" w:hAnsi="仿宋_GB2312" w:eastAsia="仿宋_GB2312" w:cs="仿宋_GB2312"/>
          <w:kern w:val="2"/>
          <w:sz w:val="32"/>
          <w:szCs w:val="32"/>
          <w:lang w:val="en-US" w:eastAsia="zh-CN" w:bidi="ar-SA"/>
        </w:rPr>
        <w:t>文件要求时间及时完成初验并向市级提交竣工验收申请。</w:t>
      </w:r>
    </w:p>
    <w:p>
      <w:pPr>
        <w:keepNext w:val="0"/>
        <w:keepLines w:val="0"/>
        <w:pageBreakBefore w:val="0"/>
        <w:widowControl w:val="0"/>
        <w:kinsoku w:val="0"/>
        <w:wordWrap/>
        <w:overflowPunct/>
        <w:topLinePunct w:val="0"/>
        <w:autoSpaceDE/>
        <w:autoSpaceDN/>
        <w:bidi w:val="0"/>
        <w:adjustRightInd w:val="0"/>
        <w:snapToGrid w:val="0"/>
        <w:spacing w:line="360" w:lineRule="auto"/>
        <w:ind w:firstLine="640" w:firstLineChars="200"/>
        <w:jc w:val="both"/>
        <w:textAlignment w:val="auto"/>
        <w:outlineLvl w:val="1"/>
        <w:rPr>
          <w:rFonts w:hint="eastAsia" w:ascii="仿宋_GB2312" w:hAnsi="仿宋_GB2312" w:eastAsia="仿宋_GB2312" w:cs="仿宋_GB2312"/>
          <w:kern w:val="2"/>
          <w:sz w:val="32"/>
          <w:szCs w:val="32"/>
          <w:lang w:val="en-US" w:eastAsia="zh-CN" w:bidi="ar-SA"/>
        </w:rPr>
      </w:pPr>
      <w:bookmarkStart w:id="42" w:name="_Toc17789"/>
      <w:r>
        <w:rPr>
          <w:rFonts w:hint="eastAsia" w:ascii="仿宋_GB2312" w:hAnsi="仿宋_GB2312" w:eastAsia="仿宋_GB2312" w:cs="仿宋_GB2312"/>
          <w:kern w:val="2"/>
          <w:sz w:val="32"/>
          <w:szCs w:val="32"/>
          <w:lang w:val="en-US" w:eastAsia="zh-CN" w:bidi="ar-SA"/>
        </w:rPr>
        <w:t>（二）绩效管理工作开展不规范</w:t>
      </w:r>
      <w:bookmarkEnd w:id="42"/>
    </w:p>
    <w:p>
      <w:pPr>
        <w:keepNext w:val="0"/>
        <w:keepLines w:val="0"/>
        <w:pageBreakBefore w:val="0"/>
        <w:widowControl w:val="0"/>
        <w:numPr>
          <w:ilvl w:val="0"/>
          <w:numId w:val="0"/>
        </w:numPr>
        <w:kinsoku w:val="0"/>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伊金霍洛旗农牧局未编制项目整体的绩效目标表；未对该项目开展绩效监控工作，未编制绩效运行监控表和监控报告，在项目推进过程中，缺乏对项目实施效果、资金使用效率及目标达成度的定期评估与反馈；开展了绩效自评工作，但存在未编制绩效自评表，自评报告编写不够完善的问题。</w:t>
      </w:r>
    </w:p>
    <w:p>
      <w:pPr>
        <w:keepNext w:val="0"/>
        <w:keepLines w:val="0"/>
        <w:pageBreakBefore w:val="0"/>
        <w:widowControl w:val="0"/>
        <w:kinsoku w:val="0"/>
        <w:wordWrap/>
        <w:overflowPunct/>
        <w:topLinePunct w:val="0"/>
        <w:autoSpaceDE/>
        <w:autoSpaceDN/>
        <w:bidi w:val="0"/>
        <w:adjustRightInd w:val="0"/>
        <w:snapToGrid w:val="0"/>
        <w:spacing w:before="0" w:after="0" w:line="360" w:lineRule="auto"/>
        <w:ind w:firstLine="642" w:firstLineChars="200"/>
        <w:jc w:val="both"/>
        <w:textAlignment w:val="auto"/>
        <w:outlineLvl w:val="0"/>
        <w:rPr>
          <w:rFonts w:hint="eastAsia" w:ascii="仿宋_GB2312" w:hAnsi="仿宋_GB2312" w:eastAsia="仿宋_GB2312" w:cs="仿宋_GB2312"/>
          <w:b/>
          <w:bCs w:val="0"/>
          <w:kern w:val="2"/>
          <w:sz w:val="32"/>
          <w:szCs w:val="32"/>
          <w:highlight w:val="none"/>
          <w:lang w:val="en-US" w:eastAsia="zh-CN" w:bidi="ar-SA"/>
        </w:rPr>
      </w:pPr>
      <w:bookmarkStart w:id="43" w:name="_Toc6855"/>
      <w:r>
        <w:rPr>
          <w:rFonts w:hint="eastAsia" w:ascii="仿宋_GB2312" w:hAnsi="仿宋_GB2312" w:eastAsia="仿宋_GB2312" w:cs="仿宋_GB2312"/>
          <w:b/>
          <w:bCs w:val="0"/>
          <w:kern w:val="2"/>
          <w:sz w:val="32"/>
          <w:szCs w:val="32"/>
          <w:highlight w:val="none"/>
          <w:lang w:val="en-US" w:eastAsia="zh-CN" w:bidi="ar-SA"/>
        </w:rPr>
        <w:t>四、相关建议</w:t>
      </w:r>
      <w:bookmarkEnd w:id="38"/>
      <w:bookmarkEnd w:id="39"/>
      <w:bookmarkEnd w:id="40"/>
      <w:bookmarkEnd w:id="41"/>
      <w:bookmarkEnd w:id="43"/>
    </w:p>
    <w:p>
      <w:pPr>
        <w:keepNext w:val="0"/>
        <w:keepLines w:val="0"/>
        <w:pageBreakBefore w:val="0"/>
        <w:widowControl w:val="0"/>
        <w:kinsoku w:val="0"/>
        <w:wordWrap/>
        <w:overflowPunct/>
        <w:topLinePunct w:val="0"/>
        <w:autoSpaceDE/>
        <w:autoSpaceDN/>
        <w:bidi w:val="0"/>
        <w:adjustRightInd w:val="0"/>
        <w:snapToGrid w:val="0"/>
        <w:spacing w:line="360" w:lineRule="auto"/>
        <w:ind w:firstLine="640" w:firstLineChars="200"/>
        <w:jc w:val="both"/>
        <w:textAlignment w:val="auto"/>
        <w:outlineLvl w:val="1"/>
        <w:rPr>
          <w:rFonts w:hint="eastAsia" w:ascii="仿宋_GB2312" w:hAnsi="仿宋_GB2312" w:eastAsia="仿宋_GB2312" w:cs="仿宋_GB2312"/>
          <w:kern w:val="2"/>
          <w:sz w:val="32"/>
          <w:szCs w:val="32"/>
          <w:lang w:val="en-US" w:eastAsia="zh-CN" w:bidi="ar-SA"/>
        </w:rPr>
      </w:pPr>
      <w:bookmarkStart w:id="44" w:name="_Toc12523"/>
      <w:r>
        <w:rPr>
          <w:rFonts w:hint="eastAsia" w:ascii="仿宋_GB2312" w:hAnsi="仿宋_GB2312" w:eastAsia="仿宋_GB2312" w:cs="仿宋_GB2312"/>
          <w:kern w:val="2"/>
          <w:sz w:val="32"/>
          <w:szCs w:val="32"/>
          <w:lang w:val="en-US" w:eastAsia="zh-CN" w:bidi="ar-SA"/>
        </w:rPr>
        <w:t>（一）</w:t>
      </w:r>
      <w:bookmarkEnd w:id="44"/>
      <w:bookmarkStart w:id="45" w:name="_Toc29367"/>
      <w:bookmarkStart w:id="46" w:name="_Toc18147"/>
      <w:bookmarkStart w:id="47" w:name="_Toc16908"/>
      <w:bookmarkStart w:id="48" w:name="_Toc23836"/>
      <w:bookmarkStart w:id="49" w:name="_Toc20140"/>
      <w:bookmarkStart w:id="50" w:name="_Toc31814"/>
      <w:bookmarkStart w:id="51" w:name="_Toc29858"/>
      <w:bookmarkStart w:id="52" w:name="_Toc66377500"/>
      <w:bookmarkStart w:id="53" w:name="_Toc30961"/>
      <w:bookmarkStart w:id="54" w:name="_Toc107825675"/>
      <w:bookmarkStart w:id="55" w:name="_Toc16403"/>
      <w:r>
        <w:rPr>
          <w:rFonts w:hint="eastAsia" w:ascii="仿宋_GB2312" w:hAnsi="仿宋_GB2312" w:eastAsia="仿宋_GB2312" w:cs="仿宋_GB2312"/>
          <w:kern w:val="2"/>
          <w:sz w:val="32"/>
          <w:szCs w:val="32"/>
          <w:lang w:val="en-US" w:eastAsia="zh-CN" w:bidi="ar-SA"/>
        </w:rPr>
        <w:t>加强和规范项目管理工作</w:t>
      </w:r>
      <w:bookmarkEnd w:id="45"/>
      <w:bookmarkEnd w:id="46"/>
      <w:bookmarkEnd w:id="47"/>
    </w:p>
    <w:p>
      <w:pPr>
        <w:keepNext w:val="0"/>
        <w:keepLines w:val="0"/>
        <w:pageBreakBefore w:val="0"/>
        <w:widowControl w:val="0"/>
        <w:kinsoku w:val="0"/>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为进一步加强和规范高标准农田建设项目管理，提高项目管理规范化、制度化、科学化水平，实现农田建设补助资金的绩效目标，建议项目实施部门从以下几个方面加强管理：一是规范合同签订，建立标准化合同模板，减少合同签订过程中的疏漏和不规范行为。</w:t>
      </w:r>
      <w:r>
        <w:rPr>
          <w:rFonts w:hint="eastAsia" w:ascii="仿宋_GB2312" w:hAnsi="仿宋_GB2312" w:eastAsia="仿宋_GB2312" w:cs="仿宋_GB2312"/>
          <w:snapToGrid/>
          <w:kern w:val="2"/>
          <w:sz w:val="32"/>
          <w:szCs w:val="32"/>
          <w:highlight w:val="none"/>
          <w:lang w:val="en-US" w:eastAsia="zh-CN"/>
        </w:rPr>
        <w:t>二是完善项目招投标工作，选取专业的代理机构开展招投标工作，保证招投标流程规范，招标标准合规。三是</w:t>
      </w:r>
      <w:r>
        <w:rPr>
          <w:rFonts w:hint="eastAsia" w:ascii="仿宋_GB2312" w:hAnsi="仿宋_GB2312" w:eastAsia="仿宋_GB2312" w:cs="仿宋_GB2312"/>
          <w:snapToGrid/>
          <w:kern w:val="2"/>
          <w:sz w:val="32"/>
          <w:szCs w:val="32"/>
          <w:lang w:val="en-US" w:eastAsia="zh-CN"/>
        </w:rPr>
        <w:t>实施时间线管理，严格遵循项目管理的时间逻辑，确保所有文件签署和操作步骤按正确顺序执行；并且严格按照上级主管部门对项目各阶段时间安排的要求，做好项目竣工、验收工作。四是规范项目变更流程，项目实施单位应及时向上级主管部门报告重大变更，确保变更合法合规。五是加强内部培训与监督，定期对项目管理人员进行项目管理规范的培训，提升项目管理人员的专业素养与合规意识。同时，建立项目监督机制，定期审计项目管理过程，及时发现并纠正不规范行为，确保项目管理工作的标准化、透明化。</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line="360" w:lineRule="auto"/>
        <w:ind w:leftChars="0" w:firstLine="640" w:firstLineChars="200"/>
        <w:jc w:val="both"/>
        <w:textAlignment w:val="auto"/>
        <w:outlineLvl w:val="1"/>
        <w:rPr>
          <w:rFonts w:hint="eastAsia" w:ascii="仿宋_GB2312" w:hAnsi="仿宋_GB2312" w:eastAsia="仿宋_GB2312" w:cs="仿宋_GB2312"/>
          <w:snapToGrid/>
          <w:kern w:val="2"/>
          <w:sz w:val="32"/>
          <w:szCs w:val="32"/>
          <w:lang w:val="en-US" w:eastAsia="zh-CN"/>
        </w:rPr>
      </w:pPr>
      <w:bookmarkStart w:id="56" w:name="_Toc28281"/>
      <w:bookmarkStart w:id="57" w:name="_Toc1744"/>
      <w:bookmarkStart w:id="58" w:name="_Toc21930"/>
      <w:bookmarkStart w:id="59" w:name="_Toc30414"/>
      <w:bookmarkStart w:id="60" w:name="_Toc27774"/>
      <w:r>
        <w:rPr>
          <w:rFonts w:hint="eastAsia" w:ascii="仿宋_GB2312" w:hAnsi="仿宋_GB2312" w:eastAsia="仿宋_GB2312" w:cs="仿宋_GB2312"/>
          <w:snapToGrid/>
          <w:kern w:val="2"/>
          <w:sz w:val="32"/>
          <w:szCs w:val="32"/>
          <w:lang w:eastAsia="zh-CN"/>
        </w:rPr>
        <w:t>（</w:t>
      </w:r>
      <w:r>
        <w:rPr>
          <w:rFonts w:hint="eastAsia" w:ascii="仿宋_GB2312" w:hAnsi="仿宋_GB2312" w:eastAsia="仿宋_GB2312" w:cs="仿宋_GB2312"/>
          <w:snapToGrid/>
          <w:kern w:val="2"/>
          <w:sz w:val="32"/>
          <w:szCs w:val="32"/>
          <w:lang w:val="en-US" w:eastAsia="zh-CN"/>
        </w:rPr>
        <w:t>二</w:t>
      </w:r>
      <w:r>
        <w:rPr>
          <w:rFonts w:hint="eastAsia" w:ascii="仿宋_GB2312" w:hAnsi="仿宋_GB2312" w:eastAsia="仿宋_GB2312" w:cs="仿宋_GB2312"/>
          <w:snapToGrid/>
          <w:kern w:val="2"/>
          <w:sz w:val="32"/>
          <w:szCs w:val="32"/>
          <w:lang w:eastAsia="zh-CN"/>
        </w:rPr>
        <w:t>）</w:t>
      </w:r>
      <w:bookmarkEnd w:id="56"/>
      <w:bookmarkEnd w:id="57"/>
      <w:bookmarkEnd w:id="58"/>
      <w:bookmarkEnd w:id="59"/>
      <w:r>
        <w:rPr>
          <w:rFonts w:hint="eastAsia" w:ascii="仿宋_GB2312" w:hAnsi="仿宋_GB2312" w:eastAsia="仿宋_GB2312" w:cs="仿宋_GB2312"/>
          <w:b w:val="0"/>
          <w:bCs w:val="0"/>
          <w:snapToGrid/>
          <w:kern w:val="2"/>
          <w:sz w:val="32"/>
          <w:szCs w:val="32"/>
          <w:lang w:val="en-US" w:eastAsia="zh-CN" w:bidi="ar-SA"/>
        </w:rPr>
        <w:t>提高单位绩效管理水平</w:t>
      </w:r>
      <w:bookmarkEnd w:id="60"/>
    </w:p>
    <w:p>
      <w:pPr>
        <w:keepNext w:val="0"/>
        <w:keepLines w:val="0"/>
        <w:pageBreakBefore w:val="0"/>
        <w:widowControl w:val="0"/>
        <w:kinsoku w:val="0"/>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0"/>
          <w:sz w:val="32"/>
          <w:szCs w:val="32"/>
          <w:lang w:val="en-US" w:eastAsia="zh-CN"/>
        </w:rPr>
        <w:t>建议项目实施单位强化绩效管理意识，提高绩效管理认识。绩效目标申报表、绩效运行监控表、绩效自评表及自评报告是建立全过程预算绩效管理链条的体现。绩效目标申报表是预算安排的前置条件，绩效目标申报表的编制应符合“指向明确”“细化量化”“合理可行”和“相应匹配”的要求；绩效运行监控表的填报是在绩效目标申报表的基础上，根据开展监控时项目具体实施情况填报；绩效自评表的填报是在绩效目标申报表的基础上，根据预算执行情况、项目实施效果进行填报；绩效自评报告的编制是在设定的绩效目标的基础上，根据实际情况，对各项指标进行分析，对存在的问题提出改进措施，并编制后续工作计划。</w:t>
      </w:r>
    </w:p>
    <w:bookmarkEnd w:id="48"/>
    <w:bookmarkEnd w:id="49"/>
    <w:bookmarkEnd w:id="50"/>
    <w:bookmarkEnd w:id="51"/>
    <w:bookmarkEnd w:id="52"/>
    <w:bookmarkEnd w:id="53"/>
    <w:bookmarkEnd w:id="54"/>
    <w:bookmarkEnd w:id="55"/>
    <w:p>
      <w:pPr>
        <w:spacing w:before="101" w:line="227" w:lineRule="auto"/>
        <w:rPr>
          <w:rFonts w:ascii="黑体" w:hAnsi="黑体" w:eastAsia="黑体" w:cs="黑体"/>
          <w:spacing w:val="3"/>
          <w:sz w:val="31"/>
          <w:szCs w:val="31"/>
        </w:rPr>
      </w:pPr>
    </w:p>
    <w:p>
      <w:pPr>
        <w:spacing w:before="101" w:line="227" w:lineRule="auto"/>
        <w:rPr>
          <w:rFonts w:ascii="黑体" w:hAnsi="黑体" w:eastAsia="黑体" w:cs="黑体"/>
          <w:spacing w:val="3"/>
          <w:sz w:val="31"/>
          <w:szCs w:val="31"/>
        </w:rPr>
      </w:pPr>
    </w:p>
    <w:p>
      <w:pPr>
        <w:spacing w:before="101" w:line="227" w:lineRule="auto"/>
        <w:rPr>
          <w:rFonts w:ascii="黑体" w:hAnsi="黑体" w:eastAsia="黑体" w:cs="黑体"/>
          <w:spacing w:val="3"/>
          <w:sz w:val="31"/>
          <w:szCs w:val="31"/>
        </w:rPr>
      </w:pPr>
    </w:p>
    <w:p>
      <w:pPr>
        <w:spacing w:before="101" w:line="227" w:lineRule="auto"/>
        <w:rPr>
          <w:rFonts w:ascii="黑体" w:hAnsi="黑体" w:eastAsia="黑体" w:cs="黑体"/>
          <w:spacing w:val="3"/>
          <w:sz w:val="31"/>
          <w:szCs w:val="31"/>
        </w:rPr>
      </w:pPr>
    </w:p>
    <w:p>
      <w:pPr>
        <w:spacing w:before="101" w:line="227" w:lineRule="auto"/>
        <w:rPr>
          <w:rFonts w:ascii="黑体" w:hAnsi="黑体" w:eastAsia="黑体" w:cs="黑体"/>
          <w:spacing w:val="3"/>
          <w:sz w:val="31"/>
          <w:szCs w:val="31"/>
        </w:rPr>
      </w:pPr>
    </w:p>
    <w:p>
      <w:pPr>
        <w:spacing w:before="101" w:line="227" w:lineRule="auto"/>
        <w:rPr>
          <w:rFonts w:ascii="黑体" w:hAnsi="黑体" w:eastAsia="黑体" w:cs="黑体"/>
          <w:spacing w:val="3"/>
          <w:sz w:val="31"/>
          <w:szCs w:val="31"/>
        </w:rPr>
      </w:pPr>
    </w:p>
    <w:p>
      <w:pPr>
        <w:spacing w:before="101" w:line="227" w:lineRule="auto"/>
        <w:rPr>
          <w:rFonts w:ascii="黑体" w:hAnsi="黑体" w:eastAsia="黑体" w:cs="黑体"/>
          <w:sz w:val="31"/>
          <w:szCs w:val="31"/>
        </w:rPr>
      </w:pPr>
      <w:r>
        <w:rPr>
          <w:rFonts w:ascii="黑体" w:hAnsi="黑体" w:eastAsia="黑体" w:cs="黑体"/>
          <w:spacing w:val="3"/>
          <w:sz w:val="31"/>
          <w:szCs w:val="31"/>
        </w:rPr>
        <w:t>附件：项目照片</w:t>
      </w:r>
    </w:p>
    <w:p>
      <w:pPr>
        <w:spacing w:before="208" w:line="5374" w:lineRule="exact"/>
      </w:pPr>
      <w:r>
        <w:rPr>
          <w:position w:val="-107"/>
        </w:rPr>
        <w:drawing>
          <wp:inline distT="0" distB="0" distL="0" distR="0">
            <wp:extent cx="5630545" cy="3411855"/>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9"/>
                    <a:stretch>
                      <a:fillRect/>
                    </a:stretch>
                  </pic:blipFill>
                  <pic:spPr>
                    <a:xfrm>
                      <a:off x="0" y="0"/>
                      <a:ext cx="5631179" cy="3412235"/>
                    </a:xfrm>
                    <a:prstGeom prst="rect">
                      <a:avLst/>
                    </a:prstGeom>
                  </pic:spPr>
                </pic:pic>
              </a:graphicData>
            </a:graphic>
          </wp:inline>
        </w:drawing>
      </w:r>
    </w:p>
    <w:p>
      <w:pPr>
        <w:spacing w:before="182" w:line="6101" w:lineRule="exact"/>
      </w:pPr>
      <w:r>
        <w:rPr>
          <w:position w:val="-122"/>
        </w:rPr>
        <w:drawing>
          <wp:inline distT="0" distB="0" distL="0" distR="0">
            <wp:extent cx="5648960" cy="387350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0"/>
                    <a:stretch>
                      <a:fillRect/>
                    </a:stretch>
                  </pic:blipFill>
                  <pic:spPr>
                    <a:xfrm>
                      <a:off x="0" y="0"/>
                      <a:ext cx="5649467" cy="3874008"/>
                    </a:xfrm>
                    <a:prstGeom prst="rect">
                      <a:avLst/>
                    </a:prstGeom>
                  </pic:spPr>
                </pic:pic>
              </a:graphicData>
            </a:graphic>
          </wp:inline>
        </w:drawing>
      </w:r>
    </w:p>
    <w:p>
      <w:pPr>
        <w:spacing w:line="6101" w:lineRule="exact"/>
        <w:sectPr>
          <w:headerReference r:id="rId5" w:type="default"/>
          <w:footerReference r:id="rId6" w:type="default"/>
          <w:pgSz w:w="11906" w:h="16839"/>
          <w:pgMar w:top="1431" w:right="1478" w:bottom="633" w:left="1531" w:header="0" w:footer="358" w:gutter="0"/>
          <w:cols w:space="720" w:num="1"/>
        </w:sectPr>
      </w:pPr>
    </w:p>
    <w:p>
      <w:pPr>
        <w:pStyle w:val="5"/>
        <w:spacing w:line="337" w:lineRule="auto"/>
      </w:pPr>
    </w:p>
    <w:p>
      <w:pPr>
        <w:pStyle w:val="5"/>
        <w:spacing w:line="337" w:lineRule="auto"/>
      </w:pPr>
    </w:p>
    <w:p>
      <w:pPr>
        <w:spacing w:line="12324" w:lineRule="exact"/>
      </w:pPr>
      <w:r>
        <w:rPr>
          <w:position w:val="-246"/>
        </w:rPr>
        <w:drawing>
          <wp:inline distT="0" distB="0" distL="0" distR="0">
            <wp:extent cx="5615940" cy="782574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11"/>
                    <a:stretch>
                      <a:fillRect/>
                    </a:stretch>
                  </pic:blipFill>
                  <pic:spPr>
                    <a:xfrm>
                      <a:off x="0" y="0"/>
                      <a:ext cx="5615940" cy="7825740"/>
                    </a:xfrm>
                    <a:prstGeom prst="rect">
                      <a:avLst/>
                    </a:prstGeom>
                  </pic:spPr>
                </pic:pic>
              </a:graphicData>
            </a:graphic>
          </wp:inline>
        </w:drawing>
      </w:r>
    </w:p>
    <w:sectPr>
      <w:footerReference r:id="rId7" w:type="default"/>
      <w:pgSz w:w="11906" w:h="16839"/>
      <w:pgMar w:top="1431" w:right="1530" w:bottom="633" w:left="1531" w:header="0" w:footer="35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294"/>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294"/>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WMwNTIzNzM2YzNlMmFhZWM2Yzc3ZWFmMzIyZjM0N2YifQ=="/>
  </w:docVars>
  <w:rsids>
    <w:rsidRoot w:val="00000000"/>
    <w:rsid w:val="00CE72F0"/>
    <w:rsid w:val="1A521DFC"/>
    <w:rsid w:val="233B054C"/>
    <w:rsid w:val="2E937DAB"/>
    <w:rsid w:val="2FBB0F52"/>
    <w:rsid w:val="DDC7A9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outlineLvl w:val="0"/>
    </w:pPr>
    <w:rPr>
      <w:rFonts w:eastAsia="黑体"/>
      <w:bCs/>
      <w:kern w:val="44"/>
      <w:szCs w:val="44"/>
    </w:rPr>
  </w:style>
  <w:style w:type="paragraph" w:styleId="3">
    <w:name w:val="heading 2"/>
    <w:basedOn w:val="1"/>
    <w:next w:val="1"/>
    <w:unhideWhenUsed/>
    <w:qFormat/>
    <w:uiPriority w:val="0"/>
    <w:pPr>
      <w:keepNext/>
      <w:keepLines/>
      <w:outlineLvl w:val="1"/>
    </w:pPr>
    <w:rPr>
      <w:rFonts w:ascii="Arial" w:hAnsi="Arial" w:eastAsia="楷体_GB231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Body Text Indent"/>
    <w:basedOn w:val="1"/>
    <w:qFormat/>
    <w:uiPriority w:val="0"/>
    <w:pPr>
      <w:spacing w:after="120"/>
      <w:ind w:left="420" w:leftChars="200"/>
    </w:pPr>
  </w:style>
  <w:style w:type="paragraph" w:styleId="7">
    <w:name w:val="footer"/>
    <w:basedOn w:val="1"/>
    <w:qFormat/>
    <w:uiPriority w:val="99"/>
    <w:pPr>
      <w:tabs>
        <w:tab w:val="center" w:pos="4153"/>
        <w:tab w:val="right" w:pos="8306"/>
      </w:tabs>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9">
    <w:name w:val="toc 1"/>
    <w:basedOn w:val="1"/>
    <w:next w:val="1"/>
    <w:qFormat/>
    <w:uiPriority w:val="0"/>
  </w:style>
  <w:style w:type="paragraph" w:styleId="10">
    <w:name w:val="Normal (Web)"/>
    <w:basedOn w:val="1"/>
    <w:qFormat/>
    <w:uiPriority w:val="99"/>
    <w:pPr>
      <w:adjustRightInd/>
      <w:snapToGrid/>
      <w:spacing w:line="240" w:lineRule="auto"/>
      <w:ind w:firstLine="0" w:firstLineChars="0"/>
      <w:jc w:val="left"/>
    </w:pPr>
    <w:rPr>
      <w:rFonts w:cs="Times New Roman" w:eastAsiaTheme="minorEastAsia"/>
      <w:kern w:val="0"/>
      <w:sz w:val="24"/>
      <w:szCs w:val="24"/>
    </w:rPr>
  </w:style>
  <w:style w:type="paragraph" w:styleId="11">
    <w:name w:val="Title"/>
    <w:basedOn w:val="1"/>
    <w:next w:val="1"/>
    <w:qFormat/>
    <w:uiPriority w:val="0"/>
    <w:pPr>
      <w:spacing w:before="240" w:after="60"/>
      <w:jc w:val="center"/>
      <w:outlineLvl w:val="0"/>
    </w:pPr>
    <w:rPr>
      <w:rFonts w:eastAsia="宋体" w:asciiTheme="majorHAnsi" w:hAnsiTheme="majorHAnsi" w:cstheme="majorBidi"/>
      <w:b/>
      <w:bCs/>
    </w:rPr>
  </w:style>
  <w:style w:type="paragraph" w:styleId="12">
    <w:name w:val="Body Text First Indent 2"/>
    <w:basedOn w:val="6"/>
    <w:qFormat/>
    <w:uiPriority w:val="0"/>
    <w:pPr>
      <w:ind w:firstLine="42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19"/>
      <w:szCs w:val="19"/>
      <w:lang w:val="en-US" w:eastAsia="en-US" w:bidi="ar-SA"/>
    </w:rPr>
  </w:style>
  <w:style w:type="paragraph" w:customStyle="1" w:styleId="18">
    <w:name w:val="正文文本1"/>
    <w:basedOn w:val="1"/>
    <w:qFormat/>
    <w:uiPriority w:val="0"/>
    <w:pPr>
      <w:adjustRightInd/>
      <w:snapToGrid/>
      <w:spacing w:line="432" w:lineRule="auto"/>
      <w:ind w:firstLine="400" w:firstLineChars="0"/>
      <w:jc w:val="left"/>
    </w:pPr>
    <w:rPr>
      <w:rFonts w:ascii="宋体" w:hAnsi="宋体" w:eastAsia="宋体" w:cs="宋体"/>
      <w:kern w:val="0"/>
      <w:sz w:val="30"/>
      <w:szCs w:val="30"/>
    </w:rPr>
  </w:style>
  <w:style w:type="paragraph" w:customStyle="1" w:styleId="19">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3255</Words>
  <Characters>3406</Characters>
  <TotalTime>12</TotalTime>
  <ScaleCrop>false</ScaleCrop>
  <LinksUpToDate>false</LinksUpToDate>
  <CharactersWithSpaces>3407</CharactersWithSpaces>
  <Application>WPS Office_11.8.2.12019_F1E327BC-269C-435d-A152-05C5408002CA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2024-08-07T03:40:00Z</dcterms:created>
  <dc:creator>ZZY</dc:creator>
  <cp:lastModifiedBy>aaa</cp:lastModifiedBy>
  <dcterms:modified xsi:type="dcterms:W3CDTF">2026-05-15T16:35:52Z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2024-08-06T20:03:16Z</vt:filetime>
  </property>
  <property fmtid="{D5CDD505-2E9C-101B-9397-08002B2CF9AE}" pid="4" name="KSOProductBuildVer">
    <vt:lpwstr>2052-11.8.2.12019</vt:lpwstr>
  </property>
  <property fmtid="{D5CDD505-2E9C-101B-9397-08002B2CF9AE}" pid="5" name="ICV">
    <vt:lpwstr>0767AB42E3326F93E8DA066A9BC2D434</vt:lpwstr>
  </property>
</Properties>
</file>