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93D89C">
      <w:pPr>
        <w:rPr>
          <w:rFonts w:ascii="仿宋_GB2312" w:hAnsi="仿宋_GB2312" w:eastAsia="仿宋_GB2312" w:cs="仿宋_GB2312"/>
          <w:color w:val="auto"/>
          <w:sz w:val="36"/>
          <w:szCs w:val="36"/>
          <w:highlight w:val="none"/>
        </w:rPr>
      </w:pPr>
    </w:p>
    <w:p w14:paraId="5854AC02">
      <w:pPr>
        <w:rPr>
          <w:rFonts w:ascii="仿宋_GB2312" w:hAnsi="仿宋_GB2312" w:eastAsia="仿宋_GB2312" w:cs="仿宋_GB2312"/>
          <w:color w:val="auto"/>
          <w:sz w:val="36"/>
          <w:szCs w:val="36"/>
          <w:highlight w:val="none"/>
        </w:rPr>
      </w:pPr>
    </w:p>
    <w:p w14:paraId="401F7E31">
      <w:pPr>
        <w:rPr>
          <w:rFonts w:ascii="仿宋_GB2312" w:hAnsi="仿宋_GB2312" w:eastAsia="仿宋_GB2312" w:cs="仿宋_GB2312"/>
          <w:color w:val="auto"/>
          <w:sz w:val="36"/>
          <w:szCs w:val="36"/>
          <w:highlight w:val="none"/>
        </w:rPr>
      </w:pPr>
    </w:p>
    <w:p w14:paraId="50F2C707">
      <w:pPr>
        <w:adjustRightInd w:val="0"/>
        <w:snapToGrid w:val="0"/>
        <w:jc w:val="center"/>
        <w:outlineLvl w:val="0"/>
        <w:rPr>
          <w:rFonts w:hint="eastAsia" w:ascii="方正小标宋_GBK" w:eastAsia="方正小标宋_GBK"/>
          <w:bCs/>
          <w:color w:val="auto"/>
          <w:sz w:val="72"/>
          <w:szCs w:val="72"/>
          <w:highlight w:val="none"/>
        </w:rPr>
      </w:pPr>
      <w:r>
        <w:rPr>
          <w:rFonts w:hint="eastAsia" w:ascii="方正小标宋_GBK" w:eastAsia="方正小标宋_GBK"/>
          <w:bCs/>
          <w:color w:val="auto"/>
          <w:sz w:val="72"/>
          <w:szCs w:val="72"/>
          <w:highlight w:val="none"/>
          <w:lang w:val="en-US" w:eastAsia="zh-CN"/>
        </w:rPr>
        <w:t>生态</w:t>
      </w:r>
      <w:r>
        <w:rPr>
          <w:rFonts w:hint="eastAsia" w:ascii="方正小标宋_GBK" w:eastAsia="方正小标宋_GBK"/>
          <w:bCs/>
          <w:color w:val="auto"/>
          <w:sz w:val="72"/>
          <w:szCs w:val="72"/>
          <w:highlight w:val="none"/>
        </w:rPr>
        <w:t>环境影响报告表</w:t>
      </w:r>
    </w:p>
    <w:p w14:paraId="77658283">
      <w:pPr>
        <w:adjustRightInd w:val="0"/>
        <w:snapToGrid w:val="0"/>
        <w:spacing w:before="192" w:beforeLines="80"/>
        <w:jc w:val="center"/>
        <w:rPr>
          <w:rFonts w:hint="eastAsia" w:ascii="楷体_GB2312" w:eastAsia="楷体_GB2312"/>
          <w:bCs/>
          <w:color w:val="auto"/>
          <w:sz w:val="48"/>
          <w:szCs w:val="48"/>
          <w:highlight w:val="none"/>
        </w:rPr>
      </w:pPr>
      <w:r>
        <w:rPr>
          <w:rFonts w:hint="eastAsia" w:ascii="楷体_GB2312" w:eastAsia="楷体_GB2312"/>
          <w:bCs/>
          <w:color w:val="auto"/>
          <w:sz w:val="48"/>
          <w:szCs w:val="48"/>
          <w:highlight w:val="none"/>
        </w:rPr>
        <w:t>（污染影响类）</w:t>
      </w:r>
    </w:p>
    <w:p w14:paraId="22E2D4AC">
      <w:pPr>
        <w:rPr>
          <w:color w:val="auto"/>
          <w:highlight w:val="none"/>
        </w:rPr>
      </w:pPr>
    </w:p>
    <w:p w14:paraId="5D4B8301">
      <w:pPr>
        <w:jc w:val="center"/>
        <w:rPr>
          <w:rFonts w:eastAsia="仿宋"/>
          <w:color w:val="auto"/>
          <w:sz w:val="52"/>
          <w:szCs w:val="52"/>
          <w:highlight w:val="none"/>
        </w:rPr>
      </w:pPr>
    </w:p>
    <w:p w14:paraId="71133E87">
      <w:pPr>
        <w:ind w:firstLine="1040"/>
        <w:rPr>
          <w:rFonts w:eastAsia="仿宋"/>
          <w:color w:val="auto"/>
          <w:sz w:val="44"/>
          <w:szCs w:val="44"/>
          <w:highlight w:val="none"/>
        </w:rPr>
      </w:pPr>
    </w:p>
    <w:p w14:paraId="0E99D8AD">
      <w:pPr>
        <w:ind w:firstLine="1040"/>
        <w:rPr>
          <w:rFonts w:eastAsia="仿宋"/>
          <w:color w:val="auto"/>
          <w:sz w:val="44"/>
          <w:szCs w:val="44"/>
          <w:highlight w:val="none"/>
        </w:rPr>
      </w:pPr>
    </w:p>
    <w:p w14:paraId="14F44278">
      <w:pPr>
        <w:ind w:firstLine="1040"/>
        <w:rPr>
          <w:rFonts w:eastAsia="仿宋"/>
          <w:color w:val="auto"/>
          <w:sz w:val="44"/>
          <w:szCs w:val="44"/>
          <w:highlight w:val="none"/>
        </w:rPr>
      </w:pPr>
    </w:p>
    <w:p w14:paraId="36C319FA">
      <w:pPr>
        <w:ind w:firstLine="1040"/>
        <w:rPr>
          <w:rFonts w:eastAsia="仿宋"/>
          <w:color w:val="auto"/>
          <w:sz w:val="44"/>
          <w:szCs w:val="44"/>
          <w:highlight w:val="none"/>
        </w:rPr>
      </w:pPr>
    </w:p>
    <w:p w14:paraId="1D622FE2">
      <w:pPr>
        <w:adjustRightInd w:val="0"/>
        <w:snapToGrid w:val="0"/>
        <w:spacing w:line="288" w:lineRule="auto"/>
        <w:ind w:left="2166" w:leftChars="171" w:hanging="1807" w:hangingChars="500"/>
        <w:jc w:val="left"/>
        <w:rPr>
          <w:rFonts w:hint="eastAsia" w:ascii="仿宋_GB2312" w:eastAsia="仿宋_GB2312"/>
          <w:b/>
          <w:color w:val="auto"/>
          <w:sz w:val="36"/>
          <w:szCs w:val="36"/>
          <w:highlight w:val="none"/>
          <w:u w:val="single"/>
          <w:lang w:val="en-US" w:eastAsia="zh-CN"/>
        </w:rPr>
      </w:pPr>
      <w:r>
        <w:rPr>
          <w:rFonts w:hint="eastAsia" w:ascii="仿宋_GB2312" w:eastAsia="仿宋_GB2312"/>
          <w:b/>
          <w:color w:val="auto"/>
          <w:sz w:val="36"/>
          <w:szCs w:val="36"/>
          <w:highlight w:val="none"/>
        </w:rPr>
        <w:t>项目名称：</w:t>
      </w:r>
      <w:r>
        <w:rPr>
          <w:rFonts w:hint="eastAsia" w:ascii="仿宋_GB2312" w:eastAsia="仿宋_GB2312"/>
          <w:b/>
          <w:color w:val="auto"/>
          <w:sz w:val="36"/>
          <w:szCs w:val="36"/>
          <w:highlight w:val="none"/>
          <w:u w:val="single"/>
        </w:rPr>
        <w:t>鄂尔多斯市蒙丰源实业有限责任公司蒙丰源商砼站</w:t>
      </w:r>
      <w:r>
        <w:rPr>
          <w:rFonts w:hint="eastAsia" w:ascii="仿宋_GB2312" w:eastAsia="仿宋_GB2312"/>
          <w:b/>
          <w:color w:val="auto"/>
          <w:sz w:val="36"/>
          <w:szCs w:val="36"/>
          <w:highlight w:val="none"/>
          <w:u w:val="single"/>
          <w:lang w:val="en-US" w:eastAsia="zh-CN"/>
        </w:rPr>
        <w:t>项目</w:t>
      </w:r>
    </w:p>
    <w:p w14:paraId="46F60E34">
      <w:pPr>
        <w:adjustRightInd w:val="0"/>
        <w:snapToGrid w:val="0"/>
        <w:spacing w:line="288" w:lineRule="auto"/>
        <w:ind w:left="2166" w:leftChars="171" w:hanging="1807" w:hangingChars="500"/>
        <w:jc w:val="left"/>
        <w:rPr>
          <w:rFonts w:hint="eastAsia" w:ascii="仿宋_GB2312" w:eastAsia="仿宋_GB2312"/>
          <w:b/>
          <w:color w:val="auto"/>
          <w:sz w:val="36"/>
          <w:szCs w:val="36"/>
          <w:highlight w:val="none"/>
          <w:u w:val="single"/>
        </w:rPr>
      </w:pPr>
      <w:r>
        <w:rPr>
          <w:rFonts w:hint="eastAsia" w:ascii="仿宋_GB2312" w:eastAsia="仿宋_GB2312"/>
          <w:b/>
          <w:color w:val="auto"/>
          <w:sz w:val="36"/>
          <w:szCs w:val="36"/>
          <w:highlight w:val="none"/>
        </w:rPr>
        <w:t>建设单位（盖章）：</w:t>
      </w:r>
      <w:r>
        <w:rPr>
          <w:rFonts w:hint="eastAsia" w:ascii="仿宋_GB2312" w:eastAsia="仿宋_GB2312"/>
          <w:b/>
          <w:color w:val="auto"/>
          <w:sz w:val="36"/>
          <w:szCs w:val="36"/>
          <w:highlight w:val="none"/>
          <w:u w:val="single"/>
        </w:rPr>
        <w:t>鄂尔多斯市蒙丰源实业有限责任公司</w:t>
      </w:r>
    </w:p>
    <w:p w14:paraId="2D49FD9E">
      <w:pPr>
        <w:adjustRightInd w:val="0"/>
        <w:snapToGrid w:val="0"/>
        <w:spacing w:line="288" w:lineRule="auto"/>
        <w:ind w:firstLine="361" w:firstLineChars="100"/>
        <w:jc w:val="left"/>
        <w:rPr>
          <w:rFonts w:hint="eastAsia" w:ascii="仿宋_GB2312" w:eastAsia="仿宋_GB2312"/>
          <w:color w:val="auto"/>
          <w:sz w:val="36"/>
          <w:szCs w:val="36"/>
          <w:highlight w:val="none"/>
          <w:u w:val="single"/>
          <w:lang w:eastAsia="zh-CN"/>
        </w:rPr>
      </w:pPr>
      <w:r>
        <w:rPr>
          <w:rFonts w:hint="eastAsia" w:ascii="仿宋_GB2312" w:eastAsia="仿宋_GB2312"/>
          <w:b/>
          <w:color w:val="auto"/>
          <w:sz w:val="36"/>
          <w:szCs w:val="36"/>
          <w:highlight w:val="none"/>
        </w:rPr>
        <w:t>编制日期：</w:t>
      </w:r>
      <w:r>
        <w:rPr>
          <w:rFonts w:hint="default" w:ascii="Times New Roman" w:hAnsi="Times New Roman" w:eastAsia="仿宋_GB2312" w:cs="Times New Roman"/>
          <w:b/>
          <w:color w:val="auto"/>
          <w:sz w:val="36"/>
          <w:szCs w:val="36"/>
          <w:highlight w:val="none"/>
          <w:u w:val="single"/>
        </w:rPr>
        <w:t>202</w:t>
      </w:r>
      <w:r>
        <w:rPr>
          <w:rFonts w:hint="default" w:ascii="Times New Roman" w:hAnsi="Times New Roman" w:eastAsia="仿宋_GB2312" w:cs="Times New Roman"/>
          <w:b/>
          <w:color w:val="auto"/>
          <w:sz w:val="36"/>
          <w:szCs w:val="36"/>
          <w:highlight w:val="none"/>
          <w:u w:val="single"/>
          <w:lang w:val="en-US" w:eastAsia="zh-CN"/>
        </w:rPr>
        <w:t>6</w:t>
      </w:r>
      <w:r>
        <w:rPr>
          <w:rFonts w:hint="default" w:ascii="Times New Roman" w:hAnsi="Times New Roman" w:eastAsia="仿宋_GB2312" w:cs="Times New Roman"/>
          <w:b/>
          <w:color w:val="auto"/>
          <w:sz w:val="36"/>
          <w:szCs w:val="36"/>
          <w:highlight w:val="none"/>
          <w:u w:val="single"/>
        </w:rPr>
        <w:t>年</w:t>
      </w:r>
      <w:r>
        <w:rPr>
          <w:rFonts w:hint="eastAsia" w:eastAsia="仿宋_GB2312" w:cs="Times New Roman"/>
          <w:b/>
          <w:color w:val="auto"/>
          <w:sz w:val="36"/>
          <w:szCs w:val="36"/>
          <w:highlight w:val="none"/>
          <w:u w:val="single"/>
          <w:lang w:val="en-US" w:eastAsia="zh-CN"/>
        </w:rPr>
        <w:t>9</w:t>
      </w:r>
      <w:r>
        <w:rPr>
          <w:rFonts w:hint="default" w:ascii="Times New Roman" w:hAnsi="Times New Roman" w:eastAsia="仿宋_GB2312" w:cs="Times New Roman"/>
          <w:b/>
          <w:color w:val="auto"/>
          <w:sz w:val="36"/>
          <w:szCs w:val="36"/>
          <w:highlight w:val="none"/>
          <w:u w:val="single"/>
        </w:rPr>
        <w:t>月</w:t>
      </w:r>
    </w:p>
    <w:p w14:paraId="7E81295B">
      <w:pPr>
        <w:adjustRightInd w:val="0"/>
        <w:snapToGrid w:val="0"/>
        <w:spacing w:line="288" w:lineRule="auto"/>
        <w:ind w:firstLine="1040"/>
        <w:rPr>
          <w:rFonts w:ascii="仿宋_GB2312" w:eastAsia="仿宋_GB2312"/>
          <w:color w:val="auto"/>
          <w:sz w:val="36"/>
          <w:szCs w:val="36"/>
          <w:highlight w:val="none"/>
          <w:u w:val="single"/>
        </w:rPr>
      </w:pPr>
      <w:bookmarkStart w:id="0" w:name="_Hlk57884087"/>
    </w:p>
    <w:p w14:paraId="5F384958">
      <w:pPr>
        <w:adjustRightInd w:val="0"/>
        <w:snapToGrid w:val="0"/>
        <w:spacing w:line="288" w:lineRule="auto"/>
        <w:ind w:firstLine="1040"/>
        <w:rPr>
          <w:rFonts w:ascii="仿宋_GB2312" w:eastAsia="仿宋_GB2312"/>
          <w:color w:val="auto"/>
          <w:sz w:val="36"/>
          <w:szCs w:val="36"/>
          <w:highlight w:val="none"/>
        </w:rPr>
      </w:pPr>
    </w:p>
    <w:p w14:paraId="2D7083EE">
      <w:pPr>
        <w:adjustRightInd w:val="0"/>
        <w:snapToGrid w:val="0"/>
        <w:spacing w:line="288" w:lineRule="auto"/>
        <w:ind w:firstLine="1040"/>
        <w:rPr>
          <w:rFonts w:ascii="仿宋_GB2312" w:eastAsia="仿宋_GB2312"/>
          <w:color w:val="auto"/>
          <w:sz w:val="36"/>
          <w:szCs w:val="36"/>
          <w:highlight w:val="none"/>
        </w:rPr>
      </w:pPr>
    </w:p>
    <w:p w14:paraId="7D672123">
      <w:pPr>
        <w:adjustRightInd w:val="0"/>
        <w:snapToGrid w:val="0"/>
        <w:spacing w:line="288" w:lineRule="auto"/>
        <w:ind w:firstLine="1040"/>
        <w:rPr>
          <w:rFonts w:hint="eastAsia" w:ascii="仿宋_GB2312" w:eastAsia="仿宋_GB2312"/>
          <w:color w:val="auto"/>
          <w:sz w:val="36"/>
          <w:szCs w:val="36"/>
          <w:highlight w:val="none"/>
        </w:rPr>
      </w:pPr>
    </w:p>
    <w:bookmarkEnd w:id="0"/>
    <w:p w14:paraId="5127EBB8">
      <w:pPr>
        <w:adjustRightInd w:val="0"/>
        <w:snapToGrid w:val="0"/>
        <w:spacing w:line="288" w:lineRule="auto"/>
        <w:jc w:val="center"/>
        <w:rPr>
          <w:rFonts w:hint="eastAsia" w:ascii="楷体_GB2312" w:eastAsia="楷体_GB2312"/>
          <w:color w:val="auto"/>
          <w:sz w:val="36"/>
          <w:szCs w:val="36"/>
          <w:highlight w:val="none"/>
        </w:rPr>
      </w:pPr>
      <w:r>
        <w:rPr>
          <w:rFonts w:hint="eastAsia" w:ascii="楷体_GB2312" w:eastAsia="楷体_GB2312"/>
          <w:color w:val="auto"/>
          <w:sz w:val="36"/>
          <w:szCs w:val="36"/>
          <w:highlight w:val="none"/>
        </w:rPr>
        <w:t>中华人民共和国生态环境部制</w:t>
      </w:r>
    </w:p>
    <w:p w14:paraId="2DB35AB8">
      <w:pPr>
        <w:pStyle w:val="19"/>
        <w:jc w:val="center"/>
        <w:outlineLvl w:val="0"/>
        <w:rPr>
          <w:rFonts w:hint="eastAsia" w:ascii="黑体" w:hAnsi="黑体" w:eastAsia="黑体"/>
          <w:snapToGrid w:val="0"/>
          <w:color w:val="auto"/>
          <w:sz w:val="30"/>
          <w:szCs w:val="30"/>
          <w:highlight w:val="none"/>
          <w:lang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inline distT="0" distB="0" distL="114300" distR="114300">
            <wp:extent cx="5610860" cy="7907655"/>
            <wp:effectExtent l="0" t="0" r="2540" b="444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9"/>
                    <a:stretch>
                      <a:fillRect/>
                    </a:stretch>
                  </pic:blipFill>
                  <pic:spPr>
                    <a:xfrm>
                      <a:off x="0" y="0"/>
                      <a:ext cx="5610860" cy="7907655"/>
                    </a:xfrm>
                    <a:prstGeom prst="rect">
                      <a:avLst/>
                    </a:prstGeom>
                    <a:noFill/>
                    <a:ln>
                      <a:noFill/>
                    </a:ln>
                  </pic:spPr>
                </pic:pic>
              </a:graphicData>
            </a:graphic>
          </wp:inline>
        </w:drawing>
      </w:r>
      <w:r>
        <w:drawing>
          <wp:inline distT="0" distB="0" distL="114300" distR="114300">
            <wp:extent cx="5607685" cy="7896225"/>
            <wp:effectExtent l="0" t="0" r="5715" b="317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0"/>
                    <a:stretch>
                      <a:fillRect/>
                    </a:stretch>
                  </pic:blipFill>
                  <pic:spPr>
                    <a:xfrm>
                      <a:off x="0" y="0"/>
                      <a:ext cx="5607685" cy="7896225"/>
                    </a:xfrm>
                    <a:prstGeom prst="rect">
                      <a:avLst/>
                    </a:prstGeom>
                    <a:noFill/>
                    <a:ln>
                      <a:noFill/>
                    </a:ln>
                  </pic:spPr>
                </pic:pic>
              </a:graphicData>
            </a:graphic>
          </wp:inline>
        </w:drawing>
      </w:r>
      <w:r>
        <w:drawing>
          <wp:inline distT="0" distB="0" distL="114300" distR="114300">
            <wp:extent cx="5611495" cy="7943215"/>
            <wp:effectExtent l="0" t="0" r="1905" b="698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1"/>
                    <a:stretch>
                      <a:fillRect/>
                    </a:stretch>
                  </pic:blipFill>
                  <pic:spPr>
                    <a:xfrm>
                      <a:off x="0" y="0"/>
                      <a:ext cx="5611495" cy="7943215"/>
                    </a:xfrm>
                    <a:prstGeom prst="rect">
                      <a:avLst/>
                    </a:prstGeom>
                    <a:noFill/>
                    <a:ln>
                      <a:noFill/>
                    </a:ln>
                  </pic:spPr>
                </pic:pic>
              </a:graphicData>
            </a:graphic>
          </wp:inline>
        </w:drawing>
      </w:r>
      <w:r>
        <w:drawing>
          <wp:inline distT="0" distB="0" distL="114300" distR="114300">
            <wp:extent cx="5611495" cy="7917180"/>
            <wp:effectExtent l="0" t="0" r="1905" b="762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2"/>
                    <a:stretch>
                      <a:fillRect/>
                    </a:stretch>
                  </pic:blipFill>
                  <pic:spPr>
                    <a:xfrm>
                      <a:off x="0" y="0"/>
                      <a:ext cx="5611495" cy="7917180"/>
                    </a:xfrm>
                    <a:prstGeom prst="rect">
                      <a:avLst/>
                    </a:prstGeom>
                    <a:noFill/>
                    <a:ln>
                      <a:noFill/>
                    </a:ln>
                  </pic:spPr>
                </pic:pic>
              </a:graphicData>
            </a:graphic>
          </wp:inline>
        </w:drawing>
      </w:r>
      <w:r>
        <w:drawing>
          <wp:inline distT="0" distB="0" distL="114300" distR="114300">
            <wp:extent cx="5611495" cy="7605395"/>
            <wp:effectExtent l="0" t="0" r="1905" b="190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13"/>
                    <a:stretch>
                      <a:fillRect/>
                    </a:stretch>
                  </pic:blipFill>
                  <pic:spPr>
                    <a:xfrm>
                      <a:off x="0" y="0"/>
                      <a:ext cx="5611495" cy="7605395"/>
                    </a:xfrm>
                    <a:prstGeom prst="rect">
                      <a:avLst/>
                    </a:prstGeom>
                    <a:noFill/>
                    <a:ln>
                      <a:noFill/>
                    </a:ln>
                  </pic:spPr>
                </pic:pic>
              </a:graphicData>
            </a:graphic>
          </wp:inline>
        </w:drawing>
      </w:r>
    </w:p>
    <w:p w14:paraId="2F95E52C">
      <w:pPr>
        <w:pStyle w:val="19"/>
        <w:jc w:val="center"/>
        <w:outlineLvl w:val="0"/>
        <w:rPr>
          <w:rFonts w:hint="eastAsia"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一、建设项目基本情况</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56"/>
        <w:gridCol w:w="2268"/>
        <w:gridCol w:w="1843"/>
        <w:gridCol w:w="2903"/>
      </w:tblGrid>
      <w:tr w14:paraId="628154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1681207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建设项目名称</w:t>
            </w:r>
          </w:p>
        </w:tc>
        <w:tc>
          <w:tcPr>
            <w:tcW w:w="7014" w:type="dxa"/>
            <w:gridSpan w:val="3"/>
            <w:noWrap w:val="0"/>
            <w:vAlign w:val="center"/>
          </w:tcPr>
          <w:p w14:paraId="06A4EF4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鄂尔多斯市蒙丰源实业有限责任公司蒙丰源商砼站项目</w:t>
            </w:r>
          </w:p>
        </w:tc>
      </w:tr>
      <w:tr w14:paraId="728251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5626E40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7014" w:type="dxa"/>
            <w:gridSpan w:val="3"/>
            <w:noWrap w:val="0"/>
            <w:vAlign w:val="center"/>
          </w:tcPr>
          <w:p w14:paraId="08B9C1A6">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2211-150627-04-01-520656</w:t>
            </w:r>
          </w:p>
        </w:tc>
      </w:tr>
      <w:tr w14:paraId="064290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2AF8E3D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2268" w:type="dxa"/>
            <w:noWrap w:val="0"/>
            <w:vAlign w:val="center"/>
          </w:tcPr>
          <w:p w14:paraId="4281EC52">
            <w:pPr>
              <w:adjustRightInd w:val="0"/>
              <w:snapToGrid w:val="0"/>
              <w:jc w:val="center"/>
              <w:rPr>
                <w:rFonts w:hint="default" w:ascii="Times New Roman" w:hAnsi="Times New Roman" w:cs="Times New Roman"/>
                <w:color w:val="auto"/>
                <w:sz w:val="24"/>
                <w:highlight w:val="none"/>
              </w:rPr>
            </w:pPr>
            <w:r>
              <w:rPr>
                <w:rFonts w:hint="eastAsia" w:cs="Times New Roman"/>
                <w:color w:val="auto"/>
                <w:sz w:val="21"/>
                <w:szCs w:val="21"/>
                <w:highlight w:val="none"/>
                <w:lang w:val="en-US" w:eastAsia="zh-CN"/>
              </w:rPr>
              <w:t>白生荣</w:t>
            </w:r>
          </w:p>
        </w:tc>
        <w:tc>
          <w:tcPr>
            <w:tcW w:w="1843" w:type="dxa"/>
            <w:noWrap w:val="0"/>
            <w:vAlign w:val="center"/>
          </w:tcPr>
          <w:p w14:paraId="79ADFE4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2903" w:type="dxa"/>
            <w:noWrap w:val="0"/>
            <w:vAlign w:val="center"/>
          </w:tcPr>
          <w:p w14:paraId="7357960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15047784688</w:t>
            </w:r>
          </w:p>
        </w:tc>
      </w:tr>
      <w:tr w14:paraId="415787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5C9D16D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建设地点</w:t>
            </w:r>
          </w:p>
        </w:tc>
        <w:tc>
          <w:tcPr>
            <w:tcW w:w="7014" w:type="dxa"/>
            <w:gridSpan w:val="3"/>
            <w:noWrap w:val="0"/>
            <w:vAlign w:val="center"/>
          </w:tcPr>
          <w:p w14:paraId="27B4D3D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伊金霍洛旗伊金霍洛镇壕赖村5社商砼园区23号地块</w:t>
            </w:r>
          </w:p>
        </w:tc>
      </w:tr>
      <w:tr w14:paraId="6382C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45BAE58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地理坐标</w:t>
            </w:r>
          </w:p>
        </w:tc>
        <w:tc>
          <w:tcPr>
            <w:tcW w:w="7014" w:type="dxa"/>
            <w:gridSpan w:val="3"/>
            <w:noWrap w:val="0"/>
            <w:vAlign w:val="center"/>
          </w:tcPr>
          <w:p w14:paraId="47B8A420">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w:t>
            </w:r>
            <w:r>
              <w:rPr>
                <w:rFonts w:hint="default" w:ascii="Times New Roman" w:hAnsi="Times New Roman" w:eastAsia="宋体" w:cs="Times New Roman"/>
                <w:b w:val="0"/>
                <w:bCs w:val="0"/>
                <w:color w:val="auto"/>
                <w:sz w:val="24"/>
                <w:szCs w:val="24"/>
                <w:highlight w:val="none"/>
                <w:lang w:val="en-US" w:eastAsia="zh-CN"/>
              </w:rPr>
              <w:t>10</w:t>
            </w:r>
            <w:r>
              <w:rPr>
                <w:rFonts w:hint="eastAsia" w:cs="Times New Roman"/>
                <w:b w:val="0"/>
                <w:bCs w:val="0"/>
                <w:color w:val="auto"/>
                <w:sz w:val="24"/>
                <w:szCs w:val="24"/>
                <w:highlight w:val="none"/>
                <w:lang w:val="en-US" w:eastAsia="zh-CN"/>
              </w:rPr>
              <w:t>9</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35</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54.471</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color w:val="auto"/>
                <w:sz w:val="24"/>
                <w:highlight w:val="none"/>
              </w:rPr>
              <w:t>，N</w:t>
            </w:r>
            <w:r>
              <w:rPr>
                <w:rFonts w:hint="default" w:ascii="Times New Roman" w:hAnsi="Times New Roman" w:eastAsia="宋体" w:cs="Times New Roman"/>
                <w:b w:val="0"/>
                <w:bCs w:val="0"/>
                <w:color w:val="auto"/>
                <w:sz w:val="24"/>
                <w:szCs w:val="24"/>
                <w:highlight w:val="none"/>
                <w:lang w:val="en-US" w:eastAsia="zh-CN"/>
              </w:rPr>
              <w:t>39°2</w:t>
            </w: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57.406</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color w:val="auto"/>
                <w:sz w:val="24"/>
                <w:highlight w:val="none"/>
              </w:rPr>
              <w:t>）</w:t>
            </w:r>
          </w:p>
        </w:tc>
      </w:tr>
      <w:tr w14:paraId="46CBA6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56" w:type="dxa"/>
            <w:noWrap w:val="0"/>
            <w:tcMar>
              <w:top w:w="16" w:type="dxa"/>
              <w:left w:w="16" w:type="dxa"/>
              <w:right w:w="16" w:type="dxa"/>
            </w:tcMar>
            <w:vAlign w:val="center"/>
          </w:tcPr>
          <w:p w14:paraId="0847193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国民经济</w:t>
            </w:r>
          </w:p>
          <w:p w14:paraId="7944A5E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行业类别</w:t>
            </w:r>
          </w:p>
        </w:tc>
        <w:tc>
          <w:tcPr>
            <w:tcW w:w="2268" w:type="dxa"/>
            <w:noWrap w:val="0"/>
            <w:vAlign w:val="center"/>
          </w:tcPr>
          <w:p w14:paraId="7F7C16E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C</w:t>
            </w:r>
            <w:r>
              <w:rPr>
                <w:rFonts w:hint="default" w:ascii="Times New Roman" w:hAnsi="Times New Roman" w:cs="Times New Roman"/>
                <w:color w:val="auto"/>
                <w:sz w:val="24"/>
                <w:highlight w:val="none"/>
              </w:rPr>
              <w:t>3021水泥制品制造</w:t>
            </w:r>
          </w:p>
        </w:tc>
        <w:tc>
          <w:tcPr>
            <w:tcW w:w="1843" w:type="dxa"/>
            <w:noWrap w:val="0"/>
            <w:vAlign w:val="center"/>
          </w:tcPr>
          <w:p w14:paraId="3E73BEB5">
            <w:pPr>
              <w:adjustRightInd w:val="0"/>
              <w:snapToGrid w:val="0"/>
              <w:jc w:val="center"/>
              <w:rPr>
                <w:rFonts w:hint="default" w:ascii="Times New Roman" w:hAnsi="Times New Roman" w:cs="Times New Roman"/>
                <w:color w:val="auto"/>
                <w:sz w:val="24"/>
                <w:highlight w:val="none"/>
              </w:rPr>
            </w:pPr>
            <w:bookmarkStart w:id="1" w:name="_Hlk49843745"/>
            <w:r>
              <w:rPr>
                <w:rFonts w:hint="default" w:ascii="Times New Roman" w:hAnsi="Times New Roman" w:cs="Times New Roman"/>
                <w:color w:val="auto"/>
                <w:sz w:val="24"/>
                <w:highlight w:val="none"/>
              </w:rPr>
              <w:t>建设项目</w:t>
            </w:r>
          </w:p>
          <w:p w14:paraId="05C792B6">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行业类别</w:t>
            </w:r>
            <w:bookmarkEnd w:id="1"/>
          </w:p>
        </w:tc>
        <w:tc>
          <w:tcPr>
            <w:tcW w:w="2903" w:type="dxa"/>
            <w:noWrap w:val="0"/>
            <w:vAlign w:val="center"/>
          </w:tcPr>
          <w:p w14:paraId="739F3908">
            <w:pPr>
              <w:adjustRightInd w:val="0"/>
              <w:snapToGrid w:val="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二十七、非金属矿物制品业30，55.石膏、水泥制品及类似制品制造302，</w:t>
            </w:r>
            <w:r>
              <w:rPr>
                <w:rFonts w:hint="eastAsia" w:cs="Times New Roman"/>
                <w:color w:val="auto"/>
                <w:sz w:val="24"/>
                <w:highlight w:val="none"/>
                <w:lang w:eastAsia="zh-CN"/>
              </w:rPr>
              <w:t>预拌混凝土</w:t>
            </w:r>
          </w:p>
        </w:tc>
      </w:tr>
      <w:tr w14:paraId="74B24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56" w:type="dxa"/>
            <w:noWrap w:val="0"/>
            <w:tcMar>
              <w:top w:w="16" w:type="dxa"/>
              <w:left w:w="16" w:type="dxa"/>
              <w:right w:w="16" w:type="dxa"/>
            </w:tcMar>
            <w:vAlign w:val="center"/>
          </w:tcPr>
          <w:p w14:paraId="1596E33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建设性质</w:t>
            </w:r>
          </w:p>
        </w:tc>
        <w:tc>
          <w:tcPr>
            <w:tcW w:w="2268" w:type="dxa"/>
            <w:noWrap w:val="0"/>
            <w:vAlign w:val="center"/>
          </w:tcPr>
          <w:p w14:paraId="390DE8F2">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新建</w:t>
            </w:r>
          </w:p>
          <w:p w14:paraId="1190A292">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□改建</w:t>
            </w:r>
          </w:p>
          <w:p w14:paraId="75CA56A4">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□扩建</w:t>
            </w:r>
          </w:p>
          <w:p w14:paraId="7F63D2EE">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□技术改造</w:t>
            </w:r>
          </w:p>
        </w:tc>
        <w:tc>
          <w:tcPr>
            <w:tcW w:w="1843" w:type="dxa"/>
            <w:noWrap w:val="0"/>
            <w:vAlign w:val="center"/>
          </w:tcPr>
          <w:p w14:paraId="6BABF9A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w:t>
            </w:r>
          </w:p>
          <w:p w14:paraId="6388D7A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申报情形</w:t>
            </w:r>
          </w:p>
        </w:tc>
        <w:tc>
          <w:tcPr>
            <w:tcW w:w="2903" w:type="dxa"/>
            <w:noWrap w:val="0"/>
            <w:vAlign w:val="center"/>
          </w:tcPr>
          <w:p w14:paraId="3B434FF7">
            <w:pPr>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首次申报项目</w:t>
            </w:r>
          </w:p>
          <w:p w14:paraId="15B09F14">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□不予批准后再次申报项目</w:t>
            </w:r>
          </w:p>
          <w:p w14:paraId="77EA5491">
            <w:pPr>
              <w:jc w:val="left"/>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□超五年重新审核项目</w:t>
            </w:r>
          </w:p>
          <w:p w14:paraId="24818FA3">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□重大变动重新报批项目</w:t>
            </w:r>
          </w:p>
        </w:tc>
      </w:tr>
      <w:tr w14:paraId="70410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56" w:type="dxa"/>
            <w:noWrap w:val="0"/>
            <w:tcMar>
              <w:top w:w="16" w:type="dxa"/>
              <w:left w:w="16" w:type="dxa"/>
              <w:right w:w="16" w:type="dxa"/>
            </w:tcMar>
            <w:vAlign w:val="center"/>
          </w:tcPr>
          <w:p w14:paraId="7BB2547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29B4A34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备案）部门（选填）</w:t>
            </w:r>
          </w:p>
        </w:tc>
        <w:tc>
          <w:tcPr>
            <w:tcW w:w="2268" w:type="dxa"/>
            <w:noWrap w:val="0"/>
            <w:vAlign w:val="center"/>
          </w:tcPr>
          <w:p w14:paraId="4A3EBB00">
            <w:pPr>
              <w:adjustRightInd w:val="0"/>
              <w:snapToGrid w:val="0"/>
              <w:jc w:val="center"/>
              <w:rPr>
                <w:rFonts w:hint="default" w:ascii="Times New Roman" w:hAnsi="Times New Roman" w:eastAsia="宋体" w:cs="Times New Roman"/>
                <w:color w:val="auto"/>
                <w:sz w:val="24"/>
                <w:highlight w:val="none"/>
                <w:lang w:eastAsia="zh-CN"/>
              </w:rPr>
            </w:pPr>
            <w:r>
              <w:rPr>
                <w:rFonts w:hint="eastAsia" w:cs="Times New Roman"/>
                <w:color w:val="auto"/>
                <w:sz w:val="24"/>
                <w:highlight w:val="none"/>
                <w:lang w:val="en-US" w:eastAsia="zh-CN"/>
              </w:rPr>
              <w:t>伊金霍洛旗</w:t>
            </w:r>
            <w:r>
              <w:rPr>
                <w:rFonts w:hint="default" w:ascii="Times New Roman" w:hAnsi="Times New Roman" w:eastAsia="宋体" w:cs="Times New Roman"/>
                <w:color w:val="auto"/>
                <w:sz w:val="24"/>
                <w:highlight w:val="none"/>
                <w:lang w:eastAsia="zh-CN"/>
              </w:rPr>
              <w:t>发展和改革委员会</w:t>
            </w:r>
          </w:p>
        </w:tc>
        <w:tc>
          <w:tcPr>
            <w:tcW w:w="1843" w:type="dxa"/>
            <w:noWrap w:val="0"/>
            <w:vAlign w:val="center"/>
          </w:tcPr>
          <w:p w14:paraId="7B40F10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247E7A8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备案）文号（选填）</w:t>
            </w:r>
          </w:p>
        </w:tc>
        <w:tc>
          <w:tcPr>
            <w:tcW w:w="2903" w:type="dxa"/>
            <w:noWrap w:val="0"/>
            <w:vAlign w:val="center"/>
          </w:tcPr>
          <w:p w14:paraId="49285141">
            <w:pPr>
              <w:adjustRightInd w:val="0"/>
              <w:snapToGrid w:val="0"/>
              <w:jc w:val="center"/>
              <w:rPr>
                <w:rFonts w:hint="default" w:ascii="Times New Roman" w:hAnsi="Times New Roman" w:cs="Times New Roman"/>
                <w:color w:val="auto"/>
                <w:sz w:val="24"/>
                <w:highlight w:val="none"/>
              </w:rPr>
            </w:pPr>
            <w:r>
              <w:rPr>
                <w:rFonts w:hint="eastAsia" w:cs="Times New Roman"/>
                <w:color w:val="auto"/>
                <w:sz w:val="24"/>
                <w:highlight w:val="none"/>
                <w:lang w:val="en-US" w:eastAsia="zh-CN"/>
              </w:rPr>
              <w:t>/</w:t>
            </w:r>
          </w:p>
        </w:tc>
      </w:tr>
      <w:tr w14:paraId="1E27DE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3566C88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2268" w:type="dxa"/>
            <w:noWrap w:val="0"/>
            <w:vAlign w:val="center"/>
          </w:tcPr>
          <w:p w14:paraId="430B72C6">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1500</w:t>
            </w:r>
          </w:p>
        </w:tc>
        <w:tc>
          <w:tcPr>
            <w:tcW w:w="1843" w:type="dxa"/>
            <w:noWrap w:val="0"/>
            <w:tcMar>
              <w:top w:w="16" w:type="dxa"/>
              <w:left w:w="16" w:type="dxa"/>
              <w:right w:w="16" w:type="dxa"/>
            </w:tcMar>
            <w:vAlign w:val="center"/>
          </w:tcPr>
          <w:p w14:paraId="36A5D7F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2903" w:type="dxa"/>
            <w:noWrap w:val="0"/>
            <w:vAlign w:val="center"/>
          </w:tcPr>
          <w:p w14:paraId="24FC15F0">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162</w:t>
            </w:r>
          </w:p>
        </w:tc>
      </w:tr>
      <w:tr w14:paraId="342CA8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6" w:type="dxa"/>
            <w:noWrap w:val="0"/>
            <w:tcMar>
              <w:top w:w="16" w:type="dxa"/>
              <w:left w:w="16" w:type="dxa"/>
              <w:right w:w="16" w:type="dxa"/>
            </w:tcMar>
            <w:vAlign w:val="center"/>
          </w:tcPr>
          <w:p w14:paraId="719884E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p>
        </w:tc>
        <w:tc>
          <w:tcPr>
            <w:tcW w:w="2268" w:type="dxa"/>
            <w:noWrap w:val="0"/>
            <w:vAlign w:val="center"/>
          </w:tcPr>
          <w:p w14:paraId="1685853E">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10.8</w:t>
            </w:r>
          </w:p>
        </w:tc>
        <w:tc>
          <w:tcPr>
            <w:tcW w:w="1843" w:type="dxa"/>
            <w:noWrap w:val="0"/>
            <w:tcMar>
              <w:top w:w="16" w:type="dxa"/>
              <w:left w:w="16" w:type="dxa"/>
              <w:right w:w="16" w:type="dxa"/>
            </w:tcMar>
            <w:vAlign w:val="center"/>
          </w:tcPr>
          <w:p w14:paraId="062C9E8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2903" w:type="dxa"/>
            <w:noWrap w:val="0"/>
            <w:vAlign w:val="center"/>
          </w:tcPr>
          <w:p w14:paraId="0A8BC06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rPr>
              <w:t>个月</w:t>
            </w:r>
          </w:p>
        </w:tc>
      </w:tr>
      <w:tr w14:paraId="66D3DB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97" w:hRule="atLeast"/>
          <w:jc w:val="center"/>
        </w:trPr>
        <w:tc>
          <w:tcPr>
            <w:tcW w:w="1856" w:type="dxa"/>
            <w:noWrap w:val="0"/>
            <w:tcMar>
              <w:top w:w="16" w:type="dxa"/>
              <w:left w:w="16" w:type="dxa"/>
              <w:right w:w="16" w:type="dxa"/>
            </w:tcMar>
            <w:vAlign w:val="center"/>
          </w:tcPr>
          <w:p w14:paraId="38F35F4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是否开工建设</w:t>
            </w:r>
          </w:p>
        </w:tc>
        <w:tc>
          <w:tcPr>
            <w:tcW w:w="2268" w:type="dxa"/>
            <w:noWrap w:val="0"/>
            <w:vAlign w:val="center"/>
          </w:tcPr>
          <w:p w14:paraId="36640793">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sym w:font="Wingdings 2" w:char="00A3"/>
            </w:r>
            <w:r>
              <w:rPr>
                <w:rFonts w:hint="default" w:ascii="Times New Roman" w:hAnsi="Times New Roman" w:cs="Times New Roman"/>
                <w:color w:val="auto"/>
                <w:sz w:val="24"/>
                <w:highlight w:val="none"/>
              </w:rPr>
              <w:t>否</w:t>
            </w:r>
          </w:p>
          <w:p w14:paraId="1CE95388">
            <w:pPr>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cs="Times New Roman"/>
                <w:color w:val="auto"/>
                <w:sz w:val="24"/>
                <w:highlight w:val="none"/>
              </w:rPr>
              <w:sym w:font="Wingdings 2" w:char="0052"/>
            </w:r>
            <w:r>
              <w:rPr>
                <w:rFonts w:hint="default" w:ascii="Times New Roman" w:hAnsi="Times New Roman" w:cs="Times New Roman"/>
                <w:color w:val="auto"/>
                <w:sz w:val="24"/>
                <w:highlight w:val="none"/>
              </w:rPr>
              <w:t>是</w:t>
            </w:r>
            <w:r>
              <w:rPr>
                <w:rFonts w:hint="eastAsia" w:ascii="Times New Roman" w:hAnsi="Times New Roman" w:cs="Times New Roman"/>
                <w:color w:val="auto"/>
                <w:sz w:val="24"/>
                <w:highlight w:val="none"/>
                <w:lang w:eastAsia="zh-CN"/>
              </w:rPr>
              <w:t>：</w:t>
            </w:r>
            <w:r>
              <w:rPr>
                <w:rFonts w:hint="eastAsia" w:cs="Times New Roman"/>
                <w:color w:val="auto"/>
                <w:sz w:val="24"/>
                <w:highlight w:val="none"/>
                <w:lang w:val="en-US" w:eastAsia="zh-CN"/>
              </w:rPr>
              <w:t>2024年6月27日，鄂尔多斯市生态环境局出具了《鄂尔多斯市生态环境局行政处罚决定书》（鄂环罚〔2024〕5-35号），建设单位已于2024年7月2日缴清了罚款，罚单见附件6.</w:t>
            </w:r>
          </w:p>
        </w:tc>
        <w:tc>
          <w:tcPr>
            <w:tcW w:w="1843" w:type="dxa"/>
            <w:noWrap w:val="0"/>
            <w:tcMar>
              <w:top w:w="16" w:type="dxa"/>
              <w:left w:w="16" w:type="dxa"/>
              <w:right w:w="16" w:type="dxa"/>
            </w:tcMar>
            <w:vAlign w:val="center"/>
          </w:tcPr>
          <w:p w14:paraId="7337BB4C">
            <w:pPr>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609E10B4">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2903" w:type="dxa"/>
            <w:noWrap w:val="0"/>
            <w:vAlign w:val="center"/>
          </w:tcPr>
          <w:p w14:paraId="6B24D028">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33217.8</w:t>
            </w:r>
          </w:p>
        </w:tc>
      </w:tr>
      <w:tr w14:paraId="6F605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856" w:type="dxa"/>
            <w:noWrap w:val="0"/>
            <w:vAlign w:val="center"/>
          </w:tcPr>
          <w:p w14:paraId="5612BDA2">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专项评价设置情况</w:t>
            </w:r>
          </w:p>
        </w:tc>
        <w:tc>
          <w:tcPr>
            <w:tcW w:w="7014" w:type="dxa"/>
            <w:gridSpan w:val="3"/>
            <w:noWrap w:val="0"/>
            <w:vAlign w:val="center"/>
          </w:tcPr>
          <w:p w14:paraId="2EF4CC3E">
            <w:pPr>
              <w:keepNext w:val="0"/>
              <w:keepLines w:val="0"/>
              <w:pageBreakBefore w:val="0"/>
              <w:widowControl w:val="0"/>
              <w:numPr>
                <w:ilvl w:val="0"/>
                <w:numId w:val="0"/>
              </w:numPr>
              <w:kinsoku/>
              <w:wordWrap/>
              <w:overflowPunct/>
              <w:topLinePunct/>
              <w:autoSpaceDE w:val="0"/>
              <w:autoSpaceDN w:val="0"/>
              <w:bidi w:val="0"/>
              <w:adjustRightInd w:val="0"/>
              <w:snapToGrid w:val="0"/>
              <w:spacing w:line="240" w:lineRule="auto"/>
              <w:jc w:val="center"/>
              <w:textAlignment w:val="auto"/>
              <w:rPr>
                <w:rFonts w:hint="eastAsia" w:ascii="Times New Roman" w:hAnsi="Times New Roman" w:eastAsia="宋体" w:cs="宋体"/>
                <w:b/>
                <w:bCs/>
                <w:color w:val="auto"/>
                <w:sz w:val="24"/>
                <w:szCs w:val="24"/>
                <w:highlight w:val="none"/>
                <w:lang w:val="en-US" w:eastAsia="zh-CN"/>
              </w:rPr>
            </w:pPr>
            <w:r>
              <w:rPr>
                <w:rFonts w:hint="eastAsia" w:ascii="Times New Roman" w:hAnsi="Times New Roman" w:eastAsia="宋体" w:cs="宋体"/>
                <w:b/>
                <w:bCs/>
                <w:color w:val="auto"/>
                <w:sz w:val="24"/>
                <w:szCs w:val="24"/>
                <w:highlight w:val="none"/>
                <w:lang w:val="en-US" w:eastAsia="zh-CN"/>
              </w:rPr>
              <w:t>表1-1专项评价设置对照一览表</w:t>
            </w:r>
          </w:p>
          <w:tbl>
            <w:tblPr>
              <w:tblStyle w:val="23"/>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2835"/>
              <w:gridCol w:w="2768"/>
            </w:tblGrid>
            <w:tr w14:paraId="11ADFB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54B19212">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13"/>
                      <w:sz w:val="21"/>
                      <w:szCs w:val="21"/>
                      <w:highlight w:val="none"/>
                      <w:lang w:val="en-US" w:eastAsia="zh-CN"/>
                    </w:rPr>
                  </w:pPr>
                  <w:r>
                    <w:rPr>
                      <w:rFonts w:hint="default" w:ascii="Times New Roman" w:hAnsi="Times New Roman" w:eastAsia="宋体" w:cs="Times New Roman"/>
                      <w:b/>
                      <w:bCs/>
                      <w:color w:val="auto"/>
                      <w:spacing w:val="13"/>
                      <w:sz w:val="21"/>
                      <w:szCs w:val="21"/>
                      <w:highlight w:val="none"/>
                    </w:rPr>
                    <w:t>专项评价的类别</w:t>
                  </w:r>
                </w:p>
              </w:tc>
              <w:tc>
                <w:tcPr>
                  <w:tcW w:w="2085" w:type="pct"/>
                  <w:tcBorders>
                    <w:tl2br w:val="nil"/>
                    <w:tr2bl w:val="nil"/>
                  </w:tcBorders>
                  <w:noWrap w:val="0"/>
                  <w:vAlign w:val="center"/>
                </w:tcPr>
                <w:p w14:paraId="5D186E87">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pacing w:val="13"/>
                      <w:sz w:val="21"/>
                      <w:szCs w:val="21"/>
                      <w:highlight w:val="none"/>
                    </w:rPr>
                    <w:t>专</w:t>
                  </w:r>
                  <w:r>
                    <w:rPr>
                      <w:rFonts w:hint="default" w:ascii="Times New Roman" w:hAnsi="Times New Roman" w:eastAsia="宋体" w:cs="Times New Roman"/>
                      <w:b/>
                      <w:bCs/>
                      <w:color w:val="auto"/>
                      <w:spacing w:val="8"/>
                      <w:sz w:val="21"/>
                      <w:szCs w:val="21"/>
                      <w:highlight w:val="none"/>
                    </w:rPr>
                    <w:t>项评价的类别设计项目类别</w:t>
                  </w:r>
                </w:p>
              </w:tc>
              <w:tc>
                <w:tcPr>
                  <w:tcW w:w="2036" w:type="pct"/>
                  <w:tcBorders>
                    <w:tl2br w:val="nil"/>
                    <w:tr2bl w:val="nil"/>
                  </w:tcBorders>
                  <w:noWrap w:val="0"/>
                  <w:vAlign w:val="center"/>
                </w:tcPr>
                <w:p w14:paraId="1080178B">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本项目</w:t>
                  </w:r>
                </w:p>
              </w:tc>
            </w:tr>
            <w:tr w14:paraId="159CB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6279EF86">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4"/>
                      <w:sz w:val="21"/>
                      <w:szCs w:val="21"/>
                      <w:highlight w:val="none"/>
                    </w:rPr>
                    <w:t>大</w:t>
                  </w:r>
                  <w:r>
                    <w:rPr>
                      <w:rFonts w:hint="default" w:ascii="Times New Roman" w:hAnsi="Times New Roman" w:eastAsia="宋体" w:cs="Times New Roman"/>
                      <w:color w:val="auto"/>
                      <w:spacing w:val="3"/>
                      <w:sz w:val="21"/>
                      <w:szCs w:val="21"/>
                      <w:highlight w:val="none"/>
                    </w:rPr>
                    <w:t>气</w:t>
                  </w:r>
                </w:p>
              </w:tc>
              <w:tc>
                <w:tcPr>
                  <w:tcW w:w="2085" w:type="pct"/>
                  <w:tcBorders>
                    <w:tl2br w:val="nil"/>
                    <w:tr2bl w:val="nil"/>
                  </w:tcBorders>
                  <w:noWrap w:val="0"/>
                  <w:vAlign w:val="center"/>
                </w:tcPr>
                <w:p w14:paraId="68F3F5E4">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排放废气含有毒有害污染、</w:t>
                  </w:r>
                  <w:r>
                    <w:rPr>
                      <w:rFonts w:hint="eastAsia" w:eastAsia="宋体" w:cs="Times New Roman"/>
                      <w:color w:val="auto"/>
                      <w:sz w:val="21"/>
                      <w:szCs w:val="21"/>
                      <w:highlight w:val="none"/>
                      <w:vertAlign w:val="baseline"/>
                      <w:lang w:val="en-US" w:eastAsia="zh-CN"/>
                    </w:rPr>
                    <w:t>二噁英</w:t>
                  </w:r>
                  <w:r>
                    <w:rPr>
                      <w:rFonts w:hint="default" w:ascii="Times New Roman" w:hAnsi="Times New Roman" w:eastAsia="宋体" w:cs="Times New Roman"/>
                      <w:color w:val="auto"/>
                      <w:sz w:val="21"/>
                      <w:szCs w:val="21"/>
                      <w:highlight w:val="none"/>
                      <w:vertAlign w:val="baseline"/>
                      <w:lang w:val="en-US" w:eastAsia="zh-CN"/>
                    </w:rPr>
                    <w:t>、苯并芘[a]、氰化物、氯气且厂界外500m范围内有环境空气保护目标的建设项目</w:t>
                  </w:r>
                </w:p>
              </w:tc>
              <w:tc>
                <w:tcPr>
                  <w:tcW w:w="2036" w:type="pct"/>
                  <w:tcBorders>
                    <w:tl2br w:val="nil"/>
                    <w:tr2bl w:val="nil"/>
                  </w:tcBorders>
                  <w:noWrap w:val="0"/>
                  <w:vAlign w:val="center"/>
                </w:tcPr>
                <w:p w14:paraId="10916517">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本项目废气中不涉及《有毒有害大气污染物名录》的污染物，不排放二噁英、苯并[a]芘、氰化物、氯气，因此无需设置大气专项评价；</w:t>
                  </w:r>
                </w:p>
              </w:tc>
            </w:tr>
            <w:tr w14:paraId="3E1CA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1410BD39">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7"/>
                      <w:sz w:val="21"/>
                      <w:szCs w:val="21"/>
                      <w:highlight w:val="none"/>
                    </w:rPr>
                    <w:t>地表</w:t>
                  </w:r>
                  <w:r>
                    <w:rPr>
                      <w:rFonts w:hint="default" w:ascii="Times New Roman" w:hAnsi="Times New Roman" w:eastAsia="宋体" w:cs="Times New Roman"/>
                      <w:color w:val="auto"/>
                      <w:spacing w:val="6"/>
                      <w:sz w:val="21"/>
                      <w:szCs w:val="21"/>
                      <w:highlight w:val="none"/>
                    </w:rPr>
                    <w:t>水</w:t>
                  </w:r>
                </w:p>
              </w:tc>
              <w:tc>
                <w:tcPr>
                  <w:tcW w:w="2085" w:type="pct"/>
                  <w:tcBorders>
                    <w:tl2br w:val="nil"/>
                    <w:tr2bl w:val="nil"/>
                  </w:tcBorders>
                  <w:noWrap w:val="0"/>
                  <w:vAlign w:val="center"/>
                </w:tcPr>
                <w:p w14:paraId="330F6752">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新增工业废水直排建设项目</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槽罐车外送</w:t>
                  </w:r>
                  <w:r>
                    <w:rPr>
                      <w:rFonts w:hint="eastAsia" w:cs="Times New Roman"/>
                      <w:color w:val="auto"/>
                      <w:sz w:val="21"/>
                      <w:szCs w:val="21"/>
                      <w:highlight w:val="none"/>
                      <w:lang w:eastAsia="zh-CN"/>
                    </w:rPr>
                    <w:t>污水处理厂</w:t>
                  </w:r>
                  <w:r>
                    <w:rPr>
                      <w:rFonts w:hint="default" w:ascii="Times New Roman" w:hAnsi="Times New Roman" w:eastAsia="宋体" w:cs="Times New Roman"/>
                      <w:color w:val="auto"/>
                      <w:sz w:val="21"/>
                      <w:szCs w:val="21"/>
                      <w:highlight w:val="none"/>
                    </w:rPr>
                    <w:t>的除外</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；新增废水直排的污水集中处理厂</w:t>
                  </w:r>
                </w:p>
              </w:tc>
              <w:tc>
                <w:tcPr>
                  <w:tcW w:w="2036" w:type="pct"/>
                  <w:tcBorders>
                    <w:tl2br w:val="nil"/>
                    <w:tr2bl w:val="nil"/>
                  </w:tcBorders>
                  <w:noWrap w:val="0"/>
                  <w:vAlign w:val="center"/>
                </w:tcPr>
                <w:p w14:paraId="4999C811">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12"/>
                      <w:sz w:val="21"/>
                      <w:szCs w:val="21"/>
                      <w:highlight w:val="none"/>
                    </w:rPr>
                    <w:t>本项目</w:t>
                  </w:r>
                  <w:r>
                    <w:rPr>
                      <w:rFonts w:hint="eastAsia" w:ascii="Times New Roman" w:hAnsi="Times New Roman" w:eastAsia="宋体" w:cs="Times New Roman"/>
                      <w:color w:val="auto"/>
                      <w:spacing w:val="12"/>
                      <w:sz w:val="21"/>
                      <w:szCs w:val="21"/>
                      <w:highlight w:val="none"/>
                      <w:lang w:val="en-US" w:eastAsia="zh-CN"/>
                    </w:rPr>
                    <w:t>无</w:t>
                  </w:r>
                  <w:r>
                    <w:rPr>
                      <w:rFonts w:hint="default" w:ascii="Times New Roman" w:hAnsi="Times New Roman" w:eastAsia="宋体" w:cs="Times New Roman"/>
                      <w:color w:val="auto"/>
                      <w:sz w:val="21"/>
                      <w:szCs w:val="21"/>
                      <w:highlight w:val="none"/>
                    </w:rPr>
                    <w:t>工业废水直排</w:t>
                  </w:r>
                  <w:r>
                    <w:rPr>
                      <w:rFonts w:hint="default" w:ascii="Times New Roman" w:hAnsi="Times New Roman" w:eastAsia="宋体" w:cs="Times New Roman"/>
                      <w:color w:val="auto"/>
                      <w:spacing w:val="12"/>
                      <w:sz w:val="21"/>
                      <w:szCs w:val="21"/>
                      <w:highlight w:val="none"/>
                    </w:rPr>
                    <w:t>，</w:t>
                  </w:r>
                  <w:r>
                    <w:rPr>
                      <w:rFonts w:hint="eastAsia" w:ascii="Times New Roman" w:hAnsi="Times New Roman" w:eastAsia="宋体" w:cs="Times New Roman"/>
                      <w:color w:val="auto"/>
                      <w:spacing w:val="12"/>
                      <w:sz w:val="21"/>
                      <w:szCs w:val="21"/>
                      <w:highlight w:val="none"/>
                      <w:lang w:val="en-US" w:eastAsia="zh-CN"/>
                    </w:rPr>
                    <w:t>且不属于</w:t>
                  </w:r>
                  <w:r>
                    <w:rPr>
                      <w:rFonts w:hint="default" w:ascii="Times New Roman" w:hAnsi="Times New Roman" w:eastAsia="宋体" w:cs="Times New Roman"/>
                      <w:color w:val="auto"/>
                      <w:sz w:val="21"/>
                      <w:szCs w:val="21"/>
                      <w:highlight w:val="none"/>
                    </w:rPr>
                    <w:t>新增废水直排的污水集中处理厂</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pacing w:val="12"/>
                      <w:sz w:val="21"/>
                      <w:szCs w:val="21"/>
                      <w:highlight w:val="none"/>
                      <w:lang w:val="en-US" w:eastAsia="zh-CN"/>
                    </w:rPr>
                    <w:t>因此，无需设置</w:t>
                  </w:r>
                  <w:r>
                    <w:rPr>
                      <w:rFonts w:hint="default" w:ascii="Times New Roman" w:hAnsi="Times New Roman" w:eastAsia="宋体" w:cs="Times New Roman"/>
                      <w:color w:val="auto"/>
                      <w:spacing w:val="12"/>
                      <w:sz w:val="21"/>
                      <w:szCs w:val="21"/>
                      <w:highlight w:val="none"/>
                    </w:rPr>
                    <w:t>地表水专</w:t>
                  </w:r>
                  <w:r>
                    <w:rPr>
                      <w:rFonts w:hint="default" w:ascii="Times New Roman" w:hAnsi="Times New Roman" w:eastAsia="宋体" w:cs="Times New Roman"/>
                      <w:color w:val="auto"/>
                      <w:spacing w:val="7"/>
                      <w:sz w:val="21"/>
                      <w:szCs w:val="21"/>
                      <w:highlight w:val="none"/>
                    </w:rPr>
                    <w:t>项评</w:t>
                  </w:r>
                  <w:r>
                    <w:rPr>
                      <w:rFonts w:hint="default" w:ascii="Times New Roman" w:hAnsi="Times New Roman" w:eastAsia="宋体" w:cs="Times New Roman"/>
                      <w:color w:val="auto"/>
                      <w:spacing w:val="6"/>
                      <w:sz w:val="21"/>
                      <w:szCs w:val="21"/>
                      <w:highlight w:val="none"/>
                    </w:rPr>
                    <w:t>价</w:t>
                  </w:r>
                  <w:r>
                    <w:rPr>
                      <w:rFonts w:hint="eastAsia" w:ascii="Times New Roman" w:hAnsi="Times New Roman" w:eastAsia="宋体" w:cs="Times New Roman"/>
                      <w:color w:val="auto"/>
                      <w:spacing w:val="6"/>
                      <w:sz w:val="21"/>
                      <w:szCs w:val="21"/>
                      <w:highlight w:val="none"/>
                      <w:lang w:eastAsia="zh-CN"/>
                    </w:rPr>
                    <w:t>；</w:t>
                  </w:r>
                </w:p>
              </w:tc>
            </w:tr>
            <w:tr w14:paraId="2CB6A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2BB7A0FD">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9"/>
                      <w:sz w:val="21"/>
                      <w:szCs w:val="21"/>
                      <w:highlight w:val="none"/>
                    </w:rPr>
                    <w:t>环</w:t>
                  </w:r>
                  <w:r>
                    <w:rPr>
                      <w:rFonts w:hint="default" w:ascii="Times New Roman" w:hAnsi="Times New Roman" w:eastAsia="宋体" w:cs="Times New Roman"/>
                      <w:color w:val="auto"/>
                      <w:spacing w:val="7"/>
                      <w:sz w:val="21"/>
                      <w:szCs w:val="21"/>
                      <w:highlight w:val="none"/>
                    </w:rPr>
                    <w:t>境风险</w:t>
                  </w:r>
                </w:p>
              </w:tc>
              <w:tc>
                <w:tcPr>
                  <w:tcW w:w="2085" w:type="pct"/>
                  <w:tcBorders>
                    <w:tl2br w:val="nil"/>
                    <w:tr2bl w:val="nil"/>
                  </w:tcBorders>
                  <w:noWrap w:val="0"/>
                  <w:vAlign w:val="center"/>
                </w:tcPr>
                <w:p w14:paraId="48526498">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有毒有害和易燃易爆危险物质存储量超过临界量的建设项目</w:t>
                  </w:r>
                </w:p>
              </w:tc>
              <w:tc>
                <w:tcPr>
                  <w:tcW w:w="2036" w:type="pct"/>
                  <w:tcBorders>
                    <w:tl2br w:val="nil"/>
                    <w:tr2bl w:val="nil"/>
                  </w:tcBorders>
                  <w:noWrap w:val="0"/>
                  <w:vAlign w:val="center"/>
                </w:tcPr>
                <w:p w14:paraId="35058EF1">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根据《建设项目环境风险评价技术导则》（HJ169</w:t>
                  </w:r>
                  <w:r>
                    <w:rPr>
                      <w:rFonts w:hint="eastAsia" w:cs="Times New Roman"/>
                      <w:color w:val="auto"/>
                      <w:sz w:val="21"/>
                      <w:szCs w:val="21"/>
                      <w:highlight w:val="none"/>
                      <w:vertAlign w:val="baseline"/>
                      <w:lang w:val="en-US" w:eastAsia="zh-CN"/>
                    </w:rPr>
                    <w:t>-2018</w:t>
                  </w:r>
                  <w:r>
                    <w:rPr>
                      <w:rFonts w:hint="default" w:ascii="Times New Roman" w:hAnsi="Times New Roman" w:eastAsia="宋体" w:cs="Times New Roman"/>
                      <w:color w:val="auto"/>
                      <w:sz w:val="21"/>
                      <w:szCs w:val="21"/>
                      <w:highlight w:val="none"/>
                      <w:vertAlign w:val="baseline"/>
                      <w:lang w:val="en-US" w:eastAsia="zh-CN"/>
                    </w:rPr>
                    <w:t>）附录B，本项目</w:t>
                  </w:r>
                  <w:r>
                    <w:rPr>
                      <w:rFonts w:hint="eastAsia" w:ascii="Times New Roman" w:hAnsi="Times New Roman" w:eastAsia="宋体" w:cs="Times New Roman"/>
                      <w:color w:val="auto"/>
                      <w:sz w:val="21"/>
                      <w:szCs w:val="21"/>
                      <w:highlight w:val="none"/>
                      <w:vertAlign w:val="baseline"/>
                      <w:lang w:val="en-US" w:eastAsia="zh-CN"/>
                    </w:rPr>
                    <w:t>不涉及</w:t>
                  </w:r>
                  <w:r>
                    <w:rPr>
                      <w:rFonts w:hint="default" w:ascii="Times New Roman" w:hAnsi="Times New Roman" w:eastAsia="宋体" w:cs="Times New Roman"/>
                      <w:color w:val="auto"/>
                      <w:sz w:val="21"/>
                      <w:szCs w:val="21"/>
                      <w:highlight w:val="none"/>
                    </w:rPr>
                    <w:t>有毒有害和易燃易爆危险物质</w:t>
                  </w:r>
                  <w:r>
                    <w:rPr>
                      <w:rFonts w:hint="eastAsia" w:ascii="Times New Roman" w:hAnsi="Times New Roman" w:eastAsia="宋体" w:cs="Times New Roman"/>
                      <w:color w:val="auto"/>
                      <w:sz w:val="21"/>
                      <w:szCs w:val="21"/>
                      <w:highlight w:val="none"/>
                      <w:vertAlign w:val="baseline"/>
                      <w:lang w:val="en-US" w:eastAsia="zh-CN"/>
                    </w:rPr>
                    <w:t>，因此，</w:t>
                  </w:r>
                  <w:r>
                    <w:rPr>
                      <w:rFonts w:hint="default" w:ascii="Times New Roman" w:hAnsi="Times New Roman" w:eastAsia="宋体" w:cs="Times New Roman"/>
                      <w:color w:val="auto"/>
                      <w:sz w:val="21"/>
                      <w:szCs w:val="21"/>
                      <w:highlight w:val="none"/>
                      <w:vertAlign w:val="baseline"/>
                      <w:lang w:val="en-US" w:eastAsia="zh-CN"/>
                    </w:rPr>
                    <w:t>无需设置环境风险专项评价；</w:t>
                  </w:r>
                </w:p>
              </w:tc>
            </w:tr>
            <w:tr w14:paraId="199F2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5A55F34B">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pacing w:val="4"/>
                      <w:sz w:val="21"/>
                      <w:szCs w:val="21"/>
                      <w:highlight w:val="none"/>
                    </w:rPr>
                    <w:t>生态</w:t>
                  </w:r>
                </w:p>
              </w:tc>
              <w:tc>
                <w:tcPr>
                  <w:tcW w:w="2085" w:type="pct"/>
                  <w:tcBorders>
                    <w:tl2br w:val="nil"/>
                    <w:tr2bl w:val="nil"/>
                  </w:tcBorders>
                  <w:noWrap w:val="0"/>
                  <w:vAlign w:val="center"/>
                </w:tcPr>
                <w:p w14:paraId="4E630F11">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取水口下游500m范围内有重要水生生物的自然产卵场、索饵场、越冬场和洄游通道的新增河道取水的污染物建设项目</w:t>
                  </w:r>
                </w:p>
              </w:tc>
              <w:tc>
                <w:tcPr>
                  <w:tcW w:w="2036" w:type="pct"/>
                  <w:tcBorders>
                    <w:tl2br w:val="nil"/>
                    <w:tr2bl w:val="nil"/>
                  </w:tcBorders>
                  <w:noWrap w:val="0"/>
                  <w:vAlign w:val="center"/>
                </w:tcPr>
                <w:p w14:paraId="29C37F5E">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7"/>
                      <w:sz w:val="21"/>
                      <w:szCs w:val="21"/>
                      <w:highlight w:val="none"/>
                      <w:lang w:val="en-US" w:eastAsia="zh-CN"/>
                    </w:rPr>
                  </w:pPr>
                  <w:r>
                    <w:rPr>
                      <w:rFonts w:hint="default" w:ascii="Times New Roman" w:hAnsi="Times New Roman" w:eastAsia="宋体" w:cs="Times New Roman"/>
                      <w:color w:val="auto"/>
                      <w:spacing w:val="7"/>
                      <w:sz w:val="21"/>
                      <w:szCs w:val="21"/>
                      <w:highlight w:val="none"/>
                      <w:lang w:val="en-US" w:eastAsia="zh-CN"/>
                    </w:rPr>
                    <w:t>本项目不涉及取水口，不属于</w:t>
                  </w:r>
                  <w:r>
                    <w:rPr>
                      <w:rFonts w:hint="eastAsia" w:ascii="Times New Roman" w:hAnsi="Times New Roman" w:eastAsia="宋体" w:cs="Times New Roman"/>
                      <w:color w:val="auto"/>
                      <w:spacing w:val="7"/>
                      <w:sz w:val="21"/>
                      <w:szCs w:val="21"/>
                      <w:highlight w:val="none"/>
                      <w:lang w:val="en-US" w:eastAsia="zh-CN"/>
                    </w:rPr>
                    <w:t>“</w:t>
                  </w:r>
                  <w:r>
                    <w:rPr>
                      <w:rFonts w:hint="default" w:ascii="Times New Roman" w:hAnsi="Times New Roman" w:eastAsia="宋体" w:cs="Times New Roman"/>
                      <w:color w:val="auto"/>
                      <w:spacing w:val="7"/>
                      <w:sz w:val="21"/>
                      <w:szCs w:val="21"/>
                      <w:highlight w:val="none"/>
                      <w:lang w:val="en-US" w:eastAsia="zh-CN"/>
                    </w:rPr>
                    <w:t>取水口下游500米范围内有重要水生生物的自然产卵场、索饵场、越冬场和洄游通道的新增河道取水的污染类建设项目</w:t>
                  </w:r>
                  <w:r>
                    <w:rPr>
                      <w:rFonts w:hint="eastAsia" w:ascii="Times New Roman" w:hAnsi="Times New Roman" w:eastAsia="宋体" w:cs="Times New Roman"/>
                      <w:color w:val="auto"/>
                      <w:spacing w:val="7"/>
                      <w:sz w:val="21"/>
                      <w:szCs w:val="21"/>
                      <w:highlight w:val="none"/>
                      <w:lang w:val="en-US" w:eastAsia="zh-CN"/>
                    </w:rPr>
                    <w:t>”</w:t>
                  </w:r>
                  <w:r>
                    <w:rPr>
                      <w:rFonts w:hint="default" w:ascii="Times New Roman" w:hAnsi="Times New Roman" w:eastAsia="宋体" w:cs="Times New Roman"/>
                      <w:color w:val="auto"/>
                      <w:spacing w:val="7"/>
                      <w:sz w:val="21"/>
                      <w:szCs w:val="21"/>
                      <w:highlight w:val="none"/>
                      <w:lang w:val="en-US" w:eastAsia="zh-CN"/>
                    </w:rPr>
                    <w:t>，因此</w:t>
                  </w:r>
                  <w:r>
                    <w:rPr>
                      <w:rFonts w:hint="eastAsia" w:ascii="Times New Roman" w:hAnsi="Times New Roman" w:eastAsia="宋体" w:cs="Times New Roman"/>
                      <w:color w:val="auto"/>
                      <w:spacing w:val="7"/>
                      <w:sz w:val="21"/>
                      <w:szCs w:val="21"/>
                      <w:highlight w:val="none"/>
                      <w:lang w:val="en-US" w:eastAsia="zh-CN"/>
                    </w:rPr>
                    <w:t>，</w:t>
                  </w:r>
                  <w:r>
                    <w:rPr>
                      <w:rFonts w:hint="default" w:ascii="Times New Roman" w:hAnsi="Times New Roman" w:eastAsia="宋体" w:cs="Times New Roman"/>
                      <w:color w:val="auto"/>
                      <w:spacing w:val="7"/>
                      <w:sz w:val="21"/>
                      <w:szCs w:val="21"/>
                      <w:highlight w:val="none"/>
                      <w:lang w:val="en-US" w:eastAsia="zh-CN"/>
                    </w:rPr>
                    <w:t>无需设置生态专项评价；</w:t>
                  </w:r>
                </w:p>
              </w:tc>
            </w:tr>
            <w:tr w14:paraId="20ABB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78" w:type="pct"/>
                  <w:tcBorders>
                    <w:tl2br w:val="nil"/>
                    <w:tr2bl w:val="nil"/>
                  </w:tcBorders>
                  <w:noWrap w:val="0"/>
                  <w:vAlign w:val="center"/>
                </w:tcPr>
                <w:p w14:paraId="284A934D">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4"/>
                      <w:sz w:val="21"/>
                      <w:szCs w:val="21"/>
                      <w:highlight w:val="none"/>
                    </w:rPr>
                  </w:pPr>
                  <w:r>
                    <w:rPr>
                      <w:rFonts w:hint="default" w:ascii="Times New Roman" w:hAnsi="Times New Roman" w:eastAsia="宋体" w:cs="Times New Roman"/>
                      <w:color w:val="auto"/>
                      <w:spacing w:val="6"/>
                      <w:sz w:val="21"/>
                      <w:szCs w:val="21"/>
                      <w:highlight w:val="none"/>
                    </w:rPr>
                    <w:t>海</w:t>
                  </w:r>
                  <w:r>
                    <w:rPr>
                      <w:rFonts w:hint="default" w:ascii="Times New Roman" w:hAnsi="Times New Roman" w:eastAsia="宋体" w:cs="Times New Roman"/>
                      <w:color w:val="auto"/>
                      <w:spacing w:val="5"/>
                      <w:sz w:val="21"/>
                      <w:szCs w:val="21"/>
                      <w:highlight w:val="none"/>
                    </w:rPr>
                    <w:t>洋</w:t>
                  </w:r>
                </w:p>
              </w:tc>
              <w:tc>
                <w:tcPr>
                  <w:tcW w:w="2085" w:type="pct"/>
                  <w:tcBorders>
                    <w:tl2br w:val="nil"/>
                    <w:tr2bl w:val="nil"/>
                  </w:tcBorders>
                  <w:noWrap w:val="0"/>
                  <w:vAlign w:val="center"/>
                </w:tcPr>
                <w:p w14:paraId="318BAF60">
                  <w:pPr>
                    <w:keepNext w:val="0"/>
                    <w:keepLines w:val="0"/>
                    <w:pageBreakBefore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直接向海排放污染物的海洋工程建设项目</w:t>
                  </w:r>
                </w:p>
              </w:tc>
              <w:tc>
                <w:tcPr>
                  <w:tcW w:w="2036" w:type="pct"/>
                  <w:tcBorders>
                    <w:tl2br w:val="nil"/>
                    <w:tr2bl w:val="nil"/>
                  </w:tcBorders>
                  <w:noWrap w:val="0"/>
                  <w:vAlign w:val="center"/>
                </w:tcPr>
                <w:p w14:paraId="5B122EEA">
                  <w:pPr>
                    <w:pStyle w:val="1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7"/>
                      <w:kern w:val="0"/>
                      <w:sz w:val="21"/>
                      <w:szCs w:val="21"/>
                      <w:highlight w:val="none"/>
                      <w:lang w:val="en-US" w:eastAsia="zh-CN" w:bidi="ar-SA"/>
                    </w:rPr>
                  </w:pPr>
                  <w:r>
                    <w:rPr>
                      <w:rFonts w:hint="default" w:ascii="Times New Roman" w:hAnsi="Times New Roman" w:eastAsia="宋体" w:cs="Times New Roman"/>
                      <w:color w:val="auto"/>
                      <w:spacing w:val="7"/>
                      <w:kern w:val="0"/>
                      <w:sz w:val="21"/>
                      <w:szCs w:val="21"/>
                      <w:highlight w:val="none"/>
                      <w:lang w:val="en-US" w:eastAsia="zh-CN" w:bidi="ar-SA"/>
                    </w:rPr>
                    <w:t>本项目</w:t>
                  </w:r>
                  <w:r>
                    <w:rPr>
                      <w:rFonts w:hint="eastAsia" w:ascii="Times New Roman" w:hAnsi="Times New Roman" w:eastAsia="宋体" w:cs="Times New Roman"/>
                      <w:color w:val="auto"/>
                      <w:spacing w:val="7"/>
                      <w:kern w:val="0"/>
                      <w:sz w:val="21"/>
                      <w:szCs w:val="21"/>
                      <w:highlight w:val="none"/>
                      <w:lang w:val="en-US" w:eastAsia="zh-CN" w:bidi="ar-SA"/>
                    </w:rPr>
                    <w:t>无污染物向海洋排放，因此，无需设置海洋专项评价。</w:t>
                  </w:r>
                </w:p>
              </w:tc>
            </w:tr>
          </w:tbl>
          <w:p w14:paraId="2B7CE67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highlight w:val="none"/>
              </w:rPr>
            </w:pPr>
            <w:r>
              <w:rPr>
                <w:rFonts w:hint="eastAsia" w:ascii="宋体" w:hAnsi="宋体" w:eastAsia="宋体" w:cs="Times New Roman"/>
                <w:color w:val="auto"/>
                <w:sz w:val="24"/>
                <w:highlight w:val="none"/>
                <w:lang w:val="en-US" w:eastAsia="zh-CN"/>
              </w:rPr>
              <w:t>综上，本项目无需设置专项评价。</w:t>
            </w:r>
          </w:p>
        </w:tc>
      </w:tr>
      <w:tr w14:paraId="6D885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856" w:type="dxa"/>
            <w:noWrap w:val="0"/>
            <w:vAlign w:val="center"/>
          </w:tcPr>
          <w:p w14:paraId="56AB3A03">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规划情况</w:t>
            </w:r>
          </w:p>
        </w:tc>
        <w:tc>
          <w:tcPr>
            <w:tcW w:w="7014" w:type="dxa"/>
            <w:gridSpan w:val="3"/>
            <w:noWrap w:val="0"/>
            <w:vAlign w:val="center"/>
          </w:tcPr>
          <w:p w14:paraId="14BACD9F">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lang w:eastAsia="zh-CN"/>
              </w:rPr>
              <w:t>规划名称：</w:t>
            </w:r>
            <w:r>
              <w:rPr>
                <w:rFonts w:hint="default" w:ascii="Times New Roman" w:hAnsi="Times New Roman" w:eastAsia="宋体" w:cs="Times New Roman"/>
                <w:color w:val="auto"/>
                <w:sz w:val="24"/>
                <w:highlight w:val="none"/>
                <w:lang w:val="en-US" w:eastAsia="zh-CN"/>
              </w:rPr>
              <w:t>《伊金霍洛旗国土空间总体规划（2021—2035年）》</w:t>
            </w:r>
          </w:p>
          <w:p w14:paraId="0A18BD05">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lang w:eastAsia="zh-CN"/>
              </w:rPr>
              <w:t>审批机关：</w:t>
            </w:r>
            <w:r>
              <w:rPr>
                <w:rFonts w:hint="default" w:ascii="Times New Roman" w:hAnsi="Times New Roman" w:eastAsia="宋体" w:cs="Times New Roman"/>
                <w:color w:val="auto"/>
                <w:sz w:val="24"/>
                <w:szCs w:val="24"/>
                <w:highlight w:val="none"/>
              </w:rPr>
              <w:t>内蒙古自治区人民政府</w:t>
            </w:r>
          </w:p>
          <w:p w14:paraId="65837567">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kern w:val="0"/>
                <w:sz w:val="24"/>
                <w:highlight w:val="none"/>
                <w:lang w:eastAsia="zh-CN"/>
              </w:rPr>
              <w:t>审批文件名称：《内蒙古自治区人民政府关于鄂尔多斯市达拉特旗等7旗</w:t>
            </w:r>
            <w:r>
              <w:rPr>
                <w:rFonts w:hint="eastAsia" w:cs="Times New Roman"/>
                <w:color w:val="auto"/>
                <w:kern w:val="0"/>
                <w:sz w:val="24"/>
                <w:highlight w:val="none"/>
                <w:lang w:eastAsia="zh-CN"/>
              </w:rPr>
              <w:t>国土</w:t>
            </w:r>
            <w:r>
              <w:rPr>
                <w:rFonts w:hint="default" w:ascii="Times New Roman" w:hAnsi="Times New Roman" w:eastAsia="宋体" w:cs="Times New Roman"/>
                <w:color w:val="auto"/>
                <w:kern w:val="0"/>
                <w:sz w:val="24"/>
                <w:highlight w:val="none"/>
                <w:lang w:eastAsia="zh-CN"/>
              </w:rPr>
              <w:t>空间总体规划（2021一2035年）的批复》</w:t>
            </w:r>
          </w:p>
          <w:p w14:paraId="7227606E">
            <w:pPr>
              <w:autoSpaceDE w:val="0"/>
              <w:autoSpaceDN w:val="0"/>
              <w:adjustRightInd w:val="0"/>
              <w:snapToGrid w:val="0"/>
              <w:jc w:val="left"/>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kern w:val="0"/>
                <w:sz w:val="24"/>
                <w:highlight w:val="none"/>
                <w:lang w:eastAsia="zh-CN"/>
              </w:rPr>
              <w:t>审批文号：内政字〔2024〕8</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lang w:eastAsia="zh-CN"/>
              </w:rPr>
              <w:t>号</w:t>
            </w:r>
          </w:p>
        </w:tc>
      </w:tr>
      <w:tr w14:paraId="1B464B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856" w:type="dxa"/>
            <w:noWrap w:val="0"/>
            <w:vAlign w:val="center"/>
          </w:tcPr>
          <w:p w14:paraId="6D61AC3A">
            <w:pPr>
              <w:autoSpaceDE w:val="0"/>
              <w:autoSpaceDN w:val="0"/>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规划环境影响</w:t>
            </w:r>
          </w:p>
          <w:p w14:paraId="53E5E505">
            <w:pPr>
              <w:autoSpaceDE w:val="0"/>
              <w:autoSpaceDN w:val="0"/>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评价情况</w:t>
            </w:r>
          </w:p>
        </w:tc>
        <w:tc>
          <w:tcPr>
            <w:tcW w:w="7014" w:type="dxa"/>
            <w:gridSpan w:val="3"/>
            <w:noWrap w:val="0"/>
            <w:vAlign w:val="center"/>
          </w:tcPr>
          <w:p w14:paraId="0D41B86A">
            <w:pPr>
              <w:autoSpaceDE w:val="0"/>
              <w:autoSpaceDN w:val="0"/>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无</w:t>
            </w:r>
          </w:p>
        </w:tc>
      </w:tr>
      <w:tr w14:paraId="4BEE0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1856" w:type="dxa"/>
            <w:noWrap w:val="0"/>
            <w:vAlign w:val="center"/>
          </w:tcPr>
          <w:p w14:paraId="1FC89AE1">
            <w:pPr>
              <w:autoSpaceDE w:val="0"/>
              <w:autoSpaceDN w:val="0"/>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规划及规划环境影响评价符合性分析</w:t>
            </w:r>
          </w:p>
        </w:tc>
        <w:tc>
          <w:tcPr>
            <w:tcW w:w="7014" w:type="dxa"/>
            <w:gridSpan w:val="3"/>
            <w:noWrap w:val="0"/>
            <w:vAlign w:val="center"/>
          </w:tcPr>
          <w:p w14:paraId="56342E9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sz w:val="24"/>
                <w:szCs w:val="24"/>
                <w:highlight w:val="none"/>
              </w:rPr>
              <w:t>《伊金霍洛旗国土空间总体规划（2021—2035年）》明确提出，严格管控乡村零散工业项目，鼓励各村在村庄规划划定的集中工业区块内统一布局城乡配套产业，为村级项目落地提供顶层空间政策支撑。本项目坐落于伊金霍洛旗伊金霍洛镇壕赖村5社商砼园区23号地块，地块位于壕赖村规划划定的建材集中工业片区内，采用集中入园布局方式，未零散占用乡村土地，产业类型为城镇建设配套建材加工，完全契合《伊金霍洛旗国土空间总体规划（2021—2035年）》分区及乡村工业管控要求。</w:t>
            </w:r>
          </w:p>
        </w:tc>
      </w:tr>
      <w:tr w14:paraId="52B2D6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56" w:type="dxa"/>
            <w:noWrap w:val="0"/>
            <w:vAlign w:val="center"/>
          </w:tcPr>
          <w:p w14:paraId="38D4CAE2">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其他符合性分析</w:t>
            </w:r>
          </w:p>
        </w:tc>
        <w:tc>
          <w:tcPr>
            <w:tcW w:w="7014" w:type="dxa"/>
            <w:gridSpan w:val="3"/>
            <w:noWrap w:val="0"/>
            <w:vAlign w:val="center"/>
          </w:tcPr>
          <w:p w14:paraId="7FC96900">
            <w:pPr>
              <w:widowControl/>
              <w:kinsoku w:val="0"/>
              <w:wordWrap w:val="0"/>
              <w:adjustRightInd w:val="0"/>
              <w:snapToGrid w:val="0"/>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w:t>
            </w:r>
            <w:r>
              <w:rPr>
                <w:rFonts w:hint="eastAsia" w:cs="Times New Roman"/>
                <w:b/>
                <w:bCs/>
                <w:color w:val="auto"/>
                <w:sz w:val="24"/>
                <w:highlight w:val="none"/>
                <w:lang w:val="en-US" w:eastAsia="zh-CN"/>
              </w:rPr>
              <w:t>.</w:t>
            </w:r>
            <w:r>
              <w:rPr>
                <w:rFonts w:hint="default" w:ascii="Times New Roman" w:hAnsi="Times New Roman" w:cs="Times New Roman"/>
                <w:b/>
                <w:bCs/>
                <w:color w:val="auto"/>
                <w:sz w:val="24"/>
                <w:highlight w:val="none"/>
              </w:rPr>
              <w:t>产业政策符合性</w:t>
            </w:r>
          </w:p>
          <w:p w14:paraId="7BCBE0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rPr>
              <w:t>本项目为</w:t>
            </w:r>
            <w:r>
              <w:rPr>
                <w:rFonts w:hint="default" w:ascii="Times New Roman" w:hAnsi="Times New Roman" w:cs="Times New Roman"/>
                <w:color w:val="auto"/>
                <w:sz w:val="24"/>
                <w:highlight w:val="none"/>
              </w:rPr>
              <w:t>水泥制品制造</w:t>
            </w:r>
            <w:r>
              <w:rPr>
                <w:rFonts w:hint="default" w:ascii="Times New Roman" w:hAnsi="Times New Roman" w:eastAsia="宋体" w:cs="Times New Roman"/>
                <w:color w:val="auto"/>
                <w:sz w:val="24"/>
                <w:szCs w:val="24"/>
                <w:highlight w:val="none"/>
              </w:rPr>
              <w:t>项目，</w:t>
            </w:r>
            <w:r>
              <w:rPr>
                <w:rFonts w:hint="eastAsia" w:cs="Times New Roman"/>
                <w:color w:val="auto"/>
                <w:sz w:val="24"/>
                <w:szCs w:val="24"/>
                <w:highlight w:val="none"/>
                <w:lang w:val="en-US" w:eastAsia="zh-CN"/>
              </w:rPr>
              <w:t>原料中使用粉煤灰，属于一般工业固体废物，根据</w:t>
            </w:r>
            <w:r>
              <w:rPr>
                <w:rFonts w:hint="default" w:ascii="Times New Roman" w:hAnsi="Times New Roman" w:eastAsia="宋体" w:cs="Times New Roman"/>
                <w:color w:val="auto"/>
                <w:sz w:val="24"/>
                <w:szCs w:val="24"/>
                <w:highlight w:val="none"/>
              </w:rPr>
              <w:t>《产业结构调整指导目录（</w:t>
            </w:r>
            <w:r>
              <w:rPr>
                <w:rFonts w:hint="eastAsia" w:cs="Times New Roman"/>
                <w:color w:val="auto"/>
                <w:sz w:val="24"/>
                <w:szCs w:val="24"/>
                <w:highlight w:val="none"/>
                <w:lang w:val="en-US" w:eastAsia="zh-CN"/>
              </w:rPr>
              <w:t>2024</w:t>
            </w:r>
            <w:r>
              <w:rPr>
                <w:rFonts w:hint="default" w:ascii="Times New Roman" w:hAnsi="Times New Roman" w:eastAsia="宋体" w:cs="Times New Roman"/>
                <w:color w:val="auto"/>
                <w:sz w:val="24"/>
                <w:szCs w:val="24"/>
                <w:highlight w:val="none"/>
              </w:rPr>
              <w:t>年本）》</w:t>
            </w:r>
            <w:r>
              <w:rPr>
                <w:rFonts w:hint="eastAsia" w:ascii="Times New Roman" w:hAnsi="Times New Roman" w:eastAsia="宋体" w:cs="Times New Roman"/>
                <w:color w:val="auto"/>
                <w:sz w:val="24"/>
                <w:szCs w:val="24"/>
                <w:highlight w:val="none"/>
                <w:lang w:eastAsia="zh-CN"/>
              </w:rPr>
              <w:t>，</w:t>
            </w:r>
            <w:r>
              <w:rPr>
                <w:color w:val="auto"/>
                <w:spacing w:val="-4"/>
                <w:sz w:val="24"/>
                <w:szCs w:val="24"/>
                <w:highlight w:val="none"/>
              </w:rPr>
              <w:t>属于</w:t>
            </w:r>
            <w:r>
              <w:rPr>
                <w:rFonts w:hint="eastAsia"/>
                <w:color w:val="auto"/>
                <w:spacing w:val="-4"/>
                <w:sz w:val="24"/>
                <w:szCs w:val="24"/>
                <w:highlight w:val="none"/>
                <w:lang w:eastAsia="zh-CN"/>
              </w:rPr>
              <w:t>“</w:t>
            </w:r>
            <w:r>
              <w:rPr>
                <w:color w:val="auto"/>
                <w:spacing w:val="-4"/>
                <w:sz w:val="24"/>
                <w:szCs w:val="24"/>
                <w:highlight w:val="none"/>
              </w:rPr>
              <w:t>鼓励</w:t>
            </w:r>
            <w:r>
              <w:rPr>
                <w:color w:val="auto"/>
                <w:spacing w:val="-5"/>
                <w:sz w:val="24"/>
                <w:szCs w:val="24"/>
                <w:highlight w:val="none"/>
              </w:rPr>
              <w:t>类，四十</w:t>
            </w:r>
            <w:r>
              <w:rPr>
                <w:rFonts w:hint="eastAsia"/>
                <w:color w:val="auto"/>
                <w:spacing w:val="-5"/>
                <w:sz w:val="24"/>
                <w:szCs w:val="24"/>
                <w:highlight w:val="none"/>
                <w:lang w:val="en-US" w:eastAsia="zh-CN"/>
              </w:rPr>
              <w:t>二</w:t>
            </w:r>
            <w:r>
              <w:rPr>
                <w:color w:val="auto"/>
                <w:spacing w:val="-5"/>
                <w:sz w:val="24"/>
                <w:szCs w:val="24"/>
                <w:highlight w:val="none"/>
              </w:rPr>
              <w:t>、</w:t>
            </w:r>
            <w:r>
              <w:rPr>
                <w:color w:val="auto"/>
                <w:spacing w:val="-3"/>
                <w:sz w:val="24"/>
                <w:szCs w:val="24"/>
                <w:highlight w:val="none"/>
              </w:rPr>
              <w:t>环境保护与资源节约综合利用，1</w:t>
            </w:r>
            <w:r>
              <w:rPr>
                <w:rFonts w:hint="eastAsia"/>
                <w:color w:val="auto"/>
                <w:spacing w:val="-3"/>
                <w:sz w:val="24"/>
                <w:szCs w:val="24"/>
                <w:highlight w:val="none"/>
                <w:lang w:val="en-US" w:eastAsia="zh-CN"/>
              </w:rPr>
              <w:t>0</w:t>
            </w:r>
            <w:r>
              <w:rPr>
                <w:color w:val="auto"/>
                <w:spacing w:val="-3"/>
                <w:sz w:val="24"/>
                <w:szCs w:val="24"/>
                <w:highlight w:val="none"/>
              </w:rPr>
              <w:t>、</w:t>
            </w:r>
            <w:r>
              <w:rPr>
                <w:rFonts w:hint="eastAsia"/>
                <w:color w:val="auto"/>
                <w:spacing w:val="-3"/>
                <w:sz w:val="24"/>
                <w:szCs w:val="24"/>
                <w:highlight w:val="none"/>
                <w:lang w:eastAsia="zh-CN"/>
              </w:rPr>
              <w:t>“</w:t>
            </w:r>
            <w:r>
              <w:rPr>
                <w:color w:val="auto"/>
                <w:spacing w:val="-3"/>
                <w:sz w:val="24"/>
                <w:szCs w:val="24"/>
                <w:highlight w:val="none"/>
              </w:rPr>
              <w:t>三废</w:t>
            </w:r>
            <w:r>
              <w:rPr>
                <w:rFonts w:hint="eastAsia"/>
                <w:color w:val="auto"/>
                <w:spacing w:val="-3"/>
                <w:sz w:val="24"/>
                <w:szCs w:val="24"/>
                <w:highlight w:val="none"/>
                <w:lang w:eastAsia="zh-CN"/>
              </w:rPr>
              <w:t>”</w:t>
            </w:r>
            <w:r>
              <w:rPr>
                <w:color w:val="auto"/>
                <w:spacing w:val="-3"/>
                <w:sz w:val="24"/>
                <w:szCs w:val="24"/>
                <w:highlight w:val="none"/>
              </w:rPr>
              <w:t>综合利用与治理技术、装备</w:t>
            </w:r>
            <w:r>
              <w:rPr>
                <w:color w:val="auto"/>
                <w:spacing w:val="1"/>
                <w:sz w:val="24"/>
                <w:szCs w:val="24"/>
                <w:highlight w:val="none"/>
              </w:rPr>
              <w:t>和工程</w:t>
            </w:r>
            <w:r>
              <w:rPr>
                <w:rFonts w:hint="eastAsia"/>
                <w:color w:val="auto"/>
                <w:spacing w:val="-4"/>
                <w:sz w:val="24"/>
                <w:szCs w:val="24"/>
                <w:highlight w:val="none"/>
                <w:lang w:eastAsia="zh-CN"/>
              </w:rPr>
              <w:t>”</w:t>
            </w:r>
            <w:r>
              <w:rPr>
                <w:color w:val="auto"/>
                <w:spacing w:val="1"/>
                <w:sz w:val="24"/>
                <w:szCs w:val="24"/>
                <w:highlight w:val="none"/>
              </w:rPr>
              <w:t>。</w:t>
            </w:r>
            <w:r>
              <w:rPr>
                <w:rFonts w:hint="default" w:ascii="Times New Roman" w:hAnsi="Times New Roman" w:cs="Times New Roman"/>
                <w:color w:val="auto"/>
                <w:sz w:val="24"/>
                <w:highlight w:val="none"/>
              </w:rPr>
              <w:t>因此，本项目符合国家相关产业政策的要求。</w:t>
            </w:r>
            <w:r>
              <w:rPr>
                <w:rFonts w:hint="eastAsia" w:ascii="Times New Roman" w:hAnsi="Times New Roman" w:eastAsia="宋体" w:cs="Times New Roman"/>
                <w:color w:val="auto"/>
                <w:sz w:val="24"/>
                <w:highlight w:val="none"/>
                <w:lang w:val="en-US" w:eastAsia="zh-CN"/>
              </w:rPr>
              <w:t>项目已于2022年12月1日取得伊金霍洛旗</w:t>
            </w:r>
            <w:r>
              <w:rPr>
                <w:rFonts w:hint="default" w:ascii="Times New Roman" w:hAnsi="Times New Roman" w:eastAsia="宋体" w:cs="Times New Roman"/>
                <w:color w:val="auto"/>
                <w:sz w:val="24"/>
                <w:highlight w:val="none"/>
                <w:lang w:eastAsia="zh-CN"/>
              </w:rPr>
              <w:t>发展和改革委员会</w:t>
            </w:r>
            <w:r>
              <w:rPr>
                <w:rFonts w:hint="eastAsia" w:ascii="Times New Roman" w:hAnsi="Times New Roman" w:eastAsia="宋体" w:cs="Times New Roman"/>
                <w:color w:val="auto"/>
                <w:sz w:val="24"/>
                <w:highlight w:val="none"/>
                <w:lang w:val="en-US" w:eastAsia="zh-CN"/>
              </w:rPr>
              <w:t>出具的项目备案告知书，备案编号：</w:t>
            </w:r>
            <w:r>
              <w:rPr>
                <w:rFonts w:hint="default" w:ascii="Times New Roman" w:hAnsi="Times New Roman" w:eastAsia="宋体" w:cs="Times New Roman"/>
                <w:color w:val="auto"/>
                <w:sz w:val="24"/>
                <w:highlight w:val="none"/>
                <w:lang w:val="en-US" w:eastAsia="zh-CN"/>
              </w:rPr>
              <w:t>2211-150627-04-01-520656</w:t>
            </w:r>
            <w:r>
              <w:rPr>
                <w:rFonts w:hint="eastAsia" w:cs="Times New Roman"/>
                <w:color w:val="auto"/>
                <w:sz w:val="24"/>
                <w:highlight w:val="none"/>
                <w:lang w:val="en-US" w:eastAsia="zh-CN"/>
              </w:rPr>
              <w:t>。</w:t>
            </w:r>
          </w:p>
          <w:p w14:paraId="12E60044">
            <w:pPr>
              <w:widowControl/>
              <w:kinsoku w:val="0"/>
              <w:wordWrap w:val="0"/>
              <w:adjustRightInd w:val="0"/>
              <w:snapToGrid w:val="0"/>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w:t>
            </w:r>
            <w:r>
              <w:rPr>
                <w:rFonts w:hint="eastAsia" w:cs="Times New Roman"/>
                <w:b/>
                <w:bCs/>
                <w:color w:val="auto"/>
                <w:sz w:val="24"/>
                <w:highlight w:val="none"/>
                <w:lang w:val="en-US" w:eastAsia="zh-CN"/>
              </w:rPr>
              <w:t>.</w:t>
            </w:r>
            <w:r>
              <w:rPr>
                <w:rFonts w:hint="default" w:ascii="Times New Roman" w:hAnsi="Times New Roman" w:cs="Times New Roman"/>
                <w:b/>
                <w:bCs/>
                <w:color w:val="auto"/>
                <w:sz w:val="24"/>
                <w:highlight w:val="none"/>
              </w:rPr>
              <w:t>选址合理性</w:t>
            </w:r>
          </w:p>
          <w:p w14:paraId="5DC0DDB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cs="Times New Roman"/>
                <w:color w:val="auto"/>
                <w:kern w:val="0"/>
                <w:sz w:val="24"/>
                <w:highlight w:val="none"/>
                <w:lang w:val="en-US" w:eastAsia="zh-CN"/>
              </w:rPr>
            </w:pPr>
            <w:r>
              <w:rPr>
                <w:rFonts w:hint="default" w:ascii="Times New Roman" w:hAnsi="Times New Roman" w:cs="Times New Roman"/>
                <w:bCs/>
                <w:color w:val="auto"/>
                <w:sz w:val="24"/>
                <w:highlight w:val="none"/>
              </w:rPr>
              <w:t>本项目位于</w:t>
            </w:r>
            <w:r>
              <w:rPr>
                <w:rFonts w:hint="default" w:ascii="Times New Roman" w:hAnsi="Times New Roman" w:cs="Times New Roman"/>
                <w:color w:val="auto"/>
                <w:sz w:val="24"/>
                <w:highlight w:val="none"/>
              </w:rPr>
              <w:t>伊金霍洛旗伊金霍洛镇壕赖村5社商砼园区23号地块</w:t>
            </w:r>
            <w:r>
              <w:rPr>
                <w:rFonts w:hint="default" w:ascii="Times New Roman" w:hAnsi="Times New Roman" w:cs="Times New Roman"/>
                <w:bCs/>
                <w:color w:val="auto"/>
                <w:sz w:val="24"/>
                <w:highlight w:val="none"/>
              </w:rPr>
              <w:t>，占地面积</w:t>
            </w:r>
            <w:r>
              <w:rPr>
                <w:rFonts w:hint="eastAsia" w:cs="Times New Roman"/>
                <w:color w:val="auto"/>
                <w:sz w:val="24"/>
                <w:highlight w:val="none"/>
                <w:lang w:val="en-US" w:eastAsia="zh-CN"/>
              </w:rPr>
              <w:t>33217.8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，项目用地为工业用地</w:t>
            </w:r>
            <w:r>
              <w:rPr>
                <w:rFonts w:hint="eastAsia" w:cs="Times New Roman"/>
                <w:bCs/>
                <w:color w:val="auto"/>
                <w:sz w:val="24"/>
                <w:highlight w:val="none"/>
                <w:lang w:eastAsia="zh-CN"/>
              </w:rPr>
              <w:t>（</w:t>
            </w:r>
            <w:r>
              <w:rPr>
                <w:rFonts w:hint="eastAsia" w:cs="Times New Roman"/>
                <w:bCs/>
                <w:color w:val="auto"/>
                <w:sz w:val="24"/>
                <w:highlight w:val="none"/>
                <w:lang w:val="en-US" w:eastAsia="zh-CN"/>
              </w:rPr>
              <w:t>土地证见附件6</w:t>
            </w:r>
            <w:r>
              <w:rPr>
                <w:rFonts w:hint="eastAsia" w:cs="Times New Roman"/>
                <w:bCs/>
                <w:color w:val="auto"/>
                <w:sz w:val="24"/>
                <w:highlight w:val="none"/>
                <w:lang w:eastAsia="zh-CN"/>
              </w:rPr>
              <w:t>）</w:t>
            </w:r>
            <w:r>
              <w:rPr>
                <w:rFonts w:hint="default" w:ascii="Times New Roman" w:hAnsi="Times New Roman" w:cs="Times New Roman"/>
                <w:bCs/>
                <w:color w:val="auto"/>
                <w:sz w:val="24"/>
                <w:highlight w:val="none"/>
              </w:rPr>
              <w:t>，不涉及其他用地类型，建设条件良好，</w:t>
            </w:r>
            <w:r>
              <w:rPr>
                <w:rFonts w:hint="default" w:ascii="Times New Roman" w:hAnsi="Times New Roman" w:eastAsia="宋体" w:cs="Times New Roman"/>
                <w:color w:val="auto"/>
                <w:kern w:val="0"/>
                <w:sz w:val="24"/>
                <w:highlight w:val="none"/>
              </w:rPr>
              <w:t>生产用水</w:t>
            </w:r>
            <w:r>
              <w:rPr>
                <w:rFonts w:hint="eastAsia" w:cs="Times New Roman"/>
                <w:color w:val="auto"/>
                <w:kern w:val="0"/>
                <w:sz w:val="24"/>
                <w:highlight w:val="none"/>
                <w:lang w:eastAsia="zh-CN"/>
              </w:rPr>
              <w:t>来自</w:t>
            </w:r>
            <w:r>
              <w:rPr>
                <w:rFonts w:hint="default" w:ascii="Times New Roman" w:hAnsi="Times New Roman" w:eastAsia="宋体" w:cs="Times New Roman"/>
                <w:color w:val="auto"/>
                <w:kern w:val="0"/>
                <w:sz w:val="24"/>
                <w:highlight w:val="none"/>
              </w:rPr>
              <w:t>鄂尔多斯市圣圆水务集团有限责任公司提供的</w:t>
            </w:r>
            <w:r>
              <w:rPr>
                <w:rFonts w:hint="eastAsia" w:cs="Times New Roman"/>
                <w:color w:val="auto"/>
                <w:kern w:val="0"/>
                <w:sz w:val="24"/>
                <w:highlight w:val="none"/>
                <w:lang w:val="en-US" w:eastAsia="zh-CN"/>
              </w:rPr>
              <w:t>中水</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供水协议见附件5</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生活用水外购桶装水</w:t>
            </w:r>
            <w:r>
              <w:rPr>
                <w:rFonts w:hint="default" w:ascii="Times New Roman" w:hAnsi="Times New Roman" w:eastAsia="宋体" w:cs="Times New Roman"/>
                <w:color w:val="auto"/>
                <w:kern w:val="0"/>
                <w:sz w:val="24"/>
                <w:highlight w:val="none"/>
              </w:rPr>
              <w:t>；生产用电依托当地电网供电</w:t>
            </w:r>
            <w:r>
              <w:rPr>
                <w:rFonts w:hint="default" w:ascii="Times New Roman" w:hAnsi="Times New Roman" w:cs="Times New Roman"/>
                <w:bCs/>
                <w:color w:val="auto"/>
                <w:sz w:val="24"/>
                <w:highlight w:val="none"/>
              </w:rPr>
              <w:t>，项目</w:t>
            </w:r>
            <w:r>
              <w:rPr>
                <w:rFonts w:hint="eastAsia" w:cs="Times New Roman"/>
                <w:bCs/>
                <w:color w:val="auto"/>
                <w:sz w:val="24"/>
                <w:highlight w:val="none"/>
                <w:lang w:val="en-US" w:eastAsia="zh-CN"/>
              </w:rPr>
              <w:t>占地</w:t>
            </w:r>
            <w:r>
              <w:rPr>
                <w:rFonts w:hint="default" w:ascii="Times New Roman" w:hAnsi="Times New Roman" w:cs="Times New Roman"/>
                <w:bCs/>
                <w:color w:val="auto"/>
                <w:sz w:val="24"/>
                <w:highlight w:val="none"/>
              </w:rPr>
              <w:t>范围内无自然保护区、文物保护单位</w:t>
            </w:r>
            <w:r>
              <w:rPr>
                <w:rFonts w:hint="eastAsia" w:cs="Times New Roman"/>
                <w:bCs/>
                <w:color w:val="auto"/>
                <w:sz w:val="24"/>
                <w:highlight w:val="none"/>
                <w:lang w:eastAsia="zh-CN"/>
              </w:rPr>
              <w:t>、</w:t>
            </w:r>
            <w:r>
              <w:rPr>
                <w:rFonts w:hint="eastAsia" w:cs="Times New Roman"/>
                <w:bCs/>
                <w:color w:val="auto"/>
                <w:sz w:val="24"/>
                <w:highlight w:val="none"/>
                <w:lang w:val="en-US" w:eastAsia="zh-CN"/>
              </w:rPr>
              <w:t>水源保护区</w:t>
            </w:r>
            <w:r>
              <w:rPr>
                <w:rFonts w:hint="default" w:ascii="Times New Roman" w:hAnsi="Times New Roman" w:cs="Times New Roman"/>
                <w:bCs/>
                <w:color w:val="auto"/>
                <w:sz w:val="24"/>
                <w:highlight w:val="none"/>
              </w:rPr>
              <w:t>。根据分析，运营过程中产生的污染物采取有效的污染防治措施后实现达标排放，对周围环境影响较小</w:t>
            </w:r>
            <w:r>
              <w:rPr>
                <w:rFonts w:hint="eastAsia" w:cs="Times New Roman"/>
                <w:color w:val="auto"/>
                <w:kern w:val="0"/>
                <w:sz w:val="24"/>
                <w:highlight w:val="none"/>
                <w:lang w:val="en-US" w:eastAsia="zh-CN"/>
              </w:rPr>
              <w:t>。</w:t>
            </w:r>
          </w:p>
          <w:p w14:paraId="452454C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cs="Times New Roman"/>
                <w:color w:val="auto"/>
                <w:kern w:val="0"/>
                <w:sz w:val="24"/>
                <w:highlight w:val="yellow"/>
                <w:lang w:val="en-US" w:eastAsia="zh-CN"/>
              </w:rPr>
            </w:pPr>
            <w:r>
              <w:rPr>
                <w:rFonts w:hint="eastAsia" w:cs="Times New Roman"/>
                <w:color w:val="auto"/>
                <w:kern w:val="0"/>
                <w:sz w:val="24"/>
                <w:highlight w:val="yellow"/>
                <w:lang w:val="en-US" w:eastAsia="zh-CN"/>
              </w:rPr>
              <w:t>2010年12月17日，原鄂尔多斯市环境保护局出具了鄂环监字〔2010〕1544号“关于伊金霍洛旗宏泰建材有限公司伊旗工程建筑砂石材料集散站建设项目环境影响报告表的批复”(简称集散站项目)，集散站项目位于伊金霍洛旗伊金霍洛镇壕赖村五社，项目规划建设内容为37个砂石材料集散区，包括办公区、砂石料场、加工区及配套设施等，本项目位于集散站项目区内23号地块。</w:t>
            </w:r>
          </w:p>
          <w:p w14:paraId="6F326A6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kern w:val="0"/>
                <w:sz w:val="24"/>
                <w:highlight w:val="yellow"/>
                <w:lang w:val="en-US" w:eastAsia="zh-CN"/>
              </w:rPr>
            </w:pPr>
            <w:r>
              <w:rPr>
                <w:rFonts w:hint="eastAsia" w:ascii="Times New Roman" w:hAnsi="Times New Roman" w:eastAsia="宋体" w:cs="Times New Roman"/>
                <w:color w:val="auto"/>
                <w:kern w:val="0"/>
                <w:sz w:val="24"/>
                <w:highlight w:val="yellow"/>
                <w:lang w:val="en-US" w:eastAsia="zh-CN"/>
              </w:rPr>
              <w:t>综上所述，本项目选址合理。</w:t>
            </w:r>
          </w:p>
          <w:p w14:paraId="19D31544">
            <w:pPr>
              <w:widowControl/>
              <w:kinsoku w:val="0"/>
              <w:wordWrap w:val="0"/>
              <w:adjustRightInd w:val="0"/>
              <w:snapToGrid w:val="0"/>
              <w:spacing w:line="360" w:lineRule="auto"/>
              <w:ind w:firstLine="482" w:firstLineChars="200"/>
              <w:jc w:val="left"/>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3.</w:t>
            </w:r>
            <w:r>
              <w:rPr>
                <w:rFonts w:hint="eastAsia" w:ascii="Times New Roman" w:hAnsi="Times New Roman" w:eastAsia="宋体" w:cs="Times New Roman"/>
                <w:b/>
                <w:bCs/>
                <w:color w:val="auto"/>
                <w:sz w:val="24"/>
                <w:highlight w:val="none"/>
              </w:rPr>
              <w:t>生态环境</w:t>
            </w:r>
            <w:r>
              <w:rPr>
                <w:rFonts w:hint="eastAsia" w:ascii="Times New Roman" w:hAnsi="Times New Roman" w:eastAsia="宋体" w:cs="Times New Roman"/>
                <w:b/>
                <w:bCs/>
                <w:color w:val="auto"/>
                <w:sz w:val="24"/>
                <w:highlight w:val="none"/>
                <w:lang w:val="en-US" w:eastAsia="zh-CN"/>
              </w:rPr>
              <w:t>分区</w:t>
            </w:r>
            <w:r>
              <w:rPr>
                <w:rFonts w:hint="eastAsia" w:ascii="Times New Roman" w:hAnsi="Times New Roman" w:eastAsia="宋体" w:cs="Times New Roman"/>
                <w:b/>
                <w:bCs/>
                <w:color w:val="auto"/>
                <w:sz w:val="24"/>
                <w:highlight w:val="none"/>
              </w:rPr>
              <w:t>管控符合性</w:t>
            </w:r>
            <w:r>
              <w:rPr>
                <w:rFonts w:hint="default" w:ascii="Times New Roman" w:hAnsi="Times New Roman" w:eastAsia="宋体" w:cs="Times New Roman"/>
                <w:b/>
                <w:bCs/>
                <w:color w:val="auto"/>
                <w:sz w:val="24"/>
                <w:highlight w:val="none"/>
              </w:rPr>
              <w:t>分析</w:t>
            </w:r>
          </w:p>
          <w:p w14:paraId="4B09E42D">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内蒙古自治区人民政府关于实施“三线一单”生态环境分区管控的意见》（内政发〔2020〕24号）描述：内蒙古自治区构建生态环境分区管控体系，全区共划分环境管控单元1135个，包括优先保护单元、重点管控单元、一般管控单元三类，实施分类管控。</w:t>
            </w:r>
          </w:p>
          <w:p w14:paraId="71BB2842">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kern w:val="0"/>
                <w:sz w:val="24"/>
                <w:szCs w:val="24"/>
                <w:highlight w:val="none"/>
                <w:lang w:val="en-US" w:eastAsia="zh-CN"/>
              </w:rPr>
              <w:t>①</w:t>
            </w:r>
            <w:r>
              <w:rPr>
                <w:rFonts w:hint="default" w:ascii="Times New Roman" w:hAnsi="Times New Roman" w:cs="Times New Roman"/>
                <w:color w:val="auto"/>
                <w:kern w:val="0"/>
                <w:sz w:val="24"/>
                <w:szCs w:val="24"/>
                <w:highlight w:val="none"/>
                <w:lang w:val="en-US" w:eastAsia="zh-CN"/>
              </w:rPr>
              <w:t>生</w:t>
            </w:r>
            <w:r>
              <w:rPr>
                <w:rFonts w:hint="default" w:ascii="Times New Roman" w:hAnsi="Times New Roman" w:cs="Times New Roman"/>
                <w:color w:val="auto"/>
                <w:kern w:val="0"/>
                <w:sz w:val="24"/>
                <w:szCs w:val="24"/>
                <w:highlight w:val="none"/>
              </w:rPr>
              <w:t>态保护红线</w:t>
            </w:r>
          </w:p>
          <w:p w14:paraId="58B6C888">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根据</w:t>
            </w:r>
            <w:r>
              <w:rPr>
                <w:rFonts w:hint="default" w:ascii="Times New Roman" w:hAnsi="Times New Roman" w:cs="Times New Roman"/>
                <w:color w:val="auto"/>
                <w:kern w:val="0"/>
                <w:sz w:val="24"/>
                <w:highlight w:val="none"/>
              </w:rPr>
              <w:t>《鄂尔多斯市生态环境分区管控动态更新成果</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2023年版</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》的通知（2024年8月6日）</w:t>
            </w:r>
            <w:r>
              <w:rPr>
                <w:rFonts w:hint="default" w:ascii="Times New Roman" w:hAnsi="Times New Roman" w:cs="Times New Roman"/>
                <w:color w:val="auto"/>
                <w:kern w:val="0"/>
                <w:sz w:val="24"/>
                <w:szCs w:val="24"/>
                <w:highlight w:val="none"/>
              </w:rPr>
              <w:t>，全市</w:t>
            </w:r>
            <w:r>
              <w:rPr>
                <w:rFonts w:hint="default" w:ascii="Times New Roman" w:hAnsi="Times New Roman" w:cs="Times New Roman"/>
                <w:color w:val="auto"/>
                <w:kern w:val="0"/>
                <w:sz w:val="24"/>
                <w:szCs w:val="24"/>
                <w:highlight w:val="none"/>
                <w:lang w:val="en-US" w:eastAsia="zh-CN"/>
              </w:rPr>
              <w:t>按优先保护、重点管控、一般管控三大类划分171个环境管控单元</w:t>
            </w:r>
            <w:r>
              <w:rPr>
                <w:rFonts w:hint="default" w:ascii="Times New Roman" w:hAnsi="Times New Roman" w:cs="Times New Roman"/>
                <w:color w:val="auto"/>
                <w:kern w:val="0"/>
                <w:sz w:val="24"/>
                <w:szCs w:val="24"/>
                <w:highlight w:val="none"/>
              </w:rPr>
              <w:t>。</w:t>
            </w:r>
          </w:p>
          <w:p w14:paraId="509412DF">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a、优先保护单元。共</w:t>
            </w:r>
            <w:r>
              <w:rPr>
                <w:rFonts w:hint="default" w:ascii="Times New Roman" w:hAnsi="Times New Roman" w:cs="Times New Roman"/>
                <w:color w:val="auto"/>
                <w:kern w:val="0"/>
                <w:sz w:val="24"/>
                <w:szCs w:val="24"/>
                <w:highlight w:val="none"/>
                <w:lang w:val="en-US" w:eastAsia="zh-CN"/>
              </w:rPr>
              <w:t>76</w:t>
            </w:r>
            <w:r>
              <w:rPr>
                <w:rFonts w:hint="default" w:ascii="Times New Roman" w:hAnsi="Times New Roman" w:cs="Times New Roman"/>
                <w:color w:val="auto"/>
                <w:kern w:val="0"/>
                <w:sz w:val="24"/>
                <w:szCs w:val="24"/>
                <w:highlight w:val="none"/>
              </w:rPr>
              <w:t>个，面积占比为6</w:t>
            </w:r>
            <w:r>
              <w:rPr>
                <w:rFonts w:hint="default" w:ascii="Times New Roman" w:hAnsi="Times New Roman" w:cs="Times New Roman"/>
                <w:color w:val="auto"/>
                <w:kern w:val="0"/>
                <w:sz w:val="24"/>
                <w:szCs w:val="24"/>
                <w:highlight w:val="none"/>
                <w:lang w:val="en-US" w:eastAsia="zh-CN"/>
              </w:rPr>
              <w:t>4.35</w:t>
            </w:r>
            <w:r>
              <w:rPr>
                <w:rFonts w:hint="default" w:ascii="Times New Roman" w:hAnsi="Times New Roman" w:cs="Times New Roman"/>
                <w:color w:val="auto"/>
                <w:kern w:val="0"/>
                <w:sz w:val="24"/>
                <w:szCs w:val="24"/>
                <w:highlight w:val="none"/>
              </w:rPr>
              <w:t>%，优先保护单元以生态环境保护优先为原则，依法禁止或限制大规模、高强度的工业开发和城镇建设，确保生态环境功能不降低。</w:t>
            </w:r>
          </w:p>
          <w:p w14:paraId="6434DF3A">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b、重点管控单元。共8</w:t>
            </w:r>
            <w:r>
              <w:rPr>
                <w:rFonts w:hint="default" w:ascii="Times New Roman" w:hAnsi="Times New Roman" w:cs="Times New Roman"/>
                <w:color w:val="auto"/>
                <w:kern w:val="0"/>
                <w:sz w:val="24"/>
                <w:szCs w:val="24"/>
                <w:highlight w:val="none"/>
                <w:lang w:val="en-US" w:eastAsia="zh-CN"/>
              </w:rPr>
              <w:t>6</w:t>
            </w:r>
            <w:r>
              <w:rPr>
                <w:rFonts w:hint="default" w:ascii="Times New Roman" w:hAnsi="Times New Roman" w:cs="Times New Roman"/>
                <w:color w:val="auto"/>
                <w:kern w:val="0"/>
                <w:sz w:val="24"/>
                <w:szCs w:val="24"/>
                <w:highlight w:val="none"/>
              </w:rPr>
              <w:t>个，面积占比为</w:t>
            </w:r>
            <w:r>
              <w:rPr>
                <w:rFonts w:hint="default" w:ascii="Times New Roman" w:hAnsi="Times New Roman" w:cs="Times New Roman"/>
                <w:color w:val="auto"/>
                <w:kern w:val="0"/>
                <w:sz w:val="24"/>
                <w:szCs w:val="24"/>
                <w:highlight w:val="none"/>
                <w:lang w:val="en-US" w:eastAsia="zh-CN"/>
              </w:rPr>
              <w:t>28.1</w:t>
            </w:r>
            <w:r>
              <w:rPr>
                <w:rFonts w:hint="default" w:ascii="Times New Roman" w:hAnsi="Times New Roman" w:cs="Times New Roman"/>
                <w:color w:val="auto"/>
                <w:kern w:val="0"/>
                <w:sz w:val="24"/>
                <w:szCs w:val="24"/>
                <w:highlight w:val="none"/>
              </w:rPr>
              <w:t>%，重点管控单元应不断提升资源利用效率，有针对性地加强污染物排放控制和环境风险防控，解决生态环境质量不达标、生态环境风险高等问题。</w:t>
            </w:r>
          </w:p>
          <w:p w14:paraId="7B79D555">
            <w:pPr>
              <w:autoSpaceDE w:val="0"/>
              <w:autoSpaceDN w:val="0"/>
              <w:adjustRightInd w:val="0"/>
              <w:snapToGrid w:val="0"/>
              <w:spacing w:line="360" w:lineRule="auto"/>
              <w:ind w:firstLine="480" w:firstLineChars="200"/>
              <w:jc w:val="left"/>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c、一般管控单元。共</w:t>
            </w:r>
            <w:r>
              <w:rPr>
                <w:rFonts w:hint="default" w:ascii="Times New Roman" w:hAnsi="Times New Roman" w:cs="Times New Roman"/>
                <w:color w:val="auto"/>
                <w:kern w:val="0"/>
                <w:sz w:val="24"/>
                <w:szCs w:val="24"/>
                <w:highlight w:val="none"/>
                <w:lang w:val="en-US" w:eastAsia="zh-CN"/>
              </w:rPr>
              <w:t>9</w:t>
            </w:r>
            <w:r>
              <w:rPr>
                <w:rFonts w:hint="default" w:ascii="Times New Roman" w:hAnsi="Times New Roman" w:cs="Times New Roman"/>
                <w:color w:val="auto"/>
                <w:kern w:val="0"/>
                <w:sz w:val="24"/>
                <w:szCs w:val="24"/>
                <w:highlight w:val="none"/>
              </w:rPr>
              <w:t>个，面积占比为</w:t>
            </w:r>
            <w:r>
              <w:rPr>
                <w:rFonts w:hint="default" w:ascii="Times New Roman" w:hAnsi="Times New Roman" w:cs="Times New Roman"/>
                <w:color w:val="auto"/>
                <w:kern w:val="0"/>
                <w:sz w:val="24"/>
                <w:szCs w:val="24"/>
                <w:highlight w:val="none"/>
                <w:lang w:val="en-US" w:eastAsia="zh-CN"/>
              </w:rPr>
              <w:t>7.56</w:t>
            </w:r>
            <w:r>
              <w:rPr>
                <w:rFonts w:hint="default" w:ascii="Times New Roman" w:hAnsi="Times New Roman" w:cs="Times New Roman"/>
                <w:color w:val="auto"/>
                <w:kern w:val="0"/>
                <w:sz w:val="24"/>
                <w:szCs w:val="24"/>
                <w:highlight w:val="none"/>
              </w:rPr>
              <w:t>%，优先保护单元、重点管控单元之外为一般管控单元。该区域主要落实生态环境保护基本要求。</w:t>
            </w:r>
          </w:p>
          <w:p w14:paraId="18CD4B10">
            <w:pPr>
              <w:autoSpaceDE w:val="0"/>
              <w:autoSpaceDN w:val="0"/>
              <w:adjustRightInd w:val="0"/>
              <w:snapToGrid w:val="0"/>
              <w:spacing w:line="360" w:lineRule="auto"/>
              <w:ind w:firstLine="480" w:firstLineChars="200"/>
              <w:jc w:val="left"/>
              <w:rPr>
                <w:rFonts w:hint="eastAsia"/>
                <w:color w:val="auto"/>
                <w:sz w:val="24"/>
                <w:highlight w:val="none"/>
              </w:rPr>
            </w:pPr>
            <w:r>
              <w:rPr>
                <w:rFonts w:hint="default" w:ascii="Times New Roman" w:hAnsi="Times New Roman" w:cs="Times New Roman"/>
                <w:color w:val="auto"/>
                <w:kern w:val="0"/>
                <w:sz w:val="24"/>
                <w:szCs w:val="24"/>
                <w:highlight w:val="none"/>
              </w:rPr>
              <w:t>本项目建设地点位于</w:t>
            </w:r>
            <w:r>
              <w:rPr>
                <w:rFonts w:hint="default" w:ascii="Times New Roman" w:hAnsi="Times New Roman" w:cs="Times New Roman"/>
                <w:color w:val="auto"/>
                <w:sz w:val="24"/>
                <w:highlight w:val="none"/>
              </w:rPr>
              <w:t>伊金霍洛旗伊金霍洛镇壕赖村5社商砼园区23号地块</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sz w:val="24"/>
                <w:szCs w:val="24"/>
                <w:highlight w:val="none"/>
                <w:lang w:eastAsia="zh-CN"/>
              </w:rPr>
              <w:t>对照鄂尔多斯市生态环境</w:t>
            </w:r>
            <w:r>
              <w:rPr>
                <w:rFonts w:hint="eastAsia" w:cs="Times New Roman"/>
                <w:color w:val="auto"/>
                <w:sz w:val="24"/>
                <w:szCs w:val="24"/>
                <w:highlight w:val="none"/>
                <w:lang w:val="en-US" w:eastAsia="zh-CN"/>
              </w:rPr>
              <w:t>分区</w:t>
            </w:r>
            <w:r>
              <w:rPr>
                <w:rFonts w:hint="default" w:ascii="Times New Roman" w:hAnsi="Times New Roman" w:cs="Times New Roman"/>
                <w:color w:val="auto"/>
                <w:sz w:val="24"/>
                <w:szCs w:val="24"/>
                <w:highlight w:val="none"/>
                <w:lang w:eastAsia="zh-CN"/>
              </w:rPr>
              <w:t>管控图</w:t>
            </w:r>
            <w:r>
              <w:rPr>
                <w:rFonts w:hint="default" w:ascii="Times New Roman" w:hAnsi="Times New Roman" w:cs="Times New Roman"/>
                <w:color w:val="auto"/>
                <w:kern w:val="0"/>
                <w:sz w:val="24"/>
                <w:szCs w:val="24"/>
                <w:highlight w:val="none"/>
              </w:rPr>
              <w:t>，本项目</w:t>
            </w:r>
            <w:r>
              <w:rPr>
                <w:rFonts w:hint="eastAsia" w:ascii="Times New Roman" w:hAnsi="Times New Roman" w:cs="Times New Roman"/>
                <w:color w:val="auto"/>
                <w:kern w:val="0"/>
                <w:sz w:val="24"/>
                <w:szCs w:val="24"/>
                <w:highlight w:val="none"/>
                <w:lang w:val="en-US" w:eastAsia="zh-CN"/>
              </w:rPr>
              <w:t>压覆了伊金霍洛旗一般管控区，管控单元编号ZH15062730001</w:t>
            </w:r>
            <w:r>
              <w:rPr>
                <w:rFonts w:hint="default" w:ascii="Times New Roman" w:hAnsi="Times New Roman" w:cs="Times New Roman"/>
                <w:color w:val="auto"/>
                <w:kern w:val="0"/>
                <w:sz w:val="24"/>
                <w:szCs w:val="24"/>
                <w:highlight w:val="none"/>
              </w:rPr>
              <w:t>。项目污染物产排量较小、环境风险较低，符合生态保护红线要求。</w:t>
            </w:r>
          </w:p>
          <w:p w14:paraId="1356E26C">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sz w:val="24"/>
                <w:szCs w:val="24"/>
                <w:highlight w:val="none"/>
                <w:lang w:val="en-US" w:eastAsia="zh-CN"/>
              </w:rPr>
              <w:t>②</w:t>
            </w:r>
            <w:r>
              <w:rPr>
                <w:rFonts w:hint="default" w:ascii="Times New Roman" w:hAnsi="Times New Roman" w:cs="Times New Roman"/>
                <w:color w:val="auto"/>
                <w:sz w:val="24"/>
                <w:szCs w:val="24"/>
                <w:highlight w:val="none"/>
                <w:lang w:val="en-US" w:eastAsia="zh-CN"/>
              </w:rPr>
              <w:t>环</w:t>
            </w:r>
            <w:r>
              <w:rPr>
                <w:rFonts w:hint="default" w:ascii="Times New Roman" w:hAnsi="Times New Roman" w:cs="Times New Roman"/>
                <w:color w:val="auto"/>
                <w:kern w:val="0"/>
                <w:sz w:val="24"/>
                <w:szCs w:val="24"/>
                <w:highlight w:val="none"/>
              </w:rPr>
              <w:t>境质量底线</w:t>
            </w:r>
          </w:p>
          <w:p w14:paraId="55338298">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“环境质量底线”是国家和地方设置的大气、水和土壤环境质量目标，也是改善环境质量的基准线。</w:t>
            </w:r>
          </w:p>
          <w:p w14:paraId="37ACFDD5">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本项目所在区域大气环境质量满足《环境空气质量标准》（GB3095-20</w:t>
            </w:r>
            <w:r>
              <w:rPr>
                <w:rFonts w:hint="eastAsia" w:cs="Times New Roman"/>
                <w:color w:val="auto"/>
                <w:kern w:val="0"/>
                <w:sz w:val="24"/>
                <w:szCs w:val="24"/>
                <w:highlight w:val="none"/>
                <w:lang w:val="en-US" w:eastAsia="zh-CN"/>
              </w:rPr>
              <w:t>26</w:t>
            </w:r>
            <w:r>
              <w:rPr>
                <w:rFonts w:hint="default" w:ascii="Times New Roman" w:hAnsi="Times New Roman" w:cs="Times New Roman"/>
                <w:color w:val="auto"/>
                <w:kern w:val="0"/>
                <w:sz w:val="24"/>
                <w:szCs w:val="24"/>
                <w:highlight w:val="none"/>
              </w:rPr>
              <w:t>）二级的要求；声环境质量满足《声环境质量标准》（GB3096-2008）</w:t>
            </w:r>
            <w:r>
              <w:rPr>
                <w:rFonts w:hint="eastAsia" w:ascii="Times New Roman" w:hAnsi="Times New Roman"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类标准。项目运营期大气污染物排放主要为</w:t>
            </w:r>
            <w:r>
              <w:rPr>
                <w:rFonts w:hint="eastAsia" w:ascii="宋体" w:hAnsi="宋体" w:cs="宋体"/>
                <w:bCs/>
                <w:color w:val="auto"/>
                <w:sz w:val="24"/>
                <w:highlight w:val="none"/>
              </w:rPr>
              <w:t>砂石存储及</w:t>
            </w:r>
            <w:r>
              <w:rPr>
                <w:rFonts w:hint="eastAsia" w:ascii="宋体" w:hAnsi="宋体" w:cs="宋体"/>
                <w:bCs/>
                <w:color w:val="auto"/>
                <w:sz w:val="24"/>
                <w:highlight w:val="none"/>
                <w:lang w:val="en-US" w:eastAsia="zh-CN"/>
              </w:rPr>
              <w:t>装卸</w:t>
            </w:r>
            <w:r>
              <w:rPr>
                <w:rFonts w:hint="eastAsia" w:ascii="宋体" w:hAnsi="宋体" w:cs="宋体"/>
                <w:bCs/>
                <w:color w:val="auto"/>
                <w:sz w:val="24"/>
                <w:highlight w:val="none"/>
              </w:rPr>
              <w:t>粉尘</w:t>
            </w:r>
            <w:r>
              <w:rPr>
                <w:rFonts w:hint="eastAsia" w:ascii="宋体" w:hAnsi="宋体" w:cs="宋体"/>
                <w:bCs/>
                <w:color w:val="auto"/>
                <w:sz w:val="24"/>
                <w:highlight w:val="none"/>
                <w:lang w:eastAsia="zh-CN"/>
              </w:rPr>
              <w:t>、</w:t>
            </w:r>
            <w:r>
              <w:rPr>
                <w:rFonts w:hint="eastAsia" w:ascii="宋体" w:hAnsi="宋体"/>
                <w:bCs/>
                <w:color w:val="auto"/>
                <w:sz w:val="24"/>
                <w:highlight w:val="none"/>
              </w:rPr>
              <w:t>粉料筒仓呼吸孔粉尘、</w:t>
            </w:r>
            <w:r>
              <w:rPr>
                <w:rFonts w:ascii="宋体" w:hAnsi="宋体" w:cs="宋体"/>
                <w:bCs/>
                <w:color w:val="auto"/>
                <w:sz w:val="24"/>
                <w:highlight w:val="none"/>
              </w:rPr>
              <w:t>砂石</w:t>
            </w:r>
            <w:r>
              <w:rPr>
                <w:rFonts w:hint="eastAsia" w:ascii="宋体" w:hAnsi="宋体"/>
                <w:bCs/>
                <w:color w:val="auto"/>
                <w:sz w:val="24"/>
                <w:highlight w:val="none"/>
              </w:rPr>
              <w:t>配料输送扬尘、搅拌粉尘、运输车辆动力起尘</w:t>
            </w:r>
            <w:r>
              <w:rPr>
                <w:rFonts w:hint="eastAsia" w:ascii="宋体" w:hAnsi="宋体"/>
                <w:bCs/>
                <w:color w:val="auto"/>
                <w:sz w:val="24"/>
                <w:highlight w:val="none"/>
                <w:lang w:val="en-US" w:eastAsia="zh-CN"/>
              </w:rPr>
              <w:t>以及危废暂存间废气，</w:t>
            </w:r>
            <w:r>
              <w:rPr>
                <w:rFonts w:hint="eastAsia" w:cs="Times New Roman"/>
                <w:color w:val="auto"/>
                <w:kern w:val="0"/>
                <w:sz w:val="24"/>
                <w:szCs w:val="24"/>
                <w:highlight w:val="none"/>
                <w:lang w:val="en-US" w:eastAsia="zh-CN"/>
              </w:rPr>
              <w:t>以上废气经相应治理措施处理后</w:t>
            </w:r>
            <w:r>
              <w:rPr>
                <w:rFonts w:hint="default" w:ascii="Times New Roman" w:hAnsi="Times New Roman" w:cs="Times New Roman"/>
                <w:color w:val="auto"/>
                <w:kern w:val="0"/>
                <w:sz w:val="24"/>
                <w:szCs w:val="24"/>
                <w:highlight w:val="none"/>
              </w:rPr>
              <w:t>排放</w:t>
            </w:r>
            <w:r>
              <w:rPr>
                <w:rFonts w:hint="eastAsia" w:cs="Times New Roman"/>
                <w:color w:val="auto"/>
                <w:kern w:val="0"/>
                <w:sz w:val="24"/>
                <w:szCs w:val="24"/>
                <w:highlight w:val="none"/>
                <w:lang w:val="en-US" w:eastAsia="zh-CN"/>
              </w:rPr>
              <w:t>量较小</w:t>
            </w:r>
            <w:r>
              <w:rPr>
                <w:rFonts w:hint="default" w:ascii="Times New Roman" w:hAnsi="Times New Roman" w:cs="Times New Roman"/>
                <w:color w:val="auto"/>
                <w:kern w:val="0"/>
                <w:sz w:val="24"/>
                <w:szCs w:val="24"/>
                <w:highlight w:val="none"/>
              </w:rPr>
              <w:t>；</w:t>
            </w:r>
            <w:r>
              <w:rPr>
                <w:rFonts w:hint="default" w:ascii="Times New Roman" w:hAnsi="Times New Roman" w:cs="Times New Roman"/>
                <w:bCs/>
                <w:color w:val="auto"/>
                <w:sz w:val="24"/>
                <w:highlight w:val="none"/>
              </w:rPr>
              <w:t>项目</w:t>
            </w:r>
            <w:r>
              <w:rPr>
                <w:rFonts w:hint="eastAsia" w:ascii="宋体" w:hAnsi="宋体"/>
                <w:bCs/>
                <w:color w:val="auto"/>
                <w:sz w:val="24"/>
                <w:highlight w:val="none"/>
              </w:rPr>
              <w:t>搅拌混合用水</w:t>
            </w:r>
            <w:r>
              <w:rPr>
                <w:rFonts w:ascii="宋体" w:hAnsi="宋体"/>
                <w:bCs/>
                <w:color w:val="auto"/>
                <w:sz w:val="24"/>
                <w:highlight w:val="none"/>
              </w:rPr>
              <w:t>全部进入产品，不外排</w:t>
            </w:r>
            <w:r>
              <w:rPr>
                <w:rFonts w:hint="eastAsia" w:ascii="宋体" w:hAnsi="宋体"/>
                <w:bCs/>
                <w:color w:val="auto"/>
                <w:sz w:val="24"/>
                <w:highlight w:val="none"/>
              </w:rPr>
              <w:t>；储料棚抑尘用</w:t>
            </w:r>
            <w:r>
              <w:rPr>
                <w:rFonts w:hint="eastAsia" w:ascii="宋体" w:hAnsi="宋体"/>
                <w:color w:val="auto"/>
                <w:sz w:val="24"/>
                <w:highlight w:val="none"/>
              </w:rPr>
              <w:t>水</w:t>
            </w:r>
            <w:r>
              <w:rPr>
                <w:rFonts w:hint="eastAsia" w:ascii="宋体" w:hAnsi="宋体"/>
                <w:color w:val="auto"/>
                <w:sz w:val="24"/>
                <w:highlight w:val="none"/>
                <w:lang w:eastAsia="zh-CN"/>
              </w:rPr>
              <w:t>、</w:t>
            </w:r>
            <w:r>
              <w:rPr>
                <w:rFonts w:hint="eastAsia" w:cs="Times New Roman"/>
                <w:bCs/>
                <w:color w:val="auto"/>
                <w:sz w:val="24"/>
                <w:highlight w:val="none"/>
                <w:lang w:val="en-US" w:eastAsia="zh-CN"/>
              </w:rPr>
              <w:t>厂区道路、工业广场抑尘用水</w:t>
            </w:r>
            <w:r>
              <w:rPr>
                <w:rFonts w:hint="eastAsia" w:ascii="宋体" w:hAnsi="宋体"/>
                <w:bCs/>
                <w:color w:val="auto"/>
                <w:sz w:val="24"/>
                <w:highlight w:val="none"/>
              </w:rPr>
              <w:t>全部自然蒸发，不外排；</w:t>
            </w:r>
            <w:r>
              <w:rPr>
                <w:rFonts w:hint="eastAsia" w:ascii="宋体" w:hAnsi="宋体"/>
                <w:bCs/>
                <w:color w:val="auto"/>
                <w:sz w:val="24"/>
                <w:highlight w:val="none"/>
                <w:lang w:val="en-US" w:eastAsia="zh-CN"/>
              </w:rPr>
              <w:t>搅拌罐清洗废水、</w:t>
            </w:r>
            <w:r>
              <w:rPr>
                <w:rFonts w:hint="eastAsia" w:ascii="宋体" w:hAnsi="宋体" w:cs="宋体"/>
                <w:bCs/>
                <w:color w:val="auto"/>
                <w:sz w:val="24"/>
                <w:highlight w:val="none"/>
                <w:lang w:val="en-US" w:eastAsia="zh-CN"/>
              </w:rPr>
              <w:t>混凝土罐车清洗废水、</w:t>
            </w:r>
            <w:r>
              <w:rPr>
                <w:rFonts w:ascii="宋体" w:hAnsi="宋体"/>
                <w:bCs/>
                <w:color w:val="auto"/>
                <w:sz w:val="24"/>
                <w:highlight w:val="none"/>
              </w:rPr>
              <w:t>运输车辆清洗废水、实验室废水</w:t>
            </w:r>
            <w:r>
              <w:rPr>
                <w:rFonts w:hint="eastAsia" w:ascii="宋体" w:hAnsi="宋体"/>
                <w:bCs/>
                <w:color w:val="auto"/>
                <w:sz w:val="24"/>
                <w:highlight w:val="none"/>
              </w:rPr>
              <w:t>经</w:t>
            </w:r>
            <w:r>
              <w:rPr>
                <w:rFonts w:hint="eastAsia" w:ascii="宋体" w:hAnsi="宋体"/>
                <w:bCs/>
                <w:color w:val="auto"/>
                <w:sz w:val="24"/>
                <w:highlight w:val="none"/>
                <w:lang w:val="en-US" w:eastAsia="zh-CN"/>
              </w:rPr>
              <w:t>沉淀池处理后</w:t>
            </w:r>
            <w:r>
              <w:rPr>
                <w:rFonts w:hint="eastAsia" w:ascii="宋体" w:hAnsi="宋体"/>
                <w:bCs/>
                <w:color w:val="auto"/>
                <w:sz w:val="24"/>
                <w:highlight w:val="none"/>
              </w:rPr>
              <w:t>回用于生产，不外排</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生活污水</w:t>
            </w:r>
            <w:r>
              <w:rPr>
                <w:rFonts w:hint="eastAsia" w:cs="Times New Roman"/>
                <w:color w:val="auto"/>
                <w:kern w:val="0"/>
                <w:sz w:val="24"/>
                <w:szCs w:val="24"/>
                <w:highlight w:val="none"/>
                <w:lang w:val="en-US" w:eastAsia="zh-CN"/>
              </w:rPr>
              <w:t>经化粪池收集后定期运至阿镇污水处理厂处理</w:t>
            </w:r>
            <w:r>
              <w:rPr>
                <w:rFonts w:hint="default" w:ascii="Times New Roman" w:hAnsi="Times New Roman" w:cs="Times New Roman"/>
                <w:color w:val="auto"/>
                <w:kern w:val="0"/>
                <w:sz w:val="24"/>
                <w:szCs w:val="24"/>
                <w:highlight w:val="none"/>
                <w:lang w:val="en-US" w:eastAsia="zh-CN"/>
              </w:rPr>
              <w:t>，不外排</w:t>
            </w:r>
            <w:r>
              <w:rPr>
                <w:rFonts w:hint="default" w:ascii="Times New Roman" w:hAnsi="Times New Roman" w:cs="Times New Roman"/>
                <w:color w:val="auto"/>
                <w:kern w:val="0"/>
                <w:sz w:val="24"/>
                <w:szCs w:val="24"/>
                <w:highlight w:val="none"/>
              </w:rPr>
              <w:t>；故本项目的建设不会降低当地的环境质量，不会对周围环境造成不良影响。</w:t>
            </w:r>
          </w:p>
          <w:p w14:paraId="60489844">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综上所述，本项目建设符合环境质量底线要求。</w:t>
            </w:r>
          </w:p>
          <w:p w14:paraId="0C084DFC">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sz w:val="24"/>
                <w:szCs w:val="24"/>
                <w:highlight w:val="none"/>
                <w:lang w:val="en-US" w:eastAsia="zh-CN"/>
              </w:rPr>
              <w:t>③</w:t>
            </w:r>
            <w:r>
              <w:rPr>
                <w:rFonts w:hint="default" w:ascii="Times New Roman" w:hAnsi="Times New Roman" w:cs="Times New Roman"/>
                <w:color w:val="auto"/>
                <w:sz w:val="24"/>
                <w:szCs w:val="24"/>
                <w:highlight w:val="none"/>
                <w:lang w:eastAsia="zh-CN"/>
              </w:rPr>
              <w:t>资</w:t>
            </w:r>
            <w:r>
              <w:rPr>
                <w:rFonts w:hint="default" w:ascii="Times New Roman" w:hAnsi="Times New Roman" w:cs="Times New Roman"/>
                <w:color w:val="auto"/>
                <w:kern w:val="0"/>
                <w:sz w:val="24"/>
                <w:szCs w:val="24"/>
                <w:highlight w:val="none"/>
              </w:rPr>
              <w:t>源利用上线</w:t>
            </w:r>
          </w:p>
          <w:p w14:paraId="12D231B4">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按照自然资源资产</w:t>
            </w:r>
            <w:r>
              <w:rPr>
                <w:rFonts w:hint="eastAsia"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只能增值、不能</w:t>
            </w:r>
            <w:r>
              <w:rPr>
                <w:rFonts w:hint="eastAsia" w:cs="Times New Roman"/>
                <w:color w:val="auto"/>
                <w:kern w:val="0"/>
                <w:sz w:val="24"/>
                <w:szCs w:val="24"/>
                <w:highlight w:val="none"/>
                <w:lang w:eastAsia="zh-CN"/>
              </w:rPr>
              <w:t>贬值</w:t>
            </w:r>
            <w:r>
              <w:rPr>
                <w:rFonts w:hint="eastAsia"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的原则，以保障生态安全和改善环境质量为目的，参考自然资源资产负债表，结合自然资源开发利用效率，提出分区域分阶段的资源开发利用总量、强度、效率等上线管控要求。</w:t>
            </w:r>
          </w:p>
          <w:p w14:paraId="56ED0889">
            <w:pPr>
              <w:autoSpaceDE w:val="0"/>
              <w:autoSpaceDN w:val="0"/>
              <w:adjustRightInd w:val="0"/>
              <w:snapToGrid w:val="0"/>
              <w:spacing w:line="360" w:lineRule="auto"/>
              <w:ind w:firstLine="480" w:firstLineChars="200"/>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本项目运营期会消耗一定量的水电资源，不会突破当地资源利用上线。</w:t>
            </w:r>
          </w:p>
          <w:p w14:paraId="6EBBFD72">
            <w:pPr>
              <w:numPr>
                <w:ilvl w:val="0"/>
                <w:numId w:val="0"/>
              </w:numPr>
              <w:autoSpaceDE w:val="0"/>
              <w:autoSpaceDN w:val="0"/>
              <w:adjustRightInd w:val="0"/>
              <w:snapToGrid w:val="0"/>
              <w:spacing w:line="360" w:lineRule="auto"/>
              <w:ind w:left="420" w:leftChars="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④生态环境准入清单</w:t>
            </w:r>
          </w:p>
          <w:p w14:paraId="5BA6FD3A">
            <w:pPr>
              <w:pStyle w:val="10"/>
              <w:keepNext w:val="0"/>
              <w:keepLines w:val="0"/>
              <w:pageBreakBefore w:val="0"/>
              <w:widowControl w:val="0"/>
              <w:kinsoku/>
              <w:wordWrap/>
              <w:overflowPunct/>
              <w:topLinePunct w:val="0"/>
              <w:bidi w:val="0"/>
              <w:spacing w:after="0" w:line="360" w:lineRule="auto"/>
              <w:ind w:firstLine="480" w:firstLineChars="200"/>
              <w:jc w:val="left"/>
              <w:textAlignment w:val="auto"/>
              <w:rPr>
                <w:rFonts w:hint="eastAsia"/>
                <w:color w:val="auto"/>
                <w:sz w:val="24"/>
                <w:szCs w:val="24"/>
                <w:highlight w:val="none"/>
              </w:rPr>
            </w:pPr>
            <w:r>
              <w:rPr>
                <w:rFonts w:hint="default" w:ascii="Times New Roman" w:hAnsi="Times New Roman" w:cs="Times New Roman"/>
                <w:color w:val="auto"/>
                <w:kern w:val="0"/>
                <w:sz w:val="24"/>
                <w:szCs w:val="24"/>
                <w:highlight w:val="none"/>
              </w:rPr>
              <w:t>根据鄂尔多斯市生态环境局发布</w:t>
            </w:r>
            <w:r>
              <w:rPr>
                <w:rFonts w:hint="default" w:ascii="Times New Roman" w:hAnsi="Times New Roman" w:cs="Times New Roman"/>
                <w:color w:val="auto"/>
                <w:kern w:val="0"/>
                <w:sz w:val="24"/>
                <w:highlight w:val="none"/>
              </w:rPr>
              <w:t>《鄂尔多斯市生态环境分区管控动态更新成果</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2023年版</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》的通知（2024年8月6日）</w:t>
            </w:r>
            <w:r>
              <w:rPr>
                <w:rFonts w:hint="default" w:ascii="Times New Roman" w:hAnsi="Times New Roman" w:cs="Times New Roman"/>
                <w:color w:val="auto"/>
                <w:kern w:val="0"/>
                <w:sz w:val="24"/>
                <w:highlight w:val="none"/>
                <w:lang w:eastAsia="zh-CN"/>
              </w:rPr>
              <w:t>及《</w:t>
            </w:r>
            <w:r>
              <w:rPr>
                <w:rFonts w:hint="default" w:ascii="Times New Roman" w:hAnsi="Times New Roman" w:cs="Times New Roman"/>
                <w:color w:val="auto"/>
                <w:kern w:val="0"/>
                <w:sz w:val="24"/>
                <w:highlight w:val="none"/>
              </w:rPr>
              <w:t>鄂尔多斯市生态环境分区管控动态更新成果</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2023年版</w:t>
            </w:r>
            <w:r>
              <w:rPr>
                <w:rFonts w:hint="eastAsia"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文本</w:t>
            </w:r>
            <w:r>
              <w:rPr>
                <w:rFonts w:hint="default" w:ascii="Times New Roman" w:hAnsi="Times New Roman" w:cs="Times New Roman"/>
                <w:color w:val="auto"/>
                <w:kern w:val="0"/>
                <w:sz w:val="24"/>
                <w:szCs w:val="24"/>
                <w:highlight w:val="none"/>
              </w:rPr>
              <w:t>，本项目所在区域为</w:t>
            </w:r>
            <w:r>
              <w:rPr>
                <w:rFonts w:hint="eastAsia" w:ascii="Times New Roman" w:hAnsi="Times New Roman" w:cs="Times New Roman"/>
                <w:color w:val="auto"/>
                <w:kern w:val="0"/>
                <w:sz w:val="24"/>
                <w:szCs w:val="24"/>
                <w:highlight w:val="none"/>
                <w:lang w:val="en-US" w:eastAsia="zh-CN"/>
              </w:rPr>
              <w:t>伊金霍洛旗一般管控区</w:t>
            </w:r>
            <w:r>
              <w:rPr>
                <w:rFonts w:hint="default"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一般</w:t>
            </w:r>
            <w:r>
              <w:rPr>
                <w:rFonts w:hint="default" w:ascii="Times New Roman" w:hAnsi="Times New Roman" w:cs="Times New Roman"/>
                <w:color w:val="auto"/>
                <w:kern w:val="0"/>
                <w:sz w:val="24"/>
                <w:szCs w:val="24"/>
                <w:highlight w:val="none"/>
              </w:rPr>
              <w:t>管控单元</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sz w:val="24"/>
                <w:szCs w:val="24"/>
                <w:highlight w:val="none"/>
                <w:lang w:eastAsia="zh-CN"/>
              </w:rPr>
              <w:t>编码</w:t>
            </w:r>
            <w:r>
              <w:rPr>
                <w:rFonts w:hint="eastAsia" w:ascii="Times New Roman" w:hAnsi="Times New Roman" w:cs="Times New Roman"/>
                <w:color w:val="auto"/>
                <w:sz w:val="24"/>
                <w:szCs w:val="24"/>
                <w:highlight w:val="none"/>
                <w:lang w:val="en-US" w:eastAsia="zh-CN"/>
              </w:rPr>
              <w:t>分别</w:t>
            </w:r>
            <w:r>
              <w:rPr>
                <w:rFonts w:hint="default" w:ascii="Times New Roman" w:hAnsi="Times New Roman" w:cs="Times New Roman"/>
                <w:color w:val="auto"/>
                <w:sz w:val="24"/>
                <w:szCs w:val="24"/>
                <w:highlight w:val="none"/>
                <w:lang w:val="en-US" w:eastAsia="zh-CN"/>
              </w:rPr>
              <w:t>为</w:t>
            </w:r>
            <w:r>
              <w:rPr>
                <w:rFonts w:hint="eastAsia" w:ascii="Times New Roman" w:hAnsi="Times New Roman" w:cs="Times New Roman"/>
                <w:color w:val="auto"/>
                <w:kern w:val="0"/>
                <w:sz w:val="24"/>
                <w:szCs w:val="24"/>
                <w:highlight w:val="none"/>
                <w:lang w:val="en-US" w:eastAsia="zh-CN"/>
              </w:rPr>
              <w:t>ZH15062730001</w:t>
            </w:r>
            <w:r>
              <w:rPr>
                <w:rFonts w:hint="default" w:ascii="Times New Roman" w:hAnsi="Times New Roman" w:cs="Times New Roman"/>
                <w:color w:val="auto"/>
                <w:kern w:val="0"/>
                <w:sz w:val="24"/>
                <w:szCs w:val="24"/>
                <w:highlight w:val="none"/>
              </w:rPr>
              <w:t>，</w:t>
            </w:r>
            <w:r>
              <w:rPr>
                <w:rFonts w:hint="eastAsia"/>
                <w:color w:val="auto"/>
                <w:sz w:val="24"/>
                <w:szCs w:val="24"/>
                <w:highlight w:val="none"/>
                <w:lang w:val="en-US" w:eastAsia="zh-CN"/>
              </w:rPr>
              <w:t>本项目与该管控单元的管控要求符合性分析见表1-1。</w:t>
            </w:r>
          </w:p>
          <w:p w14:paraId="42D992AC">
            <w:pPr>
              <w:pStyle w:val="10"/>
              <w:keepNext w:val="0"/>
              <w:keepLines w:val="0"/>
              <w:pageBreakBefore w:val="0"/>
              <w:widowControl w:val="0"/>
              <w:kinsoku/>
              <w:wordWrap/>
              <w:overflowPunct/>
              <w:topLinePunct w:val="0"/>
              <w:bidi w:val="0"/>
              <w:spacing w:after="0" w:line="240" w:lineRule="auto"/>
              <w:jc w:val="center"/>
              <w:textAlignment w:val="auto"/>
              <w:rPr>
                <w:rFonts w:hint="eastAsia"/>
                <w:color w:val="auto"/>
                <w:sz w:val="24"/>
                <w:szCs w:val="24"/>
                <w:highlight w:val="none"/>
                <w:lang w:val="en-US"/>
              </w:rPr>
            </w:pPr>
            <w:r>
              <w:rPr>
                <w:rFonts w:hint="eastAsia"/>
                <w:color w:val="auto"/>
                <w:sz w:val="24"/>
                <w:szCs w:val="24"/>
                <w:highlight w:val="none"/>
              </w:rPr>
              <w:t>表</w:t>
            </w:r>
            <w:r>
              <w:rPr>
                <w:rFonts w:hint="eastAsia"/>
                <w:color w:val="auto"/>
                <w:sz w:val="24"/>
                <w:szCs w:val="24"/>
                <w:highlight w:val="none"/>
                <w:lang w:val="en-US" w:eastAsia="zh-CN"/>
              </w:rPr>
              <w:t>1-1本项目与管控单元的管控要求符合性分析一览表</w:t>
            </w:r>
          </w:p>
          <w:tbl>
            <w:tblPr>
              <w:tblStyle w:val="23"/>
              <w:tblW w:w="4995" w:type="pct"/>
              <w:jc w:val="center"/>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959"/>
              <w:gridCol w:w="733"/>
              <w:gridCol w:w="466"/>
              <w:gridCol w:w="2370"/>
              <w:gridCol w:w="1349"/>
            </w:tblGrid>
            <w:tr w14:paraId="7E9AB40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pct"/>
                  <w:tcBorders>
                    <w:tl2br w:val="nil"/>
                    <w:tr2bl w:val="nil"/>
                  </w:tcBorders>
                  <w:vAlign w:val="center"/>
                </w:tcPr>
                <w:p w14:paraId="61495CDE">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707" w:type="pct"/>
                  <w:tcBorders>
                    <w:tl2br w:val="nil"/>
                    <w:tr2bl w:val="nil"/>
                  </w:tcBorders>
                  <w:vAlign w:val="center"/>
                </w:tcPr>
                <w:p w14:paraId="47799C01">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540" w:type="pct"/>
                  <w:tcBorders>
                    <w:tl2br w:val="nil"/>
                    <w:tr2bl w:val="nil"/>
                  </w:tcBorders>
                  <w:vAlign w:val="center"/>
                </w:tcPr>
                <w:p w14:paraId="16968CBD">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lang w:val="en-US" w:eastAsia="zh-CN" w:bidi="ar"/>
                    </w:rPr>
                    <w:t>管控单元类别</w:t>
                  </w:r>
                </w:p>
              </w:tc>
              <w:tc>
                <w:tcPr>
                  <w:tcW w:w="2090" w:type="pct"/>
                  <w:gridSpan w:val="2"/>
                  <w:tcBorders>
                    <w:tl2br w:val="nil"/>
                    <w:tr2bl w:val="nil"/>
                  </w:tcBorders>
                  <w:vAlign w:val="center"/>
                </w:tcPr>
                <w:p w14:paraId="4DADFD28">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994" w:type="pct"/>
                  <w:tcBorders>
                    <w:tl2br w:val="nil"/>
                    <w:tr2bl w:val="nil"/>
                  </w:tcBorders>
                  <w:vAlign w:val="center"/>
                </w:tcPr>
                <w:p w14:paraId="46EC5512">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对照分析</w:t>
                  </w:r>
                </w:p>
              </w:tc>
            </w:tr>
            <w:tr w14:paraId="21716BE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pct"/>
                  <w:vMerge w:val="restart"/>
                  <w:tcBorders>
                    <w:tl2br w:val="nil"/>
                    <w:tr2bl w:val="nil"/>
                  </w:tcBorders>
                  <w:vAlign w:val="center"/>
                </w:tcPr>
                <w:p w14:paraId="31E377A2">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ZH15062730001</w:t>
                  </w:r>
                </w:p>
              </w:tc>
              <w:tc>
                <w:tcPr>
                  <w:tcW w:w="707" w:type="pct"/>
                  <w:vMerge w:val="restart"/>
                  <w:tcBorders>
                    <w:tl2br w:val="nil"/>
                    <w:tr2bl w:val="nil"/>
                  </w:tcBorders>
                  <w:vAlign w:val="center"/>
                </w:tcPr>
                <w:p w14:paraId="3567BC07">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伊金霍洛旗一般管控区</w:t>
                  </w:r>
                </w:p>
              </w:tc>
              <w:tc>
                <w:tcPr>
                  <w:tcW w:w="540" w:type="pct"/>
                  <w:vMerge w:val="restart"/>
                  <w:tcBorders>
                    <w:tl2br w:val="nil"/>
                    <w:tr2bl w:val="nil"/>
                  </w:tcBorders>
                  <w:vAlign w:val="center"/>
                </w:tcPr>
                <w:p w14:paraId="543D7521">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一般管控单元</w:t>
                  </w:r>
                </w:p>
              </w:tc>
              <w:tc>
                <w:tcPr>
                  <w:tcW w:w="343" w:type="pct"/>
                  <w:tcBorders>
                    <w:tl2br w:val="nil"/>
                    <w:tr2bl w:val="nil"/>
                  </w:tcBorders>
                  <w:vAlign w:val="center"/>
                </w:tcPr>
                <w:p w14:paraId="5868D54B">
                  <w:pPr>
                    <w:spacing w:line="240" w:lineRule="auto"/>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空间布局约束</w:t>
                  </w:r>
                </w:p>
              </w:tc>
              <w:tc>
                <w:tcPr>
                  <w:tcW w:w="1747" w:type="pct"/>
                  <w:tcBorders>
                    <w:tl2br w:val="nil"/>
                    <w:tr2bl w:val="nil"/>
                  </w:tcBorders>
                  <w:vAlign w:val="center"/>
                </w:tcPr>
                <w:p w14:paraId="7FF51C16">
                  <w:pPr>
                    <w:keepNext w:val="0"/>
                    <w:keepLines w:val="0"/>
                    <w:widowControl/>
                    <w:suppressLineNumbers w:val="0"/>
                    <w:spacing w:line="240" w:lineRule="auto"/>
                    <w:jc w:val="left"/>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永久基本农田一经划定，任何单位和个人不得擅自占用或改变用途。禁止任何单位和个人破坏永久基本农田耕作层。对永久基本农田实行严格保护，确保其面积不减少、土壤环境质量不下降，除法律规定的重点建设项目选址确实无法避让外，其他任何建设不得占用。</w:t>
                  </w:r>
                </w:p>
              </w:tc>
              <w:tc>
                <w:tcPr>
                  <w:tcW w:w="994" w:type="pct"/>
                  <w:tcBorders>
                    <w:tl2br w:val="nil"/>
                    <w:tr2bl w:val="nil"/>
                  </w:tcBorders>
                  <w:vAlign w:val="center"/>
                </w:tcPr>
                <w:p w14:paraId="51EDC269">
                  <w:pPr>
                    <w:pStyle w:val="6"/>
                    <w:spacing w:line="240" w:lineRule="auto"/>
                    <w:ind w:left="0" w:leftChars="0" w:firstLine="0" w:firstLineChars="0"/>
                    <w:rPr>
                      <w:rFonts w:hint="default"/>
                      <w:color w:val="auto"/>
                      <w:highlight w:val="none"/>
                      <w:lang w:val="en-US" w:eastAsia="zh-CN"/>
                    </w:rPr>
                  </w:pPr>
                  <w:r>
                    <w:rPr>
                      <w:rFonts w:hint="eastAsia"/>
                      <w:color w:val="auto"/>
                      <w:highlight w:val="none"/>
                      <w:lang w:val="en-US" w:eastAsia="zh-CN"/>
                    </w:rPr>
                    <w:t>本项目位于伊金霍洛镇壕赖村5社商砼园区23号地块，土地类型为工业用地，不占用</w:t>
                  </w:r>
                  <w:r>
                    <w:rPr>
                      <w:rFonts w:hint="default" w:ascii="Times New Roman" w:hAnsi="Times New Roman" w:eastAsia="宋体" w:cs="Times New Roman"/>
                      <w:color w:val="auto"/>
                      <w:sz w:val="21"/>
                      <w:szCs w:val="21"/>
                      <w:highlight w:val="none"/>
                      <w:vertAlign w:val="baseline"/>
                      <w:lang w:val="en-US" w:eastAsia="zh-CN"/>
                    </w:rPr>
                    <w:t>基本农田</w:t>
                  </w:r>
                  <w:r>
                    <w:rPr>
                      <w:rFonts w:hint="eastAsia" w:ascii="Times New Roman" w:hAnsi="Times New Roman" w:cs="Times New Roman"/>
                      <w:color w:val="auto"/>
                      <w:sz w:val="21"/>
                      <w:szCs w:val="21"/>
                      <w:highlight w:val="none"/>
                      <w:vertAlign w:val="baseline"/>
                      <w:lang w:val="en-US" w:eastAsia="zh-CN"/>
                    </w:rPr>
                    <w:t>。</w:t>
                  </w:r>
                </w:p>
              </w:tc>
            </w:tr>
            <w:tr w14:paraId="3139830C">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7" w:type="pct"/>
                  <w:vMerge w:val="continue"/>
                  <w:tcBorders>
                    <w:tl2br w:val="nil"/>
                    <w:tr2bl w:val="nil"/>
                  </w:tcBorders>
                  <w:vAlign w:val="center"/>
                </w:tcPr>
                <w:p w14:paraId="1684305E">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p>
              </w:tc>
              <w:tc>
                <w:tcPr>
                  <w:tcW w:w="707" w:type="pct"/>
                  <w:vMerge w:val="continue"/>
                  <w:tcBorders>
                    <w:tl2br w:val="nil"/>
                    <w:tr2bl w:val="nil"/>
                  </w:tcBorders>
                  <w:vAlign w:val="center"/>
                </w:tcPr>
                <w:p w14:paraId="632671BC">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p>
              </w:tc>
              <w:tc>
                <w:tcPr>
                  <w:tcW w:w="540" w:type="pct"/>
                  <w:vMerge w:val="continue"/>
                  <w:tcBorders>
                    <w:tl2br w:val="nil"/>
                    <w:tr2bl w:val="nil"/>
                  </w:tcBorders>
                  <w:vAlign w:val="center"/>
                </w:tcPr>
                <w:p w14:paraId="1AF73F2D">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vertAlign w:val="baseline"/>
                      <w:lang w:val="en-US" w:eastAsia="zh-CN"/>
                    </w:rPr>
                  </w:pPr>
                </w:p>
              </w:tc>
              <w:tc>
                <w:tcPr>
                  <w:tcW w:w="343" w:type="pct"/>
                  <w:tcBorders>
                    <w:tl2br w:val="nil"/>
                    <w:tr2bl w:val="nil"/>
                  </w:tcBorders>
                  <w:vAlign w:val="center"/>
                </w:tcPr>
                <w:p w14:paraId="286B21E9">
                  <w:pPr>
                    <w:spacing w:line="240" w:lineRule="auto"/>
                    <w:jc w:val="center"/>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资源开发效率</w:t>
                  </w:r>
                </w:p>
              </w:tc>
              <w:tc>
                <w:tcPr>
                  <w:tcW w:w="1747" w:type="pct"/>
                  <w:tcBorders>
                    <w:tl2br w:val="nil"/>
                    <w:tr2bl w:val="nil"/>
                  </w:tcBorders>
                  <w:vAlign w:val="center"/>
                </w:tcPr>
                <w:p w14:paraId="52800AA1">
                  <w:pPr>
                    <w:keepNext w:val="0"/>
                    <w:keepLines w:val="0"/>
                    <w:widowControl/>
                    <w:suppressLineNumbers w:val="0"/>
                    <w:spacing w:line="240" w:lineRule="auto"/>
                    <w:jc w:val="left"/>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提高农业用水水平，井灌区配套低压管道输水等措施，大力推广以浅埋滴灌为主、喷灌为辅的节水设备和技术，引进培育优良作物品种、合理调整作物种植结构等农业措施。</w:t>
                  </w:r>
                </w:p>
              </w:tc>
              <w:tc>
                <w:tcPr>
                  <w:tcW w:w="994" w:type="pct"/>
                  <w:tcBorders>
                    <w:tl2br w:val="nil"/>
                    <w:tr2bl w:val="nil"/>
                  </w:tcBorders>
                  <w:vAlign w:val="center"/>
                </w:tcPr>
                <w:p w14:paraId="456674CF">
                  <w:pPr>
                    <w:pStyle w:val="6"/>
                    <w:spacing w:line="240" w:lineRule="auto"/>
                    <w:ind w:left="0" w:leftChars="0" w:firstLine="0" w:firstLineChars="0"/>
                    <w:rPr>
                      <w:rFonts w:hint="default"/>
                      <w:color w:val="auto"/>
                      <w:highlight w:val="none"/>
                      <w:lang w:val="en-US" w:eastAsia="zh-CN"/>
                    </w:rPr>
                  </w:pPr>
                  <w:r>
                    <w:rPr>
                      <w:rFonts w:hint="eastAsia"/>
                      <w:color w:val="auto"/>
                      <w:highlight w:val="none"/>
                      <w:lang w:val="en-US" w:eastAsia="zh-CN"/>
                    </w:rPr>
                    <w:t>本项目为水泥制品制造项目，不属于农业项目。</w:t>
                  </w:r>
                </w:p>
              </w:tc>
            </w:tr>
          </w:tbl>
          <w:p w14:paraId="0AE20D36">
            <w:pPr>
              <w:pStyle w:val="10"/>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color w:val="auto"/>
                <w:highlight w:val="none"/>
              </w:rPr>
            </w:pPr>
            <w:r>
              <w:rPr>
                <w:rFonts w:hint="eastAsia"/>
                <w:color w:val="auto"/>
                <w:sz w:val="24"/>
                <w:szCs w:val="24"/>
                <w:highlight w:val="none"/>
                <w:lang w:val="en-US" w:eastAsia="zh-CN"/>
              </w:rPr>
              <w:t>综上所述，本项目能够满足管控单元的管控要求，不属于所在管控单元</w:t>
            </w:r>
            <w:r>
              <w:rPr>
                <w:rFonts w:hint="eastAsia"/>
                <w:color w:val="auto"/>
                <w:sz w:val="24"/>
                <w:szCs w:val="24"/>
                <w:highlight w:val="none"/>
              </w:rPr>
              <w:t>中禁止准入的项目类型。因此本项目满足区域生态环境准入要求</w:t>
            </w:r>
            <w:r>
              <w:rPr>
                <w:rFonts w:hint="eastAsia"/>
                <w:color w:val="auto"/>
                <w:highlight w:val="none"/>
              </w:rPr>
              <w:t>。</w:t>
            </w:r>
          </w:p>
          <w:p w14:paraId="63262769">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4A905249">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670C7ABC">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5D9DD132">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089F3D0B">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7500F78C">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766E1853">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6483019B">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7D23E456">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color w:val="auto"/>
                <w:highlight w:val="none"/>
              </w:rPr>
            </w:pPr>
          </w:p>
          <w:p w14:paraId="2167B91D">
            <w:pPr>
              <w:pStyle w:val="10"/>
              <w:keepNext w:val="0"/>
              <w:keepLines w:val="0"/>
              <w:pageBreakBefore w:val="0"/>
              <w:widowControl w:val="0"/>
              <w:kinsoku/>
              <w:wordWrap/>
              <w:overflowPunct/>
              <w:topLinePunct w:val="0"/>
              <w:autoSpaceDE/>
              <w:autoSpaceDN/>
              <w:bidi w:val="0"/>
              <w:adjustRightInd/>
              <w:snapToGrid/>
              <w:spacing w:after="0" w:line="360" w:lineRule="auto"/>
              <w:ind w:firstLine="360" w:firstLineChars="200"/>
              <w:textAlignment w:val="auto"/>
              <w:rPr>
                <w:rFonts w:hint="default"/>
                <w:color w:val="auto"/>
                <w:highlight w:val="none"/>
              </w:rPr>
            </w:pPr>
          </w:p>
        </w:tc>
      </w:tr>
    </w:tbl>
    <w:p w14:paraId="5338C1FB">
      <w:pPr>
        <w:spacing w:line="360" w:lineRule="auto"/>
        <w:outlineLvl w:val="0"/>
        <w:rPr>
          <w:rFonts w:eastAsia="黑体"/>
          <w:color w:val="auto"/>
          <w:sz w:val="30"/>
          <w:highlight w:val="none"/>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7F5B497">
      <w:pPr>
        <w:pStyle w:val="19"/>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二、建设项目工程分析</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8833"/>
      </w:tblGrid>
      <w:tr w14:paraId="57BE65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06" w:hRule="atLeast"/>
          <w:jc w:val="center"/>
        </w:trPr>
        <w:tc>
          <w:tcPr>
            <w:tcW w:w="823" w:type="dxa"/>
            <w:noWrap w:val="0"/>
            <w:vAlign w:val="center"/>
          </w:tcPr>
          <w:p w14:paraId="70AD2EEC">
            <w:pPr>
              <w:pStyle w:val="19"/>
              <w:adjustRightInd w:val="0"/>
              <w:snapToGrid w:val="0"/>
              <w:spacing w:before="0" w:beforeAutospacing="0" w:after="0" w:afterAutospacing="0"/>
              <w:jc w:val="center"/>
              <w:rPr>
                <w:rFonts w:cs="宋体"/>
                <w:color w:val="auto"/>
                <w:szCs w:val="24"/>
                <w:highlight w:val="none"/>
              </w:rPr>
            </w:pPr>
            <w:r>
              <w:rPr>
                <w:rFonts w:hint="eastAsia" w:cs="宋体"/>
                <w:color w:val="auto"/>
                <w:szCs w:val="24"/>
                <w:highlight w:val="none"/>
              </w:rPr>
              <w:t>建设内容</w:t>
            </w:r>
          </w:p>
        </w:tc>
        <w:tc>
          <w:tcPr>
            <w:tcW w:w="8161" w:type="dxa"/>
            <w:noWrap w:val="0"/>
            <w:vAlign w:val="top"/>
          </w:tcPr>
          <w:p w14:paraId="213F8006">
            <w:pPr>
              <w:adjustRightInd w:val="0"/>
              <w:snapToGrid w:val="0"/>
              <w:spacing w:line="360" w:lineRule="auto"/>
              <w:ind w:firstLine="482" w:firstLineChars="200"/>
              <w:jc w:val="left"/>
              <w:rPr>
                <w:rFonts w:ascii="宋体" w:hAnsi="宋体" w:cs="宋体"/>
                <w:b/>
                <w:bCs/>
                <w:color w:val="auto"/>
                <w:sz w:val="24"/>
                <w:highlight w:val="none"/>
              </w:rPr>
            </w:pPr>
            <w:r>
              <w:rPr>
                <w:rFonts w:hint="eastAsia" w:ascii="宋体" w:hAnsi="宋体" w:cs="宋体"/>
                <w:b/>
                <w:bCs/>
                <w:color w:val="auto"/>
                <w:sz w:val="24"/>
                <w:highlight w:val="none"/>
              </w:rPr>
              <w:t>1</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项目背景</w:t>
            </w:r>
          </w:p>
          <w:p w14:paraId="71A46A1F">
            <w:pPr>
              <w:keepNext/>
              <w:keepLines/>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highlight w:val="none"/>
                <w:lang w:val="en-US" w:eastAsia="zh-CN"/>
              </w:rPr>
              <w:t>2023年5月，</w:t>
            </w:r>
            <w:r>
              <w:rPr>
                <w:rFonts w:hint="default" w:ascii="Times New Roman" w:hAnsi="Times New Roman" w:cs="Times New Roman"/>
                <w:color w:val="auto"/>
                <w:sz w:val="24"/>
                <w:highlight w:val="none"/>
              </w:rPr>
              <w:t>鄂尔多斯市蒙丰源实业有限责任公司</w:t>
            </w:r>
            <w:r>
              <w:rPr>
                <w:rFonts w:hint="eastAsia" w:ascii="Times New Roman" w:hAnsi="Times New Roman" w:cs="Times New Roman"/>
                <w:color w:val="auto"/>
                <w:sz w:val="24"/>
                <w:highlight w:val="none"/>
                <w:lang w:val="en-US" w:eastAsia="zh-CN"/>
              </w:rPr>
              <w:t>于</w:t>
            </w:r>
            <w:r>
              <w:rPr>
                <w:rFonts w:hint="default" w:ascii="Times New Roman" w:hAnsi="Times New Roman" w:cs="Times New Roman"/>
                <w:color w:val="auto"/>
                <w:sz w:val="24"/>
                <w:highlight w:val="none"/>
              </w:rPr>
              <w:t>伊金霍洛旗伊金霍洛镇壕赖村5社商砼园区23号地块</w:t>
            </w:r>
            <w:r>
              <w:rPr>
                <w:rFonts w:hint="eastAsia" w:ascii="Times New Roman" w:hAnsi="Times New Roman" w:cs="Times New Roman"/>
                <w:color w:val="auto"/>
                <w:sz w:val="24"/>
                <w:highlight w:val="none"/>
                <w:lang w:val="en-US" w:eastAsia="zh-CN"/>
              </w:rPr>
              <w:t>建设年产10万立方米预拌混凝土项目，并投产运行。</w:t>
            </w:r>
            <w:r>
              <w:rPr>
                <w:rFonts w:hint="eastAsia" w:cs="Times New Roman"/>
                <w:color w:val="auto"/>
                <w:sz w:val="24"/>
                <w:highlight w:val="none"/>
                <w:lang w:val="en-US" w:eastAsia="zh-CN"/>
              </w:rPr>
              <w:t>2024年6月27日</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highlight w:val="none"/>
                <w:lang w:val="en-US" w:eastAsia="zh-CN"/>
              </w:rPr>
              <w:t>鄂尔多斯市生态环境局出具了《鄂尔多斯市生态环境局行政处罚决定书》（鄂环罚〔2024〕5-35号），建设单位，建设单位已于2024年7月2日缴清了罚款。</w:t>
            </w:r>
          </w:p>
          <w:p w14:paraId="694330CA">
            <w:pPr>
              <w:keepNext/>
              <w:keepLines/>
              <w:adjustRightInd w:val="0"/>
              <w:snapToGrid w:val="0"/>
              <w:spacing w:line="360" w:lineRule="auto"/>
              <w:ind w:firstLine="480" w:firstLineChars="200"/>
              <w:rPr>
                <w:rFonts w:hint="default" w:ascii="Times New Roman" w:hAnsi="Times New Roman" w:cs="Times New Roman"/>
                <w:color w:val="auto"/>
                <w:sz w:val="24"/>
                <w:highlight w:val="none"/>
                <w:lang w:val="en-US" w:eastAsia="zh-CN"/>
              </w:rPr>
            </w:pPr>
            <w:r>
              <w:rPr>
                <w:rFonts w:hint="eastAsia" w:cs="Times New Roman"/>
                <w:color w:val="auto"/>
                <w:sz w:val="24"/>
                <w:szCs w:val="24"/>
                <w:highlight w:val="none"/>
                <w:lang w:val="en-US" w:eastAsia="zh-CN"/>
              </w:rPr>
              <w:t>现</w:t>
            </w:r>
            <w:r>
              <w:rPr>
                <w:rFonts w:hint="default" w:ascii="Times New Roman" w:hAnsi="Times New Roman" w:cs="Times New Roman"/>
                <w:color w:val="auto"/>
                <w:sz w:val="24"/>
                <w:highlight w:val="none"/>
              </w:rPr>
              <w:t>鄂尔多斯市蒙丰源实业有限责任公司</w:t>
            </w:r>
            <w:r>
              <w:rPr>
                <w:rFonts w:hint="eastAsia" w:ascii="Times New Roman" w:hAnsi="Times New Roman" w:cs="Times New Roman"/>
                <w:color w:val="auto"/>
                <w:sz w:val="24"/>
                <w:highlight w:val="none"/>
                <w:lang w:val="en-US" w:eastAsia="zh-CN"/>
              </w:rPr>
              <w:t>委托我公司对项目进行环境影响评价，</w:t>
            </w:r>
            <w:r>
              <w:rPr>
                <w:rFonts w:ascii="Times New Roman" w:hAnsi="Times New Roman" w:eastAsia="宋体" w:cs="Times New Roman"/>
                <w:color w:val="auto"/>
                <w:sz w:val="24"/>
                <w:szCs w:val="24"/>
                <w:highlight w:val="none"/>
                <w:lang w:val="en-US" w:eastAsia="zh-CN"/>
              </w:rPr>
              <w:t>根据《中华人民共和国环境保护法》和《中华人民共和国环境影响评价法》及</w:t>
            </w:r>
            <w:r>
              <w:rPr>
                <w:rFonts w:hint="default" w:ascii="Times New Roman" w:hAnsi="Times New Roman" w:eastAsia="宋体" w:cs="Times New Roman"/>
                <w:color w:val="auto"/>
                <w:sz w:val="24"/>
                <w:szCs w:val="24"/>
                <w:highlight w:val="none"/>
                <w:lang w:val="en-US" w:eastAsia="zh-CN"/>
              </w:rPr>
              <w:t>《建设项目环境影响评价管理名录》等有关法律法规规定，本项目应进行环境影响评价，根据对照环境影响评价行业类别，该项目属于</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cs="Times New Roman"/>
                <w:bCs/>
                <w:color w:val="auto"/>
                <w:sz w:val="24"/>
                <w:highlight w:val="none"/>
              </w:rPr>
              <w:t>二十七、非金属矿物制品业30，55</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石膏、水泥制品及类似制品制造302，</w:t>
            </w:r>
            <w:r>
              <w:rPr>
                <w:rFonts w:hint="eastAsia" w:cs="Times New Roman"/>
                <w:bCs/>
                <w:color w:val="auto"/>
                <w:sz w:val="24"/>
                <w:highlight w:val="none"/>
                <w:lang w:eastAsia="zh-CN"/>
              </w:rPr>
              <w:t>预拌混凝土</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本项目属于报告表类别，受</w:t>
            </w:r>
            <w:r>
              <w:rPr>
                <w:rFonts w:hint="default" w:ascii="Times New Roman" w:hAnsi="Times New Roman" w:cs="Times New Roman"/>
                <w:color w:val="auto"/>
                <w:sz w:val="24"/>
                <w:highlight w:val="none"/>
              </w:rPr>
              <w:t>鄂尔多斯市蒙丰源实业有限责任公司</w:t>
            </w:r>
            <w:r>
              <w:rPr>
                <w:rFonts w:hint="default" w:ascii="Times New Roman" w:hAnsi="Times New Roman" w:eastAsia="宋体" w:cs="Times New Roman"/>
                <w:color w:val="auto"/>
                <w:sz w:val="24"/>
                <w:szCs w:val="24"/>
                <w:highlight w:val="none"/>
                <w:lang w:val="en-US" w:eastAsia="zh-CN"/>
              </w:rPr>
              <w:t>委托，我公司承担了本项目环境影响报告表的编制工作。接受委托后，我单位有关工程技术人员对本项目进行了详细的现场踏勘、资料收集，在对有关环境现状和可能造成的环境影响进行初步分析的基础上，编制了该建设项目环境影响评价报告表。现报</w:t>
            </w:r>
            <w:r>
              <w:rPr>
                <w:rFonts w:hint="eastAsia" w:cs="Times New Roman"/>
                <w:color w:val="auto"/>
                <w:sz w:val="24"/>
                <w:szCs w:val="24"/>
                <w:highlight w:val="none"/>
                <w:lang w:val="en-US" w:eastAsia="zh-CN"/>
              </w:rPr>
              <w:t>主管</w:t>
            </w:r>
            <w:r>
              <w:rPr>
                <w:rFonts w:hint="default" w:ascii="Times New Roman" w:hAnsi="Times New Roman" w:eastAsia="宋体" w:cs="Times New Roman"/>
                <w:color w:val="auto"/>
                <w:sz w:val="24"/>
                <w:szCs w:val="24"/>
                <w:highlight w:val="none"/>
                <w:lang w:val="en-US" w:eastAsia="zh-CN"/>
              </w:rPr>
              <w:t>部门审查批准。</w:t>
            </w:r>
          </w:p>
          <w:p w14:paraId="5124B553">
            <w:pPr>
              <w:adjustRightInd w:val="0"/>
              <w:snapToGrid w:val="0"/>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建设地点</w:t>
            </w:r>
          </w:p>
          <w:p w14:paraId="59FDDB94">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本项目位于</w:t>
            </w:r>
            <w:r>
              <w:rPr>
                <w:rFonts w:hint="default" w:ascii="Times New Roman" w:hAnsi="Times New Roman" w:cs="Times New Roman"/>
                <w:color w:val="auto"/>
                <w:sz w:val="24"/>
                <w:highlight w:val="none"/>
              </w:rPr>
              <w:t>伊金霍洛旗伊金霍洛镇壕赖村5社商砼园区23号地块</w:t>
            </w:r>
            <w:r>
              <w:rPr>
                <w:rFonts w:hint="default" w:ascii="Times New Roman" w:hAnsi="Times New Roman" w:cs="Times New Roman"/>
                <w:bCs/>
                <w:color w:val="auto"/>
                <w:sz w:val="24"/>
                <w:highlight w:val="none"/>
              </w:rPr>
              <w:t>，项目厂址中心地理坐标为</w:t>
            </w:r>
            <w:r>
              <w:rPr>
                <w:rFonts w:hint="default" w:ascii="Times New Roman" w:hAnsi="Times New Roman" w:cs="Times New Roman"/>
                <w:color w:val="auto"/>
                <w:sz w:val="24"/>
                <w:highlight w:val="none"/>
              </w:rPr>
              <w:t>E</w:t>
            </w:r>
            <w:r>
              <w:rPr>
                <w:rFonts w:hint="default" w:ascii="Times New Roman" w:hAnsi="Times New Roman" w:eastAsia="宋体" w:cs="Times New Roman"/>
                <w:b w:val="0"/>
                <w:bCs w:val="0"/>
                <w:color w:val="auto"/>
                <w:sz w:val="24"/>
                <w:szCs w:val="24"/>
                <w:highlight w:val="none"/>
                <w:lang w:val="en-US" w:eastAsia="zh-CN"/>
              </w:rPr>
              <w:t>10</w:t>
            </w:r>
            <w:r>
              <w:rPr>
                <w:rFonts w:hint="eastAsia" w:cs="Times New Roman"/>
                <w:b w:val="0"/>
                <w:bCs w:val="0"/>
                <w:color w:val="auto"/>
                <w:sz w:val="24"/>
                <w:szCs w:val="24"/>
                <w:highlight w:val="none"/>
                <w:lang w:val="en-US" w:eastAsia="zh-CN"/>
              </w:rPr>
              <w:t>9</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35</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54.471</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color w:val="auto"/>
                <w:sz w:val="24"/>
                <w:highlight w:val="none"/>
              </w:rPr>
              <w:t>，N</w:t>
            </w:r>
            <w:r>
              <w:rPr>
                <w:rFonts w:hint="default" w:ascii="Times New Roman" w:hAnsi="Times New Roman" w:eastAsia="宋体" w:cs="Times New Roman"/>
                <w:b w:val="0"/>
                <w:bCs w:val="0"/>
                <w:color w:val="auto"/>
                <w:sz w:val="24"/>
                <w:szCs w:val="24"/>
                <w:highlight w:val="none"/>
                <w:lang w:val="en-US" w:eastAsia="zh-CN"/>
              </w:rPr>
              <w:t>39°2</w:t>
            </w: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57.406</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Cs/>
                <w:color w:val="auto"/>
                <w:sz w:val="24"/>
                <w:highlight w:val="none"/>
              </w:rPr>
              <w:t>。项目用地性质为工业用地</w:t>
            </w:r>
            <w:r>
              <w:rPr>
                <w:rFonts w:hint="eastAsia" w:cs="Times New Roman"/>
                <w:bCs/>
                <w:color w:val="auto"/>
                <w:sz w:val="24"/>
                <w:highlight w:val="none"/>
                <w:lang w:eastAsia="zh-CN"/>
              </w:rPr>
              <w:t>，</w:t>
            </w:r>
            <w:r>
              <w:rPr>
                <w:rFonts w:hint="default" w:ascii="Times New Roman" w:hAnsi="Times New Roman" w:cs="Times New Roman"/>
                <w:bCs/>
                <w:color w:val="auto"/>
                <w:sz w:val="24"/>
                <w:highlight w:val="none"/>
              </w:rPr>
              <w:t>项目地理位置图见附图</w:t>
            </w:r>
            <w:r>
              <w:rPr>
                <w:rFonts w:hint="eastAsia" w:cs="Times New Roman"/>
                <w:bCs/>
                <w:color w:val="auto"/>
                <w:sz w:val="24"/>
                <w:highlight w:val="none"/>
                <w:lang w:val="en-US" w:eastAsia="zh-CN"/>
              </w:rPr>
              <w:t>1。</w:t>
            </w:r>
          </w:p>
          <w:p w14:paraId="62F2034C">
            <w:pPr>
              <w:adjustRightInd w:val="0"/>
              <w:snapToGrid w:val="0"/>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建设规模</w:t>
            </w:r>
          </w:p>
          <w:p w14:paraId="49AEFBFF">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w:t>
            </w:r>
            <w:r>
              <w:rPr>
                <w:rFonts w:hint="eastAsia" w:cs="Times New Roman"/>
                <w:bCs/>
                <w:color w:val="auto"/>
                <w:sz w:val="24"/>
                <w:highlight w:val="none"/>
                <w:lang w:val="en-US" w:eastAsia="zh-CN"/>
              </w:rPr>
              <w:t>拟</w:t>
            </w:r>
            <w:r>
              <w:rPr>
                <w:rFonts w:hint="default" w:ascii="Times New Roman" w:hAnsi="Times New Roman" w:cs="Times New Roman"/>
                <w:bCs/>
                <w:color w:val="auto"/>
                <w:sz w:val="24"/>
                <w:highlight w:val="none"/>
              </w:rPr>
              <w:t>建设</w:t>
            </w:r>
            <w:r>
              <w:rPr>
                <w:rFonts w:hint="eastAsia" w:cs="Times New Roman"/>
                <w:bCs/>
                <w:color w:val="auto"/>
                <w:sz w:val="24"/>
                <w:szCs w:val="24"/>
                <w:highlight w:val="none"/>
                <w:lang w:val="en-US" w:eastAsia="zh-CN"/>
              </w:rPr>
              <w:t>一条年产10万m</w:t>
            </w:r>
            <w:r>
              <w:rPr>
                <w:rFonts w:hint="eastAsia" w:cs="Times New Roman"/>
                <w:bCs/>
                <w:color w:val="auto"/>
                <w:sz w:val="24"/>
                <w:szCs w:val="24"/>
                <w:highlight w:val="none"/>
                <w:vertAlign w:val="superscript"/>
                <w:lang w:val="en-US" w:eastAsia="zh-CN"/>
              </w:rPr>
              <w:t>3</w:t>
            </w:r>
            <w:r>
              <w:rPr>
                <w:rFonts w:hint="eastAsia" w:cs="Times New Roman"/>
                <w:bCs/>
                <w:color w:val="auto"/>
                <w:sz w:val="24"/>
                <w:szCs w:val="24"/>
                <w:highlight w:val="none"/>
                <w:lang w:val="en-US" w:eastAsia="zh-CN"/>
              </w:rPr>
              <w:t>预拌混凝土生产线</w:t>
            </w:r>
            <w:r>
              <w:rPr>
                <w:rFonts w:hint="default" w:ascii="Times New Roman" w:hAnsi="Times New Roman" w:cs="Times New Roman"/>
                <w:bCs/>
                <w:color w:val="auto"/>
                <w:sz w:val="24"/>
                <w:highlight w:val="none"/>
              </w:rPr>
              <w:t>，配套建设砂、石料棚</w:t>
            </w:r>
            <w:r>
              <w:rPr>
                <w:rFonts w:hint="eastAsia" w:cs="Times New Roman"/>
                <w:bCs/>
                <w:color w:val="auto"/>
                <w:sz w:val="24"/>
                <w:highlight w:val="none"/>
                <w:lang w:val="en-US" w:eastAsia="zh-CN"/>
              </w:rPr>
              <w:t>1</w:t>
            </w:r>
            <w:r>
              <w:rPr>
                <w:rFonts w:hint="default" w:ascii="Times New Roman" w:hAnsi="Times New Roman" w:cs="Times New Roman"/>
                <w:bCs/>
                <w:color w:val="auto"/>
                <w:sz w:val="24"/>
                <w:highlight w:val="none"/>
              </w:rPr>
              <w:t>座，占地面积</w:t>
            </w:r>
            <w:r>
              <w:rPr>
                <w:rFonts w:hint="eastAsia" w:cs="Times New Roman"/>
                <w:bCs/>
                <w:color w:val="auto"/>
                <w:sz w:val="24"/>
                <w:highlight w:val="none"/>
                <w:lang w:val="en-US" w:eastAsia="zh-CN"/>
              </w:rPr>
              <w:t>3000m</w:t>
            </w:r>
            <w:r>
              <w:rPr>
                <w:rFonts w:hint="eastAsia" w:cs="Times New Roman"/>
                <w:bCs/>
                <w:color w:val="auto"/>
                <w:sz w:val="24"/>
                <w:highlight w:val="none"/>
                <w:vertAlign w:val="superscript"/>
                <w:lang w:val="en-US" w:eastAsia="zh-CN"/>
              </w:rPr>
              <w:t>2</w:t>
            </w:r>
            <w:r>
              <w:rPr>
                <w:rFonts w:hint="default" w:ascii="Times New Roman" w:hAnsi="Times New Roman" w:cs="Times New Roman"/>
                <w:bCs/>
                <w:color w:val="auto"/>
                <w:sz w:val="24"/>
                <w:highlight w:val="none"/>
              </w:rPr>
              <w:t>，办公楼、宿舍楼各</w:t>
            </w:r>
            <w:r>
              <w:rPr>
                <w:rFonts w:hint="eastAsia" w:cs="Times New Roman"/>
                <w:bCs/>
                <w:color w:val="auto"/>
                <w:sz w:val="24"/>
                <w:highlight w:val="none"/>
                <w:lang w:val="en-US" w:eastAsia="zh-CN"/>
              </w:rPr>
              <w:t>800m</w:t>
            </w:r>
            <w:r>
              <w:rPr>
                <w:rFonts w:hint="eastAsia" w:cs="Times New Roman"/>
                <w:bCs/>
                <w:color w:val="auto"/>
                <w:sz w:val="24"/>
                <w:highlight w:val="none"/>
                <w:vertAlign w:val="superscript"/>
                <w:lang w:val="en-US" w:eastAsia="zh-CN"/>
              </w:rPr>
              <w:t>2</w:t>
            </w:r>
            <w:r>
              <w:rPr>
                <w:rFonts w:hint="default" w:ascii="Times New Roman" w:hAnsi="Times New Roman" w:cs="Times New Roman"/>
                <w:bCs/>
                <w:color w:val="auto"/>
                <w:sz w:val="24"/>
                <w:highlight w:val="none"/>
              </w:rPr>
              <w:t>及其他辅助设施。</w:t>
            </w:r>
          </w:p>
          <w:p w14:paraId="5BE7DFFC">
            <w:pPr>
              <w:adjustRightInd w:val="0"/>
              <w:snapToGrid w:val="0"/>
              <w:spacing w:line="360" w:lineRule="auto"/>
              <w:ind w:firstLine="482" w:firstLineChars="200"/>
              <w:jc w:val="left"/>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rPr>
              <w:t>建设内容</w:t>
            </w:r>
          </w:p>
          <w:p w14:paraId="655A2829">
            <w:pPr>
              <w:adjustRightInd w:val="0"/>
              <w:snapToGrid w:val="0"/>
              <w:spacing w:line="360" w:lineRule="auto"/>
              <w:ind w:firstLine="480" w:firstLineChars="200"/>
              <w:jc w:val="left"/>
              <w:rPr>
                <w:rFonts w:hint="default" w:ascii="宋体" w:hAnsi="宋体" w:eastAsia="宋体" w:cs="宋体"/>
                <w:bCs/>
                <w:color w:val="auto"/>
                <w:sz w:val="24"/>
                <w:highlight w:val="none"/>
                <w:vertAlign w:val="baseline"/>
                <w:lang w:val="en-US" w:eastAsia="zh-CN"/>
              </w:rPr>
            </w:pPr>
            <w:r>
              <w:rPr>
                <w:rFonts w:hint="eastAsia" w:ascii="宋体" w:hAnsi="宋体" w:cs="宋体"/>
                <w:bCs/>
                <w:color w:val="auto"/>
                <w:sz w:val="24"/>
                <w:highlight w:val="none"/>
              </w:rPr>
              <w:t>本项目占地面积</w:t>
            </w:r>
            <w:r>
              <w:rPr>
                <w:rFonts w:hint="eastAsia" w:cs="Times New Roman"/>
                <w:color w:val="auto"/>
                <w:sz w:val="24"/>
                <w:highlight w:val="none"/>
                <w:lang w:val="en-US" w:eastAsia="zh-CN"/>
              </w:rPr>
              <w:t>33217.8</w:t>
            </w:r>
            <w:r>
              <w:rPr>
                <w:rFonts w:hint="eastAsia"/>
                <w:bCs/>
                <w:color w:val="auto"/>
                <w:sz w:val="24"/>
                <w:highlight w:val="none"/>
              </w:rPr>
              <w:t>m</w:t>
            </w:r>
            <w:r>
              <w:rPr>
                <w:bCs/>
                <w:color w:val="auto"/>
                <w:sz w:val="24"/>
                <w:highlight w:val="none"/>
                <w:vertAlign w:val="superscript"/>
              </w:rPr>
              <w:t>2</w:t>
            </w:r>
            <w:r>
              <w:rPr>
                <w:rFonts w:hint="eastAsia"/>
                <w:bCs/>
                <w:color w:val="auto"/>
                <w:sz w:val="24"/>
                <w:highlight w:val="none"/>
              </w:rPr>
              <w:t>，</w:t>
            </w:r>
            <w:r>
              <w:rPr>
                <w:rFonts w:hint="eastAsia"/>
                <w:bCs/>
                <w:color w:val="auto"/>
                <w:sz w:val="24"/>
                <w:highlight w:val="none"/>
                <w:lang w:val="en-US" w:eastAsia="zh-CN"/>
              </w:rPr>
              <w:t>主要建设内容为混凝土搅拌站、</w:t>
            </w:r>
            <w:r>
              <w:rPr>
                <w:rFonts w:hint="eastAsia" w:ascii="宋体" w:hAnsi="宋体"/>
                <w:bCs/>
                <w:color w:val="auto"/>
                <w:sz w:val="24"/>
                <w:highlight w:val="none"/>
                <w:lang w:val="en-US" w:eastAsia="zh-CN"/>
              </w:rPr>
              <w:t>配套建设全封闭砂、</w:t>
            </w:r>
            <w:r>
              <w:rPr>
                <w:rFonts w:hint="default" w:ascii="Times New Roman" w:hAnsi="Times New Roman" w:cs="Times New Roman"/>
                <w:bCs/>
                <w:color w:val="auto"/>
                <w:sz w:val="24"/>
                <w:highlight w:val="none"/>
                <w:lang w:val="en-US" w:eastAsia="zh-CN"/>
              </w:rPr>
              <w:t>石料棚</w:t>
            </w:r>
            <w:r>
              <w:rPr>
                <w:rFonts w:hint="eastAsia" w:cs="Times New Roman"/>
                <w:bCs/>
                <w:color w:val="auto"/>
                <w:sz w:val="24"/>
                <w:highlight w:val="none"/>
                <w:lang w:val="en-US" w:eastAsia="zh-CN"/>
              </w:rPr>
              <w:t>1</w:t>
            </w:r>
            <w:r>
              <w:rPr>
                <w:rFonts w:hint="default" w:ascii="Times New Roman" w:hAnsi="Times New Roman" w:cs="Times New Roman"/>
                <w:bCs/>
                <w:color w:val="auto"/>
                <w:sz w:val="24"/>
                <w:highlight w:val="none"/>
                <w:lang w:val="en-US" w:eastAsia="zh-CN"/>
              </w:rPr>
              <w:t>座，筒仓</w:t>
            </w:r>
            <w:r>
              <w:rPr>
                <w:rFonts w:hint="eastAsia" w:cs="Times New Roman"/>
                <w:bCs/>
                <w:color w:val="auto"/>
                <w:sz w:val="24"/>
                <w:highlight w:val="none"/>
                <w:lang w:val="en-US" w:eastAsia="zh-CN"/>
              </w:rPr>
              <w:t>8</w:t>
            </w:r>
            <w:r>
              <w:rPr>
                <w:rFonts w:hint="default" w:ascii="Times New Roman" w:hAnsi="Times New Roman" w:cs="Times New Roman"/>
                <w:bCs/>
                <w:color w:val="auto"/>
                <w:sz w:val="24"/>
                <w:highlight w:val="none"/>
                <w:lang w:val="en-US" w:eastAsia="zh-CN"/>
              </w:rPr>
              <w:t>座</w:t>
            </w:r>
            <w:r>
              <w:rPr>
                <w:rFonts w:hint="eastAsia" w:ascii="Times New Roman" w:hAnsi="Times New Roman" w:cs="Times New Roman"/>
                <w:bCs/>
                <w:color w:val="auto"/>
                <w:sz w:val="24"/>
                <w:highlight w:val="none"/>
                <w:lang w:val="en-US" w:eastAsia="zh-CN"/>
              </w:rPr>
              <w:t>，储水池、综合办公楼、宿舍楼、实验室等。</w:t>
            </w:r>
          </w:p>
          <w:p w14:paraId="7A07FD9D">
            <w:pPr>
              <w:adjustRightInd w:val="0"/>
              <w:snapToGrid w:val="0"/>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项目工程组成一览表见下表。</w:t>
            </w:r>
          </w:p>
          <w:p w14:paraId="4D770258">
            <w:pPr>
              <w:pStyle w:val="33"/>
              <w:rPr>
                <w:rFonts w:hint="eastAsia" w:ascii="宋体" w:hAnsi="宋体" w:cs="宋体"/>
                <w:bCs/>
                <w:color w:val="auto"/>
                <w:sz w:val="24"/>
                <w:highlight w:val="none"/>
              </w:rPr>
            </w:pPr>
          </w:p>
          <w:p w14:paraId="5BB18888">
            <w:pPr>
              <w:pStyle w:val="30"/>
              <w:rPr>
                <w:rFonts w:hint="eastAsia"/>
                <w:color w:val="auto"/>
                <w:highlight w:val="none"/>
              </w:rPr>
            </w:pPr>
          </w:p>
          <w:p w14:paraId="65C9C095">
            <w:pPr>
              <w:jc w:val="center"/>
              <w:rPr>
                <w:rFonts w:hint="eastAsia" w:ascii="宋体" w:hAnsi="宋体" w:cs="宋体"/>
                <w:bCs/>
                <w:color w:val="auto"/>
                <w:sz w:val="24"/>
                <w:highlight w:val="none"/>
              </w:rPr>
            </w:pPr>
            <w:r>
              <w:rPr>
                <w:rFonts w:hint="default" w:ascii="Times New Roman" w:hAnsi="Times New Roman" w:eastAsia="宋体" w:cs="Times New Roman"/>
                <w:b/>
                <w:bCs/>
                <w:color w:val="auto"/>
                <w:sz w:val="24"/>
                <w:szCs w:val="24"/>
                <w:highlight w:val="none"/>
              </w:rPr>
              <w:t>表2-1</w:t>
            </w:r>
            <w:r>
              <w:rPr>
                <w:rFonts w:hint="eastAsia" w:ascii="Times New Roman" w:hAnsi="Times New Roman" w:eastAsia="宋体" w:cs="Times New Roman"/>
                <w:b/>
                <w:bCs/>
                <w:color w:val="auto"/>
                <w:sz w:val="24"/>
                <w:szCs w:val="24"/>
                <w:highlight w:val="none"/>
              </w:rPr>
              <w:t>项目工程组成一览表</w:t>
            </w:r>
          </w:p>
          <w:tbl>
            <w:tblPr>
              <w:tblStyle w:val="22"/>
              <w:tblW w:w="5000" w:type="pct"/>
              <w:tblInd w:w="-5"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4"/>
              <w:gridCol w:w="1505"/>
              <w:gridCol w:w="5532"/>
              <w:gridCol w:w="606"/>
            </w:tblGrid>
            <w:tr w14:paraId="29789E3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tcBorders>
                    <w:tl2br w:val="nil"/>
                    <w:tr2bl w:val="nil"/>
                  </w:tcBorders>
                  <w:noWrap w:val="0"/>
                  <w:vAlign w:val="center"/>
                </w:tcPr>
                <w:p w14:paraId="13B8AAD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工程类别</w:t>
                  </w:r>
                </w:p>
              </w:tc>
              <w:tc>
                <w:tcPr>
                  <w:tcW w:w="874" w:type="pct"/>
                  <w:tcBorders>
                    <w:tl2br w:val="nil"/>
                    <w:tr2bl w:val="nil"/>
                  </w:tcBorders>
                  <w:noWrap w:val="0"/>
                  <w:vAlign w:val="center"/>
                </w:tcPr>
                <w:p w14:paraId="30C196E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工程名称</w:t>
                  </w:r>
                </w:p>
              </w:tc>
              <w:tc>
                <w:tcPr>
                  <w:tcW w:w="3213" w:type="pct"/>
                  <w:tcBorders>
                    <w:tl2br w:val="nil"/>
                    <w:tr2bl w:val="nil"/>
                  </w:tcBorders>
                  <w:noWrap w:val="0"/>
                  <w:vAlign w:val="center"/>
                </w:tcPr>
                <w:p w14:paraId="6260689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工程建设内容概况</w:t>
                  </w:r>
                </w:p>
              </w:tc>
              <w:tc>
                <w:tcPr>
                  <w:tcW w:w="352" w:type="pct"/>
                  <w:tcBorders>
                    <w:tl2br w:val="nil"/>
                    <w:tr2bl w:val="nil"/>
                  </w:tcBorders>
                  <w:noWrap w:val="0"/>
                  <w:vAlign w:val="center"/>
                </w:tcPr>
                <w:p w14:paraId="7A3AF0A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522546B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60" w:type="pct"/>
                  <w:tcBorders>
                    <w:tl2br w:val="nil"/>
                    <w:tr2bl w:val="nil"/>
                  </w:tcBorders>
                  <w:noWrap w:val="0"/>
                  <w:vAlign w:val="center"/>
                </w:tcPr>
                <w:p w14:paraId="0F8C600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w:t>
                  </w:r>
                </w:p>
                <w:p w14:paraId="3E93F46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874" w:type="pct"/>
                  <w:tcBorders>
                    <w:tl2br w:val="nil"/>
                    <w:tr2bl w:val="nil"/>
                  </w:tcBorders>
                  <w:noWrap w:val="0"/>
                  <w:vAlign w:val="center"/>
                </w:tcPr>
                <w:p w14:paraId="52D02FF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混凝土搅拌站</w:t>
                  </w:r>
                </w:p>
              </w:tc>
              <w:tc>
                <w:tcPr>
                  <w:tcW w:w="3213" w:type="pct"/>
                  <w:tcBorders>
                    <w:tl2br w:val="nil"/>
                    <w:tr2bl w:val="nil"/>
                  </w:tcBorders>
                  <w:noWrap w:val="0"/>
                  <w:vAlign w:val="center"/>
                </w:tcPr>
                <w:p w14:paraId="32D61E14">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在厂区内</w:t>
                  </w:r>
                  <w:r>
                    <w:rPr>
                      <w:rFonts w:hint="eastAsia" w:ascii="Times New Roman" w:hAnsi="Times New Roman" w:cs="Times New Roman"/>
                      <w:bCs/>
                      <w:color w:val="auto"/>
                      <w:szCs w:val="21"/>
                      <w:highlight w:val="none"/>
                      <w:lang w:val="en-US" w:eastAsia="zh-CN"/>
                    </w:rPr>
                    <w:t>南</w:t>
                  </w:r>
                  <w:r>
                    <w:rPr>
                      <w:rFonts w:hint="default" w:ascii="Times New Roman" w:hAnsi="Times New Roman" w:cs="Times New Roman"/>
                      <w:bCs/>
                      <w:color w:val="auto"/>
                      <w:szCs w:val="21"/>
                      <w:highlight w:val="none"/>
                    </w:rPr>
                    <w:t>侧的生产区拟建设一条</w:t>
                  </w:r>
                  <w:r>
                    <w:rPr>
                      <w:rFonts w:hint="eastAsia" w:cs="Times New Roman"/>
                      <w:bCs/>
                      <w:color w:val="auto"/>
                      <w:sz w:val="21"/>
                      <w:szCs w:val="21"/>
                      <w:highlight w:val="none"/>
                      <w:lang w:val="en-US" w:eastAsia="zh-CN"/>
                    </w:rPr>
                    <w:t>10万m</w:t>
                  </w:r>
                  <w:r>
                    <w:rPr>
                      <w:rFonts w:hint="eastAsia" w:cs="Times New Roman"/>
                      <w:bCs/>
                      <w:color w:val="auto"/>
                      <w:sz w:val="21"/>
                      <w:szCs w:val="21"/>
                      <w:highlight w:val="none"/>
                      <w:vertAlign w:val="superscript"/>
                      <w:lang w:val="en-US" w:eastAsia="zh-CN"/>
                    </w:rPr>
                    <w:t>3</w:t>
                  </w:r>
                  <w:r>
                    <w:rPr>
                      <w:rFonts w:hint="eastAsia" w:cs="Times New Roman"/>
                      <w:bCs/>
                      <w:color w:val="auto"/>
                      <w:sz w:val="21"/>
                      <w:szCs w:val="21"/>
                      <w:highlight w:val="none"/>
                      <w:vertAlign w:val="baseline"/>
                      <w:lang w:val="en-US" w:eastAsia="zh-CN"/>
                    </w:rPr>
                    <w:t>预拌</w:t>
                  </w:r>
                  <w:r>
                    <w:rPr>
                      <w:rFonts w:hint="default" w:ascii="Times New Roman" w:hAnsi="Times New Roman" w:cs="Times New Roman"/>
                      <w:bCs/>
                      <w:color w:val="auto"/>
                      <w:szCs w:val="21"/>
                      <w:highlight w:val="none"/>
                    </w:rPr>
                    <w:t>混凝土生产线，</w:t>
                  </w:r>
                  <w:r>
                    <w:rPr>
                      <w:rFonts w:hint="eastAsia" w:cs="Times New Roman"/>
                      <w:bCs/>
                      <w:color w:val="auto"/>
                      <w:szCs w:val="21"/>
                      <w:highlight w:val="none"/>
                      <w:lang w:val="en-US" w:eastAsia="zh-CN"/>
                    </w:rPr>
                    <w:t>尺寸为25m×25m×25m，占地面积625m</w:t>
                  </w:r>
                  <w:r>
                    <w:rPr>
                      <w:rFonts w:hint="eastAsia" w:cs="Times New Roman"/>
                      <w:bCs/>
                      <w:color w:val="auto"/>
                      <w:szCs w:val="21"/>
                      <w:highlight w:val="none"/>
                      <w:vertAlign w:val="superscript"/>
                      <w:lang w:val="en-US" w:eastAsia="zh-CN"/>
                    </w:rPr>
                    <w:t>2</w:t>
                  </w:r>
                  <w:r>
                    <w:rPr>
                      <w:rFonts w:hint="default" w:ascii="Times New Roman" w:hAnsi="Times New Roman" w:cs="Times New Roman"/>
                      <w:bCs/>
                      <w:color w:val="auto"/>
                      <w:szCs w:val="21"/>
                      <w:highlight w:val="none"/>
                    </w:rPr>
                    <w:t>。主要包括搅拌机、螺旋输送机，年生产混凝土</w:t>
                  </w:r>
                  <w:r>
                    <w:rPr>
                      <w:rFonts w:hint="eastAsia" w:cs="Times New Roman"/>
                      <w:bCs/>
                      <w:color w:val="auto"/>
                      <w:szCs w:val="21"/>
                      <w:highlight w:val="none"/>
                      <w:lang w:val="en-US" w:eastAsia="zh-CN"/>
                    </w:rPr>
                    <w:t>10</w:t>
                  </w:r>
                  <w:r>
                    <w:rPr>
                      <w:rFonts w:hint="default" w:ascii="Times New Roman" w:hAnsi="Times New Roman" w:cs="Times New Roman"/>
                      <w:bCs/>
                      <w:color w:val="auto"/>
                      <w:szCs w:val="21"/>
                      <w:highlight w:val="none"/>
                    </w:rPr>
                    <w:t>万m</w:t>
                  </w:r>
                  <w:r>
                    <w:rPr>
                      <w:rFonts w:hint="default" w:ascii="Times New Roman" w:hAnsi="Times New Roman" w:cs="Times New Roman"/>
                      <w:bCs/>
                      <w:color w:val="auto"/>
                      <w:szCs w:val="21"/>
                      <w:highlight w:val="none"/>
                      <w:vertAlign w:val="superscript"/>
                    </w:rPr>
                    <w:t>3</w:t>
                  </w:r>
                  <w:r>
                    <w:rPr>
                      <w:rFonts w:hint="default" w:ascii="Times New Roman" w:hAnsi="Times New Roman" w:cs="Times New Roman"/>
                      <w:bCs/>
                      <w:color w:val="auto"/>
                      <w:szCs w:val="21"/>
                      <w:highlight w:val="none"/>
                    </w:rPr>
                    <w:t>。</w:t>
                  </w:r>
                </w:p>
              </w:tc>
              <w:tc>
                <w:tcPr>
                  <w:tcW w:w="352" w:type="pct"/>
                  <w:tcBorders>
                    <w:tl2br w:val="nil"/>
                    <w:tr2bl w:val="nil"/>
                  </w:tcBorders>
                  <w:noWrap w:val="0"/>
                  <w:vAlign w:val="center"/>
                </w:tcPr>
                <w:p w14:paraId="41E8CEBB">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158B588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restart"/>
                  <w:tcBorders>
                    <w:tl2br w:val="nil"/>
                    <w:tr2bl w:val="nil"/>
                  </w:tcBorders>
                  <w:noWrap w:val="0"/>
                  <w:vAlign w:val="center"/>
                </w:tcPr>
                <w:p w14:paraId="60A9F1F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储运</w:t>
                  </w:r>
                </w:p>
                <w:p w14:paraId="18C1018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874" w:type="pct"/>
                  <w:tcBorders>
                    <w:tl2br w:val="nil"/>
                    <w:tr2bl w:val="nil"/>
                  </w:tcBorders>
                  <w:noWrap w:val="0"/>
                  <w:vAlign w:val="center"/>
                </w:tcPr>
                <w:p w14:paraId="2857AF66">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皮带输送机</w:t>
                  </w:r>
                </w:p>
              </w:tc>
              <w:tc>
                <w:tcPr>
                  <w:tcW w:w="3213" w:type="pct"/>
                  <w:tcBorders>
                    <w:tl2br w:val="nil"/>
                    <w:tr2bl w:val="nil"/>
                  </w:tcBorders>
                  <w:noWrap w:val="0"/>
                  <w:vAlign w:val="center"/>
                </w:tcPr>
                <w:p w14:paraId="4546630C">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砂石料</w:t>
                  </w:r>
                  <w:r>
                    <w:rPr>
                      <w:rFonts w:hint="default" w:ascii="Times New Roman" w:hAnsi="Times New Roman" w:cs="Times New Roman"/>
                      <w:color w:val="auto"/>
                      <w:szCs w:val="21"/>
                      <w:highlight w:val="none"/>
                    </w:rPr>
                    <w:t>从</w:t>
                  </w:r>
                  <w:r>
                    <w:rPr>
                      <w:rFonts w:hint="eastAsia" w:cs="Times New Roman"/>
                      <w:color w:val="auto"/>
                      <w:szCs w:val="21"/>
                      <w:highlight w:val="none"/>
                      <w:lang w:val="en-US" w:eastAsia="zh-CN"/>
                    </w:rPr>
                    <w:t>上料仓</w:t>
                  </w:r>
                  <w:r>
                    <w:rPr>
                      <w:rFonts w:hint="default" w:ascii="Times New Roman" w:hAnsi="Times New Roman" w:cs="Times New Roman"/>
                      <w:color w:val="auto"/>
                      <w:szCs w:val="21"/>
                      <w:highlight w:val="none"/>
                    </w:rPr>
                    <w:t>至搅拌站</w:t>
                  </w:r>
                  <w:r>
                    <w:rPr>
                      <w:rFonts w:hint="eastAsia" w:ascii="Times New Roman" w:hAnsi="Times New Roman" w:cs="Times New Roman"/>
                      <w:color w:val="auto"/>
                      <w:szCs w:val="21"/>
                      <w:highlight w:val="none"/>
                      <w:lang w:val="en-US" w:eastAsia="zh-CN"/>
                    </w:rPr>
                    <w:t>的输送</w:t>
                  </w:r>
                  <w:r>
                    <w:rPr>
                      <w:rFonts w:hint="default" w:ascii="Times New Roman" w:hAnsi="Times New Roman" w:cs="Times New Roman"/>
                      <w:color w:val="auto"/>
                      <w:szCs w:val="21"/>
                      <w:highlight w:val="none"/>
                    </w:rPr>
                    <w:t>设置全封闭式输送皮带</w:t>
                  </w:r>
                  <w:r>
                    <w:rPr>
                      <w:rFonts w:hint="eastAsia" w:cs="Times New Roman"/>
                      <w:color w:val="auto"/>
                      <w:szCs w:val="21"/>
                      <w:highlight w:val="none"/>
                      <w:lang w:eastAsia="zh-CN"/>
                    </w:rPr>
                    <w:t>。</w:t>
                  </w:r>
                </w:p>
              </w:tc>
              <w:tc>
                <w:tcPr>
                  <w:tcW w:w="352" w:type="pct"/>
                  <w:tcBorders>
                    <w:tl2br w:val="nil"/>
                    <w:tr2bl w:val="nil"/>
                  </w:tcBorders>
                  <w:noWrap w:val="0"/>
                  <w:vAlign w:val="center"/>
                </w:tcPr>
                <w:p w14:paraId="16E92E07">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已建</w:t>
                  </w:r>
                </w:p>
              </w:tc>
            </w:tr>
            <w:tr w14:paraId="2921210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60" w:type="pct"/>
                  <w:vMerge w:val="continue"/>
                  <w:tcBorders>
                    <w:tl2br w:val="nil"/>
                    <w:tr2bl w:val="nil"/>
                  </w:tcBorders>
                  <w:noWrap w:val="0"/>
                  <w:vAlign w:val="center"/>
                </w:tcPr>
                <w:p w14:paraId="4AE46545">
                  <w:pPr>
                    <w:adjustRightInd w:val="0"/>
                    <w:snapToGrid w:val="0"/>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257F0A68">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砂</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石</w:t>
                  </w:r>
                  <w:r>
                    <w:rPr>
                      <w:rFonts w:hint="default" w:ascii="Times New Roman" w:hAnsi="Times New Roman" w:cs="Times New Roman"/>
                      <w:color w:val="auto"/>
                      <w:kern w:val="0"/>
                      <w:szCs w:val="21"/>
                      <w:highlight w:val="none"/>
                    </w:rPr>
                    <w:t>料棚</w:t>
                  </w:r>
                </w:p>
              </w:tc>
              <w:tc>
                <w:tcPr>
                  <w:tcW w:w="3213" w:type="pct"/>
                  <w:tcBorders>
                    <w:tl2br w:val="nil"/>
                    <w:tr2bl w:val="nil"/>
                  </w:tcBorders>
                  <w:noWrap w:val="0"/>
                  <w:vAlign w:val="center"/>
                </w:tcPr>
                <w:p w14:paraId="49B0C2AE">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本项目设置1座50m×60m全封闭钢结构砂石储棚，檐口高度9m，屋脊净高12m；分别贮存砂</w:t>
                  </w:r>
                  <w:r>
                    <w:rPr>
                      <w:rFonts w:hint="eastAsia" w:cs="Times New Roman"/>
                      <w:color w:val="auto"/>
                      <w:szCs w:val="21"/>
                      <w:highlight w:val="none"/>
                      <w:lang w:val="en-US" w:eastAsia="zh-CN"/>
                    </w:rPr>
                    <w:t>子</w:t>
                  </w:r>
                  <w:r>
                    <w:rPr>
                      <w:rFonts w:hint="default" w:ascii="Times New Roman" w:hAnsi="Times New Roman" w:cs="Times New Roman"/>
                      <w:color w:val="auto"/>
                      <w:szCs w:val="21"/>
                      <w:highlight w:val="none"/>
                    </w:rPr>
                    <w:t>、碎石。物料最大堆存高度6m，可贮存砂</w:t>
                  </w:r>
                  <w:r>
                    <w:rPr>
                      <w:rFonts w:hint="eastAsia" w:cs="Times New Roman"/>
                      <w:color w:val="auto"/>
                      <w:szCs w:val="21"/>
                      <w:highlight w:val="none"/>
                      <w:lang w:val="en-US" w:eastAsia="zh-CN"/>
                    </w:rPr>
                    <w:t>子</w:t>
                  </w:r>
                  <w:r>
                    <w:rPr>
                      <w:rFonts w:hint="default" w:ascii="Times New Roman" w:hAnsi="Times New Roman" w:cs="Times New Roman"/>
                      <w:color w:val="auto"/>
                      <w:szCs w:val="21"/>
                      <w:highlight w:val="none"/>
                    </w:rPr>
                    <w:t>约8032.5t、碎石约8606.25t，砂石合计最大贮存量16638.75t。</w:t>
                  </w:r>
                </w:p>
              </w:tc>
              <w:tc>
                <w:tcPr>
                  <w:tcW w:w="352" w:type="pct"/>
                  <w:tcBorders>
                    <w:tl2br w:val="nil"/>
                    <w:tr2bl w:val="nil"/>
                  </w:tcBorders>
                  <w:noWrap w:val="0"/>
                  <w:vAlign w:val="center"/>
                </w:tcPr>
                <w:p w14:paraId="3FC199AE">
                  <w:pPr>
                    <w:adjustRightInd w:val="0"/>
                    <w:snapToGrid w:val="0"/>
                    <w:jc w:val="center"/>
                    <w:rPr>
                      <w:rFonts w:hint="default" w:ascii="Times New Roman" w:hAnsi="Times New Roman" w:eastAsia="宋体" w:cs="Times New Roman"/>
                      <w:color w:val="auto"/>
                      <w:kern w:val="0"/>
                      <w:szCs w:val="21"/>
                      <w:highlight w:val="none"/>
                      <w:lang w:eastAsia="zh-CN"/>
                    </w:rPr>
                  </w:pPr>
                  <w:r>
                    <w:rPr>
                      <w:rFonts w:hint="eastAsia" w:cs="Times New Roman"/>
                      <w:color w:val="auto"/>
                      <w:kern w:val="0"/>
                      <w:szCs w:val="21"/>
                      <w:highlight w:val="none"/>
                      <w:lang w:val="en-US" w:eastAsia="zh-CN"/>
                    </w:rPr>
                    <w:t>已建</w:t>
                  </w:r>
                </w:p>
              </w:tc>
            </w:tr>
            <w:tr w14:paraId="7B39671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7BED0389">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7C1B77F3">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粉煤灰筒仓</w:t>
                  </w:r>
                </w:p>
              </w:tc>
              <w:tc>
                <w:tcPr>
                  <w:tcW w:w="3213" w:type="pct"/>
                  <w:tcBorders>
                    <w:tl2br w:val="nil"/>
                    <w:tr2bl w:val="nil"/>
                  </w:tcBorders>
                  <w:noWrap w:val="0"/>
                  <w:vAlign w:val="center"/>
                </w:tcPr>
                <w:p w14:paraId="768984CA">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设有</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个</w:t>
                  </w:r>
                  <w:r>
                    <w:rPr>
                      <w:rFonts w:hint="eastAsia" w:ascii="Times New Roman" w:hAnsi="Times New Roman" w:cs="Times New Roman"/>
                      <w:color w:val="auto"/>
                      <w:szCs w:val="21"/>
                      <w:highlight w:val="none"/>
                      <w:lang w:val="en-US" w:eastAsia="zh-CN"/>
                    </w:rPr>
                    <w:t>储存量为2</w:t>
                  </w:r>
                  <w:r>
                    <w:rPr>
                      <w:rFonts w:hint="default" w:ascii="Times New Roman" w:hAnsi="Times New Roman" w:cs="Times New Roman"/>
                      <w:color w:val="auto"/>
                      <w:szCs w:val="21"/>
                      <w:highlight w:val="none"/>
                    </w:rPr>
                    <w:t>00</w:t>
                  </w:r>
                  <w:r>
                    <w:rPr>
                      <w:rFonts w:hint="eastAsia" w:ascii="Times New Roman" w:hAnsi="Times New Roman" w:cs="Times New Roman"/>
                      <w:color w:val="auto"/>
                      <w:szCs w:val="21"/>
                      <w:highlight w:val="none"/>
                      <w:lang w:val="en-US" w:eastAsia="zh-CN"/>
                    </w:rPr>
                    <w:t>t</w:t>
                  </w:r>
                  <w:r>
                    <w:rPr>
                      <w:rFonts w:hint="default" w:ascii="Times New Roman" w:hAnsi="Times New Roman" w:cs="Times New Roman"/>
                      <w:color w:val="auto"/>
                      <w:szCs w:val="21"/>
                      <w:highlight w:val="none"/>
                    </w:rPr>
                    <w:t>的</w:t>
                  </w:r>
                  <w:r>
                    <w:rPr>
                      <w:rFonts w:hint="default" w:ascii="Times New Roman" w:hAnsi="Times New Roman" w:cs="Times New Roman"/>
                      <w:color w:val="auto"/>
                      <w:kern w:val="0"/>
                      <w:szCs w:val="21"/>
                      <w:highlight w:val="none"/>
                    </w:rPr>
                    <w:t>粉煤灰筒仓，</w:t>
                  </w:r>
                  <w:r>
                    <w:rPr>
                      <w:rFonts w:hint="eastAsia" w:cs="Times New Roman"/>
                      <w:color w:val="auto"/>
                      <w:kern w:val="0"/>
                      <w:szCs w:val="21"/>
                      <w:highlight w:val="none"/>
                      <w:lang w:val="en-US" w:eastAsia="zh-CN"/>
                    </w:rPr>
                    <w:t>半径为2.5m，占地面积20m</w:t>
                  </w:r>
                  <w:r>
                    <w:rPr>
                      <w:rFonts w:hint="eastAsia" w:cs="Times New Roman"/>
                      <w:color w:val="auto"/>
                      <w:kern w:val="0"/>
                      <w:szCs w:val="21"/>
                      <w:highlight w:val="none"/>
                      <w:vertAlign w:val="superscript"/>
                      <w:lang w:val="en-US" w:eastAsia="zh-CN"/>
                    </w:rPr>
                    <w:t>2</w:t>
                  </w:r>
                  <w:r>
                    <w:rPr>
                      <w:rFonts w:hint="eastAsia" w:cs="Times New Roman"/>
                      <w:color w:val="auto"/>
                      <w:kern w:val="0"/>
                      <w:szCs w:val="21"/>
                      <w:highlight w:val="none"/>
                      <w:vertAlign w:val="baseline"/>
                      <w:lang w:val="en-US" w:eastAsia="zh-CN"/>
                    </w:rPr>
                    <w:t>，</w:t>
                  </w:r>
                  <w:r>
                    <w:rPr>
                      <w:rFonts w:hint="eastAsia" w:cs="Times New Roman"/>
                      <w:color w:val="auto"/>
                      <w:kern w:val="0"/>
                      <w:szCs w:val="21"/>
                      <w:highlight w:val="none"/>
                      <w:lang w:val="en-US" w:eastAsia="zh-CN"/>
                    </w:rPr>
                    <w:t>高度26m，</w:t>
                  </w:r>
                  <w:r>
                    <w:rPr>
                      <w:rFonts w:hint="default" w:ascii="Times New Roman" w:hAnsi="Times New Roman" w:cs="Times New Roman"/>
                      <w:color w:val="auto"/>
                      <w:kern w:val="0"/>
                      <w:szCs w:val="21"/>
                      <w:highlight w:val="none"/>
                    </w:rPr>
                    <w:t>用于存储粉煤灰。</w:t>
                  </w:r>
                </w:p>
              </w:tc>
              <w:tc>
                <w:tcPr>
                  <w:tcW w:w="352" w:type="pct"/>
                  <w:tcBorders>
                    <w:tl2br w:val="nil"/>
                    <w:tr2bl w:val="nil"/>
                  </w:tcBorders>
                  <w:noWrap w:val="0"/>
                  <w:vAlign w:val="center"/>
                </w:tcPr>
                <w:p w14:paraId="1FAFDAEB">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1D9ADE3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0C83A9D8">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61D26B23">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水泥筒仓</w:t>
                  </w:r>
                </w:p>
              </w:tc>
              <w:tc>
                <w:tcPr>
                  <w:tcW w:w="3213" w:type="pct"/>
                  <w:tcBorders>
                    <w:tl2br w:val="nil"/>
                    <w:tr2bl w:val="nil"/>
                  </w:tcBorders>
                  <w:noWrap w:val="0"/>
                  <w:vAlign w:val="center"/>
                </w:tcPr>
                <w:p w14:paraId="7E0C0328">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设有</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个</w:t>
                  </w:r>
                  <w:r>
                    <w:rPr>
                      <w:rFonts w:hint="eastAsia" w:ascii="Times New Roman" w:hAnsi="Times New Roman" w:cs="Times New Roman"/>
                      <w:color w:val="auto"/>
                      <w:szCs w:val="21"/>
                      <w:highlight w:val="none"/>
                      <w:lang w:val="en-US" w:eastAsia="zh-CN"/>
                    </w:rPr>
                    <w:t>储存量为</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00</w:t>
                  </w:r>
                  <w:r>
                    <w:rPr>
                      <w:rFonts w:hint="eastAsia" w:ascii="Times New Roman" w:hAnsi="Times New Roman" w:cs="Times New Roman"/>
                      <w:color w:val="auto"/>
                      <w:szCs w:val="21"/>
                      <w:highlight w:val="none"/>
                      <w:lang w:val="en-US" w:eastAsia="zh-CN"/>
                    </w:rPr>
                    <w:t>t</w:t>
                  </w:r>
                  <w:r>
                    <w:rPr>
                      <w:rFonts w:hint="default" w:ascii="Times New Roman" w:hAnsi="Times New Roman" w:cs="Times New Roman"/>
                      <w:color w:val="auto"/>
                      <w:szCs w:val="21"/>
                      <w:highlight w:val="none"/>
                    </w:rPr>
                    <w:t>的水泥</w:t>
                  </w:r>
                  <w:r>
                    <w:rPr>
                      <w:rFonts w:hint="default" w:ascii="Times New Roman" w:hAnsi="Times New Roman" w:cs="Times New Roman"/>
                      <w:color w:val="auto"/>
                      <w:kern w:val="0"/>
                      <w:szCs w:val="21"/>
                      <w:highlight w:val="none"/>
                    </w:rPr>
                    <w:t>筒仓，</w:t>
                  </w:r>
                  <w:r>
                    <w:rPr>
                      <w:rFonts w:hint="eastAsia" w:cs="Times New Roman"/>
                      <w:color w:val="auto"/>
                      <w:kern w:val="0"/>
                      <w:szCs w:val="21"/>
                      <w:highlight w:val="none"/>
                      <w:lang w:val="en-US" w:eastAsia="zh-CN"/>
                    </w:rPr>
                    <w:t>半径为2.5m，占地面积20m</w:t>
                  </w:r>
                  <w:r>
                    <w:rPr>
                      <w:rFonts w:hint="eastAsia" w:cs="Times New Roman"/>
                      <w:color w:val="auto"/>
                      <w:kern w:val="0"/>
                      <w:szCs w:val="21"/>
                      <w:highlight w:val="none"/>
                      <w:vertAlign w:val="superscript"/>
                      <w:lang w:val="en-US" w:eastAsia="zh-CN"/>
                    </w:rPr>
                    <w:t>2</w:t>
                  </w:r>
                  <w:r>
                    <w:rPr>
                      <w:rFonts w:hint="eastAsia" w:cs="Times New Roman"/>
                      <w:color w:val="auto"/>
                      <w:kern w:val="0"/>
                      <w:szCs w:val="21"/>
                      <w:highlight w:val="none"/>
                      <w:vertAlign w:val="baseline"/>
                      <w:lang w:val="en-US" w:eastAsia="zh-CN"/>
                    </w:rPr>
                    <w:t>，</w:t>
                  </w:r>
                  <w:r>
                    <w:rPr>
                      <w:rFonts w:hint="eastAsia" w:cs="Times New Roman"/>
                      <w:color w:val="auto"/>
                      <w:kern w:val="0"/>
                      <w:szCs w:val="21"/>
                      <w:highlight w:val="none"/>
                      <w:lang w:val="en-US" w:eastAsia="zh-CN"/>
                    </w:rPr>
                    <w:t>高度26m，</w:t>
                  </w:r>
                  <w:r>
                    <w:rPr>
                      <w:rFonts w:hint="default" w:ascii="Times New Roman" w:hAnsi="Times New Roman" w:cs="Times New Roman"/>
                      <w:color w:val="auto"/>
                      <w:kern w:val="0"/>
                      <w:szCs w:val="21"/>
                      <w:highlight w:val="none"/>
                    </w:rPr>
                    <w:t>用于存储水泥。</w:t>
                  </w:r>
                </w:p>
              </w:tc>
              <w:tc>
                <w:tcPr>
                  <w:tcW w:w="352" w:type="pct"/>
                  <w:tcBorders>
                    <w:tl2br w:val="nil"/>
                    <w:tr2bl w:val="nil"/>
                  </w:tcBorders>
                  <w:noWrap w:val="0"/>
                  <w:vAlign w:val="center"/>
                </w:tcPr>
                <w:p w14:paraId="75E97A11">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已建</w:t>
                  </w:r>
                </w:p>
              </w:tc>
            </w:tr>
            <w:tr w14:paraId="493BEFC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7F1F8A11">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50D66467">
                  <w:pPr>
                    <w:widowControl/>
                    <w:adjustRightInd w:val="0"/>
                    <w:snapToGrid w:val="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石灰石矿粉筒仓</w:t>
                  </w:r>
                </w:p>
              </w:tc>
              <w:tc>
                <w:tcPr>
                  <w:tcW w:w="3213" w:type="pct"/>
                  <w:tcBorders>
                    <w:tl2br w:val="nil"/>
                    <w:tr2bl w:val="nil"/>
                  </w:tcBorders>
                  <w:noWrap w:val="0"/>
                  <w:vAlign w:val="center"/>
                </w:tcPr>
                <w:p w14:paraId="4E9A5A06">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设有</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个</w:t>
                  </w:r>
                  <w:r>
                    <w:rPr>
                      <w:rFonts w:hint="eastAsia" w:ascii="Times New Roman" w:hAnsi="Times New Roman" w:cs="Times New Roman"/>
                      <w:color w:val="auto"/>
                      <w:szCs w:val="21"/>
                      <w:highlight w:val="none"/>
                      <w:lang w:val="en-US" w:eastAsia="zh-CN"/>
                    </w:rPr>
                    <w:t>储存量为2</w:t>
                  </w:r>
                  <w:r>
                    <w:rPr>
                      <w:rFonts w:hint="default" w:ascii="Times New Roman" w:hAnsi="Times New Roman" w:cs="Times New Roman"/>
                      <w:color w:val="auto"/>
                      <w:szCs w:val="21"/>
                      <w:highlight w:val="none"/>
                    </w:rPr>
                    <w:t>00</w:t>
                  </w:r>
                  <w:r>
                    <w:rPr>
                      <w:rFonts w:hint="eastAsia" w:ascii="Times New Roman" w:hAnsi="Times New Roman" w:cs="Times New Roman"/>
                      <w:color w:val="auto"/>
                      <w:szCs w:val="21"/>
                      <w:highlight w:val="none"/>
                      <w:lang w:val="en-US" w:eastAsia="zh-CN"/>
                    </w:rPr>
                    <w:t>t</w:t>
                  </w:r>
                  <w:r>
                    <w:rPr>
                      <w:rFonts w:hint="default" w:ascii="Times New Roman" w:hAnsi="Times New Roman" w:cs="Times New Roman"/>
                      <w:color w:val="auto"/>
                      <w:szCs w:val="21"/>
                      <w:highlight w:val="none"/>
                    </w:rPr>
                    <w:t>的</w:t>
                  </w:r>
                  <w:r>
                    <w:rPr>
                      <w:rFonts w:hint="eastAsia" w:ascii="Times New Roman" w:hAnsi="Times New Roman" w:cs="Times New Roman"/>
                      <w:color w:val="auto"/>
                      <w:kern w:val="0"/>
                      <w:szCs w:val="21"/>
                      <w:highlight w:val="none"/>
                      <w:lang w:val="en-US" w:eastAsia="zh-CN"/>
                    </w:rPr>
                    <w:t>石灰石矿粉</w:t>
                  </w:r>
                  <w:r>
                    <w:rPr>
                      <w:rFonts w:hint="default" w:ascii="Times New Roman" w:hAnsi="Times New Roman" w:cs="Times New Roman"/>
                      <w:color w:val="auto"/>
                      <w:kern w:val="0"/>
                      <w:szCs w:val="21"/>
                      <w:highlight w:val="none"/>
                    </w:rPr>
                    <w:t>筒仓，</w:t>
                  </w:r>
                  <w:r>
                    <w:rPr>
                      <w:rFonts w:hint="eastAsia" w:cs="Times New Roman"/>
                      <w:color w:val="auto"/>
                      <w:kern w:val="0"/>
                      <w:szCs w:val="21"/>
                      <w:highlight w:val="none"/>
                      <w:lang w:val="en-US" w:eastAsia="zh-CN"/>
                    </w:rPr>
                    <w:t>半径为2.5m，占地面积20m</w:t>
                  </w:r>
                  <w:r>
                    <w:rPr>
                      <w:rFonts w:hint="eastAsia" w:cs="Times New Roman"/>
                      <w:color w:val="auto"/>
                      <w:kern w:val="0"/>
                      <w:szCs w:val="21"/>
                      <w:highlight w:val="none"/>
                      <w:vertAlign w:val="superscript"/>
                      <w:lang w:val="en-US" w:eastAsia="zh-CN"/>
                    </w:rPr>
                    <w:t>2</w:t>
                  </w:r>
                  <w:r>
                    <w:rPr>
                      <w:rFonts w:hint="eastAsia" w:cs="Times New Roman"/>
                      <w:color w:val="auto"/>
                      <w:kern w:val="0"/>
                      <w:szCs w:val="21"/>
                      <w:highlight w:val="none"/>
                      <w:vertAlign w:val="baseline"/>
                      <w:lang w:val="en-US" w:eastAsia="zh-CN"/>
                    </w:rPr>
                    <w:t>，</w:t>
                  </w:r>
                  <w:r>
                    <w:rPr>
                      <w:rFonts w:hint="eastAsia" w:cs="Times New Roman"/>
                      <w:color w:val="auto"/>
                      <w:kern w:val="0"/>
                      <w:szCs w:val="21"/>
                      <w:highlight w:val="none"/>
                      <w:lang w:val="en-US" w:eastAsia="zh-CN"/>
                    </w:rPr>
                    <w:t>高度26m</w:t>
                  </w:r>
                  <w:r>
                    <w:rPr>
                      <w:rFonts w:hint="eastAsia" w:cs="Times New Roman"/>
                      <w:color w:val="auto"/>
                      <w:kern w:val="0"/>
                      <w:szCs w:val="21"/>
                      <w:highlight w:val="none"/>
                      <w:vertAlign w:val="baseline"/>
                      <w:lang w:val="en-US" w:eastAsia="zh-CN"/>
                    </w:rPr>
                    <w:t>，</w:t>
                  </w:r>
                  <w:r>
                    <w:rPr>
                      <w:rFonts w:hint="default" w:ascii="Times New Roman" w:hAnsi="Times New Roman" w:cs="Times New Roman"/>
                      <w:color w:val="auto"/>
                      <w:kern w:val="0"/>
                      <w:szCs w:val="21"/>
                      <w:highlight w:val="none"/>
                    </w:rPr>
                    <w:t>用于存储</w:t>
                  </w:r>
                  <w:r>
                    <w:rPr>
                      <w:rFonts w:hint="eastAsia" w:ascii="Times New Roman" w:hAnsi="Times New Roman" w:cs="Times New Roman"/>
                      <w:color w:val="auto"/>
                      <w:kern w:val="0"/>
                      <w:szCs w:val="21"/>
                      <w:highlight w:val="none"/>
                      <w:lang w:val="en-US" w:eastAsia="zh-CN"/>
                    </w:rPr>
                    <w:t>石灰石矿粉</w:t>
                  </w:r>
                  <w:r>
                    <w:rPr>
                      <w:rFonts w:hint="default" w:ascii="Times New Roman" w:hAnsi="Times New Roman" w:cs="Times New Roman"/>
                      <w:color w:val="auto"/>
                      <w:kern w:val="0"/>
                      <w:szCs w:val="21"/>
                      <w:highlight w:val="none"/>
                    </w:rPr>
                    <w:t>。</w:t>
                  </w:r>
                </w:p>
              </w:tc>
              <w:tc>
                <w:tcPr>
                  <w:tcW w:w="352" w:type="pct"/>
                  <w:tcBorders>
                    <w:tl2br w:val="nil"/>
                    <w:tr2bl w:val="nil"/>
                  </w:tcBorders>
                  <w:noWrap w:val="0"/>
                  <w:vAlign w:val="center"/>
                </w:tcPr>
                <w:p w14:paraId="44830D00">
                  <w:pPr>
                    <w:adjustRightInd w:val="0"/>
                    <w:snapToGrid w:val="0"/>
                    <w:jc w:val="center"/>
                    <w:rPr>
                      <w:rFonts w:hint="eastAsia"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2965094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22CA9284">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073B35A6">
                  <w:pPr>
                    <w:widowControl/>
                    <w:adjustRightInd w:val="0"/>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膨胀剂储罐</w:t>
                  </w:r>
                </w:p>
              </w:tc>
              <w:tc>
                <w:tcPr>
                  <w:tcW w:w="3213" w:type="pct"/>
                  <w:tcBorders>
                    <w:tl2br w:val="nil"/>
                    <w:tr2bl w:val="nil"/>
                  </w:tcBorders>
                  <w:noWrap w:val="0"/>
                  <w:vAlign w:val="center"/>
                </w:tcPr>
                <w:p w14:paraId="207F0031">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设有</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个</w:t>
                  </w:r>
                  <w:r>
                    <w:rPr>
                      <w:rFonts w:hint="eastAsia" w:ascii="Times New Roman" w:hAnsi="Times New Roman" w:cs="Times New Roman"/>
                      <w:color w:val="auto"/>
                      <w:szCs w:val="21"/>
                      <w:highlight w:val="none"/>
                      <w:lang w:val="en-US" w:eastAsia="zh-CN"/>
                    </w:rPr>
                    <w:t>储存量为</w:t>
                  </w:r>
                  <w:r>
                    <w:rPr>
                      <w:rFonts w:hint="eastAsia" w:cs="Times New Roman"/>
                      <w:color w:val="auto"/>
                      <w:szCs w:val="21"/>
                      <w:highlight w:val="none"/>
                      <w:lang w:val="en-US" w:eastAsia="zh-CN"/>
                    </w:rPr>
                    <w:t>20m</w:t>
                  </w:r>
                  <w:r>
                    <w:rPr>
                      <w:rFonts w:hint="eastAsia" w:cs="Times New Roman"/>
                      <w:color w:val="auto"/>
                      <w:szCs w:val="21"/>
                      <w:highlight w:val="none"/>
                      <w:vertAlign w:val="superscript"/>
                      <w:lang w:val="en-US" w:eastAsia="zh-CN"/>
                    </w:rPr>
                    <w:t>3</w:t>
                  </w:r>
                  <w:r>
                    <w:rPr>
                      <w:rFonts w:hint="default" w:ascii="Times New Roman" w:hAnsi="Times New Roman" w:cs="Times New Roman"/>
                      <w:color w:val="auto"/>
                      <w:szCs w:val="21"/>
                      <w:highlight w:val="none"/>
                    </w:rPr>
                    <w:t>的</w:t>
                  </w:r>
                  <w:r>
                    <w:rPr>
                      <w:rFonts w:hint="eastAsia" w:cs="Times New Roman"/>
                      <w:color w:val="auto"/>
                      <w:kern w:val="0"/>
                      <w:szCs w:val="21"/>
                      <w:highlight w:val="none"/>
                      <w:lang w:val="en-US" w:eastAsia="zh-CN"/>
                    </w:rPr>
                    <w:t>膨胀剂储罐</w:t>
                  </w:r>
                  <w:r>
                    <w:rPr>
                      <w:rFonts w:hint="default" w:ascii="Times New Roman" w:hAnsi="Times New Roman" w:cs="Times New Roman"/>
                      <w:color w:val="auto"/>
                      <w:kern w:val="0"/>
                      <w:szCs w:val="21"/>
                      <w:highlight w:val="none"/>
                    </w:rPr>
                    <w:t>，</w:t>
                  </w:r>
                  <w:r>
                    <w:rPr>
                      <w:rFonts w:hint="eastAsia" w:cs="Times New Roman"/>
                      <w:color w:val="auto"/>
                      <w:kern w:val="0"/>
                      <w:szCs w:val="21"/>
                      <w:highlight w:val="none"/>
                      <w:lang w:val="en-US" w:eastAsia="zh-CN"/>
                    </w:rPr>
                    <w:t>半径为1.4m，占地面积6m</w:t>
                  </w:r>
                  <w:r>
                    <w:rPr>
                      <w:rFonts w:hint="eastAsia" w:cs="Times New Roman"/>
                      <w:color w:val="auto"/>
                      <w:kern w:val="0"/>
                      <w:szCs w:val="21"/>
                      <w:highlight w:val="none"/>
                      <w:vertAlign w:val="superscript"/>
                      <w:lang w:val="en-US" w:eastAsia="zh-CN"/>
                    </w:rPr>
                    <w:t>2</w:t>
                  </w:r>
                  <w:r>
                    <w:rPr>
                      <w:rFonts w:hint="eastAsia" w:cs="Times New Roman"/>
                      <w:color w:val="auto"/>
                      <w:kern w:val="0"/>
                      <w:szCs w:val="21"/>
                      <w:highlight w:val="none"/>
                      <w:vertAlign w:val="baseline"/>
                      <w:lang w:val="en-US" w:eastAsia="zh-CN"/>
                    </w:rPr>
                    <w:t>，</w:t>
                  </w:r>
                  <w:r>
                    <w:rPr>
                      <w:rFonts w:hint="eastAsia" w:cs="Times New Roman"/>
                      <w:color w:val="auto"/>
                      <w:kern w:val="0"/>
                      <w:szCs w:val="21"/>
                      <w:highlight w:val="none"/>
                      <w:lang w:val="en-US" w:eastAsia="zh-CN"/>
                    </w:rPr>
                    <w:t>高度8m，</w:t>
                  </w:r>
                  <w:r>
                    <w:rPr>
                      <w:rFonts w:hint="default" w:ascii="Times New Roman" w:hAnsi="Times New Roman" w:cs="Times New Roman"/>
                      <w:color w:val="auto"/>
                      <w:kern w:val="0"/>
                      <w:szCs w:val="21"/>
                      <w:highlight w:val="none"/>
                    </w:rPr>
                    <w:t>用于存储</w:t>
                  </w:r>
                  <w:r>
                    <w:rPr>
                      <w:rFonts w:hint="eastAsia" w:cs="Times New Roman"/>
                      <w:color w:val="auto"/>
                      <w:kern w:val="0"/>
                      <w:szCs w:val="21"/>
                      <w:highlight w:val="none"/>
                      <w:lang w:val="en-US" w:eastAsia="zh-CN"/>
                    </w:rPr>
                    <w:t>膨胀剂</w:t>
                  </w:r>
                  <w:r>
                    <w:rPr>
                      <w:rFonts w:hint="default" w:ascii="Times New Roman" w:hAnsi="Times New Roman" w:cs="Times New Roman"/>
                      <w:color w:val="auto"/>
                      <w:kern w:val="0"/>
                      <w:szCs w:val="21"/>
                      <w:highlight w:val="none"/>
                    </w:rPr>
                    <w:t>。</w:t>
                  </w:r>
                </w:p>
              </w:tc>
              <w:tc>
                <w:tcPr>
                  <w:tcW w:w="352" w:type="pct"/>
                  <w:tcBorders>
                    <w:tl2br w:val="nil"/>
                    <w:tr2bl w:val="nil"/>
                  </w:tcBorders>
                  <w:noWrap w:val="0"/>
                  <w:vAlign w:val="center"/>
                </w:tcPr>
                <w:p w14:paraId="422BE989">
                  <w:pPr>
                    <w:adjustRightInd w:val="0"/>
                    <w:snapToGrid w:val="0"/>
                    <w:jc w:val="center"/>
                    <w:rPr>
                      <w:rFonts w:hint="eastAsia"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767F29B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281" w:hRule="atLeast"/>
              </w:trPr>
              <w:tc>
                <w:tcPr>
                  <w:tcW w:w="560" w:type="pct"/>
                  <w:vMerge w:val="continue"/>
                  <w:tcBorders>
                    <w:tl2br w:val="nil"/>
                    <w:tr2bl w:val="nil"/>
                  </w:tcBorders>
                  <w:noWrap w:val="0"/>
                  <w:vAlign w:val="center"/>
                </w:tcPr>
                <w:p w14:paraId="090AE29D">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4996EA9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外加剂</w:t>
                  </w:r>
                  <w:r>
                    <w:rPr>
                      <w:rFonts w:hint="eastAsia" w:cs="Times New Roman"/>
                      <w:color w:val="auto"/>
                      <w:kern w:val="0"/>
                      <w:szCs w:val="21"/>
                      <w:highlight w:val="none"/>
                      <w:lang w:val="en-US" w:eastAsia="zh-CN"/>
                    </w:rPr>
                    <w:t>储</w:t>
                  </w:r>
                  <w:r>
                    <w:rPr>
                      <w:rFonts w:hint="default" w:ascii="Times New Roman" w:hAnsi="Times New Roman" w:cs="Times New Roman"/>
                      <w:color w:val="auto"/>
                      <w:kern w:val="0"/>
                      <w:szCs w:val="21"/>
                      <w:highlight w:val="none"/>
                    </w:rPr>
                    <w:t>罐</w:t>
                  </w:r>
                </w:p>
              </w:tc>
              <w:tc>
                <w:tcPr>
                  <w:tcW w:w="3213" w:type="pct"/>
                  <w:tcBorders>
                    <w:tl2br w:val="nil"/>
                    <w:tr2bl w:val="nil"/>
                  </w:tcBorders>
                  <w:noWrap w:val="0"/>
                  <w:vAlign w:val="center"/>
                </w:tcPr>
                <w:p w14:paraId="0857277F">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rPr>
                    <w:t>本项目2座20m</w:t>
                  </w:r>
                  <w:r>
                    <w:rPr>
                      <w:rFonts w:hint="eastAsia" w:cs="Times New Roman"/>
                      <w:color w:val="auto"/>
                      <w:szCs w:val="21"/>
                      <w:highlight w:val="none"/>
                      <w:vertAlign w:val="superscript"/>
                      <w:lang w:val="en-US" w:eastAsia="zh-CN"/>
                    </w:rPr>
                    <w:t>3</w:t>
                  </w:r>
                  <w:r>
                    <w:rPr>
                      <w:rFonts w:hint="default" w:ascii="Times New Roman" w:hAnsi="Times New Roman" w:cs="Times New Roman"/>
                      <w:color w:val="auto"/>
                      <w:szCs w:val="21"/>
                      <w:highlight w:val="none"/>
                      <w:lang w:val="en-US"/>
                    </w:rPr>
                    <w:t>液态外加剂储罐</w:t>
                  </w:r>
                  <w:r>
                    <w:rPr>
                      <w:rFonts w:hint="eastAsia" w:cs="Times New Roman"/>
                      <w:color w:val="auto"/>
                      <w:szCs w:val="21"/>
                      <w:highlight w:val="none"/>
                      <w:lang w:val="en-US" w:eastAsia="zh-CN"/>
                    </w:rPr>
                    <w:t>，</w:t>
                  </w:r>
                  <w:r>
                    <w:rPr>
                      <w:rFonts w:hint="eastAsia" w:cs="Times New Roman"/>
                      <w:color w:val="auto"/>
                      <w:kern w:val="0"/>
                      <w:szCs w:val="21"/>
                      <w:highlight w:val="none"/>
                      <w:lang w:val="en-US" w:eastAsia="zh-CN"/>
                    </w:rPr>
                    <w:t>半径为1.4m，占地面积6m</w:t>
                  </w:r>
                  <w:r>
                    <w:rPr>
                      <w:rFonts w:hint="eastAsia" w:cs="Times New Roman"/>
                      <w:color w:val="auto"/>
                      <w:kern w:val="0"/>
                      <w:szCs w:val="21"/>
                      <w:highlight w:val="none"/>
                      <w:vertAlign w:val="superscript"/>
                      <w:lang w:val="en-US" w:eastAsia="zh-CN"/>
                    </w:rPr>
                    <w:t>2</w:t>
                  </w:r>
                  <w:r>
                    <w:rPr>
                      <w:rFonts w:hint="eastAsia" w:cs="Times New Roman"/>
                      <w:color w:val="auto"/>
                      <w:kern w:val="0"/>
                      <w:szCs w:val="21"/>
                      <w:highlight w:val="none"/>
                      <w:vertAlign w:val="baseline"/>
                      <w:lang w:val="en-US" w:eastAsia="zh-CN"/>
                    </w:rPr>
                    <w:t>，</w:t>
                  </w:r>
                  <w:r>
                    <w:rPr>
                      <w:rFonts w:hint="eastAsia" w:cs="Times New Roman"/>
                      <w:color w:val="auto"/>
                      <w:kern w:val="0"/>
                      <w:szCs w:val="21"/>
                      <w:highlight w:val="none"/>
                      <w:lang w:val="en-US" w:eastAsia="zh-CN"/>
                    </w:rPr>
                    <w:t>高度4m，</w:t>
                  </w:r>
                  <w:r>
                    <w:rPr>
                      <w:rFonts w:hint="default" w:ascii="Times New Roman" w:hAnsi="Times New Roman" w:cs="Times New Roman"/>
                      <w:color w:val="auto"/>
                      <w:kern w:val="0"/>
                      <w:szCs w:val="21"/>
                      <w:highlight w:val="none"/>
                    </w:rPr>
                    <w:t>用于存储外加剂</w:t>
                  </w:r>
                  <w:r>
                    <w:rPr>
                      <w:rFonts w:hint="default" w:ascii="Times New Roman" w:hAnsi="Times New Roman" w:cs="Times New Roman"/>
                      <w:color w:val="auto"/>
                      <w:szCs w:val="21"/>
                      <w:highlight w:val="none"/>
                      <w:lang w:val="en-US"/>
                    </w:rPr>
                    <w:t>。</w:t>
                  </w:r>
                </w:p>
              </w:tc>
              <w:tc>
                <w:tcPr>
                  <w:tcW w:w="352" w:type="pct"/>
                  <w:tcBorders>
                    <w:tl2br w:val="nil"/>
                    <w:tr2bl w:val="nil"/>
                  </w:tcBorders>
                  <w:noWrap w:val="0"/>
                  <w:vAlign w:val="center"/>
                </w:tcPr>
                <w:p w14:paraId="6B5D3249">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2868773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560" w:type="pct"/>
                  <w:vMerge w:val="continue"/>
                  <w:tcBorders>
                    <w:tl2br w:val="nil"/>
                    <w:tr2bl w:val="nil"/>
                  </w:tcBorders>
                  <w:noWrap w:val="0"/>
                  <w:vAlign w:val="center"/>
                </w:tcPr>
                <w:p w14:paraId="431FB189">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1C8649E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储水</w:t>
                  </w:r>
                  <w:r>
                    <w:rPr>
                      <w:rFonts w:hint="default" w:ascii="Times New Roman" w:hAnsi="Times New Roman" w:cs="Times New Roman"/>
                      <w:color w:val="auto"/>
                      <w:kern w:val="0"/>
                      <w:szCs w:val="21"/>
                      <w:highlight w:val="none"/>
                      <w:lang w:val="en-US" w:eastAsia="zh-CN"/>
                    </w:rPr>
                    <w:t>池</w:t>
                  </w:r>
                </w:p>
              </w:tc>
              <w:tc>
                <w:tcPr>
                  <w:tcW w:w="3213" w:type="pct"/>
                  <w:tcBorders>
                    <w:tl2br w:val="nil"/>
                    <w:tr2bl w:val="nil"/>
                  </w:tcBorders>
                  <w:noWrap w:val="0"/>
                  <w:vAlign w:val="center"/>
                </w:tcPr>
                <w:p w14:paraId="55DA88FD">
                  <w:pPr>
                    <w:keepNext w:val="0"/>
                    <w:keepLines w:val="0"/>
                    <w:pageBreakBefore w:val="0"/>
                    <w:widowControl w:val="0"/>
                    <w:kinsoku/>
                    <w:wordWrap/>
                    <w:overflowPunct/>
                    <w:topLinePunct w:val="0"/>
                    <w:bidi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位于混凝土搅拌站下面，设有</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个</w:t>
                  </w:r>
                  <w:r>
                    <w:rPr>
                      <w:rFonts w:hint="eastAsia" w:cs="Times New Roman"/>
                      <w:color w:val="auto"/>
                      <w:szCs w:val="21"/>
                      <w:highlight w:val="none"/>
                      <w:lang w:val="en-US" w:eastAsia="zh-CN"/>
                    </w:rPr>
                    <w:t>50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的储水</w:t>
                  </w:r>
                  <w:r>
                    <w:rPr>
                      <w:rFonts w:hint="default" w:ascii="Times New Roman" w:hAnsi="Times New Roman" w:cs="Times New Roman"/>
                      <w:color w:val="auto"/>
                      <w:kern w:val="0"/>
                      <w:szCs w:val="21"/>
                      <w:highlight w:val="none"/>
                      <w:lang w:val="en-US" w:eastAsia="zh-CN"/>
                    </w:rPr>
                    <w:t>池</w:t>
                  </w:r>
                  <w:r>
                    <w:rPr>
                      <w:rFonts w:hint="default" w:ascii="Times New Roman" w:hAnsi="Times New Roman" w:cs="Times New Roman"/>
                      <w:color w:val="auto"/>
                      <w:szCs w:val="21"/>
                      <w:highlight w:val="none"/>
                    </w:rPr>
                    <w:t>。</w:t>
                  </w:r>
                </w:p>
              </w:tc>
              <w:tc>
                <w:tcPr>
                  <w:tcW w:w="352" w:type="pct"/>
                  <w:tcBorders>
                    <w:tl2br w:val="nil"/>
                    <w:tr2bl w:val="nil"/>
                  </w:tcBorders>
                  <w:noWrap w:val="0"/>
                  <w:vAlign w:val="center"/>
                </w:tcPr>
                <w:p w14:paraId="6E291717">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049CDE6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261" w:hRule="atLeast"/>
              </w:trPr>
              <w:tc>
                <w:tcPr>
                  <w:tcW w:w="560" w:type="pct"/>
                  <w:vMerge w:val="continue"/>
                  <w:tcBorders>
                    <w:tl2br w:val="nil"/>
                    <w:tr2bl w:val="nil"/>
                  </w:tcBorders>
                  <w:noWrap w:val="0"/>
                  <w:vAlign w:val="center"/>
                </w:tcPr>
                <w:p w14:paraId="15A20019">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38F57DF6">
                  <w:pPr>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危废暂存间</w:t>
                  </w:r>
                </w:p>
              </w:tc>
              <w:tc>
                <w:tcPr>
                  <w:tcW w:w="3213" w:type="pct"/>
                  <w:tcBorders>
                    <w:tl2br w:val="nil"/>
                    <w:tr2bl w:val="nil"/>
                  </w:tcBorders>
                  <w:noWrap w:val="0"/>
                  <w:vAlign w:val="center"/>
                </w:tcPr>
                <w:p w14:paraId="4A8BB391">
                  <w:pPr>
                    <w:keepNext w:val="0"/>
                    <w:keepLines w:val="0"/>
                    <w:pageBreakBefore w:val="0"/>
                    <w:widowControl w:val="0"/>
                    <w:kinsoku/>
                    <w:wordWrap/>
                    <w:overflowPunct/>
                    <w:topLinePunct w:val="0"/>
                    <w:bidi w:val="0"/>
                    <w:ind w:firstLine="420" w:firstLineChars="200"/>
                    <w:jc w:val="left"/>
                    <w:textAlignment w:val="auto"/>
                    <w:rPr>
                      <w:rFonts w:hint="default" w:ascii="Times New Roman" w:hAnsi="Times New Roman" w:eastAsia="宋体" w:cs="Times New Roman"/>
                      <w:color w:val="auto"/>
                      <w:szCs w:val="21"/>
                      <w:highlight w:val="none"/>
                      <w:vertAlign w:val="baseline"/>
                      <w:lang w:val="en-US" w:eastAsia="zh-CN"/>
                    </w:rPr>
                  </w:pPr>
                  <w:r>
                    <w:rPr>
                      <w:rFonts w:hint="eastAsia" w:cs="Times New Roman"/>
                      <w:color w:val="auto"/>
                      <w:szCs w:val="21"/>
                      <w:highlight w:val="none"/>
                      <w:lang w:val="en-US" w:eastAsia="zh-CN"/>
                    </w:rPr>
                    <w:t>设一座18m</w:t>
                  </w:r>
                  <w:r>
                    <w:rPr>
                      <w:rFonts w:hint="eastAsia" w:cs="Times New Roman"/>
                      <w:color w:val="auto"/>
                      <w:szCs w:val="21"/>
                      <w:highlight w:val="none"/>
                      <w:vertAlign w:val="superscript"/>
                      <w:lang w:val="en-US" w:eastAsia="zh-CN"/>
                    </w:rPr>
                    <w:t>2</w:t>
                  </w:r>
                  <w:r>
                    <w:rPr>
                      <w:rFonts w:hint="eastAsia" w:cs="Times New Roman"/>
                      <w:color w:val="auto"/>
                      <w:szCs w:val="21"/>
                      <w:highlight w:val="none"/>
                      <w:vertAlign w:val="baseline"/>
                      <w:lang w:val="en-US" w:eastAsia="zh-CN"/>
                    </w:rPr>
                    <w:t>危废暂存间，位于厂区东侧，用于暂存设备检修、维护时产生的废矿物油及废油桶。危废暂存间四周设置导流槽，导流槽规格为宽30cm，深度为20cm；导流槽与集液池相连，集液池位于危废暂存间西南角，集液池规格为长1m×宽1m×深1m，容积为1m</w:t>
                  </w:r>
                  <w:r>
                    <w:rPr>
                      <w:rFonts w:hint="eastAsia" w:cs="Times New Roman"/>
                      <w:color w:val="auto"/>
                      <w:szCs w:val="21"/>
                      <w:highlight w:val="none"/>
                      <w:vertAlign w:val="superscript"/>
                      <w:lang w:val="en-US" w:eastAsia="zh-CN"/>
                    </w:rPr>
                    <w:t>3</w:t>
                  </w:r>
                  <w:r>
                    <w:rPr>
                      <w:rFonts w:hint="eastAsia" w:cs="Times New Roman"/>
                      <w:color w:val="auto"/>
                      <w:szCs w:val="21"/>
                      <w:highlight w:val="none"/>
                      <w:vertAlign w:val="baseline"/>
                      <w:lang w:val="en-US" w:eastAsia="zh-CN"/>
                    </w:rPr>
                    <w:t>，主要用于将泄漏的废矿物油污收集至集液池。危险废物转移过程严格按照《危险废物转移管理办法》（2022年1月1日），执行五联单管理制度。</w:t>
                  </w:r>
                </w:p>
              </w:tc>
              <w:tc>
                <w:tcPr>
                  <w:tcW w:w="352" w:type="pct"/>
                  <w:tcBorders>
                    <w:tl2br w:val="nil"/>
                    <w:tr2bl w:val="nil"/>
                  </w:tcBorders>
                  <w:noWrap w:val="0"/>
                  <w:vAlign w:val="center"/>
                </w:tcPr>
                <w:p w14:paraId="1962B481">
                  <w:pPr>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4B71F9E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560" w:type="pct"/>
                  <w:vMerge w:val="restart"/>
                  <w:tcBorders>
                    <w:tl2br w:val="nil"/>
                    <w:tr2bl w:val="nil"/>
                  </w:tcBorders>
                  <w:noWrap w:val="0"/>
                  <w:vAlign w:val="center"/>
                </w:tcPr>
                <w:p w14:paraId="6C02F3B5">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辅助工程</w:t>
                  </w:r>
                </w:p>
              </w:tc>
              <w:tc>
                <w:tcPr>
                  <w:tcW w:w="874" w:type="pct"/>
                  <w:tcBorders>
                    <w:tl2br w:val="nil"/>
                    <w:tr2bl w:val="nil"/>
                  </w:tcBorders>
                  <w:noWrap w:val="0"/>
                  <w:vAlign w:val="center"/>
                </w:tcPr>
                <w:p w14:paraId="646B0230">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沉淀池</w:t>
                  </w:r>
                </w:p>
              </w:tc>
              <w:tc>
                <w:tcPr>
                  <w:tcW w:w="3213" w:type="pct"/>
                  <w:tcBorders>
                    <w:tl2br w:val="nil"/>
                    <w:tr2bl w:val="nil"/>
                  </w:tcBorders>
                  <w:noWrap w:val="0"/>
                  <w:vAlign w:val="center"/>
                </w:tcPr>
                <w:p w14:paraId="4813B0F0">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eastAsia" w:ascii="Times New Roman" w:hAnsi="Times New Roman" w:cs="Times New Roman"/>
                      <w:color w:val="auto"/>
                      <w:kern w:val="0"/>
                      <w:szCs w:val="21"/>
                      <w:highlight w:val="none"/>
                      <w:lang w:val="en-US" w:eastAsia="zh-CN"/>
                    </w:rPr>
                    <w:t>沉淀池</w:t>
                  </w:r>
                  <w:r>
                    <w:rPr>
                      <w:rFonts w:hint="default" w:ascii="Times New Roman" w:hAnsi="Times New Roman" w:cs="Times New Roman"/>
                      <w:color w:val="auto"/>
                      <w:szCs w:val="21"/>
                      <w:highlight w:val="none"/>
                    </w:rPr>
                    <w:t>位于</w:t>
                  </w:r>
                  <w:r>
                    <w:rPr>
                      <w:rFonts w:hint="eastAsia" w:cs="Times New Roman"/>
                      <w:color w:val="auto"/>
                      <w:szCs w:val="21"/>
                      <w:highlight w:val="none"/>
                      <w:lang w:val="en-US" w:eastAsia="zh-CN"/>
                    </w:rPr>
                    <w:t>厂区</w:t>
                  </w:r>
                  <w:r>
                    <w:rPr>
                      <w:rFonts w:hint="eastAsia" w:ascii="Times New Roman" w:hAnsi="Times New Roman" w:cs="Times New Roman"/>
                      <w:color w:val="auto"/>
                      <w:szCs w:val="21"/>
                      <w:highlight w:val="none"/>
                      <w:lang w:val="en-US" w:eastAsia="zh-CN"/>
                    </w:rPr>
                    <w:t>西侧</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混凝土结构</w:t>
                  </w:r>
                  <w:r>
                    <w:rPr>
                      <w:rFonts w:hint="eastAsia" w:cs="Times New Roman"/>
                      <w:color w:val="auto"/>
                      <w:highlight w:val="none"/>
                      <w:lang w:eastAsia="zh-CN"/>
                    </w:rPr>
                    <w:t>，</w:t>
                  </w:r>
                  <w:r>
                    <w:rPr>
                      <w:rFonts w:hint="eastAsia" w:ascii="Times New Roman" w:hAnsi="Times New Roman" w:cs="Times New Roman"/>
                      <w:color w:val="auto"/>
                      <w:szCs w:val="21"/>
                      <w:highlight w:val="none"/>
                      <w:lang w:val="en-US" w:eastAsia="zh-CN"/>
                    </w:rPr>
                    <w:t>容积</w:t>
                  </w:r>
                  <w:r>
                    <w:rPr>
                      <w:rFonts w:hint="eastAsia" w:cs="Times New Roman"/>
                      <w:color w:val="auto"/>
                      <w:szCs w:val="21"/>
                      <w:highlight w:val="none"/>
                      <w:lang w:val="en-US" w:eastAsia="zh-CN"/>
                    </w:rPr>
                    <w:t>200</w:t>
                  </w:r>
                  <w:r>
                    <w:rPr>
                      <w:rFonts w:hint="eastAsia" w:ascii="Times New Roman" w:hAnsi="Times New Roman" w:cs="Times New Roman"/>
                      <w:color w:val="auto"/>
                      <w:szCs w:val="21"/>
                      <w:highlight w:val="none"/>
                      <w:lang w:val="en-US" w:eastAsia="zh-CN"/>
                    </w:rPr>
                    <w:t>m</w:t>
                  </w:r>
                  <w:r>
                    <w:rPr>
                      <w:rFonts w:hint="eastAsia" w:cs="Times New Roman"/>
                      <w:color w:val="auto"/>
                      <w:szCs w:val="21"/>
                      <w:highlight w:val="none"/>
                      <w:vertAlign w:val="superscript"/>
                      <w:lang w:val="en-US" w:eastAsia="zh-CN"/>
                    </w:rPr>
                    <w:t>3</w:t>
                  </w:r>
                  <w:r>
                    <w:rPr>
                      <w:rFonts w:hint="eastAsia"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用于搅拌罐清洗废水与车辆清洗废水的处理。</w:t>
                  </w:r>
                </w:p>
              </w:tc>
              <w:tc>
                <w:tcPr>
                  <w:tcW w:w="352" w:type="pct"/>
                  <w:tcBorders>
                    <w:tl2br w:val="nil"/>
                    <w:tr2bl w:val="nil"/>
                  </w:tcBorders>
                  <w:noWrap w:val="0"/>
                  <w:vAlign w:val="center"/>
                </w:tcPr>
                <w:p w14:paraId="3FAC9759">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3349A23E">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560" w:type="pct"/>
                  <w:vMerge w:val="continue"/>
                  <w:tcBorders>
                    <w:tl2br w:val="nil"/>
                    <w:tr2bl w:val="nil"/>
                  </w:tcBorders>
                  <w:noWrap w:val="0"/>
                  <w:vAlign w:val="center"/>
                </w:tcPr>
                <w:p w14:paraId="25A9447B">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4B3853A4">
                  <w:pPr>
                    <w:adjustRightInd w:val="0"/>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车辆冲洗平台</w:t>
                  </w:r>
                </w:p>
              </w:tc>
              <w:tc>
                <w:tcPr>
                  <w:tcW w:w="3213" w:type="pct"/>
                  <w:tcBorders>
                    <w:tl2br w:val="nil"/>
                    <w:tr2bl w:val="nil"/>
                  </w:tcBorders>
                  <w:noWrap w:val="0"/>
                  <w:vAlign w:val="center"/>
                </w:tcPr>
                <w:p w14:paraId="0CB05427">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eastAsia" w:cs="Times New Roman"/>
                      <w:color w:val="auto"/>
                      <w:kern w:val="0"/>
                      <w:szCs w:val="21"/>
                      <w:highlight w:val="none"/>
                      <w:lang w:val="en-US" w:eastAsia="zh-CN"/>
                    </w:rPr>
                  </w:pPr>
                  <w:r>
                    <w:rPr>
                      <w:rFonts w:hint="eastAsia" w:cs="Times New Roman"/>
                      <w:color w:val="auto"/>
                      <w:szCs w:val="21"/>
                      <w:highlight w:val="none"/>
                      <w:lang w:val="en-US" w:eastAsia="zh-CN"/>
                    </w:rPr>
                    <w:t>项目在厂区出入口设车辆冲洗平台（共3座），</w:t>
                  </w:r>
                  <w:r>
                    <w:rPr>
                      <w:rFonts w:hint="default" w:ascii="Times New Roman" w:hAnsi="Times New Roman" w:cs="Times New Roman"/>
                      <w:color w:val="auto"/>
                      <w:szCs w:val="21"/>
                      <w:highlight w:val="none"/>
                    </w:rPr>
                    <w:t>用于运输车辆</w:t>
                  </w:r>
                  <w:r>
                    <w:rPr>
                      <w:rFonts w:hint="eastAsia" w:cs="Times New Roman"/>
                      <w:color w:val="auto"/>
                      <w:szCs w:val="21"/>
                      <w:highlight w:val="none"/>
                      <w:lang w:val="en-US" w:eastAsia="zh-CN"/>
                    </w:rPr>
                    <w:t>外观、</w:t>
                  </w:r>
                  <w:r>
                    <w:rPr>
                      <w:rFonts w:hint="default" w:ascii="Times New Roman" w:hAnsi="Times New Roman" w:cs="Times New Roman"/>
                      <w:color w:val="auto"/>
                      <w:szCs w:val="21"/>
                      <w:highlight w:val="none"/>
                    </w:rPr>
                    <w:t>轮胎</w:t>
                  </w:r>
                  <w:r>
                    <w:rPr>
                      <w:rFonts w:hint="eastAsia" w:cs="Times New Roman"/>
                      <w:color w:val="auto"/>
                      <w:szCs w:val="21"/>
                      <w:highlight w:val="none"/>
                      <w:lang w:eastAsia="zh-CN"/>
                    </w:rPr>
                    <w:t>、</w:t>
                  </w:r>
                  <w:r>
                    <w:rPr>
                      <w:rFonts w:hint="eastAsia" w:cs="Times New Roman"/>
                      <w:color w:val="auto"/>
                      <w:szCs w:val="21"/>
                      <w:highlight w:val="none"/>
                      <w:lang w:val="en-US" w:eastAsia="zh-CN"/>
                    </w:rPr>
                    <w:t>底盘</w:t>
                  </w:r>
                  <w:r>
                    <w:rPr>
                      <w:rFonts w:hint="default" w:ascii="Times New Roman" w:hAnsi="Times New Roman" w:cs="Times New Roman"/>
                      <w:color w:val="auto"/>
                      <w:szCs w:val="21"/>
                      <w:highlight w:val="none"/>
                    </w:rPr>
                    <w:t>的清洗</w:t>
                  </w:r>
                  <w:r>
                    <w:rPr>
                      <w:rFonts w:hint="eastAsia" w:cs="Times New Roman"/>
                      <w:color w:val="auto"/>
                      <w:szCs w:val="21"/>
                      <w:highlight w:val="none"/>
                      <w:lang w:eastAsia="zh-CN"/>
                    </w:rPr>
                    <w:t>，</w:t>
                  </w:r>
                  <w:r>
                    <w:rPr>
                      <w:rFonts w:hint="eastAsia" w:cs="Times New Roman"/>
                      <w:color w:val="auto"/>
                      <w:szCs w:val="21"/>
                      <w:highlight w:val="none"/>
                      <w:lang w:val="en-US" w:eastAsia="zh-CN"/>
                    </w:rPr>
                    <w:t>车辆冲洗废水经沉淀池沉淀后回用</w:t>
                  </w:r>
                  <w:r>
                    <w:rPr>
                      <w:rFonts w:hint="default" w:ascii="Times New Roman" w:hAnsi="Times New Roman" w:cs="Times New Roman"/>
                      <w:color w:val="auto"/>
                      <w:szCs w:val="21"/>
                      <w:highlight w:val="none"/>
                    </w:rPr>
                    <w:t>。</w:t>
                  </w:r>
                </w:p>
              </w:tc>
              <w:tc>
                <w:tcPr>
                  <w:tcW w:w="352" w:type="pct"/>
                  <w:tcBorders>
                    <w:tl2br w:val="nil"/>
                    <w:tr2bl w:val="nil"/>
                  </w:tcBorders>
                  <w:noWrap w:val="0"/>
                  <w:vAlign w:val="center"/>
                </w:tcPr>
                <w:p w14:paraId="52337328">
                  <w:pPr>
                    <w:jc w:val="center"/>
                    <w:rPr>
                      <w:rFonts w:hint="eastAsia"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72D5AF4B">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560" w:type="pct"/>
                  <w:vMerge w:val="continue"/>
                  <w:tcBorders>
                    <w:tl2br w:val="nil"/>
                    <w:tr2bl w:val="nil"/>
                  </w:tcBorders>
                  <w:noWrap w:val="0"/>
                  <w:vAlign w:val="center"/>
                </w:tcPr>
                <w:p w14:paraId="1CCD1897">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6117C7F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综合办公楼</w:t>
                  </w:r>
                </w:p>
              </w:tc>
              <w:tc>
                <w:tcPr>
                  <w:tcW w:w="3213" w:type="pct"/>
                  <w:tcBorders>
                    <w:tl2br w:val="nil"/>
                    <w:tr2bl w:val="nil"/>
                  </w:tcBorders>
                  <w:noWrap w:val="0"/>
                  <w:vAlign w:val="center"/>
                </w:tcPr>
                <w:p w14:paraId="1BB05979">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位于厂区内</w:t>
                  </w:r>
                  <w:r>
                    <w:rPr>
                      <w:rFonts w:hint="eastAsia" w:cs="Times New Roman"/>
                      <w:color w:val="auto"/>
                      <w:szCs w:val="21"/>
                      <w:highlight w:val="none"/>
                      <w:lang w:val="en-US" w:eastAsia="zh-CN"/>
                    </w:rPr>
                    <w:t>南侧</w:t>
                  </w:r>
                  <w:r>
                    <w:rPr>
                      <w:rFonts w:hint="default" w:ascii="Times New Roman" w:hAnsi="Times New Roman" w:cs="Times New Roman"/>
                      <w:color w:val="auto"/>
                      <w:szCs w:val="21"/>
                      <w:highlight w:val="none"/>
                    </w:rPr>
                    <w:t>，占地面积约</w:t>
                  </w:r>
                  <w:r>
                    <w:rPr>
                      <w:rFonts w:hint="eastAsia" w:cs="Times New Roman"/>
                      <w:color w:val="auto"/>
                      <w:szCs w:val="21"/>
                      <w:highlight w:val="none"/>
                      <w:lang w:val="en-US" w:eastAsia="zh-CN"/>
                    </w:rPr>
                    <w:t>800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w:t>
                  </w:r>
                  <w:r>
                    <w:rPr>
                      <w:rFonts w:hint="eastAsia" w:ascii="Times New Roman" w:hAnsi="Times New Roman" w:cs="Times New Roman"/>
                      <w:color w:val="auto"/>
                      <w:szCs w:val="21"/>
                      <w:highlight w:val="none"/>
                      <w:lang w:val="en-US" w:eastAsia="zh-CN"/>
                    </w:rPr>
                    <w:t>F，</w:t>
                  </w:r>
                  <w:r>
                    <w:rPr>
                      <w:rFonts w:hint="default" w:ascii="Times New Roman" w:hAnsi="Times New Roman" w:cs="Times New Roman"/>
                      <w:color w:val="auto"/>
                      <w:szCs w:val="21"/>
                      <w:highlight w:val="none"/>
                    </w:rPr>
                    <w:t>砖混结构</w:t>
                  </w:r>
                  <w:r>
                    <w:rPr>
                      <w:rFonts w:hint="eastAsia" w:cs="Times New Roman"/>
                      <w:color w:val="auto"/>
                      <w:szCs w:val="21"/>
                      <w:highlight w:val="none"/>
                      <w:lang w:eastAsia="zh-CN"/>
                    </w:rPr>
                    <w:t>。</w:t>
                  </w:r>
                </w:p>
              </w:tc>
              <w:tc>
                <w:tcPr>
                  <w:tcW w:w="352" w:type="pct"/>
                  <w:tcBorders>
                    <w:tl2br w:val="nil"/>
                    <w:tr2bl w:val="nil"/>
                  </w:tcBorders>
                  <w:noWrap w:val="0"/>
                  <w:vAlign w:val="center"/>
                </w:tcPr>
                <w:p w14:paraId="636C97C1">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2C3772F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1F488931">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18F24754">
                  <w:pPr>
                    <w:adjustRightInd w:val="0"/>
                    <w:snapToGrid w:val="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实验室</w:t>
                  </w:r>
                </w:p>
              </w:tc>
              <w:tc>
                <w:tcPr>
                  <w:tcW w:w="3213" w:type="pct"/>
                  <w:tcBorders>
                    <w:tl2br w:val="nil"/>
                    <w:tr2bl w:val="nil"/>
                  </w:tcBorders>
                  <w:noWrap w:val="0"/>
                  <w:vAlign w:val="center"/>
                </w:tcPr>
                <w:p w14:paraId="089714B9">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位于</w:t>
                  </w:r>
                  <w:r>
                    <w:rPr>
                      <w:rFonts w:hint="default" w:ascii="Times New Roman" w:hAnsi="Times New Roman" w:cs="Times New Roman"/>
                      <w:color w:val="auto"/>
                      <w:kern w:val="0"/>
                      <w:szCs w:val="21"/>
                      <w:highlight w:val="none"/>
                    </w:rPr>
                    <w:t>综合办公楼</w:t>
                  </w:r>
                  <w:r>
                    <w:rPr>
                      <w:rFonts w:hint="eastAsia" w:cs="Times New Roman"/>
                      <w:color w:val="auto"/>
                      <w:szCs w:val="21"/>
                      <w:highlight w:val="none"/>
                      <w:lang w:val="en-US" w:eastAsia="zh-CN"/>
                    </w:rPr>
                    <w:t>内</w:t>
                  </w:r>
                  <w:r>
                    <w:rPr>
                      <w:rFonts w:hint="eastAsia" w:ascii="Times New Roman" w:hAnsi="Times New Roman" w:cs="Times New Roman"/>
                      <w:color w:val="auto"/>
                      <w:szCs w:val="21"/>
                      <w:highlight w:val="none"/>
                      <w:vertAlign w:val="baseline"/>
                      <w:lang w:eastAsia="zh-CN"/>
                    </w:rPr>
                    <w:t>，</w:t>
                  </w:r>
                  <w:r>
                    <w:rPr>
                      <w:rFonts w:hint="eastAsia" w:cs="Times New Roman"/>
                      <w:color w:val="auto"/>
                      <w:szCs w:val="21"/>
                      <w:highlight w:val="none"/>
                      <w:vertAlign w:val="baseline"/>
                      <w:lang w:val="en-US" w:eastAsia="zh-CN"/>
                    </w:rPr>
                    <w:t>占地20m</w:t>
                  </w:r>
                  <w:r>
                    <w:rPr>
                      <w:rFonts w:hint="eastAsia" w:cs="Times New Roman"/>
                      <w:color w:val="auto"/>
                      <w:szCs w:val="21"/>
                      <w:highlight w:val="none"/>
                      <w:vertAlign w:val="superscript"/>
                      <w:lang w:val="en-US" w:eastAsia="zh-CN"/>
                    </w:rPr>
                    <w:t>2</w:t>
                  </w:r>
                  <w:r>
                    <w:rPr>
                      <w:rFonts w:hint="eastAsia" w:cs="Times New Roman"/>
                      <w:color w:val="auto"/>
                      <w:szCs w:val="21"/>
                      <w:highlight w:val="none"/>
                      <w:vertAlign w:val="baseline"/>
                      <w:lang w:val="en-US" w:eastAsia="zh-CN"/>
                    </w:rPr>
                    <w:t>，</w:t>
                  </w:r>
                  <w:r>
                    <w:rPr>
                      <w:rFonts w:hint="default" w:ascii="Times New Roman" w:hAnsi="Times New Roman" w:cs="Times New Roman"/>
                      <w:color w:val="auto"/>
                      <w:szCs w:val="21"/>
                      <w:highlight w:val="none"/>
                    </w:rPr>
                    <w:t>用于检验原料的合格性和混凝土产品的强度。</w:t>
                  </w:r>
                </w:p>
              </w:tc>
              <w:tc>
                <w:tcPr>
                  <w:tcW w:w="352" w:type="pct"/>
                  <w:tcBorders>
                    <w:tl2br w:val="nil"/>
                    <w:tr2bl w:val="nil"/>
                  </w:tcBorders>
                  <w:noWrap w:val="0"/>
                  <w:vAlign w:val="center"/>
                </w:tcPr>
                <w:p w14:paraId="7DED7DE3">
                  <w:pPr>
                    <w:jc w:val="center"/>
                    <w:rPr>
                      <w:rFonts w:hint="eastAsia"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已建</w:t>
                  </w:r>
                </w:p>
              </w:tc>
            </w:tr>
            <w:tr w14:paraId="5302470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restart"/>
                  <w:tcBorders>
                    <w:tl2br w:val="nil"/>
                    <w:tr2bl w:val="nil"/>
                  </w:tcBorders>
                  <w:noWrap w:val="0"/>
                  <w:vAlign w:val="center"/>
                </w:tcPr>
                <w:p w14:paraId="4A4BB97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公用</w:t>
                  </w:r>
                </w:p>
                <w:p w14:paraId="56DD017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874" w:type="pct"/>
                  <w:tcBorders>
                    <w:tl2br w:val="nil"/>
                    <w:tr2bl w:val="nil"/>
                  </w:tcBorders>
                  <w:noWrap w:val="0"/>
                  <w:vAlign w:val="center"/>
                </w:tcPr>
                <w:p w14:paraId="3CE39C3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供水工程</w:t>
                  </w:r>
                </w:p>
              </w:tc>
              <w:tc>
                <w:tcPr>
                  <w:tcW w:w="3213" w:type="pct"/>
                  <w:tcBorders>
                    <w:tl2br w:val="nil"/>
                    <w:tr2bl w:val="nil"/>
                  </w:tcBorders>
                  <w:noWrap w:val="0"/>
                  <w:vAlign w:val="center"/>
                </w:tcPr>
                <w:p w14:paraId="0338ADE9">
                  <w:pPr>
                    <w:keepNext w:val="0"/>
                    <w:keepLines w:val="0"/>
                    <w:pageBreakBefore w:val="0"/>
                    <w:widowControl w:val="0"/>
                    <w:kinsoku/>
                    <w:wordWrap/>
                    <w:overflowPunct/>
                    <w:topLinePunct w:val="0"/>
                    <w:autoSpaceDE w:val="0"/>
                    <w:autoSpaceDN w:val="0"/>
                    <w:bidi w:val="0"/>
                    <w:adjustRightInd w:val="0"/>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本项目生产用水</w:t>
                  </w:r>
                  <w:r>
                    <w:rPr>
                      <w:rFonts w:hint="eastAsia" w:cs="Times New Roman"/>
                      <w:color w:val="auto"/>
                      <w:szCs w:val="21"/>
                      <w:highlight w:val="none"/>
                      <w:lang w:eastAsia="zh-CN"/>
                    </w:rPr>
                    <w:t>来自</w:t>
                  </w:r>
                  <w:r>
                    <w:rPr>
                      <w:rFonts w:hint="default" w:ascii="Times New Roman" w:hAnsi="Times New Roman" w:cs="Times New Roman"/>
                      <w:color w:val="auto"/>
                      <w:szCs w:val="21"/>
                      <w:highlight w:val="none"/>
                    </w:rPr>
                    <w:t>鄂尔多斯市圣圆水务集团有限责任公司提供的中水</w:t>
                  </w:r>
                  <w:r>
                    <w:rPr>
                      <w:rFonts w:hint="eastAsia" w:cs="Times New Roman"/>
                      <w:color w:val="auto"/>
                      <w:szCs w:val="21"/>
                      <w:highlight w:val="none"/>
                      <w:lang w:eastAsia="zh-CN"/>
                    </w:rPr>
                    <w:t>（已签订协议，见附件</w:t>
                  </w:r>
                  <w:r>
                    <w:rPr>
                      <w:rFonts w:hint="eastAsia" w:cs="Times New Roman"/>
                      <w:color w:val="auto"/>
                      <w:szCs w:val="21"/>
                      <w:highlight w:val="none"/>
                      <w:lang w:val="en-US" w:eastAsia="zh-CN"/>
                    </w:rPr>
                    <w:t>3</w:t>
                  </w:r>
                  <w:r>
                    <w:rPr>
                      <w:rFonts w:hint="eastAsia" w:cs="Times New Roman"/>
                      <w:color w:val="auto"/>
                      <w:szCs w:val="21"/>
                      <w:highlight w:val="none"/>
                      <w:lang w:eastAsia="zh-CN"/>
                    </w:rPr>
                    <w:t>）；生活用水外购桶装水。</w:t>
                  </w:r>
                </w:p>
              </w:tc>
              <w:tc>
                <w:tcPr>
                  <w:tcW w:w="352" w:type="pct"/>
                  <w:tcBorders>
                    <w:tl2br w:val="nil"/>
                    <w:tr2bl w:val="nil"/>
                  </w:tcBorders>
                  <w:noWrap w:val="0"/>
                  <w:vAlign w:val="center"/>
                </w:tcPr>
                <w:p w14:paraId="11929D64">
                  <w:pPr>
                    <w:autoSpaceDE w:val="0"/>
                    <w:autoSpaceDN w:val="0"/>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Cs w:val="21"/>
                      <w:highlight w:val="none"/>
                      <w:lang w:val="en-US" w:eastAsia="zh-CN"/>
                    </w:rPr>
                    <w:t>/</w:t>
                  </w:r>
                </w:p>
              </w:tc>
            </w:tr>
            <w:tr w14:paraId="203E2F5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16B703F2">
                  <w:pPr>
                    <w:adjustRightInd w:val="0"/>
                    <w:snapToGrid w:val="0"/>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2698D8C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排水工程</w:t>
                  </w:r>
                </w:p>
              </w:tc>
              <w:tc>
                <w:tcPr>
                  <w:tcW w:w="3213" w:type="pct"/>
                  <w:tcBorders>
                    <w:tl2br w:val="nil"/>
                    <w:tr2bl w:val="nil"/>
                  </w:tcBorders>
                  <w:noWrap w:val="0"/>
                  <w:vAlign w:val="center"/>
                </w:tcPr>
                <w:p w14:paraId="35CB47DD">
                  <w:pPr>
                    <w:keepNext w:val="0"/>
                    <w:keepLines w:val="0"/>
                    <w:pageBreakBefore w:val="0"/>
                    <w:widowControl w:val="0"/>
                    <w:kinsoku/>
                    <w:wordWrap/>
                    <w:overflowPunct/>
                    <w:topLinePunct w:val="0"/>
                    <w:bidi w:val="0"/>
                    <w:adjustRightInd w:val="0"/>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本项目生活污水经</w:t>
                  </w:r>
                  <w:r>
                    <w:rPr>
                      <w:rFonts w:hint="eastAsia" w:ascii="Times New Roman" w:hAnsi="Times New Roman" w:cs="Times New Roman"/>
                      <w:color w:val="auto"/>
                      <w:kern w:val="0"/>
                      <w:szCs w:val="21"/>
                      <w:highlight w:val="none"/>
                      <w:lang w:val="en-US" w:eastAsia="zh-CN"/>
                    </w:rPr>
                    <w:t>30m</w:t>
                  </w:r>
                  <w:r>
                    <w:rPr>
                      <w:rFonts w:hint="eastAsia" w:ascii="Times New Roman" w:hAnsi="Times New Roman" w:cs="Times New Roman"/>
                      <w:color w:val="auto"/>
                      <w:kern w:val="0"/>
                      <w:szCs w:val="21"/>
                      <w:highlight w:val="none"/>
                      <w:vertAlign w:val="superscript"/>
                      <w:lang w:val="en-US" w:eastAsia="zh-CN"/>
                    </w:rPr>
                    <w:t>3</w:t>
                  </w:r>
                  <w:r>
                    <w:rPr>
                      <w:rFonts w:hint="default" w:ascii="Times New Roman" w:hAnsi="Times New Roman" w:cs="Times New Roman"/>
                      <w:color w:val="auto"/>
                      <w:kern w:val="0"/>
                      <w:szCs w:val="21"/>
                      <w:highlight w:val="none"/>
                    </w:rPr>
                    <w:t>化粪池预处理后</w:t>
                  </w:r>
                  <w:r>
                    <w:rPr>
                      <w:rFonts w:hint="eastAsia" w:ascii="Times New Roman" w:hAnsi="Times New Roman" w:cs="Times New Roman"/>
                      <w:color w:val="auto"/>
                      <w:kern w:val="0"/>
                      <w:szCs w:val="21"/>
                      <w:highlight w:val="none"/>
                      <w:lang w:val="en-US" w:eastAsia="zh-CN"/>
                    </w:rPr>
                    <w:t>定期拉运至</w:t>
                  </w:r>
                  <w:r>
                    <w:rPr>
                      <w:rFonts w:hint="eastAsia"/>
                      <w:color w:val="auto"/>
                      <w:highlight w:val="none"/>
                      <w:lang w:val="en-US" w:eastAsia="zh-CN"/>
                    </w:rPr>
                    <w:t>阿镇污水处理厂处理</w:t>
                  </w:r>
                  <w:r>
                    <w:rPr>
                      <w:rFonts w:hint="default" w:ascii="Times New Roman" w:hAnsi="Times New Roman" w:cs="Times New Roman"/>
                      <w:color w:val="auto"/>
                      <w:kern w:val="0"/>
                      <w:szCs w:val="21"/>
                      <w:highlight w:val="none"/>
                    </w:rPr>
                    <w:t>；生产废水循环使用，无外排。</w:t>
                  </w:r>
                </w:p>
              </w:tc>
              <w:tc>
                <w:tcPr>
                  <w:tcW w:w="352" w:type="pct"/>
                  <w:tcBorders>
                    <w:tl2br w:val="nil"/>
                    <w:tr2bl w:val="nil"/>
                  </w:tcBorders>
                  <w:noWrap w:val="0"/>
                  <w:vAlign w:val="center"/>
                </w:tcPr>
                <w:p w14:paraId="2B95A4FB">
                  <w:pPr>
                    <w:jc w:val="center"/>
                    <w:rPr>
                      <w:rFonts w:hint="default" w:ascii="Times New Roman" w:hAnsi="Times New Roman" w:cs="Times New Roman"/>
                      <w:color w:val="auto"/>
                      <w:szCs w:val="21"/>
                      <w:highlight w:val="none"/>
                    </w:rPr>
                  </w:pPr>
                  <w:r>
                    <w:rPr>
                      <w:rFonts w:hint="eastAsia" w:cs="Times New Roman"/>
                      <w:color w:val="auto"/>
                      <w:kern w:val="0"/>
                      <w:szCs w:val="21"/>
                      <w:highlight w:val="none"/>
                      <w:lang w:val="en-US" w:eastAsia="zh-CN"/>
                    </w:rPr>
                    <w:t>已建</w:t>
                  </w:r>
                </w:p>
              </w:tc>
            </w:tr>
            <w:tr w14:paraId="7970DC2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18B84706">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31B78D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供电工程</w:t>
                  </w:r>
                </w:p>
              </w:tc>
              <w:tc>
                <w:tcPr>
                  <w:tcW w:w="3213" w:type="pct"/>
                  <w:tcBorders>
                    <w:tl2br w:val="nil"/>
                    <w:tr2bl w:val="nil"/>
                  </w:tcBorders>
                  <w:noWrap w:val="0"/>
                  <w:vAlign w:val="center"/>
                </w:tcPr>
                <w:p w14:paraId="7A3115DC">
                  <w:pPr>
                    <w:keepNext w:val="0"/>
                    <w:keepLines w:val="0"/>
                    <w:pageBreakBefore w:val="0"/>
                    <w:widowControl w:val="0"/>
                    <w:kinsoku/>
                    <w:wordWrap/>
                    <w:overflowPunct/>
                    <w:topLinePunct w:val="0"/>
                    <w:autoSpaceDE w:val="0"/>
                    <w:autoSpaceDN w:val="0"/>
                    <w:bidi w:val="0"/>
                    <w:adjustRightInd w:val="0"/>
                    <w:snapToGrid w:val="0"/>
                    <w:ind w:firstLine="420" w:firstLineChars="20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本项目用电电源引自</w:t>
                  </w:r>
                  <w:r>
                    <w:rPr>
                      <w:rFonts w:hint="eastAsia" w:ascii="Times New Roman" w:hAnsi="Times New Roman" w:cs="Times New Roman"/>
                      <w:color w:val="auto"/>
                      <w:szCs w:val="21"/>
                      <w:highlight w:val="none"/>
                      <w:lang w:val="en-US" w:eastAsia="zh-CN"/>
                    </w:rPr>
                    <w:t>园区供电线路</w:t>
                  </w:r>
                  <w:r>
                    <w:rPr>
                      <w:rFonts w:hint="default" w:ascii="Times New Roman" w:hAnsi="Times New Roman" w:cs="Times New Roman"/>
                      <w:color w:val="auto"/>
                      <w:szCs w:val="21"/>
                      <w:highlight w:val="none"/>
                    </w:rPr>
                    <w:t>。</w:t>
                  </w:r>
                </w:p>
              </w:tc>
              <w:tc>
                <w:tcPr>
                  <w:tcW w:w="352" w:type="pct"/>
                  <w:tcBorders>
                    <w:tl2br w:val="nil"/>
                    <w:tr2bl w:val="nil"/>
                  </w:tcBorders>
                  <w:noWrap w:val="0"/>
                  <w:vAlign w:val="center"/>
                </w:tcPr>
                <w:p w14:paraId="58F6EB12">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val="en-US" w:eastAsia="zh-CN"/>
                    </w:rPr>
                    <w:t>/</w:t>
                  </w:r>
                </w:p>
              </w:tc>
            </w:tr>
            <w:tr w14:paraId="1A0855DA">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4F5994F0">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1F57E6F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供热工程</w:t>
                  </w:r>
                </w:p>
              </w:tc>
              <w:tc>
                <w:tcPr>
                  <w:tcW w:w="3213" w:type="pct"/>
                  <w:tcBorders>
                    <w:tl2br w:val="nil"/>
                    <w:tr2bl w:val="nil"/>
                  </w:tcBorders>
                  <w:noWrap w:val="0"/>
                  <w:vAlign w:val="center"/>
                </w:tcPr>
                <w:p w14:paraId="040B720F">
                  <w:pPr>
                    <w:keepNext w:val="0"/>
                    <w:keepLines w:val="0"/>
                    <w:pageBreakBefore w:val="0"/>
                    <w:widowControl w:val="0"/>
                    <w:kinsoku/>
                    <w:wordWrap/>
                    <w:overflowPunct/>
                    <w:topLinePunct w:val="0"/>
                    <w:autoSpaceDE w:val="0"/>
                    <w:autoSpaceDN w:val="0"/>
                    <w:bidi w:val="0"/>
                    <w:adjustRightInd w:val="0"/>
                    <w:snapToGrid w:val="0"/>
                    <w:ind w:firstLine="420" w:firstLineChars="20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本项目冬季不生产，不需要供热采暖。</w:t>
                  </w:r>
                </w:p>
              </w:tc>
              <w:tc>
                <w:tcPr>
                  <w:tcW w:w="352" w:type="pct"/>
                  <w:tcBorders>
                    <w:tl2br w:val="nil"/>
                    <w:tr2bl w:val="nil"/>
                  </w:tcBorders>
                  <w:noWrap w:val="0"/>
                  <w:vAlign w:val="center"/>
                </w:tcPr>
                <w:p w14:paraId="32917E4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val="en-US" w:eastAsia="zh-CN"/>
                    </w:rPr>
                    <w:t>/</w:t>
                  </w:r>
                </w:p>
              </w:tc>
            </w:tr>
            <w:tr w14:paraId="2259877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restart"/>
                  <w:tcBorders>
                    <w:tl2br w:val="nil"/>
                    <w:tr2bl w:val="nil"/>
                  </w:tcBorders>
                  <w:noWrap w:val="0"/>
                  <w:vAlign w:val="center"/>
                </w:tcPr>
                <w:p w14:paraId="21338FC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w:t>
                  </w:r>
                </w:p>
                <w:p w14:paraId="7838CA4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w:t>
                  </w:r>
                </w:p>
              </w:tc>
              <w:tc>
                <w:tcPr>
                  <w:tcW w:w="874" w:type="pct"/>
                  <w:vMerge w:val="restart"/>
                  <w:tcBorders>
                    <w:tl2br w:val="nil"/>
                    <w:tr2bl w:val="nil"/>
                  </w:tcBorders>
                  <w:noWrap w:val="0"/>
                  <w:vAlign w:val="center"/>
                </w:tcPr>
                <w:p w14:paraId="6BAF86B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3213" w:type="pct"/>
                  <w:tcBorders>
                    <w:tl2br w:val="nil"/>
                    <w:tr2bl w:val="nil"/>
                  </w:tcBorders>
                  <w:noWrap w:val="0"/>
                  <w:vAlign w:val="center"/>
                </w:tcPr>
                <w:p w14:paraId="43C7158E">
                  <w:pPr>
                    <w:keepNext w:val="0"/>
                    <w:keepLines w:val="0"/>
                    <w:pageBreakBefore w:val="0"/>
                    <w:widowControl w:val="0"/>
                    <w:kinsoku/>
                    <w:wordWrap/>
                    <w:overflowPunct/>
                    <w:topLinePunct w:val="0"/>
                    <w:autoSpaceDE/>
                    <w:autoSpaceDN/>
                    <w:bidi w:val="0"/>
                    <w:adjustRightInd w:val="0"/>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砂</w:t>
                  </w:r>
                  <w:r>
                    <w:rPr>
                      <w:rFonts w:hint="eastAsia" w:cs="Times New Roman"/>
                      <w:color w:val="auto"/>
                      <w:kern w:val="0"/>
                      <w:szCs w:val="21"/>
                      <w:highlight w:val="none"/>
                      <w:lang w:eastAsia="zh-CN"/>
                    </w:rPr>
                    <w:t>、</w:t>
                  </w:r>
                  <w:r>
                    <w:rPr>
                      <w:rFonts w:hint="default" w:ascii="Times New Roman" w:hAnsi="Times New Roman" w:cs="Times New Roman"/>
                      <w:color w:val="auto"/>
                      <w:kern w:val="0"/>
                      <w:szCs w:val="21"/>
                      <w:highlight w:val="none"/>
                    </w:rPr>
                    <w:t>石存储及卸料粉尘</w:t>
                  </w:r>
                  <w:r>
                    <w:rPr>
                      <w:rFonts w:hint="default"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本项目共设置</w:t>
                  </w:r>
                  <w:r>
                    <w:rPr>
                      <w:rFonts w:hint="eastAsia" w:cs="Times New Roman"/>
                      <w:color w:val="auto"/>
                      <w:kern w:val="0"/>
                      <w:szCs w:val="21"/>
                      <w:highlight w:val="none"/>
                      <w:lang w:val="en-US" w:eastAsia="zh-CN"/>
                    </w:rPr>
                    <w:t>1</w:t>
                  </w:r>
                  <w:r>
                    <w:rPr>
                      <w:rFonts w:hint="eastAsia" w:ascii="Times New Roman" w:hAnsi="Times New Roman" w:cs="Times New Roman"/>
                      <w:color w:val="auto"/>
                      <w:kern w:val="0"/>
                      <w:szCs w:val="21"/>
                      <w:highlight w:val="none"/>
                      <w:lang w:val="en-US" w:eastAsia="zh-CN"/>
                    </w:rPr>
                    <w:t>座</w:t>
                  </w:r>
                  <w:r>
                    <w:rPr>
                      <w:rFonts w:hint="eastAsia" w:cs="Times New Roman"/>
                      <w:color w:val="auto"/>
                      <w:kern w:val="0"/>
                      <w:szCs w:val="21"/>
                      <w:highlight w:val="none"/>
                      <w:lang w:val="en-US" w:eastAsia="zh-CN"/>
                    </w:rPr>
                    <w:t>全封闭</w:t>
                  </w:r>
                  <w:r>
                    <w:rPr>
                      <w:rFonts w:hint="default" w:ascii="Times New Roman" w:hAnsi="Times New Roman" w:cs="Times New Roman"/>
                      <w:color w:val="auto"/>
                      <w:kern w:val="0"/>
                      <w:szCs w:val="21"/>
                      <w:highlight w:val="none"/>
                    </w:rPr>
                    <w:t>砂</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石</w:t>
                  </w:r>
                  <w:r>
                    <w:rPr>
                      <w:rFonts w:hint="default" w:ascii="Times New Roman" w:hAnsi="Times New Roman" w:cs="Times New Roman"/>
                      <w:color w:val="auto"/>
                      <w:kern w:val="0"/>
                      <w:szCs w:val="21"/>
                      <w:highlight w:val="none"/>
                    </w:rPr>
                    <w:t>料棚</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rPr>
                    <w:t>碎石和砂子在</w:t>
                  </w:r>
                  <w:r>
                    <w:rPr>
                      <w:rFonts w:hint="default" w:ascii="Times New Roman" w:hAnsi="Times New Roman" w:cs="Times New Roman"/>
                      <w:color w:val="auto"/>
                      <w:szCs w:val="21"/>
                      <w:highlight w:val="none"/>
                    </w:rPr>
                    <w:t>全封闭式储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储存，</w:t>
                  </w:r>
                  <w:r>
                    <w:rPr>
                      <w:rFonts w:hint="eastAsia" w:ascii="Times New Roman" w:hAnsi="Times New Roman" w:cs="Times New Roman"/>
                      <w:color w:val="auto"/>
                      <w:kern w:val="0"/>
                      <w:szCs w:val="21"/>
                      <w:highlight w:val="none"/>
                      <w:lang w:val="en-US" w:eastAsia="zh-CN"/>
                    </w:rPr>
                    <w:t>储料棚</w:t>
                  </w:r>
                  <w:r>
                    <w:rPr>
                      <w:rFonts w:hint="default" w:ascii="Times New Roman" w:hAnsi="Times New Roman" w:cs="Times New Roman"/>
                      <w:color w:val="auto"/>
                      <w:kern w:val="0"/>
                      <w:szCs w:val="21"/>
                      <w:highlight w:val="none"/>
                    </w:rPr>
                    <w:t>配备</w:t>
                  </w:r>
                  <w:r>
                    <w:rPr>
                      <w:rFonts w:hint="eastAsia" w:cs="Times New Roman"/>
                      <w:color w:val="auto"/>
                      <w:kern w:val="0"/>
                      <w:szCs w:val="21"/>
                      <w:highlight w:val="none"/>
                      <w:lang w:val="en-US" w:eastAsia="zh-CN"/>
                    </w:rPr>
                    <w:t>一套喷淋系统</w:t>
                  </w:r>
                  <w:r>
                    <w:rPr>
                      <w:rFonts w:hint="default" w:ascii="Times New Roman" w:hAnsi="Times New Roman" w:cs="Times New Roman"/>
                      <w:color w:val="auto"/>
                      <w:kern w:val="0"/>
                      <w:szCs w:val="21"/>
                      <w:highlight w:val="none"/>
                    </w:rPr>
                    <w:t>，原料装卸过程尽量减小卸料落差，</w:t>
                  </w:r>
                  <w:r>
                    <w:rPr>
                      <w:rFonts w:hint="default" w:ascii="Times New Roman" w:hAnsi="Times New Roman" w:cs="Times New Roman"/>
                      <w:color w:val="auto"/>
                      <w:szCs w:val="21"/>
                      <w:highlight w:val="none"/>
                    </w:rPr>
                    <w:t>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四周地面硬化。</w:t>
                  </w:r>
                </w:p>
              </w:tc>
              <w:tc>
                <w:tcPr>
                  <w:tcW w:w="352" w:type="pct"/>
                  <w:tcBorders>
                    <w:tl2br w:val="nil"/>
                    <w:tr2bl w:val="nil"/>
                  </w:tcBorders>
                  <w:noWrap w:val="0"/>
                  <w:vAlign w:val="center"/>
                </w:tcPr>
                <w:p w14:paraId="1B650453">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24B5487A">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65143502">
                  <w:pPr>
                    <w:adjustRightInd w:val="0"/>
                    <w:snapToGrid w:val="0"/>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4636C71D">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427E724">
                  <w:pPr>
                    <w:keepNext w:val="0"/>
                    <w:keepLines w:val="0"/>
                    <w:pageBreakBefore w:val="0"/>
                    <w:widowControl w:val="0"/>
                    <w:kinsoku/>
                    <w:wordWrap/>
                    <w:overflowPunct/>
                    <w:topLinePunct w:val="0"/>
                    <w:autoSpaceDE/>
                    <w:autoSpaceDN/>
                    <w:bidi w:val="0"/>
                    <w:adjustRightInd w:val="0"/>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粉料筒仓呼吸孔粉尘：水泥、粉煤灰</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石灰石矿粉</w:t>
                  </w:r>
                  <w:r>
                    <w:rPr>
                      <w:rFonts w:hint="eastAsia" w:cs="Times New Roman"/>
                      <w:color w:val="auto"/>
                      <w:kern w:val="0"/>
                      <w:szCs w:val="21"/>
                      <w:highlight w:val="none"/>
                      <w:lang w:val="en-US" w:eastAsia="zh-CN"/>
                    </w:rPr>
                    <w:t>、膨胀剂</w:t>
                  </w:r>
                  <w:r>
                    <w:rPr>
                      <w:rFonts w:hint="default" w:ascii="Times New Roman" w:hAnsi="Times New Roman" w:cs="Times New Roman"/>
                      <w:color w:val="auto"/>
                      <w:kern w:val="0"/>
                      <w:szCs w:val="21"/>
                      <w:highlight w:val="none"/>
                    </w:rPr>
                    <w:t>等粉料筒仓为全封闭筒仓，筒仓顶部均配有仓顶滤芯除尘器</w:t>
                  </w:r>
                  <w:r>
                    <w:rPr>
                      <w:rFonts w:hint="eastAsia" w:cs="Times New Roman"/>
                      <w:color w:val="auto"/>
                      <w:kern w:val="0"/>
                      <w:szCs w:val="21"/>
                      <w:highlight w:val="none"/>
                      <w:lang w:eastAsia="zh-CN"/>
                    </w:rPr>
                    <w:t>，除尘效率≥99%，</w:t>
                  </w:r>
                  <w:r>
                    <w:rPr>
                      <w:rFonts w:hint="eastAsia" w:ascii="Times New Roman" w:hAnsi="Times New Roman" w:cs="Times New Roman"/>
                      <w:color w:val="auto"/>
                      <w:kern w:val="0"/>
                      <w:szCs w:val="21"/>
                      <w:highlight w:val="none"/>
                      <w:lang w:val="en-US" w:eastAsia="zh-CN"/>
                    </w:rPr>
                    <w:t>处理后</w:t>
                  </w:r>
                  <w:r>
                    <w:rPr>
                      <w:rFonts w:hint="eastAsia" w:cs="Times New Roman"/>
                      <w:color w:val="auto"/>
                      <w:kern w:val="0"/>
                      <w:szCs w:val="21"/>
                      <w:highlight w:val="none"/>
                      <w:lang w:val="en-US" w:eastAsia="zh-CN"/>
                    </w:rPr>
                    <w:t>通过仓顶排气筒有组织排放</w:t>
                  </w:r>
                  <w:r>
                    <w:rPr>
                      <w:rFonts w:hint="default" w:ascii="Times New Roman" w:hAnsi="Times New Roman" w:cs="Times New Roman"/>
                      <w:color w:val="auto"/>
                      <w:kern w:val="0"/>
                      <w:szCs w:val="21"/>
                      <w:highlight w:val="none"/>
                    </w:rPr>
                    <w:t>。</w:t>
                  </w:r>
                </w:p>
              </w:tc>
              <w:tc>
                <w:tcPr>
                  <w:tcW w:w="352" w:type="pct"/>
                  <w:tcBorders>
                    <w:tl2br w:val="nil"/>
                    <w:tr2bl w:val="nil"/>
                  </w:tcBorders>
                  <w:noWrap w:val="0"/>
                  <w:vAlign w:val="center"/>
                </w:tcPr>
                <w:p w14:paraId="30E9C126">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44C4DF6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801" w:hRule="atLeast"/>
              </w:trPr>
              <w:tc>
                <w:tcPr>
                  <w:tcW w:w="560" w:type="pct"/>
                  <w:vMerge w:val="continue"/>
                  <w:tcBorders>
                    <w:tl2br w:val="nil"/>
                    <w:tr2bl w:val="nil"/>
                  </w:tcBorders>
                  <w:noWrap w:val="0"/>
                  <w:vAlign w:val="center"/>
                </w:tcPr>
                <w:p w14:paraId="7B9C2CC3">
                  <w:pPr>
                    <w:adjustRightInd w:val="0"/>
                    <w:snapToGrid w:val="0"/>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217CD4A1">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28094968">
                  <w:pPr>
                    <w:keepNext w:val="0"/>
                    <w:keepLines w:val="0"/>
                    <w:pageBreakBefore w:val="0"/>
                    <w:widowControl w:val="0"/>
                    <w:kinsoku/>
                    <w:wordWrap/>
                    <w:overflowPunct/>
                    <w:topLinePunct w:val="0"/>
                    <w:autoSpaceDE/>
                    <w:autoSpaceDN/>
                    <w:bidi w:val="0"/>
                    <w:adjustRightInd w:val="0"/>
                    <w:snapToGrid w:val="0"/>
                    <w:ind w:firstLine="420" w:firstLineChars="200"/>
                    <w:jc w:val="left"/>
                    <w:textAlignment w:val="auto"/>
                    <w:rPr>
                      <w:rFonts w:hint="eastAsia"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rPr>
                    <w:t>砂石配料输送过程扬尘：砂石原料利用装载机由砂料棚、石料棚运至置于密闭上料仓，项目砂、石提升以密闭皮带输送方式完成，出料口密闭接入搅拌站</w:t>
                  </w:r>
                  <w:r>
                    <w:rPr>
                      <w:rFonts w:hint="eastAsia" w:cs="Times New Roman"/>
                      <w:color w:val="auto"/>
                      <w:kern w:val="0"/>
                      <w:szCs w:val="21"/>
                      <w:highlight w:val="none"/>
                      <w:lang w:eastAsia="zh-CN"/>
                    </w:rPr>
                    <w:t>。</w:t>
                  </w:r>
                </w:p>
              </w:tc>
              <w:tc>
                <w:tcPr>
                  <w:tcW w:w="352" w:type="pct"/>
                  <w:tcBorders>
                    <w:tl2br w:val="nil"/>
                    <w:tr2bl w:val="nil"/>
                  </w:tcBorders>
                  <w:noWrap w:val="0"/>
                  <w:vAlign w:val="center"/>
                </w:tcPr>
                <w:p w14:paraId="23AFFA99">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68AC19C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4A68D114">
                  <w:pPr>
                    <w:adjustRightInd w:val="0"/>
                    <w:snapToGrid w:val="0"/>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442FA083">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226C0E85">
                  <w:pPr>
                    <w:keepNext w:val="0"/>
                    <w:keepLines w:val="0"/>
                    <w:pageBreakBefore w:val="0"/>
                    <w:widowControl w:val="0"/>
                    <w:kinsoku/>
                    <w:wordWrap/>
                    <w:overflowPunct/>
                    <w:topLinePunct w:val="0"/>
                    <w:autoSpaceDE/>
                    <w:autoSpaceDN/>
                    <w:bidi w:val="0"/>
                    <w:adjustRightInd w:val="0"/>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搅拌机入料口粉尘：混凝土搅拌站厂房全封闭，搅拌机配有一套脉冲除尘器，除尘器直接安装在缓存斗盖上，缓存斗盖与搅拌机为封闭状态，经除尘器排气口无组织排放；皮带输送机和搅拌主机之间用帆布软连接。</w:t>
                  </w:r>
                </w:p>
              </w:tc>
              <w:tc>
                <w:tcPr>
                  <w:tcW w:w="352" w:type="pct"/>
                  <w:tcBorders>
                    <w:tl2br w:val="nil"/>
                    <w:tr2bl w:val="nil"/>
                  </w:tcBorders>
                  <w:noWrap w:val="0"/>
                  <w:vAlign w:val="center"/>
                </w:tcPr>
                <w:p w14:paraId="62AB53F9">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52D7F7E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3122CFC8">
                  <w:pPr>
                    <w:adjustRightInd w:val="0"/>
                    <w:snapToGrid w:val="0"/>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7DC255C8">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608716CA">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运输车辆动力起尘：厂区道路</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工业广场</w:t>
                  </w:r>
                  <w:r>
                    <w:rPr>
                      <w:rFonts w:hint="default" w:ascii="Times New Roman" w:hAnsi="Times New Roman" w:cs="Times New Roman"/>
                      <w:color w:val="auto"/>
                      <w:kern w:val="0"/>
                      <w:szCs w:val="21"/>
                      <w:highlight w:val="none"/>
                    </w:rPr>
                    <w:t>定</w:t>
                  </w:r>
                  <w:r>
                    <w:rPr>
                      <w:rFonts w:hint="eastAsia" w:ascii="Times New Roman" w:hAnsi="Times New Roman" w:cs="Times New Roman"/>
                      <w:color w:val="auto"/>
                      <w:kern w:val="0"/>
                      <w:szCs w:val="21"/>
                      <w:highlight w:val="none"/>
                      <w:lang w:val="en-US" w:eastAsia="zh-CN"/>
                    </w:rPr>
                    <w:t>期</w:t>
                  </w:r>
                  <w:r>
                    <w:rPr>
                      <w:rFonts w:hint="default" w:ascii="Times New Roman" w:hAnsi="Times New Roman" w:cs="Times New Roman"/>
                      <w:color w:val="auto"/>
                      <w:kern w:val="0"/>
                      <w:szCs w:val="21"/>
                      <w:highlight w:val="none"/>
                    </w:rPr>
                    <w:t>洒水</w:t>
                  </w:r>
                  <w:r>
                    <w:rPr>
                      <w:rFonts w:hint="eastAsia" w:ascii="Times New Roman" w:hAnsi="Times New Roman" w:cs="Times New Roman"/>
                      <w:color w:val="auto"/>
                      <w:kern w:val="0"/>
                      <w:szCs w:val="21"/>
                      <w:highlight w:val="none"/>
                      <w:lang w:val="en-US" w:eastAsia="zh-CN"/>
                    </w:rPr>
                    <w:t>抑尘</w:t>
                  </w:r>
                  <w:r>
                    <w:rPr>
                      <w:rFonts w:hint="default" w:ascii="Times New Roman" w:hAnsi="Times New Roman" w:cs="Times New Roman"/>
                      <w:color w:val="auto"/>
                      <w:kern w:val="0"/>
                      <w:szCs w:val="21"/>
                      <w:highlight w:val="none"/>
                    </w:rPr>
                    <w:t>；降低车辆运输速度；并配备高压水枪设备对驶出车辆进行冲洗清洁；厂区保洁人员及时对散落的物料进行清扫收集。</w:t>
                  </w:r>
                </w:p>
              </w:tc>
              <w:tc>
                <w:tcPr>
                  <w:tcW w:w="352" w:type="pct"/>
                  <w:tcBorders>
                    <w:tl2br w:val="nil"/>
                    <w:tr2bl w:val="nil"/>
                  </w:tcBorders>
                  <w:noWrap w:val="0"/>
                  <w:vAlign w:val="center"/>
                </w:tcPr>
                <w:p w14:paraId="0A6C9169">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3623500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644E77E5">
                  <w:pPr>
                    <w:adjustRightInd w:val="0"/>
                    <w:snapToGrid w:val="0"/>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63C4B503">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6EAEF8A">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sz w:val="21"/>
                      <w:szCs w:val="21"/>
                      <w:highlight w:val="none"/>
                      <w:lang w:val="en-US" w:eastAsia="zh-CN"/>
                    </w:rPr>
                    <w:t>危废暂存间废气：</w:t>
                  </w:r>
                  <w:r>
                    <w:rPr>
                      <w:rFonts w:hint="default" w:eastAsia="宋体" w:cs="Times New Roman"/>
                      <w:color w:val="auto"/>
                      <w:highlight w:val="none"/>
                      <w:lang w:val="en-US" w:eastAsia="zh-CN"/>
                    </w:rPr>
                    <w:t>本项目废矿物油贮存量较小，且均使用全封闭铁皮桶盛装，非甲烷总烃在危废暂存间内以无组织形式排放，本项目</w:t>
                  </w:r>
                  <w:r>
                    <w:rPr>
                      <w:rFonts w:hint="eastAsia" w:eastAsia="宋体" w:cs="Times New Roman"/>
                      <w:color w:val="auto"/>
                      <w:highlight w:val="none"/>
                      <w:lang w:val="en-US" w:eastAsia="zh-CN"/>
                    </w:rPr>
                    <w:t>采取</w:t>
                  </w:r>
                  <w:r>
                    <w:rPr>
                      <w:rFonts w:hint="default" w:eastAsia="宋体" w:cs="Times New Roman"/>
                      <w:color w:val="auto"/>
                      <w:highlight w:val="none"/>
                      <w:lang w:val="en-US" w:eastAsia="zh-CN"/>
                    </w:rPr>
                    <w:t>加强危废暂存间内的通风，即可有效减小对周围环境的污染。</w:t>
                  </w:r>
                </w:p>
              </w:tc>
              <w:tc>
                <w:tcPr>
                  <w:tcW w:w="352" w:type="pct"/>
                  <w:tcBorders>
                    <w:tl2br w:val="nil"/>
                    <w:tr2bl w:val="nil"/>
                  </w:tcBorders>
                  <w:noWrap w:val="0"/>
                  <w:vAlign w:val="center"/>
                </w:tcPr>
                <w:p w14:paraId="6D0EAFED">
                  <w:pPr>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29396EC1">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2EA2FC62">
                  <w:pPr>
                    <w:widowControl/>
                    <w:jc w:val="center"/>
                    <w:rPr>
                      <w:rFonts w:hint="default" w:ascii="Times New Roman" w:hAnsi="Times New Roman" w:cs="Times New Roman"/>
                      <w:color w:val="auto"/>
                      <w:szCs w:val="21"/>
                      <w:highlight w:val="none"/>
                    </w:rPr>
                  </w:pPr>
                </w:p>
              </w:tc>
              <w:tc>
                <w:tcPr>
                  <w:tcW w:w="874" w:type="pct"/>
                  <w:vMerge w:val="restart"/>
                  <w:tcBorders>
                    <w:tl2br w:val="nil"/>
                    <w:tr2bl w:val="nil"/>
                  </w:tcBorders>
                  <w:noWrap w:val="0"/>
                  <w:vAlign w:val="center"/>
                </w:tcPr>
                <w:p w14:paraId="0B74BA2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213" w:type="pct"/>
                  <w:tcBorders>
                    <w:tl2br w:val="nil"/>
                    <w:tr2bl w:val="nil"/>
                  </w:tcBorders>
                  <w:noWrap w:val="0"/>
                  <w:vAlign w:val="center"/>
                </w:tcPr>
                <w:p w14:paraId="70994FD2">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厂区设置沉淀池</w:t>
                  </w:r>
                  <w:r>
                    <w:rPr>
                      <w:rFonts w:hint="eastAsia" w:ascii="Times New Roman" w:hAnsi="Times New Roman" w:cs="Times New Roman"/>
                      <w:color w:val="auto"/>
                      <w:highlight w:val="none"/>
                      <w:lang w:val="en-US" w:eastAsia="zh-CN"/>
                    </w:rPr>
                    <w:t>一座</w:t>
                  </w:r>
                  <w:r>
                    <w:rPr>
                      <w:rFonts w:hint="default" w:ascii="Times New Roman" w:hAnsi="Times New Roman" w:cs="Times New Roman"/>
                      <w:color w:val="auto"/>
                      <w:highlight w:val="none"/>
                    </w:rPr>
                    <w:t>，沉淀池均为混凝土结构，总容积为</w:t>
                  </w:r>
                  <w:r>
                    <w:rPr>
                      <w:rFonts w:hint="eastAsia" w:cs="Times New Roman"/>
                      <w:color w:val="auto"/>
                      <w:highlight w:val="none"/>
                      <w:lang w:val="en-US" w:eastAsia="zh-CN"/>
                    </w:rPr>
                    <w:t>200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，采用150mm厚的C30P6抗渗混凝土进行防渗</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运输车辆</w:t>
                  </w:r>
                  <w:r>
                    <w:rPr>
                      <w:rFonts w:hint="eastAsia" w:cs="Times New Roman"/>
                      <w:color w:val="auto"/>
                      <w:highlight w:val="none"/>
                      <w:lang w:val="en-US" w:eastAsia="zh-CN"/>
                    </w:rPr>
                    <w:t>清洗废水</w:t>
                  </w:r>
                  <w:r>
                    <w:rPr>
                      <w:rFonts w:hint="default" w:ascii="Times New Roman" w:hAnsi="Times New Roman" w:cs="Times New Roman"/>
                      <w:color w:val="auto"/>
                      <w:highlight w:val="none"/>
                    </w:rPr>
                    <w:t>、</w:t>
                  </w:r>
                  <w:r>
                    <w:rPr>
                      <w:rFonts w:hint="eastAsia" w:cs="Times New Roman"/>
                      <w:color w:val="auto"/>
                      <w:highlight w:val="none"/>
                      <w:lang w:val="en-US" w:eastAsia="zh-CN"/>
                    </w:rPr>
                    <w:t>混凝土罐车清洗废水、搅拌罐清洗废水、</w:t>
                  </w:r>
                  <w:r>
                    <w:rPr>
                      <w:rFonts w:hint="default" w:ascii="Times New Roman" w:hAnsi="Times New Roman" w:cs="Times New Roman"/>
                      <w:color w:val="auto"/>
                      <w:highlight w:val="none"/>
                    </w:rPr>
                    <w:t>实验室废水经收集处理后回用于混凝土搅拌混合，不外排。</w:t>
                  </w:r>
                </w:p>
              </w:tc>
              <w:tc>
                <w:tcPr>
                  <w:tcW w:w="352" w:type="pct"/>
                  <w:tcBorders>
                    <w:tl2br w:val="nil"/>
                    <w:tr2bl w:val="nil"/>
                  </w:tcBorders>
                  <w:noWrap w:val="0"/>
                  <w:vAlign w:val="center"/>
                </w:tcPr>
                <w:p w14:paraId="661C67CD">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三同时</w:t>
                  </w:r>
                </w:p>
              </w:tc>
            </w:tr>
            <w:tr w14:paraId="61C9BBE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725867DC">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6E6AC513">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74400D0B">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建设一座</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防渗化粪池，采用150mm厚的C30P6抗渗混凝土进行防渗</w:t>
                  </w:r>
                  <w:r>
                    <w:rPr>
                      <w:rFonts w:hint="eastAsia" w:ascii="Times New Roman" w:hAnsi="Times New Roman" w:cs="Times New Roman"/>
                      <w:color w:val="auto"/>
                      <w:highlight w:val="none"/>
                      <w:lang w:eastAsia="zh-CN"/>
                    </w:rPr>
                    <w:t>，</w:t>
                  </w:r>
                  <w:r>
                    <w:rPr>
                      <w:rFonts w:hint="default" w:ascii="Times New Roman" w:hAnsi="Times New Roman" w:cs="Times New Roman"/>
                      <w:color w:val="auto"/>
                      <w:kern w:val="0"/>
                      <w:szCs w:val="21"/>
                      <w:highlight w:val="none"/>
                    </w:rPr>
                    <w:t>生活污水</w:t>
                  </w:r>
                  <w:r>
                    <w:rPr>
                      <w:rFonts w:hint="eastAsia" w:cs="Times New Roman"/>
                      <w:color w:val="auto"/>
                      <w:kern w:val="0"/>
                      <w:szCs w:val="21"/>
                      <w:highlight w:val="none"/>
                      <w:lang w:val="en-US" w:eastAsia="zh-CN"/>
                    </w:rPr>
                    <w:t>经</w:t>
                  </w:r>
                  <w:r>
                    <w:rPr>
                      <w:rFonts w:hint="default" w:ascii="Times New Roman" w:hAnsi="Times New Roman" w:cs="Times New Roman"/>
                      <w:color w:val="auto"/>
                      <w:kern w:val="0"/>
                      <w:szCs w:val="21"/>
                      <w:highlight w:val="none"/>
                    </w:rPr>
                    <w:t>化粪池预处理</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满足《污水综合排放标准》（GB8978-1996）三级标准后，</w:t>
                  </w:r>
                  <w:r>
                    <w:rPr>
                      <w:rFonts w:hint="eastAsia" w:ascii="Times New Roman" w:hAnsi="Times New Roman" w:cs="Times New Roman"/>
                      <w:color w:val="auto"/>
                      <w:kern w:val="0"/>
                      <w:szCs w:val="21"/>
                      <w:highlight w:val="none"/>
                      <w:lang w:val="en-US" w:eastAsia="zh-CN"/>
                    </w:rPr>
                    <w:t>定期拉运至</w:t>
                  </w:r>
                  <w:r>
                    <w:rPr>
                      <w:rFonts w:hint="eastAsia"/>
                      <w:color w:val="auto"/>
                      <w:highlight w:val="yellow"/>
                      <w:lang w:val="en-US" w:eastAsia="zh-CN"/>
                    </w:rPr>
                    <w:t>阿镇污水处理厂处理</w:t>
                  </w:r>
                  <w:r>
                    <w:rPr>
                      <w:rFonts w:hint="eastAsia" w:ascii="Times New Roman" w:hAnsi="Times New Roman" w:cs="Times New Roman"/>
                      <w:color w:val="auto"/>
                      <w:kern w:val="0"/>
                      <w:szCs w:val="21"/>
                      <w:highlight w:val="yellow"/>
                      <w:lang w:val="en-US" w:eastAsia="zh-CN"/>
                    </w:rPr>
                    <w:t>。</w:t>
                  </w:r>
                </w:p>
              </w:tc>
              <w:tc>
                <w:tcPr>
                  <w:tcW w:w="352" w:type="pct"/>
                  <w:tcBorders>
                    <w:tl2br w:val="nil"/>
                    <w:tr2bl w:val="nil"/>
                  </w:tcBorders>
                  <w:noWrap w:val="0"/>
                  <w:vAlign w:val="center"/>
                </w:tcPr>
                <w:p w14:paraId="4B3CC4C6">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三同时</w:t>
                  </w:r>
                </w:p>
              </w:tc>
            </w:tr>
            <w:tr w14:paraId="63B8F35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24D3A410">
                  <w:pPr>
                    <w:widowControl/>
                    <w:jc w:val="center"/>
                    <w:rPr>
                      <w:rFonts w:hint="default" w:ascii="Times New Roman" w:hAnsi="Times New Roman" w:cs="Times New Roman"/>
                      <w:color w:val="auto"/>
                      <w:szCs w:val="21"/>
                      <w:highlight w:val="none"/>
                    </w:rPr>
                  </w:pPr>
                </w:p>
              </w:tc>
              <w:tc>
                <w:tcPr>
                  <w:tcW w:w="874" w:type="pct"/>
                  <w:vMerge w:val="restart"/>
                  <w:tcBorders>
                    <w:tl2br w:val="nil"/>
                    <w:tr2bl w:val="nil"/>
                  </w:tcBorders>
                  <w:noWrap w:val="0"/>
                  <w:vAlign w:val="center"/>
                </w:tcPr>
                <w:p w14:paraId="662960E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213" w:type="pct"/>
                  <w:tcBorders>
                    <w:tl2br w:val="nil"/>
                    <w:tr2bl w:val="nil"/>
                  </w:tcBorders>
                  <w:noWrap w:val="0"/>
                  <w:vAlign w:val="center"/>
                </w:tcPr>
                <w:p w14:paraId="21D32AF1">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kern w:val="0"/>
                      <w:highlight w:val="none"/>
                    </w:rPr>
                    <w:t>本项目仓顶滤芯除尘器工作时拦截的粉尘可直接回落至各筒仓内，</w:t>
                  </w:r>
                  <w:r>
                    <w:rPr>
                      <w:rFonts w:hint="eastAsia" w:cs="Times New Roman"/>
                      <w:color w:val="auto"/>
                      <w:kern w:val="0"/>
                      <w:szCs w:val="21"/>
                      <w:highlight w:val="none"/>
                      <w:lang w:eastAsia="zh-CN"/>
                    </w:rPr>
                    <w:t>除尘效率≥99%，</w:t>
                  </w:r>
                  <w:r>
                    <w:rPr>
                      <w:rFonts w:hint="default" w:ascii="Times New Roman" w:hAnsi="Times New Roman" w:cs="Times New Roman"/>
                      <w:color w:val="auto"/>
                      <w:kern w:val="0"/>
                      <w:highlight w:val="none"/>
                    </w:rPr>
                    <w:t>搅拌时脉冲布袋除尘器内收集有除尘灰集中收集，回用于生产，不外排。</w:t>
                  </w:r>
                </w:p>
              </w:tc>
              <w:tc>
                <w:tcPr>
                  <w:tcW w:w="352" w:type="pct"/>
                  <w:tcBorders>
                    <w:tl2br w:val="nil"/>
                    <w:tr2bl w:val="nil"/>
                  </w:tcBorders>
                  <w:noWrap w:val="0"/>
                  <w:vAlign w:val="center"/>
                </w:tcPr>
                <w:p w14:paraId="62FAD53F">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13797A8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0352E7E5">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3B8F8E0F">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660600A7">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eastAsia" w:ascii="Times New Roman" w:hAnsi="Times New Roman" w:eastAsia="宋体" w:cs="Times New Roman"/>
                      <w:color w:val="auto"/>
                      <w:kern w:val="0"/>
                      <w:highlight w:val="none"/>
                      <w:lang w:eastAsia="zh-CN"/>
                    </w:rPr>
                  </w:pPr>
                  <w:r>
                    <w:rPr>
                      <w:rFonts w:hint="eastAsia" w:cs="Times New Roman"/>
                      <w:color w:val="auto"/>
                      <w:kern w:val="0"/>
                      <w:highlight w:val="none"/>
                      <w:lang w:val="en-US" w:eastAsia="zh-CN"/>
                    </w:rPr>
                    <w:t>废</w:t>
                  </w:r>
                  <w:r>
                    <w:rPr>
                      <w:rFonts w:hint="default" w:ascii="Times New Roman" w:hAnsi="Times New Roman" w:cs="Times New Roman"/>
                      <w:color w:val="auto"/>
                      <w:kern w:val="0"/>
                      <w:highlight w:val="none"/>
                    </w:rPr>
                    <w:t>布袋定期由厂家更换带走，不在厂区暂存</w:t>
                  </w:r>
                  <w:r>
                    <w:rPr>
                      <w:rFonts w:hint="eastAsia" w:cs="Times New Roman"/>
                      <w:color w:val="auto"/>
                      <w:kern w:val="0"/>
                      <w:highlight w:val="none"/>
                      <w:lang w:eastAsia="zh-CN"/>
                    </w:rPr>
                    <w:t>。</w:t>
                  </w:r>
                </w:p>
              </w:tc>
              <w:tc>
                <w:tcPr>
                  <w:tcW w:w="352" w:type="pct"/>
                  <w:tcBorders>
                    <w:tl2br w:val="nil"/>
                    <w:tr2bl w:val="nil"/>
                  </w:tcBorders>
                  <w:noWrap w:val="0"/>
                  <w:vAlign w:val="center"/>
                </w:tcPr>
                <w:p w14:paraId="782F0930">
                  <w:pPr>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1BE3D36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630C0104">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59E35C70">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7E518DA">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沉淀池收集的运输车辆清洗、实验室等生产废水中含有大量的泥沙及混凝土</w:t>
                  </w:r>
                  <w:r>
                    <w:rPr>
                      <w:rFonts w:hint="eastAsia" w:cs="Times New Roman"/>
                      <w:color w:val="auto"/>
                      <w:kern w:val="0"/>
                      <w:highlight w:val="none"/>
                      <w:lang w:eastAsia="zh-CN"/>
                    </w:rPr>
                    <w:t>，</w:t>
                  </w:r>
                  <w:r>
                    <w:rPr>
                      <w:rFonts w:hint="eastAsia" w:cs="Times New Roman"/>
                      <w:color w:val="auto"/>
                      <w:kern w:val="0"/>
                      <w:highlight w:val="none"/>
                      <w:lang w:val="en-US" w:eastAsia="zh-CN"/>
                    </w:rPr>
                    <w:t>经沉淀池沉淀后，</w:t>
                  </w:r>
                  <w:r>
                    <w:rPr>
                      <w:rFonts w:hint="eastAsia" w:cs="Times New Roman"/>
                      <w:color w:val="auto"/>
                      <w:kern w:val="0"/>
                      <w:highlight w:val="none"/>
                      <w:lang w:eastAsia="zh-CN"/>
                    </w:rPr>
                    <w:t>将其定期捞取后回用于混凝土生产，</w:t>
                  </w:r>
                  <w:r>
                    <w:rPr>
                      <w:rFonts w:hint="eastAsia" w:cs="Times New Roman"/>
                      <w:color w:val="auto"/>
                      <w:kern w:val="0"/>
                      <w:highlight w:val="none"/>
                      <w:lang w:val="en-US" w:eastAsia="zh-CN"/>
                    </w:rPr>
                    <w:t>不在厂区内暂存</w:t>
                  </w:r>
                  <w:r>
                    <w:rPr>
                      <w:rFonts w:hint="eastAsia" w:cs="Times New Roman"/>
                      <w:color w:val="auto"/>
                      <w:kern w:val="0"/>
                      <w:highlight w:val="none"/>
                      <w:lang w:eastAsia="zh-CN"/>
                    </w:rPr>
                    <w:t>。</w:t>
                  </w:r>
                </w:p>
              </w:tc>
              <w:tc>
                <w:tcPr>
                  <w:tcW w:w="352" w:type="pct"/>
                  <w:tcBorders>
                    <w:tl2br w:val="nil"/>
                    <w:tr2bl w:val="nil"/>
                  </w:tcBorders>
                  <w:noWrap w:val="0"/>
                  <w:vAlign w:val="center"/>
                </w:tcPr>
                <w:p w14:paraId="7DEF8A6F">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4464FDC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39CFF12A">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69AE0351">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9DC0889">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实验室混凝土块、逸散混凝土集中收集在石料库一般固废暂存区中暂存，再回用于生产。</w:t>
                  </w:r>
                </w:p>
              </w:tc>
              <w:tc>
                <w:tcPr>
                  <w:tcW w:w="352" w:type="pct"/>
                  <w:tcBorders>
                    <w:tl2br w:val="nil"/>
                    <w:tr2bl w:val="nil"/>
                  </w:tcBorders>
                  <w:noWrap w:val="0"/>
                  <w:vAlign w:val="center"/>
                </w:tcPr>
                <w:p w14:paraId="0B0DF8C8">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3122FF59">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39C557C7">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6006A92A">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6EE33D57">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kern w:val="0"/>
                      <w:highlight w:val="none"/>
                    </w:rPr>
                    <w:t>厂区设置垃圾箱收集，环卫部门统一收集处理</w:t>
                  </w:r>
                  <w:r>
                    <w:rPr>
                      <w:rFonts w:hint="eastAsia" w:cs="Times New Roman"/>
                      <w:color w:val="auto"/>
                      <w:kern w:val="0"/>
                      <w:highlight w:val="none"/>
                      <w:lang w:eastAsia="zh-CN"/>
                    </w:rPr>
                    <w:t>。</w:t>
                  </w:r>
                </w:p>
              </w:tc>
              <w:tc>
                <w:tcPr>
                  <w:tcW w:w="352" w:type="pct"/>
                  <w:tcBorders>
                    <w:tl2br w:val="nil"/>
                    <w:tr2bl w:val="nil"/>
                  </w:tcBorders>
                  <w:noWrap w:val="0"/>
                  <w:vAlign w:val="center"/>
                </w:tcPr>
                <w:p w14:paraId="2F3F6203">
                  <w:pPr>
                    <w:jc w:val="center"/>
                    <w:rPr>
                      <w:rFonts w:hint="default" w:ascii="Times New Roman" w:hAnsi="Times New Roman" w:cs="Times New Roman"/>
                      <w:color w:val="auto"/>
                      <w:highlight w:val="none"/>
                    </w:rPr>
                  </w:pPr>
                  <w:r>
                    <w:rPr>
                      <w:rFonts w:hint="eastAsia" w:cs="Times New Roman"/>
                      <w:color w:val="auto"/>
                      <w:kern w:val="0"/>
                      <w:szCs w:val="21"/>
                      <w:highlight w:val="none"/>
                      <w:lang w:val="en-US" w:eastAsia="zh-CN"/>
                    </w:rPr>
                    <w:t>三同时</w:t>
                  </w:r>
                </w:p>
              </w:tc>
            </w:tr>
            <w:tr w14:paraId="5ACF043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2D5454B7">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2F1CB242">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9966D1E">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废矿物油、废油桶暂存于厂区东侧</w:t>
                  </w:r>
                  <w:r>
                    <w:rPr>
                      <w:rFonts w:hint="eastAsia" w:cs="Times New Roman"/>
                      <w:color w:val="auto"/>
                      <w:szCs w:val="21"/>
                      <w:highlight w:val="none"/>
                      <w:lang w:val="en-US" w:eastAsia="zh-CN"/>
                    </w:rPr>
                    <w:t>18m</w:t>
                  </w:r>
                  <w:r>
                    <w:rPr>
                      <w:rFonts w:hint="eastAsia" w:cs="Times New Roman"/>
                      <w:color w:val="auto"/>
                      <w:szCs w:val="21"/>
                      <w:highlight w:val="none"/>
                      <w:vertAlign w:val="superscript"/>
                      <w:lang w:val="en-US" w:eastAsia="zh-CN"/>
                    </w:rPr>
                    <w:t>2</w:t>
                  </w:r>
                  <w:r>
                    <w:rPr>
                      <w:rFonts w:hint="eastAsia" w:cs="Times New Roman"/>
                      <w:color w:val="auto"/>
                      <w:kern w:val="0"/>
                      <w:highlight w:val="none"/>
                      <w:lang w:val="en-US" w:eastAsia="zh-CN"/>
                    </w:rPr>
                    <w:t>危废暂存间内，定期交由具有危险废物处理资质的公司处理。</w:t>
                  </w:r>
                </w:p>
              </w:tc>
              <w:tc>
                <w:tcPr>
                  <w:tcW w:w="352" w:type="pct"/>
                  <w:tcBorders>
                    <w:tl2br w:val="nil"/>
                    <w:tr2bl w:val="nil"/>
                  </w:tcBorders>
                  <w:noWrap w:val="0"/>
                  <w:vAlign w:val="center"/>
                </w:tcPr>
                <w:p w14:paraId="2512BAEE">
                  <w:pPr>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0E413F5E">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48471CE8">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0E983290">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3B7A9E3D">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eastAsia" w:cs="Times New Roman"/>
                      <w:color w:val="auto"/>
                      <w:kern w:val="0"/>
                      <w:highlight w:val="none"/>
                      <w:lang w:val="en-US" w:eastAsia="zh-CN"/>
                    </w:rPr>
                  </w:pPr>
                  <w:r>
                    <w:rPr>
                      <w:rFonts w:hint="eastAsia" w:cs="Times New Roman"/>
                      <w:color w:val="auto"/>
                      <w:kern w:val="0"/>
                      <w:highlight w:val="yellow"/>
                      <w:lang w:val="en-US" w:eastAsia="zh-CN"/>
                    </w:rPr>
                    <w:t>本项目生产过程中产生的含油废手套、废抹布应设置专用容器分类收集，按危险废物进行管理，交由具备资质危险废物处置单位处置；仅当该类废物被动混入生活垃圾时，方可执行豁免管理，企业不得主动将该类危险废物混入生活垃圾。</w:t>
                  </w:r>
                </w:p>
              </w:tc>
              <w:tc>
                <w:tcPr>
                  <w:tcW w:w="352" w:type="pct"/>
                  <w:tcBorders>
                    <w:tl2br w:val="nil"/>
                    <w:tr2bl w:val="nil"/>
                  </w:tcBorders>
                  <w:noWrap w:val="0"/>
                  <w:vAlign w:val="center"/>
                </w:tcPr>
                <w:p w14:paraId="4C5730AF">
                  <w:pPr>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34C10C3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76467573">
                  <w:pPr>
                    <w:widowControl/>
                    <w:jc w:val="center"/>
                    <w:rPr>
                      <w:rFonts w:hint="default" w:ascii="Times New Roman" w:hAnsi="Times New Roman" w:cs="Times New Roman"/>
                      <w:color w:val="auto"/>
                      <w:szCs w:val="21"/>
                      <w:highlight w:val="none"/>
                    </w:rPr>
                  </w:pPr>
                </w:p>
              </w:tc>
              <w:tc>
                <w:tcPr>
                  <w:tcW w:w="874" w:type="pct"/>
                  <w:tcBorders>
                    <w:tl2br w:val="nil"/>
                    <w:tr2bl w:val="nil"/>
                  </w:tcBorders>
                  <w:noWrap w:val="0"/>
                  <w:vAlign w:val="center"/>
                </w:tcPr>
                <w:p w14:paraId="067D845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213" w:type="pct"/>
                  <w:tcBorders>
                    <w:tl2br w:val="nil"/>
                    <w:tr2bl w:val="nil"/>
                  </w:tcBorders>
                  <w:noWrap w:val="0"/>
                  <w:vAlign w:val="center"/>
                </w:tcPr>
                <w:p w14:paraId="3CE5C1D8">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选用低噪声设备，采用减振、消声、隔音等措施。</w:t>
                  </w:r>
                </w:p>
              </w:tc>
              <w:tc>
                <w:tcPr>
                  <w:tcW w:w="352" w:type="pct"/>
                  <w:tcBorders>
                    <w:tl2br w:val="nil"/>
                    <w:tr2bl w:val="nil"/>
                  </w:tcBorders>
                  <w:noWrap w:val="0"/>
                  <w:vAlign w:val="center"/>
                </w:tcPr>
                <w:p w14:paraId="0FD0FF52">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三同时</w:t>
                  </w:r>
                </w:p>
              </w:tc>
            </w:tr>
            <w:tr w14:paraId="3134F38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60" w:type="pct"/>
                  <w:vMerge w:val="continue"/>
                  <w:tcBorders>
                    <w:tl2br w:val="nil"/>
                    <w:tr2bl w:val="nil"/>
                  </w:tcBorders>
                  <w:noWrap w:val="0"/>
                  <w:vAlign w:val="center"/>
                </w:tcPr>
                <w:p w14:paraId="55BB7FB3">
                  <w:pPr>
                    <w:widowControl/>
                    <w:jc w:val="center"/>
                    <w:rPr>
                      <w:rFonts w:hint="default" w:ascii="Times New Roman" w:hAnsi="Times New Roman" w:cs="Times New Roman"/>
                      <w:color w:val="auto"/>
                      <w:szCs w:val="21"/>
                      <w:highlight w:val="none"/>
                    </w:rPr>
                  </w:pPr>
                </w:p>
              </w:tc>
              <w:tc>
                <w:tcPr>
                  <w:tcW w:w="874" w:type="pct"/>
                  <w:vMerge w:val="restart"/>
                  <w:tcBorders>
                    <w:tl2br w:val="nil"/>
                    <w:tr2bl w:val="nil"/>
                  </w:tcBorders>
                  <w:noWrap w:val="0"/>
                  <w:vAlign w:val="center"/>
                </w:tcPr>
                <w:p w14:paraId="0B92DDB3">
                  <w:pPr>
                    <w:adjustRightInd w:val="0"/>
                    <w:snapToGrid w:val="0"/>
                    <w:jc w:val="center"/>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防渗</w:t>
                  </w:r>
                </w:p>
              </w:tc>
              <w:tc>
                <w:tcPr>
                  <w:tcW w:w="3213" w:type="pct"/>
                  <w:tcBorders>
                    <w:tl2br w:val="nil"/>
                    <w:tr2bl w:val="nil"/>
                  </w:tcBorders>
                  <w:noWrap w:val="0"/>
                  <w:vAlign w:val="center"/>
                </w:tcPr>
                <w:p w14:paraId="475489C6">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重点防渗区：危废暂存间地面、导流槽、集液池、裙角按照要求进行防渗处理，采用素土夯实、水泥砂浆保护层、1.5mmHDPE防渗膜、200mm厚C30P6抗渗钢筋混凝土及环氧树脂防腐地坪多层复合重点防渗结构，满足渗透系数不大于10</w:t>
                  </w:r>
                  <w:r>
                    <w:rPr>
                      <w:rFonts w:hint="eastAsia" w:cs="Times New Roman"/>
                      <w:color w:val="auto"/>
                      <w:szCs w:val="21"/>
                      <w:highlight w:val="none"/>
                      <w:vertAlign w:val="superscript"/>
                      <w:lang w:val="en-US" w:eastAsia="zh-CN"/>
                    </w:rPr>
                    <w:t>-10</w:t>
                  </w:r>
                  <w:r>
                    <w:rPr>
                      <w:rFonts w:hint="eastAsia" w:cs="Times New Roman"/>
                      <w:color w:val="auto"/>
                      <w:szCs w:val="21"/>
                      <w:highlight w:val="none"/>
                      <w:vertAlign w:val="baseline"/>
                      <w:lang w:val="en-US" w:eastAsia="zh-CN"/>
                    </w:rPr>
                    <w:t>cm/s。</w:t>
                  </w:r>
                </w:p>
              </w:tc>
              <w:tc>
                <w:tcPr>
                  <w:tcW w:w="352" w:type="pct"/>
                  <w:tcBorders>
                    <w:tl2br w:val="nil"/>
                    <w:tr2bl w:val="nil"/>
                  </w:tcBorders>
                  <w:noWrap w:val="0"/>
                  <w:vAlign w:val="center"/>
                </w:tcPr>
                <w:p w14:paraId="375DF258">
                  <w:pPr>
                    <w:adjustRightInd w:val="0"/>
                    <w:snapToGrid w:val="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r w14:paraId="137864AC">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60" w:type="pct"/>
                  <w:vMerge w:val="continue"/>
                  <w:tcBorders>
                    <w:tl2br w:val="nil"/>
                    <w:tr2bl w:val="nil"/>
                  </w:tcBorders>
                  <w:noWrap w:val="0"/>
                  <w:vAlign w:val="center"/>
                </w:tcPr>
                <w:p w14:paraId="7FC0DB3F">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3EEF188C">
                  <w:pPr>
                    <w:adjustRightInd w:val="0"/>
                    <w:snapToGrid w:val="0"/>
                    <w:jc w:val="center"/>
                    <w:rPr>
                      <w:rFonts w:hint="eastAsia" w:ascii="Times New Roman" w:hAnsi="Times New Roman" w:eastAsia="宋体" w:cs="Times New Roman"/>
                      <w:color w:val="auto"/>
                      <w:szCs w:val="21"/>
                      <w:highlight w:val="none"/>
                      <w:lang w:eastAsia="zh-CN"/>
                    </w:rPr>
                  </w:pPr>
                </w:p>
              </w:tc>
              <w:tc>
                <w:tcPr>
                  <w:tcW w:w="3213" w:type="pct"/>
                  <w:tcBorders>
                    <w:tl2br w:val="nil"/>
                    <w:tr2bl w:val="nil"/>
                  </w:tcBorders>
                  <w:noWrap w:val="0"/>
                  <w:vAlign w:val="center"/>
                </w:tcPr>
                <w:p w14:paraId="50FFCC92">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default" w:ascii="Times New Roman" w:hAnsi="Times New Roman" w:eastAsia="宋体" w:cs="Times New Roman"/>
                      <w:color w:val="auto"/>
                      <w:szCs w:val="21"/>
                      <w:highlight w:val="none"/>
                      <w:vertAlign w:val="baseline"/>
                      <w:lang w:val="en-US" w:eastAsia="zh-CN"/>
                    </w:rPr>
                  </w:pPr>
                  <w:r>
                    <w:rPr>
                      <w:rFonts w:hint="eastAsia" w:cs="Times New Roman"/>
                      <w:color w:val="auto"/>
                      <w:szCs w:val="21"/>
                      <w:highlight w:val="yellow"/>
                      <w:vertAlign w:val="baseline"/>
                      <w:lang w:val="en-US" w:eastAsia="zh-CN"/>
                    </w:rPr>
                    <w:t>一般防渗区：沉淀池、化粪池、一般固废暂存区</w:t>
                  </w:r>
                  <w:r>
                    <w:rPr>
                      <w:rFonts w:hint="eastAsia" w:cs="Times New Roman"/>
                      <w:color w:val="auto"/>
                      <w:highlight w:val="yellow"/>
                      <w:lang w:val="en-US" w:eastAsia="zh-CN"/>
                    </w:rPr>
                    <w:t>为</w:t>
                  </w:r>
                  <w:r>
                    <w:rPr>
                      <w:rFonts w:hint="default" w:ascii="Times New Roman" w:hAnsi="Times New Roman" w:cs="Times New Roman"/>
                      <w:color w:val="auto"/>
                      <w:highlight w:val="yellow"/>
                    </w:rPr>
                    <w:t>一般防渗</w:t>
                  </w:r>
                  <w:r>
                    <w:rPr>
                      <w:rFonts w:hint="eastAsia" w:cs="Times New Roman"/>
                      <w:color w:val="auto"/>
                      <w:highlight w:val="yellow"/>
                      <w:lang w:val="en-US" w:eastAsia="zh-CN"/>
                    </w:rPr>
                    <w:t>区</w:t>
                  </w:r>
                  <w:r>
                    <w:rPr>
                      <w:rFonts w:hint="default" w:ascii="Times New Roman" w:hAnsi="Times New Roman" w:cs="Times New Roman"/>
                      <w:color w:val="auto"/>
                      <w:highlight w:val="yellow"/>
                    </w:rPr>
                    <w:t>，采用150mm厚的C30P6抗渗混凝土进行防渗</w:t>
                  </w:r>
                  <w:r>
                    <w:rPr>
                      <w:rFonts w:hint="eastAsia" w:cs="Times New Roman"/>
                      <w:color w:val="auto"/>
                      <w:highlight w:val="yellow"/>
                      <w:lang w:eastAsia="zh-CN"/>
                    </w:rPr>
                    <w:t>，</w:t>
                  </w:r>
                  <w:r>
                    <w:rPr>
                      <w:rFonts w:hint="eastAsia" w:cs="Times New Roman"/>
                      <w:color w:val="auto"/>
                      <w:highlight w:val="yellow"/>
                      <w:lang w:val="en-US" w:eastAsia="zh-CN"/>
                    </w:rPr>
                    <w:t>满足</w:t>
                  </w:r>
                  <w:r>
                    <w:rPr>
                      <w:rFonts w:hint="default" w:ascii="Times New Roman" w:hAnsi="Times New Roman" w:cs="Times New Roman"/>
                      <w:color w:val="auto"/>
                      <w:highlight w:val="yellow"/>
                    </w:rPr>
                    <w:t>等效黏土防渗层Mb≥1.5m，K≤1×10</w:t>
                  </w:r>
                  <w:r>
                    <w:rPr>
                      <w:rFonts w:hint="default" w:ascii="Times New Roman" w:hAnsi="Times New Roman" w:cs="Times New Roman"/>
                      <w:color w:val="auto"/>
                      <w:highlight w:val="yellow"/>
                      <w:vertAlign w:val="superscript"/>
                    </w:rPr>
                    <w:t>-7</w:t>
                  </w:r>
                  <w:r>
                    <w:rPr>
                      <w:rFonts w:hint="default" w:ascii="Times New Roman" w:hAnsi="Times New Roman" w:cs="Times New Roman"/>
                      <w:color w:val="auto"/>
                      <w:highlight w:val="yellow"/>
                    </w:rPr>
                    <w:t>cm/s。</w:t>
                  </w:r>
                </w:p>
              </w:tc>
              <w:tc>
                <w:tcPr>
                  <w:tcW w:w="352" w:type="pct"/>
                  <w:tcBorders>
                    <w:tl2br w:val="nil"/>
                    <w:tr2bl w:val="nil"/>
                  </w:tcBorders>
                  <w:noWrap w:val="0"/>
                  <w:vAlign w:val="center"/>
                </w:tcPr>
                <w:p w14:paraId="440B5EBB">
                  <w:pPr>
                    <w:adjustRightInd w:val="0"/>
                    <w:snapToGrid w:val="0"/>
                    <w:jc w:val="center"/>
                    <w:rPr>
                      <w:rFonts w:hint="default" w:ascii="Times New Roman" w:hAnsi="Times New Roman" w:cs="Times New Roman"/>
                      <w:color w:val="auto"/>
                      <w:kern w:val="0"/>
                      <w:szCs w:val="21"/>
                      <w:highlight w:val="none"/>
                    </w:rPr>
                  </w:pPr>
                  <w:r>
                    <w:rPr>
                      <w:rFonts w:hint="eastAsia" w:cs="Times New Roman"/>
                      <w:color w:val="auto"/>
                      <w:kern w:val="0"/>
                      <w:szCs w:val="21"/>
                      <w:highlight w:val="none"/>
                      <w:lang w:val="en-US" w:eastAsia="zh-CN"/>
                    </w:rPr>
                    <w:t>三同时</w:t>
                  </w:r>
                </w:p>
              </w:tc>
            </w:tr>
            <w:tr w14:paraId="7D04CA5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60" w:type="pct"/>
                  <w:vMerge w:val="continue"/>
                  <w:tcBorders>
                    <w:tl2br w:val="nil"/>
                    <w:tr2bl w:val="nil"/>
                  </w:tcBorders>
                  <w:noWrap w:val="0"/>
                  <w:vAlign w:val="center"/>
                </w:tcPr>
                <w:p w14:paraId="21249C7E">
                  <w:pPr>
                    <w:widowControl/>
                    <w:jc w:val="center"/>
                    <w:rPr>
                      <w:rFonts w:hint="default" w:ascii="Times New Roman" w:hAnsi="Times New Roman" w:cs="Times New Roman"/>
                      <w:color w:val="auto"/>
                      <w:szCs w:val="21"/>
                      <w:highlight w:val="none"/>
                    </w:rPr>
                  </w:pPr>
                </w:p>
              </w:tc>
              <w:tc>
                <w:tcPr>
                  <w:tcW w:w="874" w:type="pct"/>
                  <w:vMerge w:val="continue"/>
                  <w:tcBorders>
                    <w:tl2br w:val="nil"/>
                    <w:tr2bl w:val="nil"/>
                  </w:tcBorders>
                  <w:noWrap w:val="0"/>
                  <w:vAlign w:val="center"/>
                </w:tcPr>
                <w:p w14:paraId="1B90EFA9">
                  <w:pPr>
                    <w:adjustRightInd w:val="0"/>
                    <w:snapToGrid w:val="0"/>
                    <w:jc w:val="center"/>
                    <w:rPr>
                      <w:rFonts w:hint="default" w:ascii="Times New Roman" w:hAnsi="Times New Roman" w:cs="Times New Roman"/>
                      <w:color w:val="auto"/>
                      <w:szCs w:val="21"/>
                      <w:highlight w:val="none"/>
                    </w:rPr>
                  </w:pPr>
                </w:p>
              </w:tc>
              <w:tc>
                <w:tcPr>
                  <w:tcW w:w="3213" w:type="pct"/>
                  <w:tcBorders>
                    <w:tl2br w:val="nil"/>
                    <w:tr2bl w:val="nil"/>
                  </w:tcBorders>
                  <w:noWrap w:val="0"/>
                  <w:vAlign w:val="center"/>
                </w:tcPr>
                <w:p w14:paraId="4B792350">
                  <w:pPr>
                    <w:keepNext w:val="0"/>
                    <w:keepLines w:val="0"/>
                    <w:pageBreakBefore w:val="0"/>
                    <w:widowControl w:val="0"/>
                    <w:kinsoku/>
                    <w:wordWrap/>
                    <w:overflowPunct/>
                    <w:topLinePunct w:val="0"/>
                    <w:autoSpaceDE/>
                    <w:autoSpaceDN/>
                    <w:bidi w:val="0"/>
                    <w:adjustRightInd/>
                    <w:snapToGrid w:val="0"/>
                    <w:ind w:firstLine="420" w:firstLineChars="200"/>
                    <w:jc w:val="left"/>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简单防渗区：砂石料棚、</w:t>
                  </w:r>
                  <w:r>
                    <w:rPr>
                      <w:rFonts w:hint="eastAsia" w:ascii="Times New Roman" w:hAnsi="Times New Roman" w:cs="Times New Roman"/>
                      <w:color w:val="auto"/>
                      <w:szCs w:val="21"/>
                      <w:highlight w:val="none"/>
                      <w:lang w:val="en-US" w:eastAsia="zh-CN"/>
                    </w:rPr>
                    <w:t>厂区</w:t>
                  </w:r>
                  <w:r>
                    <w:rPr>
                      <w:rFonts w:hint="default" w:ascii="Times New Roman" w:hAnsi="Times New Roman" w:cs="Times New Roman"/>
                      <w:color w:val="auto"/>
                      <w:szCs w:val="21"/>
                      <w:highlight w:val="none"/>
                    </w:rPr>
                    <w:t>道路</w:t>
                  </w:r>
                  <w:r>
                    <w:rPr>
                      <w:rFonts w:hint="eastAsia" w:cs="Times New Roman"/>
                      <w:color w:val="auto"/>
                      <w:szCs w:val="21"/>
                      <w:highlight w:val="none"/>
                      <w:lang w:val="en-US" w:eastAsia="zh-CN"/>
                    </w:rPr>
                    <w:t>及除上述区域外</w:t>
                  </w:r>
                  <w:r>
                    <w:rPr>
                      <w:rFonts w:hint="default" w:ascii="Times New Roman" w:hAnsi="Times New Roman" w:cs="Times New Roman"/>
                      <w:color w:val="auto"/>
                      <w:szCs w:val="21"/>
                      <w:highlight w:val="none"/>
                    </w:rPr>
                    <w:t>全部</w:t>
                  </w:r>
                  <w:r>
                    <w:rPr>
                      <w:rFonts w:hint="eastAsia" w:ascii="Times New Roman" w:hAnsi="Times New Roman" w:cs="Times New Roman"/>
                      <w:color w:val="auto"/>
                      <w:szCs w:val="21"/>
                      <w:highlight w:val="none"/>
                      <w:lang w:val="en-US" w:eastAsia="zh-CN"/>
                    </w:rPr>
                    <w:t>采用一般混凝土</w:t>
                  </w:r>
                  <w:r>
                    <w:rPr>
                      <w:rFonts w:hint="default" w:ascii="Times New Roman" w:hAnsi="Times New Roman" w:cs="Times New Roman"/>
                      <w:color w:val="auto"/>
                      <w:szCs w:val="21"/>
                      <w:highlight w:val="none"/>
                    </w:rPr>
                    <w:t>硬化</w:t>
                  </w:r>
                  <w:r>
                    <w:rPr>
                      <w:rFonts w:hint="eastAsia" w:cs="Times New Roman"/>
                      <w:color w:val="auto"/>
                      <w:szCs w:val="21"/>
                      <w:highlight w:val="none"/>
                      <w:lang w:eastAsia="zh-CN"/>
                    </w:rPr>
                    <w:t>。</w:t>
                  </w:r>
                </w:p>
              </w:tc>
              <w:tc>
                <w:tcPr>
                  <w:tcW w:w="352" w:type="pct"/>
                  <w:tcBorders>
                    <w:tl2br w:val="nil"/>
                    <w:tr2bl w:val="nil"/>
                  </w:tcBorders>
                  <w:noWrap w:val="0"/>
                  <w:vAlign w:val="center"/>
                </w:tcPr>
                <w:p w14:paraId="21237A06">
                  <w:pPr>
                    <w:adjustRightInd w:val="0"/>
                    <w:snapToGrid w:val="0"/>
                    <w:jc w:val="center"/>
                    <w:rPr>
                      <w:rFonts w:hint="default" w:ascii="Times New Roman" w:hAnsi="Times New Roman" w:cs="Times New Roman"/>
                      <w:color w:val="auto"/>
                      <w:kern w:val="0"/>
                      <w:szCs w:val="21"/>
                      <w:highlight w:val="none"/>
                      <w:lang w:val="en-US" w:eastAsia="zh-CN"/>
                    </w:rPr>
                  </w:pPr>
                  <w:r>
                    <w:rPr>
                      <w:rFonts w:hint="eastAsia" w:cs="Times New Roman"/>
                      <w:color w:val="auto"/>
                      <w:kern w:val="0"/>
                      <w:szCs w:val="21"/>
                      <w:highlight w:val="none"/>
                      <w:lang w:val="en-US" w:eastAsia="zh-CN"/>
                    </w:rPr>
                    <w:t>三同时</w:t>
                  </w:r>
                </w:p>
              </w:tc>
            </w:tr>
          </w:tbl>
          <w:p w14:paraId="3A4356BA">
            <w:pPr>
              <w:adjustRightInd w:val="0"/>
              <w:snapToGrid w:val="0"/>
              <w:spacing w:line="360" w:lineRule="auto"/>
              <w:ind w:firstLine="482" w:firstLineChars="200"/>
              <w:jc w:val="left"/>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5</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rPr>
              <w:t>产品方案</w:t>
            </w:r>
          </w:p>
          <w:p w14:paraId="0BE0C7BD">
            <w:pPr>
              <w:autoSpaceDE w:val="0"/>
              <w:autoSpaceDN w:val="0"/>
              <w:adjustRightInd w:val="0"/>
              <w:spacing w:line="360" w:lineRule="auto"/>
              <w:ind w:firstLine="480" w:firstLineChars="200"/>
              <w:rPr>
                <w:rFonts w:hint="eastAsia"/>
                <w:color w:val="auto"/>
                <w:kern w:val="0"/>
                <w:sz w:val="24"/>
                <w:highlight w:val="none"/>
              </w:rPr>
            </w:pPr>
            <w:r>
              <w:rPr>
                <w:rFonts w:hint="eastAsia" w:ascii="宋体" w:hAnsi="宋体"/>
                <w:color w:val="auto"/>
                <w:kern w:val="0"/>
                <w:sz w:val="24"/>
                <w:highlight w:val="none"/>
              </w:rPr>
              <w:t>本项目年产各强度等级（</w:t>
            </w:r>
            <w:r>
              <w:rPr>
                <w:rFonts w:hint="eastAsia"/>
                <w:color w:val="auto"/>
                <w:kern w:val="0"/>
                <w:sz w:val="24"/>
                <w:highlight w:val="none"/>
              </w:rPr>
              <w:t>C10-C</w:t>
            </w:r>
            <w:r>
              <w:rPr>
                <w:rFonts w:hint="eastAsia"/>
                <w:color w:val="auto"/>
                <w:kern w:val="0"/>
                <w:sz w:val="24"/>
                <w:highlight w:val="none"/>
                <w:lang w:val="en-US" w:eastAsia="zh-CN"/>
              </w:rPr>
              <w:t>8</w:t>
            </w:r>
            <w:r>
              <w:rPr>
                <w:rFonts w:hint="eastAsia"/>
                <w:color w:val="auto"/>
                <w:kern w:val="0"/>
                <w:sz w:val="24"/>
                <w:highlight w:val="none"/>
              </w:rPr>
              <w:t>0</w:t>
            </w:r>
            <w:r>
              <w:rPr>
                <w:rFonts w:hint="eastAsia" w:ascii="宋体" w:hAnsi="宋体"/>
                <w:color w:val="auto"/>
                <w:kern w:val="0"/>
                <w:sz w:val="24"/>
                <w:highlight w:val="none"/>
              </w:rPr>
              <w:t>）的</w:t>
            </w:r>
            <w:r>
              <w:rPr>
                <w:rFonts w:hint="eastAsia" w:ascii="宋体" w:hAnsi="宋体"/>
                <w:color w:val="auto"/>
                <w:kern w:val="0"/>
                <w:sz w:val="24"/>
                <w:highlight w:val="none"/>
                <w:lang w:val="en-US" w:eastAsia="zh-CN"/>
              </w:rPr>
              <w:t>预拌</w:t>
            </w:r>
            <w:r>
              <w:rPr>
                <w:rFonts w:hint="eastAsia" w:ascii="宋体" w:hAnsi="宋体"/>
                <w:color w:val="auto"/>
                <w:kern w:val="0"/>
                <w:sz w:val="24"/>
                <w:highlight w:val="none"/>
              </w:rPr>
              <w:t>混凝土</w:t>
            </w:r>
            <w:r>
              <w:rPr>
                <w:rFonts w:hint="eastAsia"/>
                <w:color w:val="auto"/>
                <w:kern w:val="0"/>
                <w:sz w:val="24"/>
                <w:highlight w:val="none"/>
                <w:lang w:val="en-US" w:eastAsia="zh-CN"/>
              </w:rPr>
              <w:t>10</w:t>
            </w:r>
            <w:r>
              <w:rPr>
                <w:rFonts w:hint="eastAsia" w:ascii="宋体" w:hAnsi="宋体"/>
                <w:color w:val="auto"/>
                <w:kern w:val="0"/>
                <w:sz w:val="24"/>
                <w:highlight w:val="none"/>
              </w:rPr>
              <w:t>万</w:t>
            </w:r>
            <w:r>
              <w:rPr>
                <w:rFonts w:hint="eastAsia"/>
                <w:color w:val="auto"/>
                <w:kern w:val="0"/>
                <w:sz w:val="24"/>
                <w:highlight w:val="none"/>
              </w:rPr>
              <w:t>m</w:t>
            </w:r>
            <w:r>
              <w:rPr>
                <w:rFonts w:hint="eastAsia"/>
                <w:color w:val="auto"/>
                <w:kern w:val="0"/>
                <w:sz w:val="24"/>
                <w:highlight w:val="none"/>
                <w:vertAlign w:val="superscript"/>
              </w:rPr>
              <w:t>3</w:t>
            </w:r>
            <w:r>
              <w:rPr>
                <w:rFonts w:hint="eastAsia" w:ascii="宋体" w:hAnsi="宋体"/>
                <w:color w:val="auto"/>
                <w:kern w:val="0"/>
                <w:sz w:val="24"/>
                <w:highlight w:val="none"/>
              </w:rPr>
              <w:t>，具体品种标号根据市场要求确定，各种产品应符合《预拌混凝土》（</w:t>
            </w:r>
            <w:r>
              <w:rPr>
                <w:rFonts w:hint="eastAsia"/>
                <w:color w:val="auto"/>
                <w:kern w:val="0"/>
                <w:sz w:val="24"/>
                <w:highlight w:val="none"/>
              </w:rPr>
              <w:t>GB/T14902-2012</w:t>
            </w:r>
            <w:r>
              <w:rPr>
                <w:rFonts w:hint="eastAsia" w:ascii="宋体" w:hAnsi="宋体"/>
                <w:color w:val="auto"/>
                <w:kern w:val="0"/>
                <w:sz w:val="24"/>
                <w:highlight w:val="none"/>
              </w:rPr>
              <w:t>）中的相关要求，产品方案及参数见下表。</w:t>
            </w:r>
          </w:p>
          <w:p w14:paraId="35FC99E6">
            <w:pPr>
              <w:jc w:val="center"/>
              <w:rPr>
                <w:rFonts w:hint="eastAsia"/>
                <w:b/>
                <w:color w:val="auto"/>
                <w:sz w:val="24"/>
                <w:highlight w:val="none"/>
              </w:rPr>
            </w:pPr>
            <w:r>
              <w:rPr>
                <w:rFonts w:hint="eastAsia" w:ascii="宋体" w:hAnsi="宋体"/>
                <w:b/>
                <w:color w:val="auto"/>
                <w:sz w:val="24"/>
                <w:highlight w:val="none"/>
              </w:rPr>
              <w:t>表</w:t>
            </w:r>
            <w:r>
              <w:rPr>
                <w:b/>
                <w:color w:val="auto"/>
                <w:sz w:val="24"/>
                <w:highlight w:val="none"/>
              </w:rPr>
              <w:t>2-2</w:t>
            </w:r>
            <w:r>
              <w:rPr>
                <w:rFonts w:hint="eastAsia" w:ascii="宋体" w:hAnsi="宋体"/>
                <w:b/>
                <w:color w:val="auto"/>
                <w:sz w:val="24"/>
                <w:highlight w:val="none"/>
              </w:rPr>
              <w:t>本项目产品方案及参数表</w:t>
            </w:r>
          </w:p>
          <w:tbl>
            <w:tblPr>
              <w:tblStyle w:val="22"/>
              <w:tblW w:w="4993"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567"/>
              <w:gridCol w:w="567"/>
              <w:gridCol w:w="3"/>
              <w:gridCol w:w="564"/>
              <w:gridCol w:w="567"/>
              <w:gridCol w:w="567"/>
              <w:gridCol w:w="567"/>
              <w:gridCol w:w="29"/>
              <w:gridCol w:w="539"/>
              <w:gridCol w:w="567"/>
              <w:gridCol w:w="567"/>
              <w:gridCol w:w="567"/>
              <w:gridCol w:w="58"/>
              <w:gridCol w:w="509"/>
              <w:gridCol w:w="567"/>
              <w:gridCol w:w="567"/>
              <w:gridCol w:w="623"/>
            </w:tblGrid>
            <w:tr w14:paraId="242C41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5000" w:type="pct"/>
                  <w:gridSpan w:val="18"/>
                  <w:tcBorders>
                    <w:tl2br w:val="nil"/>
                    <w:tr2bl w:val="nil"/>
                  </w:tcBorders>
                  <w:noWrap w:val="0"/>
                  <w:vAlign w:val="center"/>
                </w:tcPr>
                <w:p w14:paraId="424F4FBD">
                  <w:pPr>
                    <w:autoSpaceDE w:val="0"/>
                    <w:autoSpaceDN w:val="0"/>
                    <w:jc w:val="center"/>
                    <w:rPr>
                      <w:color w:val="auto"/>
                      <w:kern w:val="0"/>
                      <w:highlight w:val="none"/>
                    </w:rPr>
                  </w:pPr>
                  <w:r>
                    <w:rPr>
                      <w:rFonts w:hint="eastAsia" w:ascii="宋体" w:hAnsi="宋体"/>
                      <w:color w:val="auto"/>
                      <w:kern w:val="0"/>
                      <w:highlight w:val="none"/>
                    </w:rPr>
                    <w:t>一、产品方案</w:t>
                  </w:r>
                </w:p>
              </w:tc>
            </w:tr>
            <w:tr w14:paraId="6AA775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5" w:type="pct"/>
                  <w:tcBorders>
                    <w:tl2br w:val="nil"/>
                    <w:tr2bl w:val="nil"/>
                  </w:tcBorders>
                  <w:noWrap w:val="0"/>
                  <w:vAlign w:val="center"/>
                </w:tcPr>
                <w:p w14:paraId="35379F64">
                  <w:pPr>
                    <w:autoSpaceDE w:val="0"/>
                    <w:autoSpaceDN w:val="0"/>
                    <w:jc w:val="center"/>
                    <w:rPr>
                      <w:rFonts w:hint="eastAsia" w:eastAsia="宋体"/>
                      <w:color w:val="auto"/>
                      <w:kern w:val="0"/>
                      <w:highlight w:val="none"/>
                      <w:lang w:val="en-US" w:eastAsia="zh-CN"/>
                    </w:rPr>
                  </w:pPr>
                  <w:r>
                    <w:rPr>
                      <w:rFonts w:hint="eastAsia" w:ascii="宋体" w:hAnsi="宋体"/>
                      <w:color w:val="auto"/>
                      <w:kern w:val="0"/>
                      <w:highlight w:val="none"/>
                    </w:rPr>
                    <w:t>强度等</w:t>
                  </w:r>
                  <w:r>
                    <w:rPr>
                      <w:rFonts w:hint="eastAsia" w:ascii="宋体" w:hAnsi="宋体"/>
                      <w:color w:val="auto"/>
                      <w:kern w:val="0"/>
                      <w:highlight w:val="none"/>
                      <w:lang w:val="en-US" w:eastAsia="zh-CN"/>
                    </w:rPr>
                    <w:t>级</w:t>
                  </w:r>
                </w:p>
              </w:tc>
              <w:tc>
                <w:tcPr>
                  <w:tcW w:w="329" w:type="pct"/>
                  <w:tcBorders>
                    <w:tl2br w:val="nil"/>
                    <w:tr2bl w:val="nil"/>
                  </w:tcBorders>
                  <w:noWrap w:val="0"/>
                  <w:vAlign w:val="center"/>
                </w:tcPr>
                <w:p w14:paraId="1D248A55">
                  <w:pPr>
                    <w:autoSpaceDE w:val="0"/>
                    <w:autoSpaceDN w:val="0"/>
                    <w:jc w:val="center"/>
                    <w:rPr>
                      <w:color w:val="auto"/>
                      <w:kern w:val="0"/>
                      <w:highlight w:val="none"/>
                    </w:rPr>
                  </w:pPr>
                  <w:r>
                    <w:rPr>
                      <w:rFonts w:hint="eastAsia"/>
                      <w:color w:val="auto"/>
                      <w:kern w:val="0"/>
                      <w:highlight w:val="none"/>
                    </w:rPr>
                    <w:t>C10</w:t>
                  </w:r>
                </w:p>
              </w:tc>
              <w:tc>
                <w:tcPr>
                  <w:tcW w:w="329" w:type="pct"/>
                  <w:tcBorders>
                    <w:tl2br w:val="nil"/>
                    <w:tr2bl w:val="nil"/>
                  </w:tcBorders>
                  <w:noWrap w:val="0"/>
                  <w:vAlign w:val="center"/>
                </w:tcPr>
                <w:p w14:paraId="49385766">
                  <w:pPr>
                    <w:autoSpaceDE w:val="0"/>
                    <w:autoSpaceDN w:val="0"/>
                    <w:jc w:val="center"/>
                    <w:rPr>
                      <w:color w:val="auto"/>
                      <w:kern w:val="0"/>
                      <w:highlight w:val="none"/>
                    </w:rPr>
                  </w:pPr>
                  <w:r>
                    <w:rPr>
                      <w:rFonts w:hint="eastAsia"/>
                      <w:color w:val="auto"/>
                      <w:kern w:val="0"/>
                      <w:highlight w:val="none"/>
                    </w:rPr>
                    <w:t>C20</w:t>
                  </w:r>
                </w:p>
              </w:tc>
              <w:tc>
                <w:tcPr>
                  <w:tcW w:w="329" w:type="pct"/>
                  <w:gridSpan w:val="2"/>
                  <w:tcBorders>
                    <w:tl2br w:val="nil"/>
                    <w:tr2bl w:val="nil"/>
                  </w:tcBorders>
                  <w:noWrap w:val="0"/>
                  <w:vAlign w:val="center"/>
                </w:tcPr>
                <w:p w14:paraId="39BE01F2">
                  <w:pPr>
                    <w:autoSpaceDE w:val="0"/>
                    <w:autoSpaceDN w:val="0"/>
                    <w:jc w:val="center"/>
                    <w:rPr>
                      <w:color w:val="auto"/>
                      <w:kern w:val="0"/>
                      <w:highlight w:val="none"/>
                    </w:rPr>
                  </w:pPr>
                  <w:r>
                    <w:rPr>
                      <w:rFonts w:hint="eastAsia"/>
                      <w:color w:val="auto"/>
                      <w:kern w:val="0"/>
                      <w:highlight w:val="none"/>
                    </w:rPr>
                    <w:t>C25</w:t>
                  </w:r>
                </w:p>
              </w:tc>
              <w:tc>
                <w:tcPr>
                  <w:tcW w:w="329" w:type="pct"/>
                  <w:tcBorders>
                    <w:tl2br w:val="nil"/>
                    <w:tr2bl w:val="nil"/>
                  </w:tcBorders>
                  <w:noWrap w:val="0"/>
                  <w:vAlign w:val="center"/>
                </w:tcPr>
                <w:p w14:paraId="292098ED">
                  <w:pPr>
                    <w:autoSpaceDE w:val="0"/>
                    <w:autoSpaceDN w:val="0"/>
                    <w:jc w:val="center"/>
                    <w:rPr>
                      <w:color w:val="auto"/>
                      <w:kern w:val="0"/>
                      <w:highlight w:val="none"/>
                    </w:rPr>
                  </w:pPr>
                  <w:r>
                    <w:rPr>
                      <w:rFonts w:hint="eastAsia"/>
                      <w:color w:val="auto"/>
                      <w:kern w:val="0"/>
                      <w:highlight w:val="none"/>
                    </w:rPr>
                    <w:t>C30</w:t>
                  </w:r>
                </w:p>
              </w:tc>
              <w:tc>
                <w:tcPr>
                  <w:tcW w:w="329" w:type="pct"/>
                  <w:tcBorders>
                    <w:tl2br w:val="nil"/>
                    <w:tr2bl w:val="nil"/>
                  </w:tcBorders>
                  <w:noWrap w:val="0"/>
                  <w:vAlign w:val="center"/>
                </w:tcPr>
                <w:p w14:paraId="3D3C8E1B">
                  <w:pPr>
                    <w:autoSpaceDE w:val="0"/>
                    <w:autoSpaceDN w:val="0"/>
                    <w:jc w:val="center"/>
                    <w:rPr>
                      <w:color w:val="auto"/>
                      <w:kern w:val="0"/>
                      <w:highlight w:val="none"/>
                    </w:rPr>
                  </w:pPr>
                  <w:r>
                    <w:rPr>
                      <w:rFonts w:hint="eastAsia"/>
                      <w:color w:val="auto"/>
                      <w:kern w:val="0"/>
                      <w:highlight w:val="none"/>
                    </w:rPr>
                    <w:t>C35</w:t>
                  </w:r>
                </w:p>
              </w:tc>
              <w:tc>
                <w:tcPr>
                  <w:tcW w:w="329" w:type="pct"/>
                  <w:tcBorders>
                    <w:tl2br w:val="nil"/>
                    <w:tr2bl w:val="nil"/>
                  </w:tcBorders>
                  <w:noWrap w:val="0"/>
                  <w:vAlign w:val="center"/>
                </w:tcPr>
                <w:p w14:paraId="5D610161">
                  <w:pPr>
                    <w:autoSpaceDE w:val="0"/>
                    <w:autoSpaceDN w:val="0"/>
                    <w:jc w:val="center"/>
                    <w:rPr>
                      <w:color w:val="auto"/>
                      <w:kern w:val="0"/>
                      <w:highlight w:val="none"/>
                    </w:rPr>
                  </w:pPr>
                  <w:r>
                    <w:rPr>
                      <w:rFonts w:hint="eastAsia"/>
                      <w:color w:val="auto"/>
                      <w:kern w:val="0"/>
                      <w:highlight w:val="none"/>
                    </w:rPr>
                    <w:t>C40</w:t>
                  </w:r>
                </w:p>
              </w:tc>
              <w:tc>
                <w:tcPr>
                  <w:tcW w:w="329" w:type="pct"/>
                  <w:gridSpan w:val="2"/>
                  <w:tcBorders>
                    <w:tl2br w:val="nil"/>
                    <w:tr2bl w:val="nil"/>
                  </w:tcBorders>
                  <w:noWrap w:val="0"/>
                  <w:vAlign w:val="center"/>
                </w:tcPr>
                <w:p w14:paraId="65C6F9A9">
                  <w:pPr>
                    <w:autoSpaceDE w:val="0"/>
                    <w:autoSpaceDN w:val="0"/>
                    <w:jc w:val="center"/>
                    <w:rPr>
                      <w:color w:val="auto"/>
                      <w:kern w:val="0"/>
                      <w:highlight w:val="none"/>
                    </w:rPr>
                  </w:pPr>
                  <w:r>
                    <w:rPr>
                      <w:rFonts w:hint="eastAsia"/>
                      <w:color w:val="auto"/>
                      <w:kern w:val="0"/>
                      <w:highlight w:val="none"/>
                    </w:rPr>
                    <w:t>C45</w:t>
                  </w:r>
                </w:p>
              </w:tc>
              <w:tc>
                <w:tcPr>
                  <w:tcW w:w="329" w:type="pct"/>
                  <w:tcBorders>
                    <w:tl2br w:val="nil"/>
                    <w:tr2bl w:val="nil"/>
                  </w:tcBorders>
                  <w:noWrap w:val="0"/>
                  <w:vAlign w:val="center"/>
                </w:tcPr>
                <w:p w14:paraId="0204DA83">
                  <w:pPr>
                    <w:autoSpaceDE w:val="0"/>
                    <w:autoSpaceDN w:val="0"/>
                    <w:jc w:val="center"/>
                    <w:rPr>
                      <w:color w:val="auto"/>
                      <w:kern w:val="0"/>
                      <w:highlight w:val="none"/>
                    </w:rPr>
                  </w:pPr>
                  <w:r>
                    <w:rPr>
                      <w:rFonts w:hint="eastAsia"/>
                      <w:color w:val="auto"/>
                      <w:kern w:val="0"/>
                      <w:highlight w:val="none"/>
                    </w:rPr>
                    <w:t>C50</w:t>
                  </w:r>
                </w:p>
              </w:tc>
              <w:tc>
                <w:tcPr>
                  <w:tcW w:w="329" w:type="pct"/>
                  <w:tcBorders>
                    <w:tl2br w:val="nil"/>
                    <w:tr2bl w:val="nil"/>
                  </w:tcBorders>
                  <w:noWrap w:val="0"/>
                  <w:vAlign w:val="center"/>
                </w:tcPr>
                <w:p w14:paraId="0463E7EA">
                  <w:pPr>
                    <w:autoSpaceDE w:val="0"/>
                    <w:autoSpaceDN w:val="0"/>
                    <w:jc w:val="center"/>
                    <w:rPr>
                      <w:color w:val="auto"/>
                      <w:kern w:val="0"/>
                      <w:highlight w:val="none"/>
                    </w:rPr>
                  </w:pPr>
                  <w:r>
                    <w:rPr>
                      <w:rFonts w:hint="eastAsia"/>
                      <w:color w:val="auto"/>
                      <w:kern w:val="0"/>
                      <w:highlight w:val="none"/>
                    </w:rPr>
                    <w:t>C55</w:t>
                  </w:r>
                </w:p>
              </w:tc>
              <w:tc>
                <w:tcPr>
                  <w:tcW w:w="329" w:type="pct"/>
                  <w:tcBorders>
                    <w:tl2br w:val="nil"/>
                    <w:tr2bl w:val="nil"/>
                  </w:tcBorders>
                  <w:noWrap w:val="0"/>
                  <w:vAlign w:val="center"/>
                </w:tcPr>
                <w:p w14:paraId="55F38F61">
                  <w:pPr>
                    <w:autoSpaceDE w:val="0"/>
                    <w:autoSpaceDN w:val="0"/>
                    <w:jc w:val="center"/>
                    <w:rPr>
                      <w:color w:val="auto"/>
                      <w:kern w:val="0"/>
                      <w:highlight w:val="none"/>
                    </w:rPr>
                  </w:pPr>
                  <w:r>
                    <w:rPr>
                      <w:rFonts w:hint="eastAsia"/>
                      <w:color w:val="auto"/>
                      <w:kern w:val="0"/>
                      <w:highlight w:val="none"/>
                    </w:rPr>
                    <w:t>C60</w:t>
                  </w:r>
                </w:p>
              </w:tc>
              <w:tc>
                <w:tcPr>
                  <w:tcW w:w="330" w:type="pct"/>
                  <w:gridSpan w:val="2"/>
                  <w:tcBorders>
                    <w:tl2br w:val="nil"/>
                    <w:tr2bl w:val="nil"/>
                  </w:tcBorders>
                  <w:noWrap w:val="0"/>
                  <w:vAlign w:val="center"/>
                </w:tcPr>
                <w:p w14:paraId="6334C7B7">
                  <w:pPr>
                    <w:autoSpaceDE w:val="0"/>
                    <w:autoSpaceDN w:val="0"/>
                    <w:jc w:val="center"/>
                    <w:rPr>
                      <w:rFonts w:hint="default" w:eastAsia="宋体"/>
                      <w:color w:val="auto"/>
                      <w:kern w:val="0"/>
                      <w:highlight w:val="none"/>
                      <w:lang w:val="en-US" w:eastAsia="zh-CN"/>
                    </w:rPr>
                  </w:pPr>
                  <w:r>
                    <w:rPr>
                      <w:rFonts w:hint="eastAsia"/>
                      <w:color w:val="auto"/>
                      <w:kern w:val="0"/>
                      <w:highlight w:val="none"/>
                      <w:lang w:val="en-US" w:eastAsia="zh-CN"/>
                    </w:rPr>
                    <w:t>C65</w:t>
                  </w:r>
                </w:p>
              </w:tc>
              <w:tc>
                <w:tcPr>
                  <w:tcW w:w="330" w:type="pct"/>
                  <w:tcBorders>
                    <w:tl2br w:val="nil"/>
                    <w:tr2bl w:val="nil"/>
                  </w:tcBorders>
                  <w:noWrap w:val="0"/>
                  <w:vAlign w:val="center"/>
                </w:tcPr>
                <w:p w14:paraId="65769397">
                  <w:pPr>
                    <w:autoSpaceDE w:val="0"/>
                    <w:autoSpaceDN w:val="0"/>
                    <w:jc w:val="center"/>
                    <w:rPr>
                      <w:rFonts w:hint="default" w:eastAsia="宋体"/>
                      <w:color w:val="auto"/>
                      <w:kern w:val="0"/>
                      <w:highlight w:val="none"/>
                      <w:lang w:val="en-US" w:eastAsia="zh-CN"/>
                    </w:rPr>
                  </w:pPr>
                  <w:r>
                    <w:rPr>
                      <w:rFonts w:hint="eastAsia"/>
                      <w:color w:val="auto"/>
                      <w:kern w:val="0"/>
                      <w:highlight w:val="none"/>
                      <w:lang w:val="en-US" w:eastAsia="zh-CN"/>
                    </w:rPr>
                    <w:t>C70</w:t>
                  </w:r>
                </w:p>
              </w:tc>
              <w:tc>
                <w:tcPr>
                  <w:tcW w:w="330" w:type="pct"/>
                  <w:tcBorders>
                    <w:tl2br w:val="nil"/>
                    <w:tr2bl w:val="nil"/>
                  </w:tcBorders>
                  <w:noWrap w:val="0"/>
                  <w:vAlign w:val="center"/>
                </w:tcPr>
                <w:p w14:paraId="61DFE8AC">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C75</w:t>
                  </w:r>
                </w:p>
              </w:tc>
              <w:tc>
                <w:tcPr>
                  <w:tcW w:w="359" w:type="pct"/>
                  <w:tcBorders>
                    <w:tl2br w:val="nil"/>
                    <w:tr2bl w:val="nil"/>
                  </w:tcBorders>
                  <w:noWrap w:val="0"/>
                  <w:vAlign w:val="center"/>
                </w:tcPr>
                <w:p w14:paraId="1E277474">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C80</w:t>
                  </w:r>
                </w:p>
              </w:tc>
            </w:tr>
            <w:tr w14:paraId="198156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8"/>
                  <w:tcBorders>
                    <w:tl2br w:val="nil"/>
                    <w:tr2bl w:val="nil"/>
                  </w:tcBorders>
                  <w:noWrap w:val="0"/>
                  <w:vAlign w:val="center"/>
                </w:tcPr>
                <w:p w14:paraId="143CF1B5">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二、混凝土拌合物稠度允许偏差</w:t>
                  </w:r>
                </w:p>
              </w:tc>
            </w:tr>
            <w:tr w14:paraId="3C7061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3"/>
                  <w:tcBorders>
                    <w:tl2br w:val="nil"/>
                    <w:tr2bl w:val="nil"/>
                  </w:tcBorders>
                  <w:noWrap w:val="0"/>
                  <w:vAlign w:val="center"/>
                </w:tcPr>
                <w:p w14:paraId="181C7C28">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项目</w:t>
                  </w:r>
                </w:p>
              </w:tc>
              <w:tc>
                <w:tcPr>
                  <w:tcW w:w="1647" w:type="pct"/>
                  <w:gridSpan w:val="7"/>
                  <w:tcBorders>
                    <w:tl2br w:val="nil"/>
                    <w:tr2bl w:val="nil"/>
                  </w:tcBorders>
                  <w:noWrap w:val="0"/>
                  <w:vAlign w:val="center"/>
                </w:tcPr>
                <w:p w14:paraId="3822DA8F">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控制目标值</w:t>
                  </w:r>
                </w:p>
              </w:tc>
              <w:tc>
                <w:tcPr>
                  <w:tcW w:w="2337" w:type="pct"/>
                  <w:gridSpan w:val="8"/>
                  <w:tcBorders>
                    <w:tl2br w:val="nil"/>
                    <w:tr2bl w:val="nil"/>
                  </w:tcBorders>
                  <w:noWrap w:val="0"/>
                  <w:vAlign w:val="center"/>
                </w:tcPr>
                <w:p w14:paraId="03D8B191">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允许偏差</w:t>
                  </w:r>
                </w:p>
              </w:tc>
            </w:tr>
            <w:tr w14:paraId="3EE246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3"/>
                  <w:vMerge w:val="restart"/>
                  <w:tcBorders>
                    <w:tl2br w:val="nil"/>
                    <w:tr2bl w:val="nil"/>
                  </w:tcBorders>
                  <w:noWrap w:val="0"/>
                  <w:vAlign w:val="center"/>
                </w:tcPr>
                <w:p w14:paraId="6E5059DF">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坍落度</w:t>
                  </w:r>
                </w:p>
              </w:tc>
              <w:tc>
                <w:tcPr>
                  <w:tcW w:w="1647" w:type="pct"/>
                  <w:gridSpan w:val="7"/>
                  <w:tcBorders>
                    <w:tl2br w:val="nil"/>
                    <w:tr2bl w:val="nil"/>
                  </w:tcBorders>
                  <w:noWrap w:val="0"/>
                  <w:vAlign w:val="center"/>
                </w:tcPr>
                <w:p w14:paraId="63D0D179">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≤40</w:t>
                  </w:r>
                </w:p>
              </w:tc>
              <w:tc>
                <w:tcPr>
                  <w:tcW w:w="2337" w:type="pct"/>
                  <w:gridSpan w:val="8"/>
                  <w:tcBorders>
                    <w:tl2br w:val="nil"/>
                    <w:tr2bl w:val="nil"/>
                  </w:tcBorders>
                  <w:noWrap w:val="0"/>
                  <w:vAlign w:val="center"/>
                </w:tcPr>
                <w:p w14:paraId="728B568E">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±10</w:t>
                  </w:r>
                </w:p>
              </w:tc>
            </w:tr>
            <w:tr w14:paraId="1985BE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1014" w:type="pct"/>
                  <w:gridSpan w:val="3"/>
                  <w:vMerge w:val="continue"/>
                  <w:tcBorders>
                    <w:tl2br w:val="nil"/>
                    <w:tr2bl w:val="nil"/>
                  </w:tcBorders>
                  <w:noWrap w:val="0"/>
                  <w:vAlign w:val="center"/>
                </w:tcPr>
                <w:p w14:paraId="7CD6B280">
                  <w:pPr>
                    <w:autoSpaceDE w:val="0"/>
                    <w:autoSpaceDN w:val="0"/>
                    <w:jc w:val="center"/>
                    <w:rPr>
                      <w:rFonts w:hint="eastAsia"/>
                      <w:color w:val="auto"/>
                      <w:kern w:val="0"/>
                      <w:highlight w:val="none"/>
                      <w:lang w:val="en-US" w:eastAsia="zh-CN"/>
                    </w:rPr>
                  </w:pPr>
                </w:p>
              </w:tc>
              <w:tc>
                <w:tcPr>
                  <w:tcW w:w="1647" w:type="pct"/>
                  <w:gridSpan w:val="7"/>
                  <w:tcBorders>
                    <w:tl2br w:val="nil"/>
                    <w:tr2bl w:val="nil"/>
                  </w:tcBorders>
                  <w:noWrap w:val="0"/>
                  <w:vAlign w:val="center"/>
                </w:tcPr>
                <w:p w14:paraId="5F51C6F8">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50-90</w:t>
                  </w:r>
                </w:p>
              </w:tc>
              <w:tc>
                <w:tcPr>
                  <w:tcW w:w="2337" w:type="pct"/>
                  <w:gridSpan w:val="8"/>
                  <w:tcBorders>
                    <w:tl2br w:val="nil"/>
                    <w:tr2bl w:val="nil"/>
                  </w:tcBorders>
                  <w:noWrap w:val="0"/>
                  <w:vAlign w:val="center"/>
                </w:tcPr>
                <w:p w14:paraId="3A411A99">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±20</w:t>
                  </w:r>
                </w:p>
              </w:tc>
            </w:tr>
            <w:tr w14:paraId="0FF9E3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3"/>
                  <w:vMerge w:val="continue"/>
                  <w:tcBorders>
                    <w:tl2br w:val="nil"/>
                    <w:tr2bl w:val="nil"/>
                  </w:tcBorders>
                  <w:noWrap w:val="0"/>
                  <w:vAlign w:val="center"/>
                </w:tcPr>
                <w:p w14:paraId="298E3BE3">
                  <w:pPr>
                    <w:autoSpaceDE w:val="0"/>
                    <w:autoSpaceDN w:val="0"/>
                    <w:jc w:val="center"/>
                    <w:rPr>
                      <w:rFonts w:hint="eastAsia"/>
                      <w:color w:val="auto"/>
                      <w:kern w:val="0"/>
                      <w:highlight w:val="none"/>
                      <w:lang w:val="en-US" w:eastAsia="zh-CN"/>
                    </w:rPr>
                  </w:pPr>
                </w:p>
              </w:tc>
              <w:tc>
                <w:tcPr>
                  <w:tcW w:w="1647" w:type="pct"/>
                  <w:gridSpan w:val="7"/>
                  <w:tcBorders>
                    <w:tl2br w:val="nil"/>
                    <w:tr2bl w:val="nil"/>
                  </w:tcBorders>
                  <w:noWrap w:val="0"/>
                  <w:vAlign w:val="center"/>
                </w:tcPr>
                <w:p w14:paraId="1ECA3BD0">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≥100</w:t>
                  </w:r>
                </w:p>
              </w:tc>
              <w:tc>
                <w:tcPr>
                  <w:tcW w:w="2337" w:type="pct"/>
                  <w:gridSpan w:val="8"/>
                  <w:tcBorders>
                    <w:tl2br w:val="nil"/>
                    <w:tr2bl w:val="nil"/>
                  </w:tcBorders>
                  <w:noWrap w:val="0"/>
                  <w:vAlign w:val="center"/>
                </w:tcPr>
                <w:p w14:paraId="4E459391">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±30</w:t>
                  </w:r>
                </w:p>
              </w:tc>
            </w:tr>
            <w:tr w14:paraId="50B2EA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4" w:type="pct"/>
                  <w:gridSpan w:val="3"/>
                  <w:tcBorders>
                    <w:tl2br w:val="nil"/>
                    <w:tr2bl w:val="nil"/>
                  </w:tcBorders>
                  <w:noWrap w:val="0"/>
                  <w:vAlign w:val="center"/>
                </w:tcPr>
                <w:p w14:paraId="59427B9A">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扩展度</w:t>
                  </w:r>
                </w:p>
              </w:tc>
              <w:tc>
                <w:tcPr>
                  <w:tcW w:w="1647" w:type="pct"/>
                  <w:gridSpan w:val="7"/>
                  <w:tcBorders>
                    <w:tl2br w:val="nil"/>
                    <w:tr2bl w:val="nil"/>
                  </w:tcBorders>
                  <w:noWrap w:val="0"/>
                  <w:vAlign w:val="center"/>
                </w:tcPr>
                <w:p w14:paraId="3AF743DB">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≥300</w:t>
                  </w:r>
                </w:p>
              </w:tc>
              <w:tc>
                <w:tcPr>
                  <w:tcW w:w="2337" w:type="pct"/>
                  <w:gridSpan w:val="8"/>
                  <w:tcBorders>
                    <w:tl2br w:val="nil"/>
                    <w:tr2bl w:val="nil"/>
                  </w:tcBorders>
                  <w:noWrap w:val="0"/>
                  <w:vAlign w:val="center"/>
                </w:tcPr>
                <w:p w14:paraId="7D2788B9">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±30</w:t>
                  </w:r>
                </w:p>
              </w:tc>
            </w:tr>
            <w:tr w14:paraId="328DD7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18"/>
                  <w:tcBorders>
                    <w:tl2br w:val="nil"/>
                    <w:tr2bl w:val="nil"/>
                  </w:tcBorders>
                  <w:noWrap w:val="0"/>
                  <w:vAlign w:val="center"/>
                </w:tcPr>
                <w:p w14:paraId="23EE7529">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三、混凝土拌合物中水溶性氯离子最大含量</w:t>
                  </w:r>
                </w:p>
              </w:tc>
            </w:tr>
            <w:tr w14:paraId="45A187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vMerge w:val="restart"/>
                  <w:tcBorders>
                    <w:tl2br w:val="nil"/>
                    <w:tr2bl w:val="nil"/>
                  </w:tcBorders>
                  <w:noWrap w:val="0"/>
                  <w:vAlign w:val="center"/>
                </w:tcPr>
                <w:p w14:paraId="4BE202D7">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环境条件</w:t>
                  </w:r>
                </w:p>
              </w:tc>
              <w:tc>
                <w:tcPr>
                  <w:tcW w:w="3983" w:type="pct"/>
                  <w:gridSpan w:val="14"/>
                  <w:tcBorders>
                    <w:tl2br w:val="nil"/>
                    <w:tr2bl w:val="nil"/>
                  </w:tcBorders>
                  <w:noWrap w:val="0"/>
                  <w:vAlign w:val="center"/>
                </w:tcPr>
                <w:p w14:paraId="483B1200">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水溶性氯离子最大含量</w:t>
                  </w:r>
                </w:p>
              </w:tc>
            </w:tr>
            <w:tr w14:paraId="3775A2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vMerge w:val="continue"/>
                  <w:tcBorders>
                    <w:tl2br w:val="nil"/>
                    <w:tr2bl w:val="nil"/>
                  </w:tcBorders>
                  <w:noWrap w:val="0"/>
                  <w:vAlign w:val="center"/>
                </w:tcPr>
                <w:p w14:paraId="32AFE3B5">
                  <w:pPr>
                    <w:autoSpaceDE w:val="0"/>
                    <w:autoSpaceDN w:val="0"/>
                    <w:jc w:val="center"/>
                    <w:rPr>
                      <w:rFonts w:hint="eastAsia"/>
                      <w:color w:val="auto"/>
                      <w:kern w:val="0"/>
                      <w:highlight w:val="none"/>
                      <w:lang w:val="en-US" w:eastAsia="zh-CN"/>
                    </w:rPr>
                  </w:pPr>
                </w:p>
              </w:tc>
              <w:tc>
                <w:tcPr>
                  <w:tcW w:w="1331" w:type="pct"/>
                  <w:gridSpan w:val="5"/>
                  <w:tcBorders>
                    <w:tl2br w:val="nil"/>
                    <w:tr2bl w:val="nil"/>
                  </w:tcBorders>
                  <w:noWrap w:val="0"/>
                  <w:vAlign w:val="center"/>
                </w:tcPr>
                <w:p w14:paraId="59403A59">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钢筋混凝土</w:t>
                  </w:r>
                </w:p>
              </w:tc>
              <w:tc>
                <w:tcPr>
                  <w:tcW w:w="1333" w:type="pct"/>
                  <w:gridSpan w:val="5"/>
                  <w:tcBorders>
                    <w:tl2br w:val="nil"/>
                    <w:tr2bl w:val="nil"/>
                  </w:tcBorders>
                  <w:noWrap w:val="0"/>
                  <w:vAlign w:val="center"/>
                </w:tcPr>
                <w:p w14:paraId="16C4DFB3">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预应力混凝土</w:t>
                  </w:r>
                </w:p>
              </w:tc>
              <w:tc>
                <w:tcPr>
                  <w:tcW w:w="1318" w:type="pct"/>
                  <w:gridSpan w:val="4"/>
                  <w:tcBorders>
                    <w:tl2br w:val="nil"/>
                    <w:tr2bl w:val="nil"/>
                  </w:tcBorders>
                  <w:noWrap w:val="0"/>
                  <w:vAlign w:val="center"/>
                </w:tcPr>
                <w:p w14:paraId="184915C6">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素混凝土</w:t>
                  </w:r>
                </w:p>
              </w:tc>
            </w:tr>
            <w:tr w14:paraId="230F59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tcBorders>
                    <w:tl2br w:val="nil"/>
                    <w:tr2bl w:val="nil"/>
                  </w:tcBorders>
                  <w:noWrap w:val="0"/>
                  <w:vAlign w:val="center"/>
                </w:tcPr>
                <w:p w14:paraId="09ED9156">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干燥环境</w:t>
                  </w:r>
                </w:p>
              </w:tc>
              <w:tc>
                <w:tcPr>
                  <w:tcW w:w="1331" w:type="pct"/>
                  <w:gridSpan w:val="5"/>
                  <w:tcBorders>
                    <w:tl2br w:val="nil"/>
                    <w:tr2bl w:val="nil"/>
                  </w:tcBorders>
                  <w:noWrap w:val="0"/>
                  <w:vAlign w:val="center"/>
                </w:tcPr>
                <w:p w14:paraId="320BD620">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0.3</w:t>
                  </w:r>
                </w:p>
              </w:tc>
              <w:tc>
                <w:tcPr>
                  <w:tcW w:w="1333" w:type="pct"/>
                  <w:gridSpan w:val="5"/>
                  <w:vMerge w:val="restart"/>
                  <w:tcBorders>
                    <w:tl2br w:val="nil"/>
                    <w:tr2bl w:val="nil"/>
                  </w:tcBorders>
                  <w:noWrap w:val="0"/>
                  <w:vAlign w:val="center"/>
                </w:tcPr>
                <w:p w14:paraId="6FA4DE66">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0.06</w:t>
                  </w:r>
                </w:p>
              </w:tc>
              <w:tc>
                <w:tcPr>
                  <w:tcW w:w="1318" w:type="pct"/>
                  <w:gridSpan w:val="4"/>
                  <w:vMerge w:val="restart"/>
                  <w:tcBorders>
                    <w:tl2br w:val="nil"/>
                    <w:tr2bl w:val="nil"/>
                  </w:tcBorders>
                  <w:noWrap w:val="0"/>
                  <w:vAlign w:val="center"/>
                </w:tcPr>
                <w:p w14:paraId="22A194F2">
                  <w:pPr>
                    <w:autoSpaceDE w:val="0"/>
                    <w:autoSpaceDN w:val="0"/>
                    <w:jc w:val="center"/>
                    <w:rPr>
                      <w:rFonts w:hint="default"/>
                      <w:color w:val="auto"/>
                      <w:kern w:val="0"/>
                      <w:highlight w:val="none"/>
                      <w:lang w:val="en-US" w:eastAsia="zh-CN"/>
                    </w:rPr>
                  </w:pPr>
                  <w:r>
                    <w:rPr>
                      <w:rFonts w:hint="eastAsia"/>
                      <w:color w:val="auto"/>
                      <w:kern w:val="0"/>
                      <w:highlight w:val="none"/>
                      <w:lang w:val="en-US" w:eastAsia="zh-CN"/>
                    </w:rPr>
                    <w:t>1.0</w:t>
                  </w:r>
                </w:p>
              </w:tc>
            </w:tr>
            <w:tr w14:paraId="250153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tcBorders>
                    <w:tl2br w:val="nil"/>
                    <w:tr2bl w:val="nil"/>
                  </w:tcBorders>
                  <w:noWrap w:val="0"/>
                  <w:vAlign w:val="center"/>
                </w:tcPr>
                <w:p w14:paraId="2F1CF4C7">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潮湿但不含氯离子的环境</w:t>
                  </w:r>
                </w:p>
              </w:tc>
              <w:tc>
                <w:tcPr>
                  <w:tcW w:w="1331" w:type="pct"/>
                  <w:gridSpan w:val="5"/>
                  <w:tcBorders>
                    <w:tl2br w:val="nil"/>
                    <w:tr2bl w:val="nil"/>
                  </w:tcBorders>
                  <w:noWrap w:val="0"/>
                  <w:vAlign w:val="center"/>
                </w:tcPr>
                <w:p w14:paraId="6800AFFE">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0.2</w:t>
                  </w:r>
                </w:p>
              </w:tc>
              <w:tc>
                <w:tcPr>
                  <w:tcW w:w="1333" w:type="pct"/>
                  <w:gridSpan w:val="5"/>
                  <w:vMerge w:val="continue"/>
                  <w:tcBorders>
                    <w:tl2br w:val="nil"/>
                    <w:tr2bl w:val="nil"/>
                  </w:tcBorders>
                  <w:noWrap w:val="0"/>
                  <w:vAlign w:val="center"/>
                </w:tcPr>
                <w:p w14:paraId="717324A5">
                  <w:pPr>
                    <w:autoSpaceDE w:val="0"/>
                    <w:autoSpaceDN w:val="0"/>
                    <w:jc w:val="center"/>
                    <w:rPr>
                      <w:rFonts w:hint="eastAsia"/>
                      <w:color w:val="auto"/>
                      <w:kern w:val="0"/>
                      <w:highlight w:val="none"/>
                      <w:lang w:val="en-US" w:eastAsia="zh-CN"/>
                    </w:rPr>
                  </w:pPr>
                </w:p>
              </w:tc>
              <w:tc>
                <w:tcPr>
                  <w:tcW w:w="1318" w:type="pct"/>
                  <w:gridSpan w:val="4"/>
                  <w:vMerge w:val="continue"/>
                  <w:tcBorders>
                    <w:tl2br w:val="nil"/>
                    <w:tr2bl w:val="nil"/>
                  </w:tcBorders>
                  <w:noWrap w:val="0"/>
                  <w:vAlign w:val="center"/>
                </w:tcPr>
                <w:p w14:paraId="496CE6F9">
                  <w:pPr>
                    <w:autoSpaceDE w:val="0"/>
                    <w:autoSpaceDN w:val="0"/>
                    <w:jc w:val="center"/>
                    <w:rPr>
                      <w:rFonts w:hint="eastAsia"/>
                      <w:color w:val="auto"/>
                      <w:kern w:val="0"/>
                      <w:highlight w:val="none"/>
                      <w:lang w:val="en-US" w:eastAsia="zh-CN"/>
                    </w:rPr>
                  </w:pPr>
                </w:p>
              </w:tc>
            </w:tr>
            <w:tr w14:paraId="19EAE4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tcBorders>
                    <w:tl2br w:val="nil"/>
                    <w:tr2bl w:val="nil"/>
                  </w:tcBorders>
                  <w:noWrap w:val="0"/>
                  <w:vAlign w:val="center"/>
                </w:tcPr>
                <w:p w14:paraId="37AED749">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潮湿而含有氯离子环境、盐渍土环境</w:t>
                  </w:r>
                </w:p>
              </w:tc>
              <w:tc>
                <w:tcPr>
                  <w:tcW w:w="1331" w:type="pct"/>
                  <w:gridSpan w:val="5"/>
                  <w:tcBorders>
                    <w:tl2br w:val="nil"/>
                    <w:tr2bl w:val="nil"/>
                  </w:tcBorders>
                  <w:noWrap w:val="0"/>
                  <w:vAlign w:val="center"/>
                </w:tcPr>
                <w:p w14:paraId="568DE3E1">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0.1</w:t>
                  </w:r>
                </w:p>
              </w:tc>
              <w:tc>
                <w:tcPr>
                  <w:tcW w:w="1333" w:type="pct"/>
                  <w:gridSpan w:val="5"/>
                  <w:vMerge w:val="continue"/>
                  <w:tcBorders>
                    <w:tl2br w:val="nil"/>
                    <w:tr2bl w:val="nil"/>
                  </w:tcBorders>
                  <w:noWrap w:val="0"/>
                  <w:vAlign w:val="center"/>
                </w:tcPr>
                <w:p w14:paraId="7D896491">
                  <w:pPr>
                    <w:autoSpaceDE w:val="0"/>
                    <w:autoSpaceDN w:val="0"/>
                    <w:jc w:val="center"/>
                    <w:rPr>
                      <w:rFonts w:hint="eastAsia"/>
                      <w:color w:val="auto"/>
                      <w:kern w:val="0"/>
                      <w:highlight w:val="none"/>
                      <w:lang w:val="en-US" w:eastAsia="zh-CN"/>
                    </w:rPr>
                  </w:pPr>
                </w:p>
              </w:tc>
              <w:tc>
                <w:tcPr>
                  <w:tcW w:w="1318" w:type="pct"/>
                  <w:gridSpan w:val="4"/>
                  <w:vMerge w:val="continue"/>
                  <w:tcBorders>
                    <w:tl2br w:val="nil"/>
                    <w:tr2bl w:val="nil"/>
                  </w:tcBorders>
                  <w:noWrap w:val="0"/>
                  <w:vAlign w:val="center"/>
                </w:tcPr>
                <w:p w14:paraId="74424404">
                  <w:pPr>
                    <w:autoSpaceDE w:val="0"/>
                    <w:autoSpaceDN w:val="0"/>
                    <w:jc w:val="center"/>
                    <w:rPr>
                      <w:rFonts w:hint="eastAsia"/>
                      <w:color w:val="auto"/>
                      <w:kern w:val="0"/>
                      <w:highlight w:val="none"/>
                      <w:lang w:val="en-US" w:eastAsia="zh-CN"/>
                    </w:rPr>
                  </w:pPr>
                </w:p>
              </w:tc>
            </w:tr>
            <w:tr w14:paraId="40CD36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16" w:type="pct"/>
                  <w:gridSpan w:val="4"/>
                  <w:tcBorders>
                    <w:tl2br w:val="nil"/>
                    <w:tr2bl w:val="nil"/>
                  </w:tcBorders>
                  <w:noWrap w:val="0"/>
                  <w:vAlign w:val="center"/>
                </w:tcPr>
                <w:p w14:paraId="64B3D426">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除冰盐等腐蚀性物质的腐蚀环境</w:t>
                  </w:r>
                </w:p>
              </w:tc>
              <w:tc>
                <w:tcPr>
                  <w:tcW w:w="1331" w:type="pct"/>
                  <w:gridSpan w:val="5"/>
                  <w:tcBorders>
                    <w:tl2br w:val="nil"/>
                    <w:tr2bl w:val="nil"/>
                  </w:tcBorders>
                  <w:noWrap w:val="0"/>
                  <w:vAlign w:val="center"/>
                </w:tcPr>
                <w:p w14:paraId="638E7AC2">
                  <w:pPr>
                    <w:autoSpaceDE w:val="0"/>
                    <w:autoSpaceDN w:val="0"/>
                    <w:jc w:val="center"/>
                    <w:rPr>
                      <w:rFonts w:hint="eastAsia"/>
                      <w:color w:val="auto"/>
                      <w:kern w:val="0"/>
                      <w:highlight w:val="none"/>
                      <w:lang w:val="en-US" w:eastAsia="zh-CN"/>
                    </w:rPr>
                  </w:pPr>
                  <w:r>
                    <w:rPr>
                      <w:rFonts w:hint="eastAsia"/>
                      <w:color w:val="auto"/>
                      <w:kern w:val="0"/>
                      <w:highlight w:val="none"/>
                      <w:lang w:val="en-US" w:eastAsia="zh-CN"/>
                    </w:rPr>
                    <w:t>0.06</w:t>
                  </w:r>
                </w:p>
              </w:tc>
              <w:tc>
                <w:tcPr>
                  <w:tcW w:w="1333" w:type="pct"/>
                  <w:gridSpan w:val="5"/>
                  <w:vMerge w:val="continue"/>
                  <w:tcBorders>
                    <w:tl2br w:val="nil"/>
                    <w:tr2bl w:val="nil"/>
                  </w:tcBorders>
                  <w:noWrap w:val="0"/>
                  <w:vAlign w:val="center"/>
                </w:tcPr>
                <w:p w14:paraId="3F757A13">
                  <w:pPr>
                    <w:autoSpaceDE w:val="0"/>
                    <w:autoSpaceDN w:val="0"/>
                    <w:jc w:val="center"/>
                    <w:rPr>
                      <w:rFonts w:hint="eastAsia"/>
                      <w:color w:val="auto"/>
                      <w:kern w:val="0"/>
                      <w:highlight w:val="none"/>
                      <w:lang w:val="en-US" w:eastAsia="zh-CN"/>
                    </w:rPr>
                  </w:pPr>
                </w:p>
              </w:tc>
              <w:tc>
                <w:tcPr>
                  <w:tcW w:w="1318" w:type="pct"/>
                  <w:gridSpan w:val="4"/>
                  <w:vMerge w:val="continue"/>
                  <w:tcBorders>
                    <w:tl2br w:val="nil"/>
                    <w:tr2bl w:val="nil"/>
                  </w:tcBorders>
                  <w:noWrap w:val="0"/>
                  <w:vAlign w:val="center"/>
                </w:tcPr>
                <w:p w14:paraId="1D463AC9">
                  <w:pPr>
                    <w:autoSpaceDE w:val="0"/>
                    <w:autoSpaceDN w:val="0"/>
                    <w:jc w:val="center"/>
                    <w:rPr>
                      <w:rFonts w:hint="eastAsia"/>
                      <w:color w:val="auto"/>
                      <w:kern w:val="0"/>
                      <w:highlight w:val="none"/>
                      <w:lang w:val="en-US" w:eastAsia="zh-CN"/>
                    </w:rPr>
                  </w:pPr>
                </w:p>
              </w:tc>
            </w:tr>
          </w:tbl>
          <w:p w14:paraId="02774A5B">
            <w:pPr>
              <w:adjustRightInd w:val="0"/>
              <w:snapToGrid w:val="0"/>
              <w:spacing w:line="360" w:lineRule="auto"/>
              <w:ind w:firstLine="482" w:firstLineChars="200"/>
              <w:jc w:val="left"/>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6</w:t>
            </w:r>
            <w:r>
              <w:rPr>
                <w:rFonts w:hint="eastAsia"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color w:val="auto"/>
                <w:sz w:val="24"/>
                <w:highlight w:val="none"/>
              </w:rPr>
              <w:t>原辅材料及动力消耗情况</w:t>
            </w:r>
          </w:p>
          <w:p w14:paraId="1B19FFD6">
            <w:pPr>
              <w:autoSpaceDE w:val="0"/>
              <w:autoSpaceDN w:val="0"/>
              <w:spacing w:line="360" w:lineRule="auto"/>
              <w:ind w:firstLine="480" w:firstLineChars="200"/>
              <w:rPr>
                <w:rFonts w:hint="eastAsia" w:ascii="宋体" w:hAnsi="宋体"/>
                <w:color w:val="auto"/>
                <w:kern w:val="0"/>
                <w:sz w:val="24"/>
                <w:highlight w:val="none"/>
              </w:rPr>
            </w:pPr>
            <w:r>
              <w:rPr>
                <w:rFonts w:hint="eastAsia" w:ascii="宋体" w:hAnsi="宋体"/>
                <w:bCs/>
                <w:color w:val="auto"/>
                <w:sz w:val="24"/>
                <w:highlight w:val="none"/>
              </w:rPr>
              <w:t>本项目生产</w:t>
            </w:r>
            <w:r>
              <w:rPr>
                <w:rFonts w:hint="eastAsia" w:ascii="宋体" w:hAnsi="宋体"/>
                <w:bCs/>
                <w:color w:val="auto"/>
                <w:sz w:val="24"/>
                <w:highlight w:val="none"/>
                <w:lang w:eastAsia="zh-CN"/>
              </w:rPr>
              <w:t>预拌混凝土</w:t>
            </w:r>
            <w:r>
              <w:rPr>
                <w:rFonts w:hint="eastAsia" w:ascii="宋体" w:hAnsi="宋体"/>
                <w:bCs/>
                <w:color w:val="auto"/>
                <w:sz w:val="24"/>
                <w:highlight w:val="none"/>
              </w:rPr>
              <w:t>的主要原料为砂子、石子、</w:t>
            </w:r>
            <w:r>
              <w:rPr>
                <w:rFonts w:hint="eastAsia" w:ascii="宋体" w:hAnsi="宋体"/>
                <w:bCs/>
                <w:color w:val="auto"/>
                <w:sz w:val="24"/>
                <w:highlight w:val="none"/>
                <w:lang w:val="en-US" w:eastAsia="zh-CN"/>
              </w:rPr>
              <w:t>石灰石矿粉、</w:t>
            </w:r>
            <w:r>
              <w:rPr>
                <w:rFonts w:hint="eastAsia" w:ascii="宋体" w:hAnsi="宋体"/>
                <w:bCs/>
                <w:color w:val="auto"/>
                <w:sz w:val="24"/>
                <w:highlight w:val="none"/>
              </w:rPr>
              <w:t>水泥、粉煤灰</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膨胀剂、</w:t>
            </w:r>
            <w:r>
              <w:rPr>
                <w:rFonts w:hint="eastAsia" w:ascii="宋体" w:hAnsi="宋体"/>
                <w:bCs/>
                <w:color w:val="auto"/>
                <w:sz w:val="24"/>
                <w:highlight w:val="none"/>
              </w:rPr>
              <w:t>外加剂和水，原辅材料来源均有保障。</w:t>
            </w:r>
            <w:r>
              <w:rPr>
                <w:rFonts w:hint="eastAsia" w:ascii="宋体" w:hAnsi="宋体"/>
                <w:color w:val="auto"/>
                <w:kern w:val="0"/>
                <w:sz w:val="24"/>
                <w:highlight w:val="none"/>
              </w:rPr>
              <w:t>主要原、辅材料消耗量见下表。</w:t>
            </w:r>
          </w:p>
          <w:p w14:paraId="0D0316F2">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b/>
                <w:color w:val="auto"/>
                <w:kern w:val="0"/>
                <w:sz w:val="24"/>
                <w:highlight w:val="none"/>
              </w:rPr>
            </w:pPr>
            <w:r>
              <w:rPr>
                <w:rFonts w:hint="eastAsia" w:ascii="宋体" w:hAnsi="宋体"/>
                <w:b/>
                <w:color w:val="auto"/>
                <w:kern w:val="0"/>
                <w:sz w:val="24"/>
                <w:highlight w:val="none"/>
              </w:rPr>
              <w:t>表</w:t>
            </w:r>
            <w:r>
              <w:rPr>
                <w:b/>
                <w:color w:val="auto"/>
                <w:kern w:val="0"/>
                <w:sz w:val="24"/>
                <w:highlight w:val="none"/>
              </w:rPr>
              <w:t>2-3</w:t>
            </w:r>
            <w:r>
              <w:rPr>
                <w:rFonts w:hint="eastAsia"/>
                <w:b/>
                <w:color w:val="auto"/>
                <w:kern w:val="0"/>
                <w:sz w:val="24"/>
                <w:highlight w:val="none"/>
              </w:rPr>
              <w:t>本项目</w:t>
            </w:r>
            <w:r>
              <w:rPr>
                <w:rFonts w:hint="eastAsia" w:ascii="宋体" w:hAnsi="宋体"/>
                <w:b/>
                <w:color w:val="auto"/>
                <w:kern w:val="0"/>
                <w:sz w:val="24"/>
                <w:highlight w:val="none"/>
              </w:rPr>
              <w:t>主要原辅材料及动力消耗情况表</w:t>
            </w:r>
          </w:p>
          <w:tbl>
            <w:tblPr>
              <w:tblStyle w:val="22"/>
              <w:tblW w:w="498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139"/>
              <w:gridCol w:w="1518"/>
              <w:gridCol w:w="2910"/>
              <w:gridCol w:w="1180"/>
            </w:tblGrid>
            <w:tr w14:paraId="57143D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tcBorders>
                    <w:tl2br w:val="nil"/>
                    <w:tr2bl w:val="nil"/>
                  </w:tcBorders>
                  <w:noWrap w:val="0"/>
                  <w:vAlign w:val="center"/>
                </w:tcPr>
                <w:p w14:paraId="5B4F69C2">
                  <w:pPr>
                    <w:autoSpaceDE w:val="0"/>
                    <w:autoSpaceDN w:val="0"/>
                    <w:jc w:val="center"/>
                    <w:rPr>
                      <w:color w:val="auto"/>
                      <w:kern w:val="0"/>
                      <w:szCs w:val="21"/>
                      <w:highlight w:val="none"/>
                    </w:rPr>
                  </w:pPr>
                  <w:r>
                    <w:rPr>
                      <w:rFonts w:hint="eastAsia" w:ascii="宋体" w:hAnsi="宋体"/>
                      <w:color w:val="auto"/>
                      <w:kern w:val="0"/>
                      <w:szCs w:val="21"/>
                      <w:highlight w:val="none"/>
                    </w:rPr>
                    <w:t>类别</w:t>
                  </w:r>
                </w:p>
              </w:tc>
              <w:tc>
                <w:tcPr>
                  <w:tcW w:w="1244" w:type="pct"/>
                  <w:tcBorders>
                    <w:tl2br w:val="nil"/>
                    <w:tr2bl w:val="nil"/>
                  </w:tcBorders>
                  <w:noWrap w:val="0"/>
                  <w:vAlign w:val="center"/>
                </w:tcPr>
                <w:p w14:paraId="2AD6A529">
                  <w:pPr>
                    <w:autoSpaceDE w:val="0"/>
                    <w:autoSpaceDN w:val="0"/>
                    <w:jc w:val="center"/>
                    <w:rPr>
                      <w:color w:val="auto"/>
                      <w:kern w:val="0"/>
                      <w:szCs w:val="21"/>
                      <w:highlight w:val="none"/>
                    </w:rPr>
                  </w:pPr>
                  <w:r>
                    <w:rPr>
                      <w:rFonts w:hint="eastAsia" w:ascii="宋体" w:hAnsi="宋体"/>
                      <w:color w:val="auto"/>
                      <w:kern w:val="0"/>
                      <w:szCs w:val="21"/>
                      <w:highlight w:val="none"/>
                    </w:rPr>
                    <w:t>名称</w:t>
                  </w:r>
                </w:p>
              </w:tc>
              <w:tc>
                <w:tcPr>
                  <w:tcW w:w="883" w:type="pct"/>
                  <w:tcBorders>
                    <w:tl2br w:val="nil"/>
                    <w:tr2bl w:val="nil"/>
                  </w:tcBorders>
                  <w:noWrap w:val="0"/>
                  <w:vAlign w:val="center"/>
                </w:tcPr>
                <w:p w14:paraId="0BD56CF9">
                  <w:pPr>
                    <w:autoSpaceDE w:val="0"/>
                    <w:autoSpaceDN w:val="0"/>
                    <w:jc w:val="center"/>
                    <w:rPr>
                      <w:color w:val="auto"/>
                      <w:kern w:val="0"/>
                      <w:szCs w:val="21"/>
                      <w:highlight w:val="none"/>
                    </w:rPr>
                  </w:pPr>
                  <w:r>
                    <w:rPr>
                      <w:rFonts w:hint="eastAsia" w:ascii="宋体" w:hAnsi="宋体"/>
                      <w:color w:val="auto"/>
                      <w:kern w:val="0"/>
                      <w:szCs w:val="21"/>
                      <w:highlight w:val="none"/>
                    </w:rPr>
                    <w:t>年耗量（</w:t>
                  </w:r>
                  <w:r>
                    <w:rPr>
                      <w:rFonts w:hint="eastAsia"/>
                      <w:color w:val="auto"/>
                      <w:kern w:val="0"/>
                      <w:szCs w:val="21"/>
                      <w:highlight w:val="none"/>
                      <w:lang w:val="en-US" w:eastAsia="zh-CN"/>
                    </w:rPr>
                    <w:t>万</w:t>
                  </w:r>
                  <w:r>
                    <w:rPr>
                      <w:rFonts w:hint="eastAsia"/>
                      <w:color w:val="auto"/>
                      <w:kern w:val="0"/>
                      <w:szCs w:val="21"/>
                      <w:highlight w:val="none"/>
                    </w:rPr>
                    <w:t>t</w:t>
                  </w:r>
                  <w:r>
                    <w:rPr>
                      <w:rFonts w:hint="eastAsia" w:ascii="宋体" w:hAnsi="宋体"/>
                      <w:color w:val="auto"/>
                      <w:kern w:val="0"/>
                      <w:szCs w:val="21"/>
                      <w:highlight w:val="none"/>
                    </w:rPr>
                    <w:t>）</w:t>
                  </w:r>
                </w:p>
              </w:tc>
              <w:tc>
                <w:tcPr>
                  <w:tcW w:w="1692" w:type="pct"/>
                  <w:tcBorders>
                    <w:tl2br w:val="nil"/>
                    <w:tr2bl w:val="nil"/>
                  </w:tcBorders>
                  <w:noWrap w:val="0"/>
                  <w:vAlign w:val="center"/>
                </w:tcPr>
                <w:p w14:paraId="7D891ED9">
                  <w:pPr>
                    <w:autoSpaceDE w:val="0"/>
                    <w:autoSpaceDN w:val="0"/>
                    <w:jc w:val="center"/>
                    <w:rPr>
                      <w:color w:val="auto"/>
                      <w:kern w:val="0"/>
                      <w:szCs w:val="21"/>
                      <w:highlight w:val="none"/>
                    </w:rPr>
                  </w:pPr>
                  <w:r>
                    <w:rPr>
                      <w:rFonts w:hint="eastAsia" w:ascii="宋体" w:hAnsi="宋体"/>
                      <w:color w:val="auto"/>
                      <w:kern w:val="0"/>
                      <w:szCs w:val="21"/>
                      <w:highlight w:val="none"/>
                    </w:rPr>
                    <w:t>来源</w:t>
                  </w:r>
                </w:p>
              </w:tc>
              <w:tc>
                <w:tcPr>
                  <w:tcW w:w="686" w:type="pct"/>
                  <w:tcBorders>
                    <w:tl2br w:val="nil"/>
                    <w:tr2bl w:val="nil"/>
                  </w:tcBorders>
                  <w:noWrap w:val="0"/>
                  <w:vAlign w:val="center"/>
                </w:tcPr>
                <w:p w14:paraId="30941066">
                  <w:pPr>
                    <w:autoSpaceDE w:val="0"/>
                    <w:autoSpaceDN w:val="0"/>
                    <w:jc w:val="center"/>
                    <w:rPr>
                      <w:color w:val="auto"/>
                      <w:kern w:val="0"/>
                      <w:szCs w:val="21"/>
                      <w:highlight w:val="none"/>
                    </w:rPr>
                  </w:pPr>
                  <w:r>
                    <w:rPr>
                      <w:rFonts w:hint="eastAsia" w:ascii="宋体" w:hAnsi="宋体"/>
                      <w:color w:val="auto"/>
                      <w:kern w:val="0"/>
                      <w:szCs w:val="21"/>
                      <w:highlight w:val="none"/>
                    </w:rPr>
                    <w:t>厂区储存形式</w:t>
                  </w:r>
                </w:p>
              </w:tc>
            </w:tr>
            <w:tr w14:paraId="595838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restart"/>
                  <w:tcBorders>
                    <w:tl2br w:val="nil"/>
                    <w:tr2bl w:val="nil"/>
                  </w:tcBorders>
                  <w:noWrap w:val="0"/>
                  <w:vAlign w:val="center"/>
                </w:tcPr>
                <w:p w14:paraId="3218A47C">
                  <w:pPr>
                    <w:autoSpaceDE w:val="0"/>
                    <w:autoSpaceDN w:val="0"/>
                    <w:jc w:val="center"/>
                    <w:rPr>
                      <w:color w:val="auto"/>
                      <w:kern w:val="0"/>
                      <w:szCs w:val="21"/>
                      <w:highlight w:val="none"/>
                    </w:rPr>
                  </w:pPr>
                  <w:r>
                    <w:rPr>
                      <w:rFonts w:hint="eastAsia" w:ascii="宋体" w:hAnsi="宋体"/>
                      <w:color w:val="auto"/>
                      <w:kern w:val="0"/>
                      <w:szCs w:val="21"/>
                      <w:highlight w:val="none"/>
                    </w:rPr>
                    <w:t>原（辅）料</w:t>
                  </w:r>
                </w:p>
              </w:tc>
              <w:tc>
                <w:tcPr>
                  <w:tcW w:w="1244" w:type="pct"/>
                  <w:tcBorders>
                    <w:tl2br w:val="nil"/>
                    <w:tr2bl w:val="nil"/>
                  </w:tcBorders>
                  <w:noWrap w:val="0"/>
                  <w:vAlign w:val="center"/>
                </w:tcPr>
                <w:p w14:paraId="363E2519">
                  <w:pPr>
                    <w:autoSpaceDE w:val="0"/>
                    <w:autoSpaceDN w:val="0"/>
                    <w:jc w:val="center"/>
                    <w:rPr>
                      <w:color w:val="auto"/>
                      <w:kern w:val="0"/>
                      <w:szCs w:val="21"/>
                      <w:highlight w:val="none"/>
                    </w:rPr>
                  </w:pPr>
                  <w:r>
                    <w:rPr>
                      <w:rFonts w:hint="eastAsia" w:ascii="宋体" w:hAnsi="宋体"/>
                      <w:color w:val="auto"/>
                      <w:kern w:val="0"/>
                      <w:szCs w:val="21"/>
                      <w:highlight w:val="none"/>
                    </w:rPr>
                    <w:t>砂子</w:t>
                  </w:r>
                </w:p>
              </w:tc>
              <w:tc>
                <w:tcPr>
                  <w:tcW w:w="883" w:type="pct"/>
                  <w:tcBorders>
                    <w:tl2br w:val="nil"/>
                    <w:tr2bl w:val="nil"/>
                  </w:tcBorders>
                  <w:noWrap w:val="0"/>
                  <w:vAlign w:val="center"/>
                </w:tcPr>
                <w:p w14:paraId="2F6957EB">
                  <w:pPr>
                    <w:autoSpaceDE w:val="0"/>
                    <w:autoSpaceDN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10</w:t>
                  </w:r>
                </w:p>
              </w:tc>
              <w:tc>
                <w:tcPr>
                  <w:tcW w:w="1692" w:type="pct"/>
                  <w:tcBorders>
                    <w:tl2br w:val="nil"/>
                    <w:tr2bl w:val="nil"/>
                  </w:tcBorders>
                  <w:noWrap w:val="0"/>
                  <w:vAlign w:val="center"/>
                </w:tcPr>
                <w:p w14:paraId="1FA3547A">
                  <w:pPr>
                    <w:autoSpaceDE w:val="0"/>
                    <w:autoSpaceDN w:val="0"/>
                    <w:jc w:val="center"/>
                    <w:rPr>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，汽运（散运）</w:t>
                  </w:r>
                </w:p>
              </w:tc>
              <w:tc>
                <w:tcPr>
                  <w:tcW w:w="686" w:type="pct"/>
                  <w:vMerge w:val="restart"/>
                  <w:tcBorders>
                    <w:tl2br w:val="nil"/>
                    <w:tr2bl w:val="nil"/>
                  </w:tcBorders>
                  <w:noWrap w:val="0"/>
                  <w:vAlign w:val="center"/>
                </w:tcPr>
                <w:p w14:paraId="2DCFFC4B">
                  <w:pPr>
                    <w:autoSpaceDE w:val="0"/>
                    <w:autoSpaceDN w:val="0"/>
                    <w:jc w:val="center"/>
                    <w:rPr>
                      <w:rFonts w:hint="eastAsia"/>
                      <w:color w:val="auto"/>
                      <w:kern w:val="0"/>
                      <w:szCs w:val="21"/>
                      <w:highlight w:val="none"/>
                    </w:rPr>
                  </w:pPr>
                  <w:r>
                    <w:rPr>
                      <w:rFonts w:hint="eastAsia" w:ascii="宋体" w:hAnsi="宋体"/>
                      <w:color w:val="auto"/>
                      <w:kern w:val="0"/>
                      <w:szCs w:val="21"/>
                      <w:highlight w:val="none"/>
                    </w:rPr>
                    <w:t>砂</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石料棚</w:t>
                  </w:r>
                </w:p>
              </w:tc>
            </w:tr>
            <w:tr w14:paraId="443531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continue"/>
                  <w:tcBorders>
                    <w:tl2br w:val="nil"/>
                    <w:tr2bl w:val="nil"/>
                  </w:tcBorders>
                  <w:noWrap w:val="0"/>
                  <w:vAlign w:val="center"/>
                </w:tcPr>
                <w:p w14:paraId="71588244">
                  <w:pPr>
                    <w:widowControl/>
                    <w:jc w:val="center"/>
                    <w:rPr>
                      <w:color w:val="auto"/>
                      <w:kern w:val="0"/>
                      <w:szCs w:val="21"/>
                      <w:highlight w:val="none"/>
                    </w:rPr>
                  </w:pPr>
                </w:p>
              </w:tc>
              <w:tc>
                <w:tcPr>
                  <w:tcW w:w="1244" w:type="pct"/>
                  <w:tcBorders>
                    <w:tl2br w:val="nil"/>
                    <w:tr2bl w:val="nil"/>
                  </w:tcBorders>
                  <w:noWrap w:val="0"/>
                  <w:vAlign w:val="center"/>
                </w:tcPr>
                <w:p w14:paraId="03875547">
                  <w:pPr>
                    <w:autoSpaceDE w:val="0"/>
                    <w:autoSpaceDN w:val="0"/>
                    <w:jc w:val="center"/>
                    <w:rPr>
                      <w:color w:val="auto"/>
                      <w:kern w:val="0"/>
                      <w:szCs w:val="21"/>
                      <w:highlight w:val="none"/>
                    </w:rPr>
                  </w:pPr>
                  <w:r>
                    <w:rPr>
                      <w:rFonts w:hint="eastAsia" w:ascii="宋体" w:hAnsi="宋体"/>
                      <w:color w:val="auto"/>
                      <w:kern w:val="0"/>
                      <w:szCs w:val="21"/>
                      <w:highlight w:val="none"/>
                    </w:rPr>
                    <w:t>石子</w:t>
                  </w:r>
                </w:p>
              </w:tc>
              <w:tc>
                <w:tcPr>
                  <w:tcW w:w="883" w:type="pct"/>
                  <w:tcBorders>
                    <w:tl2br w:val="nil"/>
                    <w:tr2bl w:val="nil"/>
                  </w:tcBorders>
                  <w:noWrap w:val="0"/>
                  <w:vAlign w:val="center"/>
                </w:tcPr>
                <w:p w14:paraId="2B9408FF">
                  <w:pPr>
                    <w:autoSpaceDE w:val="0"/>
                    <w:autoSpaceDN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10</w:t>
                  </w:r>
                </w:p>
              </w:tc>
              <w:tc>
                <w:tcPr>
                  <w:tcW w:w="1692" w:type="pct"/>
                  <w:tcBorders>
                    <w:tl2br w:val="nil"/>
                    <w:tr2bl w:val="nil"/>
                  </w:tcBorders>
                  <w:noWrap w:val="0"/>
                  <w:vAlign w:val="center"/>
                </w:tcPr>
                <w:p w14:paraId="40BB9AC9">
                  <w:pPr>
                    <w:autoSpaceDE w:val="0"/>
                    <w:autoSpaceDN w:val="0"/>
                    <w:jc w:val="center"/>
                    <w:rPr>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，汽运（散运）</w:t>
                  </w:r>
                </w:p>
              </w:tc>
              <w:tc>
                <w:tcPr>
                  <w:tcW w:w="686" w:type="pct"/>
                  <w:vMerge w:val="continue"/>
                  <w:tcBorders>
                    <w:tl2br w:val="nil"/>
                    <w:tr2bl w:val="nil"/>
                  </w:tcBorders>
                  <w:noWrap w:val="0"/>
                  <w:vAlign w:val="center"/>
                </w:tcPr>
                <w:p w14:paraId="4EECA03B">
                  <w:pPr>
                    <w:autoSpaceDE w:val="0"/>
                    <w:autoSpaceDN w:val="0"/>
                    <w:jc w:val="center"/>
                    <w:rPr>
                      <w:color w:val="auto"/>
                      <w:kern w:val="0"/>
                      <w:szCs w:val="21"/>
                      <w:highlight w:val="none"/>
                    </w:rPr>
                  </w:pPr>
                </w:p>
              </w:tc>
            </w:tr>
            <w:tr w14:paraId="72023D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continue"/>
                  <w:tcBorders>
                    <w:tl2br w:val="nil"/>
                    <w:tr2bl w:val="nil"/>
                  </w:tcBorders>
                  <w:noWrap w:val="0"/>
                  <w:vAlign w:val="center"/>
                </w:tcPr>
                <w:p w14:paraId="75E6FCE5">
                  <w:pPr>
                    <w:widowControl/>
                    <w:jc w:val="center"/>
                    <w:rPr>
                      <w:color w:val="auto"/>
                      <w:kern w:val="0"/>
                      <w:szCs w:val="21"/>
                      <w:highlight w:val="none"/>
                    </w:rPr>
                  </w:pPr>
                </w:p>
              </w:tc>
              <w:tc>
                <w:tcPr>
                  <w:tcW w:w="1244" w:type="pct"/>
                  <w:tcBorders>
                    <w:tl2br w:val="nil"/>
                    <w:tr2bl w:val="nil"/>
                  </w:tcBorders>
                  <w:noWrap w:val="0"/>
                  <w:vAlign w:val="center"/>
                </w:tcPr>
                <w:p w14:paraId="49FDD14D">
                  <w:pPr>
                    <w:autoSpaceDE w:val="0"/>
                    <w:autoSpaceDN w:val="0"/>
                    <w:jc w:val="center"/>
                    <w:rPr>
                      <w:color w:val="auto"/>
                      <w:kern w:val="0"/>
                      <w:szCs w:val="21"/>
                      <w:highlight w:val="none"/>
                    </w:rPr>
                  </w:pPr>
                  <w:r>
                    <w:rPr>
                      <w:rFonts w:hint="eastAsia" w:ascii="宋体" w:hAnsi="宋体"/>
                      <w:color w:val="auto"/>
                      <w:kern w:val="0"/>
                      <w:szCs w:val="21"/>
                      <w:highlight w:val="none"/>
                    </w:rPr>
                    <w:t>粉煤灰（二级灰）</w:t>
                  </w:r>
                </w:p>
              </w:tc>
              <w:tc>
                <w:tcPr>
                  <w:tcW w:w="883" w:type="pct"/>
                  <w:tcBorders>
                    <w:tl2br w:val="nil"/>
                    <w:tr2bl w:val="nil"/>
                  </w:tcBorders>
                  <w:noWrap w:val="0"/>
                  <w:vAlign w:val="center"/>
                </w:tcPr>
                <w:p w14:paraId="73FDA7E2">
                  <w:pPr>
                    <w:autoSpaceDE w:val="0"/>
                    <w:autoSpaceDN w:val="0"/>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1</w:t>
                  </w:r>
                </w:p>
              </w:tc>
              <w:tc>
                <w:tcPr>
                  <w:tcW w:w="1692" w:type="pct"/>
                  <w:tcBorders>
                    <w:tl2br w:val="nil"/>
                    <w:tr2bl w:val="nil"/>
                  </w:tcBorders>
                  <w:noWrap w:val="0"/>
                  <w:vAlign w:val="center"/>
                </w:tcPr>
                <w:p w14:paraId="70967927">
                  <w:pPr>
                    <w:autoSpaceDE w:val="0"/>
                    <w:autoSpaceDN w:val="0"/>
                    <w:jc w:val="center"/>
                    <w:rPr>
                      <w:rFonts w:hint="eastAsia"/>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w:t>
                  </w:r>
                  <w:r>
                    <w:rPr>
                      <w:rFonts w:hint="eastAsia" w:ascii="宋体" w:hAnsi="宋体"/>
                      <w:color w:val="auto"/>
                      <w:kern w:val="0"/>
                      <w:szCs w:val="21"/>
                      <w:highlight w:val="none"/>
                      <w:lang w:val="en-US" w:eastAsia="zh-CN"/>
                    </w:rPr>
                    <w:t>灌装</w:t>
                  </w:r>
                  <w:r>
                    <w:rPr>
                      <w:rFonts w:hint="eastAsia" w:ascii="宋体" w:hAnsi="宋体"/>
                      <w:color w:val="auto"/>
                      <w:kern w:val="0"/>
                      <w:szCs w:val="21"/>
                      <w:highlight w:val="none"/>
                    </w:rPr>
                    <w:t>）</w:t>
                  </w:r>
                </w:p>
              </w:tc>
              <w:tc>
                <w:tcPr>
                  <w:tcW w:w="686" w:type="pct"/>
                  <w:tcBorders>
                    <w:tl2br w:val="nil"/>
                    <w:tr2bl w:val="nil"/>
                  </w:tcBorders>
                  <w:noWrap w:val="0"/>
                  <w:vAlign w:val="center"/>
                </w:tcPr>
                <w:p w14:paraId="4400C780">
                  <w:pPr>
                    <w:autoSpaceDE w:val="0"/>
                    <w:autoSpaceDN w:val="0"/>
                    <w:jc w:val="center"/>
                    <w:rPr>
                      <w:color w:val="auto"/>
                      <w:kern w:val="0"/>
                      <w:szCs w:val="21"/>
                      <w:highlight w:val="none"/>
                    </w:rPr>
                  </w:pPr>
                  <w:r>
                    <w:rPr>
                      <w:rFonts w:hint="eastAsia"/>
                      <w:color w:val="auto"/>
                      <w:kern w:val="0"/>
                      <w:szCs w:val="21"/>
                      <w:highlight w:val="none"/>
                    </w:rPr>
                    <w:t>筒仓</w:t>
                  </w:r>
                </w:p>
              </w:tc>
            </w:tr>
            <w:tr w14:paraId="2944B2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2" w:type="pct"/>
                  <w:vMerge w:val="continue"/>
                  <w:tcBorders>
                    <w:tl2br w:val="nil"/>
                    <w:tr2bl w:val="nil"/>
                  </w:tcBorders>
                  <w:noWrap w:val="0"/>
                  <w:vAlign w:val="center"/>
                </w:tcPr>
                <w:p w14:paraId="676874E5">
                  <w:pPr>
                    <w:widowControl/>
                    <w:jc w:val="center"/>
                    <w:rPr>
                      <w:color w:val="auto"/>
                      <w:kern w:val="0"/>
                      <w:szCs w:val="21"/>
                      <w:highlight w:val="none"/>
                    </w:rPr>
                  </w:pPr>
                </w:p>
              </w:tc>
              <w:tc>
                <w:tcPr>
                  <w:tcW w:w="1244" w:type="pct"/>
                  <w:tcBorders>
                    <w:tl2br w:val="nil"/>
                    <w:tr2bl w:val="nil"/>
                  </w:tcBorders>
                  <w:noWrap w:val="0"/>
                  <w:vAlign w:val="center"/>
                </w:tcPr>
                <w:p w14:paraId="0892116F">
                  <w:pPr>
                    <w:autoSpaceDE w:val="0"/>
                    <w:autoSpaceDN w:val="0"/>
                    <w:jc w:val="center"/>
                    <w:rPr>
                      <w:rFonts w:hint="eastAsia" w:ascii="宋体" w:hAnsi="宋体"/>
                      <w:color w:val="auto"/>
                      <w:kern w:val="0"/>
                      <w:szCs w:val="21"/>
                      <w:highlight w:val="none"/>
                    </w:rPr>
                  </w:pPr>
                  <w:r>
                    <w:rPr>
                      <w:rFonts w:hint="eastAsia" w:ascii="宋体" w:hAnsi="宋体"/>
                      <w:color w:val="auto"/>
                      <w:kern w:val="0"/>
                      <w:szCs w:val="21"/>
                      <w:highlight w:val="none"/>
                    </w:rPr>
                    <w:t>水泥（</w:t>
                  </w:r>
                  <w:r>
                    <w:rPr>
                      <w:color w:val="auto"/>
                      <w:kern w:val="0"/>
                      <w:szCs w:val="21"/>
                      <w:highlight w:val="none"/>
                    </w:rPr>
                    <w:t>P52.5</w:t>
                  </w:r>
                  <w:r>
                    <w:rPr>
                      <w:rFonts w:hint="eastAsia" w:ascii="宋体" w:hAnsi="宋体"/>
                      <w:color w:val="auto"/>
                      <w:kern w:val="0"/>
                      <w:szCs w:val="21"/>
                      <w:highlight w:val="none"/>
                    </w:rPr>
                    <w:t>以下的各型号优质水泥）</w:t>
                  </w:r>
                </w:p>
              </w:tc>
              <w:tc>
                <w:tcPr>
                  <w:tcW w:w="883" w:type="pct"/>
                  <w:tcBorders>
                    <w:tl2br w:val="nil"/>
                    <w:tr2bl w:val="nil"/>
                  </w:tcBorders>
                  <w:noWrap w:val="0"/>
                  <w:vAlign w:val="center"/>
                </w:tcPr>
                <w:p w14:paraId="4A864266">
                  <w:pPr>
                    <w:autoSpaceDE w:val="0"/>
                    <w:autoSpaceDN w:val="0"/>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3</w:t>
                  </w:r>
                </w:p>
              </w:tc>
              <w:tc>
                <w:tcPr>
                  <w:tcW w:w="1692" w:type="pct"/>
                  <w:tcBorders>
                    <w:tl2br w:val="nil"/>
                    <w:tr2bl w:val="nil"/>
                  </w:tcBorders>
                  <w:noWrap w:val="0"/>
                  <w:vAlign w:val="center"/>
                </w:tcPr>
                <w:p w14:paraId="246FD1B8">
                  <w:pPr>
                    <w:autoSpaceDE w:val="0"/>
                    <w:autoSpaceDN w:val="0"/>
                    <w:jc w:val="center"/>
                    <w:rPr>
                      <w:rFonts w:hint="eastAsia" w:ascii="宋体" w:hAnsi="宋体"/>
                      <w:b/>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w:t>
                  </w:r>
                  <w:r>
                    <w:rPr>
                      <w:rFonts w:hint="eastAsia" w:ascii="宋体" w:hAnsi="宋体"/>
                      <w:color w:val="auto"/>
                      <w:kern w:val="0"/>
                      <w:szCs w:val="21"/>
                      <w:highlight w:val="none"/>
                      <w:lang w:val="en-US" w:eastAsia="zh-CN"/>
                    </w:rPr>
                    <w:t>灌装</w:t>
                  </w:r>
                  <w:r>
                    <w:rPr>
                      <w:rFonts w:hint="eastAsia" w:ascii="宋体" w:hAnsi="宋体"/>
                      <w:color w:val="auto"/>
                      <w:kern w:val="0"/>
                      <w:szCs w:val="21"/>
                      <w:highlight w:val="none"/>
                    </w:rPr>
                    <w:t>）</w:t>
                  </w:r>
                </w:p>
              </w:tc>
              <w:tc>
                <w:tcPr>
                  <w:tcW w:w="686" w:type="pct"/>
                  <w:tcBorders>
                    <w:tl2br w:val="nil"/>
                    <w:tr2bl w:val="nil"/>
                  </w:tcBorders>
                  <w:noWrap w:val="0"/>
                  <w:vAlign w:val="center"/>
                </w:tcPr>
                <w:p w14:paraId="3943057F">
                  <w:pPr>
                    <w:autoSpaceDE w:val="0"/>
                    <w:autoSpaceDN w:val="0"/>
                    <w:jc w:val="center"/>
                    <w:rPr>
                      <w:rFonts w:ascii="宋体" w:hAnsi="宋体"/>
                      <w:color w:val="auto"/>
                      <w:kern w:val="0"/>
                      <w:szCs w:val="21"/>
                      <w:highlight w:val="none"/>
                    </w:rPr>
                  </w:pPr>
                  <w:r>
                    <w:rPr>
                      <w:rFonts w:hint="eastAsia"/>
                      <w:color w:val="auto"/>
                      <w:kern w:val="0"/>
                      <w:szCs w:val="21"/>
                      <w:highlight w:val="none"/>
                    </w:rPr>
                    <w:t>筒仓</w:t>
                  </w:r>
                </w:p>
              </w:tc>
            </w:tr>
            <w:tr w14:paraId="76514B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continue"/>
                  <w:tcBorders>
                    <w:tl2br w:val="nil"/>
                    <w:tr2bl w:val="nil"/>
                  </w:tcBorders>
                  <w:noWrap w:val="0"/>
                  <w:vAlign w:val="center"/>
                </w:tcPr>
                <w:p w14:paraId="37C95170">
                  <w:pPr>
                    <w:widowControl/>
                    <w:jc w:val="center"/>
                    <w:rPr>
                      <w:color w:val="auto"/>
                      <w:kern w:val="0"/>
                      <w:szCs w:val="21"/>
                      <w:highlight w:val="none"/>
                    </w:rPr>
                  </w:pPr>
                </w:p>
              </w:tc>
              <w:tc>
                <w:tcPr>
                  <w:tcW w:w="1244" w:type="pct"/>
                  <w:tcBorders>
                    <w:tl2br w:val="nil"/>
                    <w:tr2bl w:val="nil"/>
                  </w:tcBorders>
                  <w:noWrap w:val="0"/>
                  <w:vAlign w:val="center"/>
                </w:tcPr>
                <w:p w14:paraId="4790976E">
                  <w:pPr>
                    <w:autoSpaceDE w:val="0"/>
                    <w:autoSpaceDN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石灰石矿粉</w:t>
                  </w:r>
                </w:p>
              </w:tc>
              <w:tc>
                <w:tcPr>
                  <w:tcW w:w="883" w:type="pct"/>
                  <w:tcBorders>
                    <w:tl2br w:val="nil"/>
                    <w:tr2bl w:val="nil"/>
                  </w:tcBorders>
                  <w:noWrap w:val="0"/>
                  <w:vAlign w:val="center"/>
                </w:tcPr>
                <w:p w14:paraId="49DA9C7D">
                  <w:pPr>
                    <w:autoSpaceDE w:val="0"/>
                    <w:autoSpaceDN w:val="0"/>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2</w:t>
                  </w:r>
                </w:p>
              </w:tc>
              <w:tc>
                <w:tcPr>
                  <w:tcW w:w="1692" w:type="pct"/>
                  <w:tcBorders>
                    <w:tl2br w:val="nil"/>
                    <w:tr2bl w:val="nil"/>
                  </w:tcBorders>
                  <w:noWrap w:val="0"/>
                  <w:vAlign w:val="center"/>
                </w:tcPr>
                <w:p w14:paraId="3DAB2655">
                  <w:pPr>
                    <w:autoSpaceDE w:val="0"/>
                    <w:autoSpaceDN w:val="0"/>
                    <w:jc w:val="center"/>
                    <w:rPr>
                      <w:rFonts w:hint="eastAsia"/>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w:t>
                  </w:r>
                  <w:r>
                    <w:rPr>
                      <w:rFonts w:hint="eastAsia" w:ascii="宋体" w:hAnsi="宋体"/>
                      <w:color w:val="auto"/>
                      <w:kern w:val="0"/>
                      <w:szCs w:val="21"/>
                      <w:highlight w:val="none"/>
                      <w:lang w:val="en-US" w:eastAsia="zh-CN"/>
                    </w:rPr>
                    <w:t>灌装</w:t>
                  </w:r>
                  <w:r>
                    <w:rPr>
                      <w:rFonts w:hint="eastAsia" w:ascii="宋体" w:hAnsi="宋体"/>
                      <w:color w:val="auto"/>
                      <w:kern w:val="0"/>
                      <w:szCs w:val="21"/>
                      <w:highlight w:val="none"/>
                    </w:rPr>
                    <w:t>）</w:t>
                  </w:r>
                </w:p>
              </w:tc>
              <w:tc>
                <w:tcPr>
                  <w:tcW w:w="686" w:type="pct"/>
                  <w:tcBorders>
                    <w:tl2br w:val="nil"/>
                    <w:tr2bl w:val="nil"/>
                  </w:tcBorders>
                  <w:noWrap w:val="0"/>
                  <w:vAlign w:val="center"/>
                </w:tcPr>
                <w:p w14:paraId="1B91FBCB">
                  <w:pPr>
                    <w:autoSpaceDE w:val="0"/>
                    <w:autoSpaceDN w:val="0"/>
                    <w:jc w:val="center"/>
                    <w:rPr>
                      <w:rFonts w:hint="eastAsia"/>
                      <w:color w:val="auto"/>
                      <w:kern w:val="0"/>
                      <w:szCs w:val="21"/>
                      <w:highlight w:val="none"/>
                    </w:rPr>
                  </w:pPr>
                  <w:r>
                    <w:rPr>
                      <w:rFonts w:hint="eastAsia"/>
                      <w:color w:val="auto"/>
                      <w:kern w:val="0"/>
                      <w:szCs w:val="21"/>
                      <w:highlight w:val="none"/>
                    </w:rPr>
                    <w:t>筒仓</w:t>
                  </w:r>
                </w:p>
              </w:tc>
            </w:tr>
            <w:tr w14:paraId="2F4308B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continue"/>
                  <w:tcBorders>
                    <w:tl2br w:val="nil"/>
                    <w:tr2bl w:val="nil"/>
                  </w:tcBorders>
                  <w:noWrap w:val="0"/>
                  <w:vAlign w:val="center"/>
                </w:tcPr>
                <w:p w14:paraId="5BD8C0E7">
                  <w:pPr>
                    <w:widowControl/>
                    <w:jc w:val="center"/>
                    <w:rPr>
                      <w:color w:val="auto"/>
                      <w:kern w:val="0"/>
                      <w:szCs w:val="21"/>
                      <w:highlight w:val="none"/>
                    </w:rPr>
                  </w:pPr>
                </w:p>
              </w:tc>
              <w:tc>
                <w:tcPr>
                  <w:tcW w:w="1244" w:type="pct"/>
                  <w:tcBorders>
                    <w:tl2br w:val="nil"/>
                    <w:tr2bl w:val="nil"/>
                  </w:tcBorders>
                  <w:noWrap w:val="0"/>
                  <w:vAlign w:val="center"/>
                </w:tcPr>
                <w:p w14:paraId="40B74770">
                  <w:pPr>
                    <w:autoSpaceDE w:val="0"/>
                    <w:autoSpaceDN w:val="0"/>
                    <w:jc w:val="center"/>
                    <w:rPr>
                      <w:rFonts w:hint="default"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膨胀剂</w:t>
                  </w:r>
                </w:p>
              </w:tc>
              <w:tc>
                <w:tcPr>
                  <w:tcW w:w="883" w:type="pct"/>
                  <w:tcBorders>
                    <w:tl2br w:val="nil"/>
                    <w:tr2bl w:val="nil"/>
                  </w:tcBorders>
                  <w:noWrap w:val="0"/>
                  <w:vAlign w:val="center"/>
                </w:tcPr>
                <w:p w14:paraId="6E811391">
                  <w:pPr>
                    <w:autoSpaceDE w:val="0"/>
                    <w:autoSpaceDN w:val="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0.1</w:t>
                  </w:r>
                </w:p>
              </w:tc>
              <w:tc>
                <w:tcPr>
                  <w:tcW w:w="1692" w:type="pct"/>
                  <w:tcBorders>
                    <w:tl2br w:val="nil"/>
                    <w:tr2bl w:val="nil"/>
                  </w:tcBorders>
                  <w:noWrap w:val="0"/>
                  <w:vAlign w:val="center"/>
                </w:tcPr>
                <w:p w14:paraId="08A0A429">
                  <w:pPr>
                    <w:autoSpaceDE w:val="0"/>
                    <w:autoSpaceDN w:val="0"/>
                    <w:jc w:val="center"/>
                    <w:rPr>
                      <w:rFonts w:hint="eastAsia"/>
                      <w:color w:val="auto"/>
                      <w:kern w:val="0"/>
                      <w:szCs w:val="21"/>
                      <w:highlight w:val="none"/>
                      <w:lang w:val="en-US" w:eastAsia="zh-CN"/>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w:t>
                  </w:r>
                  <w:r>
                    <w:rPr>
                      <w:rFonts w:hint="eastAsia" w:ascii="宋体" w:hAnsi="宋体"/>
                      <w:color w:val="auto"/>
                      <w:kern w:val="0"/>
                      <w:szCs w:val="21"/>
                      <w:highlight w:val="none"/>
                      <w:lang w:val="en-US" w:eastAsia="zh-CN"/>
                    </w:rPr>
                    <w:t>灌装</w:t>
                  </w:r>
                  <w:r>
                    <w:rPr>
                      <w:rFonts w:hint="eastAsia" w:ascii="宋体" w:hAnsi="宋体"/>
                      <w:color w:val="auto"/>
                      <w:kern w:val="0"/>
                      <w:szCs w:val="21"/>
                      <w:highlight w:val="none"/>
                    </w:rPr>
                    <w:t>）</w:t>
                  </w:r>
                </w:p>
              </w:tc>
              <w:tc>
                <w:tcPr>
                  <w:tcW w:w="686" w:type="pct"/>
                  <w:tcBorders>
                    <w:tl2br w:val="nil"/>
                    <w:tr2bl w:val="nil"/>
                  </w:tcBorders>
                  <w:noWrap w:val="0"/>
                  <w:vAlign w:val="center"/>
                </w:tcPr>
                <w:p w14:paraId="3CCC26D3">
                  <w:pPr>
                    <w:autoSpaceDE w:val="0"/>
                    <w:autoSpaceDN w:val="0"/>
                    <w:jc w:val="center"/>
                    <w:rPr>
                      <w:rFonts w:hint="eastAsia"/>
                      <w:color w:val="auto"/>
                      <w:kern w:val="0"/>
                      <w:szCs w:val="21"/>
                      <w:highlight w:val="none"/>
                    </w:rPr>
                  </w:pPr>
                  <w:r>
                    <w:rPr>
                      <w:rFonts w:hint="eastAsia"/>
                      <w:color w:val="auto"/>
                      <w:kern w:val="0"/>
                      <w:szCs w:val="21"/>
                      <w:highlight w:val="none"/>
                    </w:rPr>
                    <w:t>筒仓</w:t>
                  </w:r>
                </w:p>
              </w:tc>
            </w:tr>
            <w:tr w14:paraId="08BE4D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 w:type="pct"/>
                  <w:vMerge w:val="continue"/>
                  <w:tcBorders>
                    <w:tl2br w:val="nil"/>
                    <w:tr2bl w:val="nil"/>
                  </w:tcBorders>
                  <w:noWrap w:val="0"/>
                  <w:vAlign w:val="center"/>
                </w:tcPr>
                <w:p w14:paraId="17579678">
                  <w:pPr>
                    <w:widowControl/>
                    <w:jc w:val="center"/>
                    <w:rPr>
                      <w:color w:val="auto"/>
                      <w:kern w:val="0"/>
                      <w:szCs w:val="21"/>
                      <w:highlight w:val="none"/>
                    </w:rPr>
                  </w:pPr>
                </w:p>
              </w:tc>
              <w:tc>
                <w:tcPr>
                  <w:tcW w:w="1244" w:type="pct"/>
                  <w:tcBorders>
                    <w:tl2br w:val="nil"/>
                    <w:tr2bl w:val="nil"/>
                  </w:tcBorders>
                  <w:noWrap w:val="0"/>
                  <w:vAlign w:val="center"/>
                </w:tcPr>
                <w:p w14:paraId="0A675E37">
                  <w:pPr>
                    <w:autoSpaceDE w:val="0"/>
                    <w:autoSpaceDN w:val="0"/>
                    <w:jc w:val="center"/>
                    <w:rPr>
                      <w:color w:val="auto"/>
                      <w:kern w:val="0"/>
                      <w:szCs w:val="21"/>
                      <w:highlight w:val="none"/>
                    </w:rPr>
                  </w:pPr>
                  <w:r>
                    <w:rPr>
                      <w:rFonts w:hint="eastAsia" w:ascii="宋体" w:hAnsi="宋体"/>
                      <w:color w:val="auto"/>
                      <w:kern w:val="0"/>
                      <w:szCs w:val="21"/>
                      <w:highlight w:val="none"/>
                    </w:rPr>
                    <w:t>外加剂</w:t>
                  </w:r>
                </w:p>
              </w:tc>
              <w:tc>
                <w:tcPr>
                  <w:tcW w:w="883" w:type="pct"/>
                  <w:tcBorders>
                    <w:tl2br w:val="nil"/>
                    <w:tr2bl w:val="nil"/>
                  </w:tcBorders>
                  <w:noWrap w:val="0"/>
                  <w:vAlign w:val="center"/>
                </w:tcPr>
                <w:p w14:paraId="654EC6BE">
                  <w:pPr>
                    <w:autoSpaceDE w:val="0"/>
                    <w:autoSpaceDN w:val="0"/>
                    <w:jc w:val="center"/>
                    <w:rPr>
                      <w:rFonts w:hint="default" w:eastAsia="宋体"/>
                      <w:color w:val="auto"/>
                      <w:kern w:val="0"/>
                      <w:szCs w:val="21"/>
                      <w:highlight w:val="none"/>
                      <w:lang w:val="en-US" w:eastAsia="zh-CN"/>
                    </w:rPr>
                  </w:pPr>
                  <w:r>
                    <w:rPr>
                      <w:rFonts w:hint="eastAsia" w:eastAsia="宋体"/>
                      <w:color w:val="auto"/>
                      <w:kern w:val="0"/>
                      <w:szCs w:val="21"/>
                      <w:highlight w:val="none"/>
                      <w:lang w:val="en-US" w:eastAsia="zh-CN"/>
                    </w:rPr>
                    <w:t>0.</w:t>
                  </w:r>
                  <w:r>
                    <w:rPr>
                      <w:rFonts w:hint="eastAsia"/>
                      <w:color w:val="auto"/>
                      <w:kern w:val="0"/>
                      <w:szCs w:val="21"/>
                      <w:highlight w:val="none"/>
                      <w:lang w:val="en-US" w:eastAsia="zh-CN"/>
                    </w:rPr>
                    <w:t>1</w:t>
                  </w:r>
                </w:p>
              </w:tc>
              <w:tc>
                <w:tcPr>
                  <w:tcW w:w="1692" w:type="pct"/>
                  <w:tcBorders>
                    <w:tl2br w:val="nil"/>
                    <w:tr2bl w:val="nil"/>
                  </w:tcBorders>
                  <w:noWrap w:val="0"/>
                  <w:vAlign w:val="center"/>
                </w:tcPr>
                <w:p w14:paraId="69DDEA65">
                  <w:pPr>
                    <w:autoSpaceDE w:val="0"/>
                    <w:autoSpaceDN w:val="0"/>
                    <w:jc w:val="center"/>
                    <w:rPr>
                      <w:rFonts w:hint="eastAsia"/>
                      <w:color w:val="auto"/>
                      <w:kern w:val="0"/>
                      <w:szCs w:val="21"/>
                      <w:highlight w:val="none"/>
                    </w:rPr>
                  </w:pPr>
                  <w:r>
                    <w:rPr>
                      <w:rFonts w:hint="eastAsia"/>
                      <w:color w:val="auto"/>
                      <w:kern w:val="0"/>
                      <w:szCs w:val="21"/>
                      <w:highlight w:val="none"/>
                      <w:lang w:val="en-US" w:eastAsia="zh-CN"/>
                    </w:rPr>
                    <w:t>外购</w:t>
                  </w:r>
                  <w:r>
                    <w:rPr>
                      <w:rFonts w:hint="eastAsia" w:ascii="宋体" w:hAnsi="宋体"/>
                      <w:color w:val="auto"/>
                      <w:kern w:val="0"/>
                      <w:szCs w:val="21"/>
                      <w:highlight w:val="none"/>
                    </w:rPr>
                    <w:t>，汽运（</w:t>
                  </w:r>
                  <w:r>
                    <w:rPr>
                      <w:rFonts w:hint="eastAsia" w:ascii="宋体" w:hAnsi="宋体"/>
                      <w:color w:val="auto"/>
                      <w:kern w:val="0"/>
                      <w:szCs w:val="21"/>
                      <w:highlight w:val="none"/>
                      <w:lang w:val="en-US" w:eastAsia="zh-CN"/>
                    </w:rPr>
                    <w:t>灌装</w:t>
                  </w:r>
                  <w:r>
                    <w:rPr>
                      <w:rFonts w:hint="eastAsia" w:ascii="宋体" w:hAnsi="宋体"/>
                      <w:color w:val="auto"/>
                      <w:kern w:val="0"/>
                      <w:szCs w:val="21"/>
                      <w:highlight w:val="none"/>
                    </w:rPr>
                    <w:t>）</w:t>
                  </w:r>
                </w:p>
              </w:tc>
              <w:tc>
                <w:tcPr>
                  <w:tcW w:w="686" w:type="pct"/>
                  <w:tcBorders>
                    <w:tl2br w:val="nil"/>
                    <w:tr2bl w:val="nil"/>
                  </w:tcBorders>
                  <w:noWrap w:val="0"/>
                  <w:vAlign w:val="center"/>
                </w:tcPr>
                <w:p w14:paraId="0DF4E14B">
                  <w:pPr>
                    <w:autoSpaceDE w:val="0"/>
                    <w:autoSpaceDN w:val="0"/>
                    <w:jc w:val="center"/>
                    <w:rPr>
                      <w:color w:val="auto"/>
                      <w:kern w:val="0"/>
                      <w:szCs w:val="21"/>
                      <w:highlight w:val="none"/>
                    </w:rPr>
                  </w:pPr>
                  <w:r>
                    <w:rPr>
                      <w:rFonts w:hint="eastAsia" w:ascii="宋体" w:hAnsi="宋体"/>
                      <w:color w:val="auto"/>
                      <w:kern w:val="0"/>
                      <w:szCs w:val="21"/>
                      <w:highlight w:val="none"/>
                    </w:rPr>
                    <w:t>罐装</w:t>
                  </w:r>
                </w:p>
              </w:tc>
            </w:tr>
          </w:tbl>
          <w:p w14:paraId="6A32794C">
            <w:pPr>
              <w:autoSpaceDE w:val="0"/>
              <w:autoSpaceDN w:val="0"/>
              <w:adjustRightInd w:val="0"/>
              <w:snapToGrid w:val="0"/>
              <w:spacing w:line="360" w:lineRule="auto"/>
              <w:ind w:firstLine="480" w:firstLineChars="200"/>
              <w:rPr>
                <w:rFonts w:hint="eastAsia"/>
                <w:color w:val="auto"/>
                <w:kern w:val="0"/>
                <w:sz w:val="24"/>
                <w:highlight w:val="none"/>
              </w:rPr>
            </w:pPr>
            <w:r>
              <w:rPr>
                <w:rFonts w:hint="eastAsia" w:ascii="宋体" w:hAnsi="宋体"/>
                <w:color w:val="auto"/>
                <w:kern w:val="0"/>
                <w:sz w:val="24"/>
                <w:highlight w:val="none"/>
              </w:rPr>
              <w:t>本项目动力消耗见下表。</w:t>
            </w:r>
          </w:p>
          <w:p w14:paraId="3F186597">
            <w:pPr>
              <w:jc w:val="center"/>
              <w:rPr>
                <w:b/>
                <w:color w:val="auto"/>
                <w:sz w:val="24"/>
                <w:highlight w:val="none"/>
              </w:rPr>
            </w:pPr>
            <w:r>
              <w:rPr>
                <w:rFonts w:hint="eastAsia" w:ascii="宋体" w:hAnsi="宋体"/>
                <w:b/>
                <w:color w:val="auto"/>
                <w:sz w:val="24"/>
                <w:highlight w:val="none"/>
              </w:rPr>
              <w:t>表</w:t>
            </w:r>
            <w:r>
              <w:rPr>
                <w:b/>
                <w:color w:val="auto"/>
                <w:sz w:val="24"/>
                <w:highlight w:val="none"/>
              </w:rPr>
              <w:t>2-4</w:t>
            </w:r>
            <w:r>
              <w:rPr>
                <w:rFonts w:hint="eastAsia" w:ascii="宋体" w:hAnsi="宋体"/>
                <w:b/>
                <w:color w:val="auto"/>
                <w:sz w:val="24"/>
                <w:highlight w:val="none"/>
              </w:rPr>
              <w:t>主要动力消耗情况表</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9"/>
              <w:gridCol w:w="1260"/>
              <w:gridCol w:w="3604"/>
              <w:gridCol w:w="2721"/>
            </w:tblGrid>
            <w:tr w14:paraId="783DAC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tcBorders>
                    <w:tl2br w:val="nil"/>
                    <w:tr2bl w:val="nil"/>
                  </w:tcBorders>
                  <w:noWrap w:val="0"/>
                  <w:vAlign w:val="center"/>
                </w:tcPr>
                <w:p w14:paraId="7287B922">
                  <w:pPr>
                    <w:autoSpaceDE w:val="0"/>
                    <w:autoSpaceDN w:val="0"/>
                    <w:jc w:val="center"/>
                    <w:rPr>
                      <w:rFonts w:hint="eastAsia"/>
                      <w:color w:val="auto"/>
                      <w:kern w:val="0"/>
                      <w:szCs w:val="21"/>
                      <w:highlight w:val="none"/>
                    </w:rPr>
                  </w:pPr>
                  <w:r>
                    <w:rPr>
                      <w:rFonts w:hint="eastAsia" w:ascii="宋体" w:hAnsi="宋体"/>
                      <w:color w:val="auto"/>
                      <w:kern w:val="0"/>
                      <w:szCs w:val="21"/>
                      <w:highlight w:val="none"/>
                    </w:rPr>
                    <w:t>类别</w:t>
                  </w:r>
                </w:p>
              </w:tc>
              <w:tc>
                <w:tcPr>
                  <w:tcW w:w="731" w:type="pct"/>
                  <w:tcBorders>
                    <w:tl2br w:val="nil"/>
                    <w:tr2bl w:val="nil"/>
                  </w:tcBorders>
                  <w:noWrap w:val="0"/>
                  <w:vAlign w:val="center"/>
                </w:tcPr>
                <w:p w14:paraId="6F716E00">
                  <w:pPr>
                    <w:autoSpaceDE w:val="0"/>
                    <w:autoSpaceDN w:val="0"/>
                    <w:jc w:val="center"/>
                    <w:rPr>
                      <w:color w:val="auto"/>
                      <w:kern w:val="0"/>
                      <w:szCs w:val="21"/>
                      <w:highlight w:val="none"/>
                    </w:rPr>
                  </w:pPr>
                  <w:r>
                    <w:rPr>
                      <w:rFonts w:hint="eastAsia" w:ascii="宋体" w:hAnsi="宋体"/>
                      <w:color w:val="auto"/>
                      <w:kern w:val="0"/>
                      <w:szCs w:val="21"/>
                      <w:highlight w:val="none"/>
                    </w:rPr>
                    <w:t>名称</w:t>
                  </w:r>
                </w:p>
              </w:tc>
              <w:tc>
                <w:tcPr>
                  <w:tcW w:w="2091" w:type="pct"/>
                  <w:tcBorders>
                    <w:tl2br w:val="nil"/>
                    <w:tr2bl w:val="nil"/>
                  </w:tcBorders>
                  <w:noWrap w:val="0"/>
                  <w:vAlign w:val="center"/>
                </w:tcPr>
                <w:p w14:paraId="113E6848">
                  <w:pPr>
                    <w:autoSpaceDE w:val="0"/>
                    <w:autoSpaceDN w:val="0"/>
                    <w:jc w:val="center"/>
                    <w:rPr>
                      <w:color w:val="auto"/>
                      <w:kern w:val="0"/>
                      <w:szCs w:val="21"/>
                      <w:highlight w:val="none"/>
                    </w:rPr>
                  </w:pPr>
                  <w:r>
                    <w:rPr>
                      <w:rFonts w:hint="eastAsia" w:ascii="宋体" w:hAnsi="宋体"/>
                      <w:color w:val="auto"/>
                      <w:kern w:val="0"/>
                      <w:szCs w:val="21"/>
                      <w:highlight w:val="none"/>
                    </w:rPr>
                    <w:t>年耗量（单位）</w:t>
                  </w:r>
                </w:p>
              </w:tc>
              <w:tc>
                <w:tcPr>
                  <w:tcW w:w="1579" w:type="pct"/>
                  <w:tcBorders>
                    <w:tl2br w:val="nil"/>
                    <w:tr2bl w:val="nil"/>
                  </w:tcBorders>
                  <w:noWrap w:val="0"/>
                  <w:vAlign w:val="center"/>
                </w:tcPr>
                <w:p w14:paraId="5C434206">
                  <w:pPr>
                    <w:autoSpaceDE w:val="0"/>
                    <w:autoSpaceDN w:val="0"/>
                    <w:jc w:val="center"/>
                    <w:rPr>
                      <w:color w:val="auto"/>
                      <w:kern w:val="0"/>
                      <w:szCs w:val="21"/>
                      <w:highlight w:val="none"/>
                    </w:rPr>
                  </w:pPr>
                  <w:r>
                    <w:rPr>
                      <w:rFonts w:hint="eastAsia" w:ascii="宋体" w:hAnsi="宋体"/>
                      <w:color w:val="auto"/>
                      <w:kern w:val="0"/>
                      <w:szCs w:val="21"/>
                      <w:highlight w:val="none"/>
                    </w:rPr>
                    <w:t>来源</w:t>
                  </w:r>
                </w:p>
              </w:tc>
            </w:tr>
            <w:tr w14:paraId="53B9D0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restart"/>
                  <w:tcBorders>
                    <w:tl2br w:val="nil"/>
                    <w:tr2bl w:val="nil"/>
                  </w:tcBorders>
                  <w:noWrap w:val="0"/>
                  <w:vAlign w:val="center"/>
                </w:tcPr>
                <w:p w14:paraId="73D5A31A">
                  <w:pPr>
                    <w:autoSpaceDE w:val="0"/>
                    <w:autoSpaceDN w:val="0"/>
                    <w:jc w:val="center"/>
                    <w:rPr>
                      <w:color w:val="auto"/>
                      <w:kern w:val="0"/>
                      <w:szCs w:val="21"/>
                      <w:highlight w:val="none"/>
                    </w:rPr>
                  </w:pPr>
                  <w:r>
                    <w:rPr>
                      <w:rFonts w:hint="eastAsia" w:ascii="宋体" w:hAnsi="宋体"/>
                      <w:color w:val="auto"/>
                      <w:kern w:val="0"/>
                      <w:szCs w:val="21"/>
                      <w:highlight w:val="none"/>
                    </w:rPr>
                    <w:t>动力消耗</w:t>
                  </w:r>
                </w:p>
              </w:tc>
              <w:tc>
                <w:tcPr>
                  <w:tcW w:w="731" w:type="pct"/>
                  <w:tcBorders>
                    <w:tl2br w:val="nil"/>
                    <w:tr2bl w:val="nil"/>
                  </w:tcBorders>
                  <w:noWrap w:val="0"/>
                  <w:vAlign w:val="center"/>
                </w:tcPr>
                <w:p w14:paraId="20608F69">
                  <w:pPr>
                    <w:autoSpaceDE w:val="0"/>
                    <w:autoSpaceDN w:val="0"/>
                    <w:jc w:val="center"/>
                    <w:rPr>
                      <w:color w:val="auto"/>
                      <w:kern w:val="0"/>
                      <w:szCs w:val="21"/>
                      <w:highlight w:val="none"/>
                    </w:rPr>
                  </w:pPr>
                  <w:r>
                    <w:rPr>
                      <w:rFonts w:hint="eastAsia" w:ascii="宋体" w:hAnsi="宋体"/>
                      <w:color w:val="auto"/>
                      <w:kern w:val="0"/>
                      <w:szCs w:val="21"/>
                      <w:highlight w:val="none"/>
                    </w:rPr>
                    <w:t>电</w:t>
                  </w:r>
                </w:p>
              </w:tc>
              <w:tc>
                <w:tcPr>
                  <w:tcW w:w="2091" w:type="pct"/>
                  <w:tcBorders>
                    <w:tl2br w:val="nil"/>
                    <w:tr2bl w:val="nil"/>
                  </w:tcBorders>
                  <w:noWrap w:val="0"/>
                  <w:vAlign w:val="center"/>
                </w:tcPr>
                <w:p w14:paraId="3B1D820F">
                  <w:pPr>
                    <w:autoSpaceDE w:val="0"/>
                    <w:autoSpaceDN w:val="0"/>
                    <w:jc w:val="center"/>
                    <w:rPr>
                      <w:color w:val="auto"/>
                      <w:kern w:val="0"/>
                      <w:szCs w:val="21"/>
                      <w:highlight w:val="none"/>
                    </w:rPr>
                  </w:pPr>
                  <w:r>
                    <w:rPr>
                      <w:rFonts w:hint="eastAsia"/>
                      <w:color w:val="auto"/>
                      <w:kern w:val="0"/>
                      <w:szCs w:val="21"/>
                      <w:highlight w:val="none"/>
                      <w:lang w:val="en-US" w:eastAsia="zh-CN"/>
                    </w:rPr>
                    <w:t>30万k</w:t>
                  </w:r>
                  <w:r>
                    <w:rPr>
                      <w:color w:val="auto"/>
                      <w:kern w:val="0"/>
                      <w:szCs w:val="21"/>
                      <w:highlight w:val="none"/>
                    </w:rPr>
                    <w:t>W</w:t>
                  </w:r>
                  <w:r>
                    <w:rPr>
                      <w:rFonts w:hint="eastAsia"/>
                      <w:color w:val="auto"/>
                      <w:kern w:val="0"/>
                      <w:szCs w:val="21"/>
                      <w:highlight w:val="none"/>
                      <w:lang w:val="en-US" w:eastAsia="zh-CN"/>
                    </w:rPr>
                    <w:t>·</w:t>
                  </w:r>
                  <w:r>
                    <w:rPr>
                      <w:color w:val="auto"/>
                      <w:kern w:val="0"/>
                      <w:szCs w:val="21"/>
                      <w:highlight w:val="none"/>
                    </w:rPr>
                    <w:t>h</w:t>
                  </w:r>
                </w:p>
              </w:tc>
              <w:tc>
                <w:tcPr>
                  <w:tcW w:w="1579" w:type="pct"/>
                  <w:tcBorders>
                    <w:tl2br w:val="nil"/>
                    <w:tr2bl w:val="nil"/>
                  </w:tcBorders>
                  <w:noWrap w:val="0"/>
                  <w:vAlign w:val="center"/>
                </w:tcPr>
                <w:p w14:paraId="06838FEB">
                  <w:pPr>
                    <w:autoSpaceDE w:val="0"/>
                    <w:autoSpaceDN w:val="0"/>
                    <w:jc w:val="center"/>
                    <w:rPr>
                      <w:color w:val="auto"/>
                      <w:kern w:val="0"/>
                      <w:szCs w:val="21"/>
                      <w:highlight w:val="none"/>
                    </w:rPr>
                  </w:pPr>
                  <w:r>
                    <w:rPr>
                      <w:rFonts w:hint="eastAsia" w:ascii="宋体" w:hAnsi="宋体"/>
                      <w:color w:val="auto"/>
                      <w:szCs w:val="21"/>
                      <w:highlight w:val="none"/>
                      <w:lang w:val="en-US" w:eastAsia="zh-CN"/>
                    </w:rPr>
                    <w:t>园区供电线路</w:t>
                  </w:r>
                </w:p>
              </w:tc>
            </w:tr>
            <w:tr w14:paraId="597A34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2D21B686">
                  <w:pPr>
                    <w:widowControl/>
                    <w:jc w:val="center"/>
                    <w:rPr>
                      <w:color w:val="auto"/>
                      <w:kern w:val="0"/>
                      <w:szCs w:val="21"/>
                      <w:highlight w:val="none"/>
                    </w:rPr>
                  </w:pPr>
                </w:p>
              </w:tc>
              <w:tc>
                <w:tcPr>
                  <w:tcW w:w="731" w:type="pct"/>
                  <w:tcBorders>
                    <w:tl2br w:val="nil"/>
                    <w:tr2bl w:val="nil"/>
                  </w:tcBorders>
                  <w:noWrap w:val="0"/>
                  <w:vAlign w:val="center"/>
                </w:tcPr>
                <w:p w14:paraId="6B009DC2">
                  <w:pPr>
                    <w:autoSpaceDE w:val="0"/>
                    <w:autoSpaceDN w:val="0"/>
                    <w:jc w:val="center"/>
                    <w:rPr>
                      <w:color w:val="auto"/>
                      <w:kern w:val="0"/>
                      <w:szCs w:val="21"/>
                      <w:highlight w:val="none"/>
                    </w:rPr>
                  </w:pPr>
                  <w:r>
                    <w:rPr>
                      <w:rFonts w:hint="eastAsia" w:ascii="宋体" w:hAnsi="宋体"/>
                      <w:color w:val="auto"/>
                      <w:kern w:val="0"/>
                      <w:szCs w:val="21"/>
                      <w:highlight w:val="none"/>
                    </w:rPr>
                    <w:t>新鲜水</w:t>
                  </w:r>
                </w:p>
              </w:tc>
              <w:tc>
                <w:tcPr>
                  <w:tcW w:w="2091" w:type="pct"/>
                  <w:tcBorders>
                    <w:tl2br w:val="nil"/>
                    <w:tr2bl w:val="nil"/>
                  </w:tcBorders>
                  <w:noWrap w:val="0"/>
                  <w:vAlign w:val="center"/>
                </w:tcPr>
                <w:p w14:paraId="38B34B31">
                  <w:pPr>
                    <w:autoSpaceDE w:val="0"/>
                    <w:autoSpaceDN w:val="0"/>
                    <w:jc w:val="center"/>
                    <w:rPr>
                      <w:rFonts w:hint="default" w:eastAsia="宋体"/>
                      <w:color w:val="auto"/>
                      <w:kern w:val="0"/>
                      <w:szCs w:val="21"/>
                      <w:highlight w:val="none"/>
                      <w:lang w:val="en-US" w:eastAsia="zh-CN"/>
                    </w:rPr>
                  </w:pPr>
                  <w:r>
                    <w:rPr>
                      <w:rFonts w:hint="eastAsia"/>
                      <w:bCs/>
                      <w:color w:val="auto"/>
                      <w:sz w:val="21"/>
                      <w:szCs w:val="18"/>
                      <w:highlight w:val="none"/>
                      <w:lang w:val="en-US" w:eastAsia="zh-CN"/>
                    </w:rPr>
                    <w:t>288</w:t>
                  </w:r>
                  <w:r>
                    <w:rPr>
                      <w:bCs/>
                      <w:color w:val="auto"/>
                      <w:sz w:val="21"/>
                      <w:szCs w:val="18"/>
                      <w:highlight w:val="none"/>
                    </w:rPr>
                    <w:t>m</w:t>
                  </w:r>
                  <w:r>
                    <w:rPr>
                      <w:bCs/>
                      <w:color w:val="auto"/>
                      <w:sz w:val="21"/>
                      <w:szCs w:val="18"/>
                      <w:highlight w:val="none"/>
                      <w:vertAlign w:val="superscript"/>
                    </w:rPr>
                    <w:t>3</w:t>
                  </w:r>
                  <w:r>
                    <w:rPr>
                      <w:rFonts w:hint="eastAsia"/>
                      <w:bCs/>
                      <w:color w:val="auto"/>
                      <w:sz w:val="21"/>
                      <w:szCs w:val="18"/>
                      <w:highlight w:val="none"/>
                      <w:vertAlign w:val="baseline"/>
                      <w:lang w:val="en-US" w:eastAsia="zh-CN"/>
                    </w:rPr>
                    <w:t>/a</w:t>
                  </w:r>
                </w:p>
              </w:tc>
              <w:tc>
                <w:tcPr>
                  <w:tcW w:w="1579" w:type="pct"/>
                  <w:tcBorders>
                    <w:tl2br w:val="nil"/>
                    <w:tr2bl w:val="nil"/>
                  </w:tcBorders>
                  <w:noWrap w:val="0"/>
                  <w:vAlign w:val="center"/>
                </w:tcPr>
                <w:p w14:paraId="2C04F5E6">
                  <w:pPr>
                    <w:autoSpaceDE w:val="0"/>
                    <w:autoSpaceDN w:val="0"/>
                    <w:jc w:val="center"/>
                    <w:rPr>
                      <w:rFonts w:hint="default"/>
                      <w:color w:val="auto"/>
                      <w:kern w:val="0"/>
                      <w:szCs w:val="21"/>
                      <w:highlight w:val="none"/>
                      <w:lang w:val="en-US"/>
                    </w:rPr>
                  </w:pPr>
                  <w:r>
                    <w:rPr>
                      <w:rFonts w:hint="eastAsia"/>
                      <w:color w:val="auto"/>
                      <w:kern w:val="0"/>
                      <w:szCs w:val="21"/>
                      <w:highlight w:val="none"/>
                      <w:lang w:val="en-US" w:eastAsia="zh-CN"/>
                    </w:rPr>
                    <w:t>桶装水</w:t>
                  </w:r>
                </w:p>
              </w:tc>
            </w:tr>
            <w:tr w14:paraId="6C1517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7" w:type="pct"/>
                  <w:vMerge w:val="continue"/>
                  <w:tcBorders>
                    <w:tl2br w:val="nil"/>
                    <w:tr2bl w:val="nil"/>
                  </w:tcBorders>
                  <w:noWrap w:val="0"/>
                  <w:vAlign w:val="center"/>
                </w:tcPr>
                <w:p w14:paraId="7F888712">
                  <w:pPr>
                    <w:widowControl/>
                    <w:jc w:val="center"/>
                    <w:rPr>
                      <w:color w:val="auto"/>
                      <w:kern w:val="0"/>
                      <w:szCs w:val="21"/>
                      <w:highlight w:val="none"/>
                    </w:rPr>
                  </w:pPr>
                </w:p>
              </w:tc>
              <w:tc>
                <w:tcPr>
                  <w:tcW w:w="731" w:type="pct"/>
                  <w:tcBorders>
                    <w:tl2br w:val="nil"/>
                    <w:tr2bl w:val="nil"/>
                  </w:tcBorders>
                  <w:noWrap w:val="0"/>
                  <w:vAlign w:val="center"/>
                </w:tcPr>
                <w:p w14:paraId="7396ED09">
                  <w:pPr>
                    <w:autoSpaceDE w:val="0"/>
                    <w:autoSpaceDN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中水</w:t>
                  </w:r>
                </w:p>
              </w:tc>
              <w:tc>
                <w:tcPr>
                  <w:tcW w:w="2091" w:type="pct"/>
                  <w:tcBorders>
                    <w:tl2br w:val="nil"/>
                    <w:tr2bl w:val="nil"/>
                  </w:tcBorders>
                  <w:noWrap w:val="0"/>
                  <w:vAlign w:val="center"/>
                </w:tcPr>
                <w:p w14:paraId="7ABFEC67">
                  <w:pPr>
                    <w:autoSpaceDE w:val="0"/>
                    <w:autoSpaceDN w:val="0"/>
                    <w:jc w:val="center"/>
                    <w:rPr>
                      <w:rFonts w:hint="eastAsia"/>
                      <w:color w:val="auto"/>
                      <w:kern w:val="0"/>
                      <w:szCs w:val="21"/>
                      <w:highlight w:val="none"/>
                    </w:rPr>
                  </w:pPr>
                  <w:r>
                    <w:rPr>
                      <w:rFonts w:hint="eastAsia"/>
                      <w:bCs/>
                      <w:color w:val="auto"/>
                      <w:sz w:val="21"/>
                      <w:szCs w:val="18"/>
                      <w:highlight w:val="none"/>
                    </w:rPr>
                    <w:t>25138.8</w:t>
                  </w:r>
                  <w:r>
                    <w:rPr>
                      <w:bCs/>
                      <w:color w:val="auto"/>
                      <w:sz w:val="21"/>
                      <w:szCs w:val="18"/>
                      <w:highlight w:val="none"/>
                    </w:rPr>
                    <w:t>m</w:t>
                  </w:r>
                  <w:r>
                    <w:rPr>
                      <w:bCs/>
                      <w:color w:val="auto"/>
                      <w:sz w:val="21"/>
                      <w:szCs w:val="18"/>
                      <w:highlight w:val="none"/>
                      <w:vertAlign w:val="superscript"/>
                    </w:rPr>
                    <w:t>3</w:t>
                  </w:r>
                  <w:r>
                    <w:rPr>
                      <w:rFonts w:hint="eastAsia"/>
                      <w:bCs/>
                      <w:color w:val="auto"/>
                      <w:sz w:val="21"/>
                      <w:szCs w:val="18"/>
                      <w:highlight w:val="none"/>
                      <w:vertAlign w:val="baseline"/>
                      <w:lang w:val="en-US" w:eastAsia="zh-CN"/>
                    </w:rPr>
                    <w:t>/a</w:t>
                  </w:r>
                </w:p>
              </w:tc>
              <w:tc>
                <w:tcPr>
                  <w:tcW w:w="1579" w:type="pct"/>
                  <w:tcBorders>
                    <w:tl2br w:val="nil"/>
                    <w:tr2bl w:val="nil"/>
                  </w:tcBorders>
                  <w:noWrap w:val="0"/>
                  <w:vAlign w:val="center"/>
                </w:tcPr>
                <w:p w14:paraId="1CB2C3D3">
                  <w:pPr>
                    <w:autoSpaceDE w:val="0"/>
                    <w:autoSpaceDN w:val="0"/>
                    <w:jc w:val="center"/>
                    <w:rPr>
                      <w:rFonts w:hint="eastAsia"/>
                      <w:color w:val="auto"/>
                      <w:kern w:val="0"/>
                      <w:szCs w:val="21"/>
                      <w:highlight w:val="none"/>
                      <w:lang w:val="en-US" w:eastAsia="zh-CN"/>
                    </w:rPr>
                  </w:pPr>
                  <w:r>
                    <w:rPr>
                      <w:rFonts w:hint="default" w:ascii="Times New Roman" w:hAnsi="Times New Roman" w:cs="Times New Roman"/>
                      <w:color w:val="auto"/>
                      <w:szCs w:val="21"/>
                      <w:highlight w:val="none"/>
                    </w:rPr>
                    <w:t>鄂尔多斯市圣圆水务集团有限责任公司提供的中水</w:t>
                  </w:r>
                </w:p>
              </w:tc>
            </w:tr>
          </w:tbl>
          <w:p w14:paraId="61ADBE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主要原辅材料理化性质：</w:t>
            </w:r>
          </w:p>
          <w:p w14:paraId="18F436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w:t>
            </w:r>
            <w:r>
              <w:rPr>
                <w:rFonts w:cs="宋体"/>
                <w:bCs/>
                <w:color w:val="auto"/>
                <w:sz w:val="24"/>
                <w:highlight w:val="none"/>
              </w:rPr>
              <w:t>1</w:t>
            </w:r>
            <w:r>
              <w:rPr>
                <w:rFonts w:ascii="宋体" w:hAnsi="宋体" w:cs="宋体"/>
                <w:bCs/>
                <w:color w:val="auto"/>
                <w:sz w:val="24"/>
                <w:highlight w:val="none"/>
              </w:rPr>
              <w:t>）水泥</w:t>
            </w:r>
          </w:p>
          <w:p w14:paraId="172730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粉状水硬性无机胶凝材料。加水搅拌后成浆体，能在空气中硬化或者在水中更好</w:t>
            </w:r>
            <w:r>
              <w:rPr>
                <w:rFonts w:hint="eastAsia" w:ascii="宋体" w:hAnsi="宋体" w:cs="宋体"/>
                <w:bCs/>
                <w:color w:val="auto"/>
                <w:sz w:val="24"/>
                <w:highlight w:val="none"/>
                <w:lang w:eastAsia="zh-CN"/>
              </w:rPr>
              <w:t>地</w:t>
            </w:r>
            <w:r>
              <w:rPr>
                <w:rFonts w:ascii="宋体" w:hAnsi="宋体" w:cs="宋体"/>
                <w:bCs/>
                <w:color w:val="auto"/>
                <w:sz w:val="24"/>
                <w:highlight w:val="none"/>
              </w:rPr>
              <w:t>硬化，并能把砂、石等材料牢固地胶结在一起。硅酸盐水泥的化学成分：硅酸三钙（</w:t>
            </w:r>
            <w:r>
              <w:rPr>
                <w:rFonts w:cs="宋体"/>
                <w:bCs/>
                <w:color w:val="auto"/>
                <w:sz w:val="24"/>
                <w:highlight w:val="none"/>
              </w:rPr>
              <w:t>3CaO·SiO</w:t>
            </w:r>
            <w:r>
              <w:rPr>
                <w:rFonts w:cs="宋体"/>
                <w:bCs/>
                <w:color w:val="auto"/>
                <w:sz w:val="24"/>
                <w:highlight w:val="none"/>
                <w:vertAlign w:val="subscript"/>
              </w:rPr>
              <w:t>2</w:t>
            </w:r>
            <w:r>
              <w:rPr>
                <w:rFonts w:ascii="宋体" w:hAnsi="宋体" w:cs="宋体"/>
                <w:bCs/>
                <w:color w:val="auto"/>
                <w:sz w:val="24"/>
                <w:highlight w:val="none"/>
              </w:rPr>
              <w:t>，简式</w:t>
            </w:r>
            <w:r>
              <w:rPr>
                <w:rFonts w:cs="宋体"/>
                <w:bCs/>
                <w:color w:val="auto"/>
                <w:sz w:val="24"/>
                <w:highlight w:val="none"/>
              </w:rPr>
              <w:t>C</w:t>
            </w:r>
            <w:r>
              <w:rPr>
                <w:rFonts w:cs="宋体"/>
                <w:bCs/>
                <w:color w:val="auto"/>
                <w:sz w:val="24"/>
                <w:highlight w:val="none"/>
                <w:vertAlign w:val="subscript"/>
              </w:rPr>
              <w:t>3</w:t>
            </w:r>
            <w:r>
              <w:rPr>
                <w:rFonts w:cs="宋体"/>
                <w:bCs/>
                <w:color w:val="auto"/>
                <w:sz w:val="24"/>
                <w:highlight w:val="none"/>
              </w:rPr>
              <w:t>S</w:t>
            </w:r>
            <w:r>
              <w:rPr>
                <w:rFonts w:ascii="宋体" w:hAnsi="宋体" w:cs="宋体"/>
                <w:bCs/>
                <w:color w:val="auto"/>
                <w:sz w:val="24"/>
                <w:highlight w:val="none"/>
              </w:rPr>
              <w:t>），硅酸二钙（</w:t>
            </w:r>
            <w:r>
              <w:rPr>
                <w:bCs/>
                <w:color w:val="auto"/>
                <w:sz w:val="24"/>
                <w:highlight w:val="none"/>
              </w:rPr>
              <w:t>2CaO·SiO</w:t>
            </w:r>
            <w:r>
              <w:rPr>
                <w:rFonts w:cs="宋体"/>
                <w:bCs/>
                <w:color w:val="auto"/>
                <w:sz w:val="24"/>
                <w:highlight w:val="none"/>
                <w:vertAlign w:val="subscript"/>
              </w:rPr>
              <w:t>2</w:t>
            </w:r>
            <w:r>
              <w:rPr>
                <w:rFonts w:ascii="宋体" w:hAnsi="宋体" w:cs="宋体"/>
                <w:bCs/>
                <w:color w:val="auto"/>
                <w:sz w:val="24"/>
                <w:highlight w:val="none"/>
              </w:rPr>
              <w:t>，简式</w:t>
            </w:r>
            <w:r>
              <w:rPr>
                <w:rFonts w:cs="宋体"/>
                <w:bCs/>
                <w:color w:val="auto"/>
                <w:sz w:val="24"/>
                <w:highlight w:val="none"/>
              </w:rPr>
              <w:t>C</w:t>
            </w:r>
            <w:r>
              <w:rPr>
                <w:rFonts w:cs="宋体"/>
                <w:bCs/>
                <w:color w:val="auto"/>
                <w:sz w:val="24"/>
                <w:highlight w:val="none"/>
                <w:vertAlign w:val="subscript"/>
              </w:rPr>
              <w:t>2</w:t>
            </w:r>
            <w:r>
              <w:rPr>
                <w:rFonts w:cs="宋体"/>
                <w:bCs/>
                <w:color w:val="auto"/>
                <w:sz w:val="24"/>
                <w:highlight w:val="none"/>
              </w:rPr>
              <w:t>S</w:t>
            </w:r>
            <w:r>
              <w:rPr>
                <w:rFonts w:ascii="宋体" w:hAnsi="宋体" w:cs="宋体"/>
                <w:bCs/>
                <w:color w:val="auto"/>
                <w:sz w:val="24"/>
                <w:highlight w:val="none"/>
              </w:rPr>
              <w:t>），铝酸三钙（</w:t>
            </w:r>
            <w:r>
              <w:rPr>
                <w:bCs/>
                <w:color w:val="auto"/>
                <w:sz w:val="24"/>
                <w:highlight w:val="none"/>
              </w:rPr>
              <w:t>3CaO·Al</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3</w:t>
            </w:r>
            <w:r>
              <w:rPr>
                <w:rFonts w:ascii="宋体" w:hAnsi="宋体" w:cs="宋体"/>
                <w:bCs/>
                <w:color w:val="auto"/>
                <w:sz w:val="24"/>
                <w:highlight w:val="none"/>
              </w:rPr>
              <w:t>，简式</w:t>
            </w:r>
            <w:r>
              <w:rPr>
                <w:rFonts w:cs="宋体"/>
                <w:bCs/>
                <w:color w:val="auto"/>
                <w:sz w:val="24"/>
                <w:highlight w:val="none"/>
              </w:rPr>
              <w:t>C</w:t>
            </w:r>
            <w:r>
              <w:rPr>
                <w:rFonts w:cs="宋体"/>
                <w:bCs/>
                <w:color w:val="auto"/>
                <w:sz w:val="24"/>
                <w:highlight w:val="none"/>
                <w:vertAlign w:val="subscript"/>
              </w:rPr>
              <w:t>3</w:t>
            </w:r>
            <w:r>
              <w:rPr>
                <w:rFonts w:cs="宋体"/>
                <w:bCs/>
                <w:color w:val="auto"/>
                <w:sz w:val="24"/>
                <w:highlight w:val="none"/>
              </w:rPr>
              <w:t>A</w:t>
            </w:r>
            <w:r>
              <w:rPr>
                <w:rFonts w:ascii="宋体" w:hAnsi="宋体" w:cs="宋体"/>
                <w:bCs/>
                <w:color w:val="auto"/>
                <w:sz w:val="24"/>
                <w:highlight w:val="none"/>
              </w:rPr>
              <w:t>），铁铝酸四钙（</w:t>
            </w:r>
            <w:r>
              <w:rPr>
                <w:bCs/>
                <w:color w:val="auto"/>
                <w:sz w:val="24"/>
                <w:highlight w:val="none"/>
              </w:rPr>
              <w:t>4CaO·Al</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3</w:t>
            </w:r>
            <w:r>
              <w:rPr>
                <w:bCs/>
                <w:color w:val="auto"/>
                <w:sz w:val="24"/>
                <w:highlight w:val="none"/>
              </w:rPr>
              <w:t>·Fe</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3</w:t>
            </w:r>
            <w:r>
              <w:rPr>
                <w:rFonts w:ascii="宋体" w:hAnsi="宋体" w:cs="宋体"/>
                <w:bCs/>
                <w:color w:val="auto"/>
                <w:sz w:val="24"/>
                <w:highlight w:val="none"/>
              </w:rPr>
              <w:t>，简式</w:t>
            </w:r>
            <w:r>
              <w:rPr>
                <w:rFonts w:cs="宋体"/>
                <w:bCs/>
                <w:color w:val="auto"/>
                <w:sz w:val="24"/>
                <w:highlight w:val="none"/>
              </w:rPr>
              <w:t>C</w:t>
            </w:r>
            <w:r>
              <w:rPr>
                <w:rFonts w:cs="宋体"/>
                <w:bCs/>
                <w:color w:val="auto"/>
                <w:sz w:val="24"/>
                <w:highlight w:val="none"/>
                <w:vertAlign w:val="subscript"/>
              </w:rPr>
              <w:t>4</w:t>
            </w:r>
            <w:r>
              <w:rPr>
                <w:rFonts w:cs="宋体"/>
                <w:bCs/>
                <w:color w:val="auto"/>
                <w:sz w:val="24"/>
                <w:highlight w:val="none"/>
              </w:rPr>
              <w:t>AF</w:t>
            </w:r>
            <w:r>
              <w:rPr>
                <w:rFonts w:ascii="宋体" w:hAnsi="宋体" w:cs="宋体"/>
                <w:bCs/>
                <w:color w:val="auto"/>
                <w:sz w:val="24"/>
                <w:highlight w:val="none"/>
              </w:rPr>
              <w:t>）。</w:t>
            </w:r>
          </w:p>
          <w:p w14:paraId="0816ACC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w:t>
            </w:r>
            <w:r>
              <w:rPr>
                <w:rFonts w:cs="宋体"/>
                <w:bCs/>
                <w:color w:val="auto"/>
                <w:sz w:val="24"/>
                <w:highlight w:val="none"/>
              </w:rPr>
              <w:t>2</w:t>
            </w:r>
            <w:r>
              <w:rPr>
                <w:rFonts w:ascii="宋体" w:hAnsi="宋体" w:cs="宋体"/>
                <w:bCs/>
                <w:color w:val="auto"/>
                <w:sz w:val="24"/>
                <w:highlight w:val="none"/>
              </w:rPr>
              <w:t>）粉煤灰</w:t>
            </w:r>
          </w:p>
          <w:p w14:paraId="3FDADF9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粉煤灰，是从煤燃烧后的烟气中收捕下来的细灰，粉煤灰是燃煤电厂排出的主要固体废物。我国火电厂粉煤灰的主要氧化物组成为</w:t>
            </w:r>
            <w:r>
              <w:rPr>
                <w:rFonts w:cs="宋体"/>
                <w:bCs/>
                <w:color w:val="auto"/>
                <w:sz w:val="24"/>
                <w:highlight w:val="none"/>
              </w:rPr>
              <w:t>:SiO</w:t>
            </w:r>
            <w:r>
              <w:rPr>
                <w:rFonts w:cs="宋体"/>
                <w:bCs/>
                <w:color w:val="auto"/>
                <w:sz w:val="24"/>
                <w:highlight w:val="none"/>
                <w:vertAlign w:val="subscript"/>
              </w:rPr>
              <w:t>2</w:t>
            </w:r>
            <w:r>
              <w:rPr>
                <w:rFonts w:ascii="宋体" w:hAnsi="宋体" w:cs="宋体"/>
                <w:bCs/>
                <w:color w:val="auto"/>
                <w:sz w:val="24"/>
                <w:highlight w:val="none"/>
              </w:rPr>
              <w:t>、</w:t>
            </w:r>
            <w:r>
              <w:rPr>
                <w:rFonts w:cs="宋体"/>
                <w:bCs/>
                <w:color w:val="auto"/>
                <w:sz w:val="24"/>
                <w:highlight w:val="none"/>
              </w:rPr>
              <w:t>Al</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3</w:t>
            </w:r>
            <w:r>
              <w:rPr>
                <w:rFonts w:ascii="宋体" w:hAnsi="宋体" w:cs="宋体"/>
                <w:bCs/>
                <w:color w:val="auto"/>
                <w:sz w:val="24"/>
                <w:highlight w:val="none"/>
              </w:rPr>
              <w:t>、</w:t>
            </w:r>
            <w:r>
              <w:rPr>
                <w:rFonts w:cs="宋体"/>
                <w:bCs/>
                <w:color w:val="auto"/>
                <w:sz w:val="24"/>
                <w:highlight w:val="none"/>
              </w:rPr>
              <w:t>FeO</w:t>
            </w:r>
            <w:r>
              <w:rPr>
                <w:rFonts w:ascii="宋体" w:hAnsi="宋体" w:cs="宋体"/>
                <w:bCs/>
                <w:color w:val="auto"/>
                <w:sz w:val="24"/>
                <w:highlight w:val="none"/>
              </w:rPr>
              <w:t>、</w:t>
            </w:r>
            <w:r>
              <w:rPr>
                <w:bCs/>
                <w:color w:val="auto"/>
                <w:sz w:val="24"/>
                <w:highlight w:val="none"/>
              </w:rPr>
              <w:t>Fe</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3</w:t>
            </w:r>
            <w:r>
              <w:rPr>
                <w:rFonts w:ascii="宋体" w:hAnsi="宋体" w:cs="宋体"/>
                <w:bCs/>
                <w:color w:val="auto"/>
                <w:sz w:val="24"/>
                <w:highlight w:val="none"/>
              </w:rPr>
              <w:t>、</w:t>
            </w:r>
            <w:r>
              <w:rPr>
                <w:rFonts w:cs="宋体"/>
                <w:bCs/>
                <w:color w:val="auto"/>
                <w:sz w:val="24"/>
                <w:highlight w:val="none"/>
              </w:rPr>
              <w:t>CaO</w:t>
            </w:r>
            <w:r>
              <w:rPr>
                <w:rFonts w:ascii="宋体" w:hAnsi="宋体" w:cs="宋体"/>
                <w:bCs/>
                <w:color w:val="auto"/>
                <w:sz w:val="24"/>
                <w:highlight w:val="none"/>
              </w:rPr>
              <w:t>、</w:t>
            </w:r>
            <w:r>
              <w:rPr>
                <w:bCs/>
                <w:color w:val="auto"/>
                <w:sz w:val="24"/>
                <w:highlight w:val="none"/>
              </w:rPr>
              <w:t>TiO</w:t>
            </w:r>
            <w:r>
              <w:rPr>
                <w:rFonts w:cs="宋体"/>
                <w:bCs/>
                <w:color w:val="auto"/>
                <w:sz w:val="24"/>
                <w:highlight w:val="none"/>
                <w:vertAlign w:val="subscript"/>
              </w:rPr>
              <w:t>2</w:t>
            </w:r>
            <w:r>
              <w:rPr>
                <w:rFonts w:ascii="宋体" w:hAnsi="宋体" w:cs="宋体"/>
                <w:bCs/>
                <w:color w:val="auto"/>
                <w:sz w:val="24"/>
                <w:highlight w:val="none"/>
              </w:rPr>
              <w:t>、</w:t>
            </w:r>
            <w:r>
              <w:rPr>
                <w:rFonts w:cs="宋体"/>
                <w:bCs/>
                <w:color w:val="auto"/>
                <w:sz w:val="24"/>
                <w:highlight w:val="none"/>
              </w:rPr>
              <w:t>MgO</w:t>
            </w:r>
            <w:r>
              <w:rPr>
                <w:rFonts w:ascii="宋体" w:hAnsi="宋体" w:cs="宋体"/>
                <w:bCs/>
                <w:color w:val="auto"/>
                <w:sz w:val="24"/>
                <w:highlight w:val="none"/>
              </w:rPr>
              <w:t>、</w:t>
            </w:r>
            <w:r>
              <w:rPr>
                <w:bCs/>
                <w:color w:val="auto"/>
                <w:sz w:val="24"/>
                <w:highlight w:val="none"/>
              </w:rPr>
              <w:t>K</w:t>
            </w:r>
            <w:r>
              <w:rPr>
                <w:rFonts w:cs="宋体"/>
                <w:bCs/>
                <w:color w:val="auto"/>
                <w:sz w:val="24"/>
                <w:highlight w:val="none"/>
                <w:vertAlign w:val="subscript"/>
              </w:rPr>
              <w:t>2</w:t>
            </w:r>
            <w:r>
              <w:rPr>
                <w:rFonts w:cs="宋体"/>
                <w:bCs/>
                <w:color w:val="auto"/>
                <w:sz w:val="24"/>
                <w:highlight w:val="none"/>
              </w:rPr>
              <w:t>O</w:t>
            </w:r>
            <w:r>
              <w:rPr>
                <w:rFonts w:ascii="宋体" w:hAnsi="宋体" w:cs="宋体"/>
                <w:bCs/>
                <w:color w:val="auto"/>
                <w:sz w:val="24"/>
                <w:highlight w:val="none"/>
              </w:rPr>
              <w:t>、</w:t>
            </w:r>
            <w:r>
              <w:rPr>
                <w:bCs/>
                <w:color w:val="auto"/>
                <w:sz w:val="24"/>
                <w:highlight w:val="none"/>
              </w:rPr>
              <w:t>Na</w:t>
            </w:r>
            <w:r>
              <w:rPr>
                <w:rFonts w:cs="宋体"/>
                <w:bCs/>
                <w:color w:val="auto"/>
                <w:sz w:val="24"/>
                <w:highlight w:val="none"/>
                <w:vertAlign w:val="subscript"/>
              </w:rPr>
              <w:t>2</w:t>
            </w:r>
            <w:r>
              <w:rPr>
                <w:rFonts w:cs="宋体"/>
                <w:bCs/>
                <w:color w:val="auto"/>
                <w:sz w:val="24"/>
                <w:highlight w:val="none"/>
              </w:rPr>
              <w:t>O</w:t>
            </w:r>
            <w:r>
              <w:rPr>
                <w:rFonts w:ascii="宋体" w:hAnsi="宋体" w:cs="宋体"/>
                <w:bCs/>
                <w:color w:val="auto"/>
                <w:sz w:val="24"/>
                <w:highlight w:val="none"/>
              </w:rPr>
              <w:t>、</w:t>
            </w:r>
            <w:r>
              <w:rPr>
                <w:bCs/>
                <w:color w:val="auto"/>
                <w:sz w:val="24"/>
                <w:highlight w:val="none"/>
              </w:rPr>
              <w:t>MnO</w:t>
            </w:r>
            <w:r>
              <w:rPr>
                <w:rFonts w:cs="宋体"/>
                <w:bCs/>
                <w:color w:val="auto"/>
                <w:sz w:val="24"/>
                <w:highlight w:val="none"/>
                <w:vertAlign w:val="subscript"/>
              </w:rPr>
              <w:t>2</w:t>
            </w:r>
            <w:r>
              <w:rPr>
                <w:rFonts w:ascii="宋体" w:hAnsi="宋体" w:cs="宋体"/>
                <w:bCs/>
                <w:color w:val="auto"/>
                <w:sz w:val="24"/>
                <w:highlight w:val="none"/>
              </w:rPr>
              <w:t>等，此外还有</w:t>
            </w:r>
            <w:r>
              <w:rPr>
                <w:rFonts w:cs="宋体"/>
                <w:bCs/>
                <w:color w:val="auto"/>
                <w:sz w:val="24"/>
                <w:highlight w:val="none"/>
              </w:rPr>
              <w:t>P</w:t>
            </w:r>
            <w:r>
              <w:rPr>
                <w:rFonts w:cs="宋体"/>
                <w:bCs/>
                <w:color w:val="auto"/>
                <w:sz w:val="24"/>
                <w:highlight w:val="none"/>
                <w:vertAlign w:val="subscript"/>
              </w:rPr>
              <w:t>2</w:t>
            </w:r>
            <w:r>
              <w:rPr>
                <w:rFonts w:cs="宋体"/>
                <w:bCs/>
                <w:color w:val="auto"/>
                <w:sz w:val="24"/>
                <w:highlight w:val="none"/>
              </w:rPr>
              <w:t>O</w:t>
            </w:r>
            <w:r>
              <w:rPr>
                <w:rFonts w:cs="宋体"/>
                <w:bCs/>
                <w:color w:val="auto"/>
                <w:sz w:val="24"/>
                <w:highlight w:val="none"/>
                <w:vertAlign w:val="subscript"/>
              </w:rPr>
              <w:t>5</w:t>
            </w:r>
            <w:r>
              <w:rPr>
                <w:rFonts w:ascii="宋体" w:hAnsi="宋体" w:cs="宋体"/>
                <w:bCs/>
                <w:color w:val="auto"/>
                <w:sz w:val="24"/>
                <w:highlight w:val="none"/>
              </w:rPr>
              <w:t>等。其中氧化硅、氧化钛来自黏土</w:t>
            </w:r>
            <w:r>
              <w:rPr>
                <w:rFonts w:hint="eastAsia" w:ascii="宋体" w:hAnsi="宋体" w:cs="宋体"/>
                <w:bCs/>
                <w:color w:val="auto"/>
                <w:sz w:val="24"/>
                <w:highlight w:val="none"/>
              </w:rPr>
              <w:t>、</w:t>
            </w:r>
            <w:r>
              <w:rPr>
                <w:rFonts w:hint="eastAsia" w:ascii="宋体" w:hAnsi="宋体" w:cs="宋体"/>
                <w:bCs/>
                <w:color w:val="auto"/>
                <w:sz w:val="24"/>
                <w:highlight w:val="none"/>
                <w:lang w:eastAsia="zh-CN"/>
              </w:rPr>
              <w:t>页岩</w:t>
            </w:r>
            <w:r>
              <w:rPr>
                <w:rFonts w:ascii="宋体" w:hAnsi="宋体" w:cs="宋体"/>
                <w:bCs/>
                <w:color w:val="auto"/>
                <w:sz w:val="24"/>
                <w:highlight w:val="none"/>
              </w:rPr>
              <w:t>；氧化铁主要来自黄铁矿；氧化镁和氧化钙来自与其相应的碳酸盐和硫酸盐。</w:t>
            </w:r>
          </w:p>
          <w:p w14:paraId="2EBF50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bCs/>
                <w:color w:val="auto"/>
                <w:sz w:val="24"/>
                <w:highlight w:val="none"/>
                <w:lang w:eastAsia="zh-CN"/>
              </w:rPr>
            </w:pPr>
            <w:r>
              <w:rPr>
                <w:rFonts w:ascii="宋体" w:hAnsi="宋体" w:cs="宋体"/>
                <w:bCs/>
                <w:color w:val="auto"/>
                <w:sz w:val="24"/>
                <w:highlight w:val="none"/>
              </w:rPr>
              <w:t>粉煤灰的元素组成</w:t>
            </w:r>
            <w:r>
              <w:rPr>
                <w:rFonts w:hint="eastAsia" w:ascii="宋体" w:hAnsi="宋体"/>
                <w:bCs/>
                <w:color w:val="auto"/>
                <w:sz w:val="24"/>
                <w:highlight w:val="none"/>
              </w:rPr>
              <w:t>（</w:t>
            </w:r>
            <w:r>
              <w:rPr>
                <w:rFonts w:ascii="宋体" w:hAnsi="宋体" w:cs="宋体"/>
                <w:bCs/>
                <w:color w:val="auto"/>
                <w:sz w:val="24"/>
                <w:highlight w:val="none"/>
              </w:rPr>
              <w:t>质量分数</w:t>
            </w:r>
            <w:r>
              <w:rPr>
                <w:rFonts w:hint="eastAsia" w:ascii="宋体" w:hAnsi="宋体"/>
                <w:bCs/>
                <w:color w:val="auto"/>
                <w:sz w:val="24"/>
                <w:highlight w:val="none"/>
              </w:rPr>
              <w:t>）</w:t>
            </w:r>
            <w:r>
              <w:rPr>
                <w:rFonts w:ascii="宋体" w:hAnsi="宋体" w:cs="宋体"/>
                <w:bCs/>
                <w:color w:val="auto"/>
                <w:sz w:val="24"/>
                <w:highlight w:val="none"/>
              </w:rPr>
              <w:t>为</w:t>
            </w:r>
            <w:r>
              <w:rPr>
                <w:rFonts w:hint="eastAsia" w:ascii="宋体" w:hAnsi="宋体"/>
                <w:bCs/>
                <w:color w:val="auto"/>
                <w:sz w:val="24"/>
                <w:highlight w:val="none"/>
              </w:rPr>
              <w:t>：</w:t>
            </w:r>
            <w:r>
              <w:rPr>
                <w:rFonts w:cs="宋体"/>
                <w:bCs/>
                <w:color w:val="auto"/>
                <w:sz w:val="24"/>
                <w:highlight w:val="none"/>
              </w:rPr>
              <w:t>O47.83%</w:t>
            </w:r>
            <w:r>
              <w:rPr>
                <w:rFonts w:ascii="宋体" w:hAnsi="宋体" w:cs="宋体"/>
                <w:bCs/>
                <w:color w:val="auto"/>
                <w:sz w:val="24"/>
                <w:highlight w:val="none"/>
              </w:rPr>
              <w:t>，</w:t>
            </w:r>
            <w:r>
              <w:rPr>
                <w:bCs/>
                <w:color w:val="auto"/>
                <w:sz w:val="24"/>
                <w:highlight w:val="none"/>
              </w:rPr>
              <w:t>Si11.48%~31.14%</w:t>
            </w:r>
            <w:r>
              <w:rPr>
                <w:rFonts w:ascii="宋体" w:hAnsi="宋体" w:cs="宋体"/>
                <w:bCs/>
                <w:color w:val="auto"/>
                <w:sz w:val="24"/>
                <w:highlight w:val="none"/>
              </w:rPr>
              <w:t>，</w:t>
            </w:r>
            <w:r>
              <w:rPr>
                <w:bCs/>
                <w:color w:val="auto"/>
                <w:sz w:val="24"/>
                <w:highlight w:val="none"/>
              </w:rPr>
              <w:t>Al6.40%~22.91%</w:t>
            </w:r>
            <w:r>
              <w:rPr>
                <w:rFonts w:ascii="宋体" w:hAnsi="宋体" w:cs="宋体"/>
                <w:bCs/>
                <w:color w:val="auto"/>
                <w:sz w:val="24"/>
                <w:highlight w:val="none"/>
              </w:rPr>
              <w:t>，</w:t>
            </w:r>
            <w:r>
              <w:rPr>
                <w:bCs/>
                <w:color w:val="auto"/>
                <w:sz w:val="24"/>
                <w:highlight w:val="none"/>
              </w:rPr>
              <w:t>Fe1.90%~18.51%</w:t>
            </w:r>
            <w:r>
              <w:rPr>
                <w:rFonts w:ascii="宋体" w:hAnsi="宋体" w:cs="宋体"/>
                <w:bCs/>
                <w:color w:val="auto"/>
                <w:sz w:val="24"/>
                <w:highlight w:val="none"/>
              </w:rPr>
              <w:t>，</w:t>
            </w:r>
            <w:r>
              <w:rPr>
                <w:bCs/>
                <w:color w:val="auto"/>
                <w:sz w:val="24"/>
                <w:highlight w:val="none"/>
              </w:rPr>
              <w:t>Ca0.30%~25.10%</w:t>
            </w:r>
            <w:r>
              <w:rPr>
                <w:rFonts w:ascii="宋体" w:hAnsi="宋体" w:cs="宋体"/>
                <w:bCs/>
                <w:color w:val="auto"/>
                <w:sz w:val="24"/>
                <w:highlight w:val="none"/>
              </w:rPr>
              <w:t>，</w:t>
            </w:r>
            <w:r>
              <w:rPr>
                <w:bCs/>
                <w:color w:val="auto"/>
                <w:sz w:val="24"/>
                <w:highlight w:val="none"/>
              </w:rPr>
              <w:t>K0.22%~3.10%</w:t>
            </w:r>
            <w:r>
              <w:rPr>
                <w:rFonts w:ascii="宋体" w:hAnsi="宋体" w:cs="宋体"/>
                <w:bCs/>
                <w:color w:val="auto"/>
                <w:sz w:val="24"/>
                <w:highlight w:val="none"/>
              </w:rPr>
              <w:t>，</w:t>
            </w:r>
            <w:r>
              <w:rPr>
                <w:bCs/>
                <w:color w:val="auto"/>
                <w:sz w:val="24"/>
                <w:highlight w:val="none"/>
              </w:rPr>
              <w:t>Mg0.05%~1.92%</w:t>
            </w:r>
            <w:r>
              <w:rPr>
                <w:rFonts w:ascii="宋体" w:hAnsi="宋体" w:cs="宋体"/>
                <w:bCs/>
                <w:color w:val="auto"/>
                <w:sz w:val="24"/>
                <w:highlight w:val="none"/>
              </w:rPr>
              <w:t>，</w:t>
            </w:r>
            <w:r>
              <w:rPr>
                <w:bCs/>
                <w:color w:val="auto"/>
                <w:sz w:val="24"/>
                <w:highlight w:val="none"/>
              </w:rPr>
              <w:t>Ti0.40%~1.80%</w:t>
            </w:r>
            <w:r>
              <w:rPr>
                <w:rFonts w:ascii="宋体" w:hAnsi="宋体" w:cs="宋体"/>
                <w:bCs/>
                <w:color w:val="auto"/>
                <w:sz w:val="24"/>
                <w:highlight w:val="none"/>
              </w:rPr>
              <w:t>，</w:t>
            </w:r>
            <w:r>
              <w:rPr>
                <w:rFonts w:cs="宋体"/>
                <w:bCs/>
                <w:color w:val="auto"/>
                <w:sz w:val="24"/>
                <w:highlight w:val="none"/>
              </w:rPr>
              <w:t>S0.03%~4.75%</w:t>
            </w:r>
            <w:r>
              <w:rPr>
                <w:rFonts w:ascii="宋体" w:hAnsi="宋体" w:cs="宋体"/>
                <w:bCs/>
                <w:color w:val="auto"/>
                <w:sz w:val="24"/>
                <w:highlight w:val="none"/>
              </w:rPr>
              <w:t>，</w:t>
            </w:r>
            <w:r>
              <w:rPr>
                <w:bCs/>
                <w:color w:val="auto"/>
                <w:sz w:val="24"/>
                <w:highlight w:val="none"/>
              </w:rPr>
              <w:t>Na0.05%~1.40%</w:t>
            </w:r>
            <w:r>
              <w:rPr>
                <w:rFonts w:ascii="宋体" w:hAnsi="宋体" w:cs="宋体"/>
                <w:bCs/>
                <w:color w:val="auto"/>
                <w:sz w:val="24"/>
                <w:highlight w:val="none"/>
              </w:rPr>
              <w:t>，</w:t>
            </w:r>
            <w:r>
              <w:rPr>
                <w:bCs/>
                <w:color w:val="auto"/>
                <w:sz w:val="24"/>
                <w:highlight w:val="none"/>
              </w:rPr>
              <w:t>P0.00%~0.90%</w:t>
            </w:r>
            <w:r>
              <w:rPr>
                <w:rFonts w:ascii="宋体" w:hAnsi="宋体" w:cs="宋体"/>
                <w:bCs/>
                <w:color w:val="auto"/>
                <w:sz w:val="24"/>
                <w:highlight w:val="none"/>
              </w:rPr>
              <w:t>，</w:t>
            </w:r>
            <w:r>
              <w:rPr>
                <w:bCs/>
                <w:color w:val="auto"/>
                <w:sz w:val="24"/>
                <w:highlight w:val="none"/>
              </w:rPr>
              <w:t>Cl0.00%~0.12%</w:t>
            </w:r>
            <w:r>
              <w:rPr>
                <w:rFonts w:ascii="宋体" w:hAnsi="宋体" w:cs="宋体"/>
                <w:bCs/>
                <w:color w:val="auto"/>
                <w:sz w:val="24"/>
                <w:highlight w:val="none"/>
              </w:rPr>
              <w:t>，其他</w:t>
            </w:r>
            <w:r>
              <w:rPr>
                <w:bCs/>
                <w:color w:val="auto"/>
                <w:sz w:val="24"/>
                <w:highlight w:val="none"/>
              </w:rPr>
              <w:t>0.50%~29.12%</w:t>
            </w:r>
            <w:r>
              <w:rPr>
                <w:rFonts w:ascii="宋体" w:hAnsi="宋体" w:cs="宋体"/>
                <w:bCs/>
                <w:color w:val="auto"/>
                <w:sz w:val="24"/>
                <w:highlight w:val="none"/>
              </w:rPr>
              <w:t>。</w:t>
            </w:r>
          </w:p>
          <w:p w14:paraId="5917DE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bCs/>
                <w:color w:val="auto"/>
                <w:sz w:val="24"/>
                <w:highlight w:val="none"/>
                <w:lang w:val="en-US" w:eastAsia="zh-CN"/>
              </w:rPr>
            </w:pPr>
            <w:r>
              <w:rPr>
                <w:rFonts w:ascii="宋体" w:hAnsi="宋体" w:cs="宋体"/>
                <w:bCs/>
                <w:color w:val="auto"/>
                <w:sz w:val="24"/>
                <w:highlight w:val="none"/>
              </w:rPr>
              <w:t>（</w:t>
            </w:r>
            <w:r>
              <w:rPr>
                <w:rFonts w:hint="eastAsia" w:cs="宋体"/>
                <w:bCs/>
                <w:color w:val="auto"/>
                <w:sz w:val="24"/>
                <w:highlight w:val="none"/>
                <w:lang w:val="en-US" w:eastAsia="zh-CN"/>
              </w:rPr>
              <w:t>3</w:t>
            </w:r>
            <w:r>
              <w:rPr>
                <w:rFonts w:ascii="宋体" w:hAnsi="宋体" w:cs="宋体"/>
                <w:bCs/>
                <w:color w:val="auto"/>
                <w:sz w:val="24"/>
                <w:highlight w:val="none"/>
              </w:rPr>
              <w:t>）</w:t>
            </w:r>
            <w:r>
              <w:rPr>
                <w:rFonts w:hint="eastAsia" w:ascii="宋体" w:hAnsi="宋体" w:cs="宋体"/>
                <w:bCs/>
                <w:color w:val="auto"/>
                <w:sz w:val="24"/>
                <w:highlight w:val="none"/>
                <w:lang w:val="en-US" w:eastAsia="zh-CN"/>
              </w:rPr>
              <w:t>石灰石矿粉</w:t>
            </w:r>
          </w:p>
          <w:p w14:paraId="5902AE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石灰石矿粉主要成分是碳酸钙（</w:t>
            </w:r>
            <w:r>
              <w:rPr>
                <w:rFonts w:hint="default" w:ascii="Times New Roman" w:hAnsi="Times New Roman" w:cs="Times New Roman"/>
                <w:bCs/>
                <w:color w:val="auto"/>
                <w:sz w:val="24"/>
                <w:highlight w:val="none"/>
                <w:lang w:val="en-US" w:eastAsia="zh-CN"/>
              </w:rPr>
              <w:t>CaCO₃</w:t>
            </w:r>
            <w:r>
              <w:rPr>
                <w:rFonts w:hint="eastAsia" w:ascii="宋体" w:hAnsi="宋体" w:cs="宋体"/>
                <w:bCs/>
                <w:color w:val="auto"/>
                <w:sz w:val="24"/>
                <w:highlight w:val="none"/>
                <w:lang w:val="en-US" w:eastAsia="zh-CN"/>
              </w:rPr>
              <w:t>），通常呈白色或灰白色，石灰石矿粉颗粒细小，能够填充在水泥颗粒之间，使混凝土的和易性更好。这就好比往一堆大石子的缝隙里填充小石子，让整个结构更加密实，从而使混凝土在搅拌、运输和浇筑过程中更加顺畅。且可以有效减少混凝土的离析和泌水现象，离析是指混凝土中的各成分出现分离，泌水是指混凝土表面出现水分渗出的情况，而石灰石矿粉能让混凝土的组成成分更加紧密地结合在一起，避免这些问题。</w:t>
            </w:r>
          </w:p>
          <w:p w14:paraId="5DCA57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ascii="宋体" w:hAnsi="宋体" w:cs="宋体"/>
                <w:bCs/>
                <w:color w:val="auto"/>
                <w:sz w:val="24"/>
                <w:highlight w:val="none"/>
              </w:rPr>
              <w:t>（</w:t>
            </w:r>
            <w:r>
              <w:rPr>
                <w:rFonts w:hint="eastAsia" w:cs="宋体"/>
                <w:bCs/>
                <w:color w:val="auto"/>
                <w:sz w:val="24"/>
                <w:highlight w:val="none"/>
                <w:lang w:val="en-US" w:eastAsia="zh-CN"/>
              </w:rPr>
              <w:t>4</w:t>
            </w:r>
            <w:r>
              <w:rPr>
                <w:rFonts w:ascii="宋体" w:hAnsi="宋体" w:cs="宋体"/>
                <w:bCs/>
                <w:color w:val="auto"/>
                <w:sz w:val="24"/>
                <w:highlight w:val="none"/>
              </w:rPr>
              <w:t>）外加剂</w:t>
            </w:r>
          </w:p>
          <w:p w14:paraId="099521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bCs/>
                <w:color w:val="auto"/>
                <w:sz w:val="24"/>
                <w:highlight w:val="none"/>
              </w:rPr>
            </w:pPr>
            <w:r>
              <w:rPr>
                <w:rFonts w:ascii="宋体" w:hAnsi="宋体" w:cs="宋体"/>
                <w:bCs/>
                <w:color w:val="auto"/>
                <w:sz w:val="24"/>
                <w:highlight w:val="none"/>
              </w:rPr>
              <w:t>本项目外加剂主要为聚羧酸减水剂，</w:t>
            </w:r>
            <w:r>
              <w:rPr>
                <w:rFonts w:hint="eastAsia" w:ascii="宋体" w:hAnsi="宋体" w:cs="宋体"/>
                <w:bCs/>
                <w:color w:val="auto"/>
                <w:sz w:val="24"/>
                <w:highlight w:val="none"/>
                <w:lang w:val="en-US" w:eastAsia="zh-CN"/>
              </w:rPr>
              <w:t>外观为浅黄至褐色均相液体，绿色环保，无毒无害，</w:t>
            </w:r>
            <w:r>
              <w:rPr>
                <w:rFonts w:ascii="宋体" w:hAnsi="宋体" w:cs="宋体"/>
                <w:bCs/>
                <w:color w:val="auto"/>
                <w:sz w:val="24"/>
                <w:highlight w:val="none"/>
              </w:rPr>
              <w:t>聚羧酸减水剂是一种高性能减水剂，是水泥混凝土运用中的一种水泥分散剂，羧酸减水剂是由聚乙烯醇单甲醚和甲基丙烯酸先酯化再和甲基丙烯酸缩合而成的大分子链化合物，聚羧酸作为高分子化合物，往往呈树脂状</w:t>
            </w:r>
            <w:r>
              <w:rPr>
                <w:rFonts w:hint="eastAsia" w:ascii="宋体" w:hAnsi="宋体" w:cs="宋体"/>
                <w:bCs/>
                <w:color w:val="auto"/>
                <w:sz w:val="24"/>
                <w:highlight w:val="none"/>
                <w:lang w:eastAsia="zh-CN"/>
              </w:rPr>
              <w:t>，具</w:t>
            </w:r>
            <w:r>
              <w:rPr>
                <w:rFonts w:ascii="宋体" w:hAnsi="宋体" w:cs="宋体"/>
                <w:bCs/>
                <w:color w:val="auto"/>
                <w:sz w:val="24"/>
                <w:highlight w:val="none"/>
              </w:rPr>
              <w:t>有很好的强度、韧性、化学稳定性，可作为多种用途的材料。</w:t>
            </w:r>
          </w:p>
          <w:p w14:paraId="0B4EE23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cs="宋体"/>
                <w:bCs/>
                <w:color w:val="auto"/>
                <w:sz w:val="24"/>
                <w:highlight w:val="none"/>
                <w:lang w:val="en-US" w:eastAsia="zh-CN"/>
              </w:rPr>
            </w:pPr>
            <w:r>
              <w:rPr>
                <w:rFonts w:hint="eastAsia" w:ascii="宋体" w:hAnsi="宋体" w:eastAsia="宋体" w:cs="宋体"/>
                <w:bCs/>
                <w:color w:val="auto"/>
                <w:kern w:val="2"/>
                <w:sz w:val="24"/>
                <w:szCs w:val="24"/>
                <w:highlight w:val="none"/>
                <w:lang w:val="en-US" w:eastAsia="zh-CN" w:bidi="ar-SA"/>
              </w:rPr>
              <w:t>（5）</w:t>
            </w:r>
            <w:r>
              <w:rPr>
                <w:rFonts w:hint="eastAsia" w:ascii="宋体" w:hAnsi="宋体" w:cs="宋体"/>
                <w:bCs/>
                <w:color w:val="auto"/>
                <w:sz w:val="24"/>
                <w:highlight w:val="none"/>
                <w:lang w:val="en-US" w:eastAsia="zh-CN"/>
              </w:rPr>
              <w:t>膨胀剂</w:t>
            </w:r>
          </w:p>
          <w:p w14:paraId="3B26D9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cs="宋体"/>
                <w:bCs/>
                <w:color w:val="auto"/>
                <w:sz w:val="24"/>
                <w:highlight w:val="none"/>
                <w:lang w:val="en-US" w:eastAsia="zh-CN"/>
              </w:rPr>
            </w:pPr>
            <w:r>
              <w:rPr>
                <w:rFonts w:hint="default" w:ascii="宋体" w:hAnsi="宋体" w:cs="宋体"/>
                <w:bCs/>
                <w:color w:val="auto"/>
                <w:sz w:val="24"/>
                <w:highlight w:val="none"/>
                <w:lang w:val="en-US" w:eastAsia="zh-CN"/>
              </w:rPr>
              <w:t>主要是与水泥水化产物发生化学反应，</w:t>
            </w:r>
            <w:r>
              <w:rPr>
                <w:rFonts w:hint="eastAsia" w:ascii="宋体" w:hAnsi="宋体" w:cs="宋体"/>
                <w:bCs/>
                <w:color w:val="auto"/>
                <w:sz w:val="24"/>
                <w:highlight w:val="none"/>
                <w:lang w:val="en-US" w:eastAsia="zh-CN"/>
              </w:rPr>
              <w:t>本项目主要使用氧化钙类膨胀剂，粉状固体，无毒无害，反应后</w:t>
            </w:r>
            <w:r>
              <w:rPr>
                <w:rFonts w:hint="default" w:ascii="宋体" w:hAnsi="宋体" w:cs="宋体"/>
                <w:bCs/>
                <w:color w:val="auto"/>
                <w:sz w:val="24"/>
                <w:highlight w:val="none"/>
                <w:lang w:val="en-US" w:eastAsia="zh-CN"/>
              </w:rPr>
              <w:t>生成钙矾石等膨胀性物质，从而使混凝土体积膨胀。</w:t>
            </w:r>
            <w:r>
              <w:rPr>
                <w:rFonts w:hint="eastAsia" w:ascii="宋体" w:hAnsi="宋体" w:cs="宋体"/>
                <w:bCs/>
                <w:color w:val="auto"/>
                <w:sz w:val="24"/>
                <w:highlight w:val="none"/>
                <w:lang w:val="en-US" w:eastAsia="zh-CN"/>
              </w:rPr>
              <w:t>主要用于混凝土的</w:t>
            </w:r>
            <w:r>
              <w:rPr>
                <w:rFonts w:hint="default" w:ascii="宋体" w:hAnsi="宋体" w:cs="宋体"/>
                <w:bCs/>
                <w:color w:val="auto"/>
                <w:sz w:val="24"/>
                <w:highlight w:val="none"/>
                <w:lang w:val="en-US" w:eastAsia="zh-CN"/>
              </w:rPr>
              <w:t>补偿收缩</w:t>
            </w:r>
            <w:r>
              <w:rPr>
                <w:rFonts w:hint="eastAsia" w:ascii="宋体" w:hAnsi="宋体" w:cs="宋体"/>
                <w:bCs/>
                <w:color w:val="auto"/>
                <w:sz w:val="24"/>
                <w:highlight w:val="none"/>
                <w:lang w:val="en-US" w:eastAsia="zh-CN"/>
              </w:rPr>
              <w:t>和</w:t>
            </w:r>
            <w:r>
              <w:rPr>
                <w:rFonts w:hint="default" w:ascii="宋体" w:hAnsi="宋体" w:cs="宋体"/>
                <w:bCs/>
                <w:color w:val="auto"/>
                <w:sz w:val="24"/>
                <w:highlight w:val="none"/>
                <w:lang w:val="en-US" w:eastAsia="zh-CN"/>
              </w:rPr>
              <w:t>填充孔隙</w:t>
            </w:r>
            <w:r>
              <w:rPr>
                <w:rFonts w:hint="eastAsia" w:ascii="宋体" w:hAnsi="宋体" w:cs="宋体"/>
                <w:bCs/>
                <w:color w:val="auto"/>
                <w:sz w:val="24"/>
                <w:highlight w:val="none"/>
                <w:lang w:val="en-US" w:eastAsia="zh-CN"/>
              </w:rPr>
              <w:t>。</w:t>
            </w:r>
          </w:p>
          <w:p w14:paraId="61422FDD">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ascii="宋体" w:hAnsi="宋体"/>
                <w:bCs/>
                <w:color w:val="auto"/>
                <w:sz w:val="24"/>
                <w:highlight w:val="none"/>
              </w:rPr>
            </w:pPr>
            <w:r>
              <w:rPr>
                <w:rFonts w:hint="eastAsia" w:ascii="宋体" w:hAnsi="宋体"/>
                <w:bCs/>
                <w:color w:val="auto"/>
                <w:sz w:val="24"/>
                <w:highlight w:val="none"/>
              </w:rPr>
              <w:t>本项目砂子、石子在原料棚储存，</w:t>
            </w:r>
            <w:r>
              <w:rPr>
                <w:rFonts w:hint="default" w:ascii="Times New Roman" w:hAnsi="Times New Roman" w:cs="Times New Roman"/>
                <w:bCs/>
                <w:color w:val="auto"/>
                <w:sz w:val="24"/>
                <w:highlight w:val="none"/>
              </w:rPr>
              <w:t>砂石原料利用装载机由砂料棚、石料棚运至置于石料棚内的密闭上料仓，项目砂、石提升以密闭皮带输送方式完成，出料口密闭接入搅拌站</w:t>
            </w:r>
            <w:r>
              <w:rPr>
                <w:rFonts w:hint="eastAsia" w:ascii="宋体" w:hAnsi="宋体"/>
                <w:bCs/>
                <w:color w:val="auto"/>
                <w:sz w:val="24"/>
                <w:highlight w:val="none"/>
              </w:rPr>
              <w:t>；</w:t>
            </w:r>
            <w:r>
              <w:rPr>
                <w:rFonts w:hint="eastAsia" w:ascii="宋体" w:hAnsi="宋体"/>
                <w:bCs/>
                <w:color w:val="auto"/>
                <w:sz w:val="24"/>
                <w:highlight w:val="none"/>
                <w:lang w:eastAsia="zh-CN"/>
              </w:rPr>
              <w:t>石灰石矿粉</w:t>
            </w:r>
            <w:r>
              <w:rPr>
                <w:rFonts w:hint="eastAsia" w:ascii="宋体" w:hAnsi="宋体"/>
                <w:bCs/>
                <w:color w:val="auto"/>
                <w:sz w:val="24"/>
                <w:highlight w:val="none"/>
              </w:rPr>
              <w:t>、水泥、粉煤灰</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膨胀剂</w:t>
            </w:r>
            <w:r>
              <w:rPr>
                <w:rFonts w:hint="eastAsia" w:ascii="宋体" w:hAnsi="宋体"/>
                <w:bCs/>
                <w:color w:val="auto"/>
                <w:sz w:val="24"/>
                <w:highlight w:val="none"/>
              </w:rPr>
              <w:t>原料分别在筒仓内储存，经密闭输送皮带送入搅拌机</w:t>
            </w:r>
            <w:r>
              <w:rPr>
                <w:rFonts w:ascii="宋体" w:hAnsi="宋体" w:cs="宋体"/>
                <w:bCs/>
                <w:color w:val="auto"/>
                <w:sz w:val="24"/>
                <w:highlight w:val="none"/>
              </w:rPr>
              <w:t>内</w:t>
            </w:r>
            <w:r>
              <w:rPr>
                <w:rFonts w:hint="eastAsia" w:ascii="宋体" w:hAnsi="宋体"/>
                <w:bCs/>
                <w:color w:val="auto"/>
                <w:sz w:val="24"/>
                <w:highlight w:val="none"/>
              </w:rPr>
              <w:t>；</w:t>
            </w:r>
            <w:r>
              <w:rPr>
                <w:rFonts w:ascii="宋体" w:hAnsi="宋体" w:cs="宋体"/>
                <w:bCs/>
                <w:color w:val="auto"/>
                <w:sz w:val="24"/>
                <w:highlight w:val="none"/>
              </w:rPr>
              <w:t>外加剂暂存于</w:t>
            </w:r>
            <w:r>
              <w:rPr>
                <w:rFonts w:hint="eastAsia" w:ascii="宋体" w:hAnsi="宋体"/>
                <w:bCs/>
                <w:color w:val="auto"/>
                <w:sz w:val="24"/>
                <w:highlight w:val="none"/>
              </w:rPr>
              <w:t>外加剂罐</w:t>
            </w:r>
            <w:r>
              <w:rPr>
                <w:rFonts w:ascii="宋体" w:hAnsi="宋体" w:cs="宋体"/>
                <w:bCs/>
                <w:color w:val="auto"/>
                <w:sz w:val="24"/>
                <w:highlight w:val="none"/>
              </w:rPr>
              <w:t>中，使用时由泵通过管道直接送入搅拌机</w:t>
            </w:r>
            <w:r>
              <w:rPr>
                <w:rFonts w:hint="eastAsia" w:ascii="宋体" w:hAnsi="宋体"/>
                <w:bCs/>
                <w:color w:val="auto"/>
                <w:sz w:val="24"/>
                <w:highlight w:val="none"/>
              </w:rPr>
              <w:t>。</w:t>
            </w:r>
          </w:p>
          <w:p w14:paraId="10575E88">
            <w:pPr>
              <w:adjustRightInd w:val="0"/>
              <w:snapToGrid w:val="0"/>
              <w:spacing w:line="360" w:lineRule="auto"/>
              <w:ind w:firstLine="482" w:firstLineChars="200"/>
              <w:jc w:val="left"/>
              <w:rPr>
                <w:rFonts w:hint="default"/>
                <w:b/>
                <w:bCs/>
                <w:color w:val="auto"/>
                <w:sz w:val="24"/>
                <w:highlight w:val="none"/>
                <w:lang w:val="en-US" w:eastAsia="zh-CN"/>
              </w:rPr>
            </w:pPr>
            <w:r>
              <w:rPr>
                <w:rFonts w:hint="eastAsia"/>
                <w:b/>
                <w:bCs/>
                <w:color w:val="auto"/>
                <w:sz w:val="24"/>
                <w:highlight w:val="none"/>
                <w:lang w:val="en-US" w:eastAsia="zh-CN"/>
              </w:rPr>
              <w:t>7、物料平衡</w:t>
            </w:r>
          </w:p>
          <w:p w14:paraId="5D03CF5A">
            <w:pPr>
              <w:adjustRightInd w:val="0"/>
              <w:snapToGrid w:val="0"/>
              <w:spacing w:line="360" w:lineRule="auto"/>
              <w:ind w:firstLine="480" w:firstLineChars="200"/>
              <w:jc w:val="left"/>
              <w:rPr>
                <w:rFonts w:hint="default"/>
                <w:b w:val="0"/>
                <w:bCs w:val="0"/>
                <w:color w:val="auto"/>
                <w:sz w:val="24"/>
                <w:highlight w:val="none"/>
                <w:lang w:val="en-US" w:eastAsia="zh-CN"/>
              </w:rPr>
            </w:pPr>
            <w:r>
              <w:rPr>
                <w:rFonts w:hint="default" w:ascii="Times New Roman" w:hAnsi="Times New Roman" w:cs="Times New Roman"/>
                <w:bCs/>
                <w:color w:val="auto"/>
                <w:sz w:val="24"/>
                <w:highlight w:val="none"/>
              </w:rPr>
              <w:t>本项目</w:t>
            </w:r>
            <w:r>
              <w:rPr>
                <w:rFonts w:hint="eastAsia"/>
                <w:b w:val="0"/>
                <w:bCs w:val="0"/>
                <w:color w:val="auto"/>
                <w:sz w:val="24"/>
                <w:highlight w:val="none"/>
                <w:lang w:val="en-US" w:eastAsia="zh-CN"/>
              </w:rPr>
              <w:t>物料平衡见下表。</w:t>
            </w:r>
          </w:p>
          <w:p w14:paraId="4508165F">
            <w:pPr>
              <w:pStyle w:val="31"/>
              <w:spacing w:line="240" w:lineRule="auto"/>
              <w:ind w:firstLine="0"/>
              <w:jc w:val="center"/>
              <w:rPr>
                <w:color w:val="auto"/>
                <w:highlight w:val="none"/>
              </w:rPr>
            </w:pPr>
            <w:r>
              <w:rPr>
                <w:rFonts w:hint="eastAsia" w:cs="Times New Roman"/>
                <w:b/>
                <w:bCs/>
                <w:color w:val="auto"/>
                <w:szCs w:val="24"/>
                <w:highlight w:val="none"/>
              </w:rPr>
              <w:t>表2-7物料平衡表</w:t>
            </w:r>
          </w:p>
          <w:tbl>
            <w:tblPr>
              <w:tblStyle w:val="22"/>
              <w:tblW w:w="4998" w:type="pct"/>
              <w:jc w:val="center"/>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9"/>
              <w:gridCol w:w="1102"/>
              <w:gridCol w:w="1969"/>
              <w:gridCol w:w="1964"/>
            </w:tblGrid>
            <w:tr w14:paraId="70DA420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blHeader/>
                <w:jc w:val="center"/>
              </w:trPr>
              <w:tc>
                <w:tcPr>
                  <w:tcW w:w="2714" w:type="pct"/>
                  <w:gridSpan w:val="2"/>
                  <w:noWrap w:val="0"/>
                  <w:vAlign w:val="center"/>
                </w:tcPr>
                <w:p w14:paraId="3F22E72F">
                  <w:pPr>
                    <w:spacing w:line="240" w:lineRule="atLeast"/>
                    <w:jc w:val="center"/>
                    <w:rPr>
                      <w:rFonts w:hint="eastAsia"/>
                      <w:color w:val="auto"/>
                      <w:szCs w:val="21"/>
                      <w:highlight w:val="none"/>
                    </w:rPr>
                  </w:pPr>
                  <w:r>
                    <w:rPr>
                      <w:rFonts w:hint="eastAsia"/>
                      <w:color w:val="auto"/>
                      <w:szCs w:val="21"/>
                      <w:highlight w:val="none"/>
                    </w:rPr>
                    <w:t>进料</w:t>
                  </w:r>
                </w:p>
              </w:tc>
              <w:tc>
                <w:tcPr>
                  <w:tcW w:w="2285" w:type="pct"/>
                  <w:gridSpan w:val="2"/>
                  <w:noWrap w:val="0"/>
                  <w:vAlign w:val="center"/>
                </w:tcPr>
                <w:p w14:paraId="563E67EA">
                  <w:pPr>
                    <w:spacing w:line="240" w:lineRule="atLeast"/>
                    <w:jc w:val="center"/>
                    <w:rPr>
                      <w:rFonts w:hint="eastAsia"/>
                      <w:color w:val="auto"/>
                      <w:szCs w:val="21"/>
                      <w:highlight w:val="none"/>
                    </w:rPr>
                  </w:pPr>
                  <w:r>
                    <w:rPr>
                      <w:rFonts w:hint="eastAsia"/>
                      <w:color w:val="auto"/>
                      <w:szCs w:val="21"/>
                      <w:highlight w:val="none"/>
                    </w:rPr>
                    <w:t>出料</w:t>
                  </w:r>
                </w:p>
              </w:tc>
            </w:tr>
            <w:tr w14:paraId="313D56D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074" w:type="pct"/>
                  <w:noWrap w:val="0"/>
                  <w:vAlign w:val="center"/>
                </w:tcPr>
                <w:p w14:paraId="3AD39D1E">
                  <w:pPr>
                    <w:spacing w:line="240" w:lineRule="atLeast"/>
                    <w:jc w:val="center"/>
                    <w:rPr>
                      <w:color w:val="auto"/>
                      <w:szCs w:val="21"/>
                      <w:highlight w:val="none"/>
                    </w:rPr>
                  </w:pPr>
                  <w:r>
                    <w:rPr>
                      <w:color w:val="auto"/>
                      <w:szCs w:val="21"/>
                      <w:highlight w:val="none"/>
                    </w:rPr>
                    <w:t>物料名称</w:t>
                  </w:r>
                </w:p>
              </w:tc>
              <w:tc>
                <w:tcPr>
                  <w:tcW w:w="639" w:type="pct"/>
                  <w:noWrap w:val="0"/>
                  <w:vAlign w:val="center"/>
                </w:tcPr>
                <w:p w14:paraId="60A4F608">
                  <w:pPr>
                    <w:spacing w:line="240" w:lineRule="atLeast"/>
                    <w:jc w:val="center"/>
                    <w:rPr>
                      <w:color w:val="auto"/>
                      <w:szCs w:val="21"/>
                      <w:highlight w:val="none"/>
                    </w:rPr>
                  </w:pPr>
                  <w:r>
                    <w:rPr>
                      <w:color w:val="auto"/>
                      <w:szCs w:val="21"/>
                      <w:highlight w:val="none"/>
                    </w:rPr>
                    <w:t>t/a</w:t>
                  </w:r>
                </w:p>
              </w:tc>
              <w:tc>
                <w:tcPr>
                  <w:tcW w:w="1144" w:type="pct"/>
                  <w:noWrap w:val="0"/>
                  <w:vAlign w:val="center"/>
                </w:tcPr>
                <w:p w14:paraId="47953C6E">
                  <w:pPr>
                    <w:spacing w:line="240" w:lineRule="atLeast"/>
                    <w:jc w:val="center"/>
                    <w:rPr>
                      <w:color w:val="auto"/>
                      <w:szCs w:val="21"/>
                      <w:highlight w:val="none"/>
                    </w:rPr>
                  </w:pPr>
                  <w:r>
                    <w:rPr>
                      <w:color w:val="auto"/>
                      <w:szCs w:val="21"/>
                      <w:highlight w:val="none"/>
                    </w:rPr>
                    <w:t>物料名称</w:t>
                  </w:r>
                </w:p>
              </w:tc>
              <w:tc>
                <w:tcPr>
                  <w:tcW w:w="1140" w:type="pct"/>
                  <w:noWrap w:val="0"/>
                  <w:vAlign w:val="center"/>
                </w:tcPr>
                <w:p w14:paraId="07A0AB75">
                  <w:pPr>
                    <w:spacing w:line="240" w:lineRule="atLeast"/>
                    <w:jc w:val="center"/>
                    <w:rPr>
                      <w:color w:val="auto"/>
                      <w:szCs w:val="21"/>
                      <w:highlight w:val="none"/>
                    </w:rPr>
                  </w:pPr>
                  <w:r>
                    <w:rPr>
                      <w:color w:val="auto"/>
                      <w:szCs w:val="21"/>
                      <w:highlight w:val="none"/>
                    </w:rPr>
                    <w:t>t/a</w:t>
                  </w:r>
                </w:p>
              </w:tc>
            </w:tr>
            <w:tr w14:paraId="13448B4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2074" w:type="pct"/>
                  <w:noWrap w:val="0"/>
                  <w:vAlign w:val="center"/>
                </w:tcPr>
                <w:p w14:paraId="63686AB7">
                  <w:pPr>
                    <w:autoSpaceDE w:val="0"/>
                    <w:autoSpaceDN w:val="0"/>
                    <w:jc w:val="center"/>
                    <w:rPr>
                      <w:color w:val="auto"/>
                      <w:szCs w:val="21"/>
                      <w:highlight w:val="none"/>
                    </w:rPr>
                  </w:pPr>
                  <w:r>
                    <w:rPr>
                      <w:rFonts w:hint="eastAsia" w:ascii="宋体" w:hAnsi="宋体"/>
                      <w:color w:val="auto"/>
                      <w:kern w:val="0"/>
                      <w:szCs w:val="21"/>
                      <w:highlight w:val="none"/>
                    </w:rPr>
                    <w:t>砂子</w:t>
                  </w:r>
                </w:p>
              </w:tc>
              <w:tc>
                <w:tcPr>
                  <w:tcW w:w="1102" w:type="dxa"/>
                  <w:noWrap w:val="0"/>
                  <w:vAlign w:val="center"/>
                </w:tcPr>
                <w:p w14:paraId="3EEB3A3C">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82008</w:t>
                  </w:r>
                </w:p>
              </w:tc>
              <w:tc>
                <w:tcPr>
                  <w:tcW w:w="1144" w:type="pct"/>
                  <w:vMerge w:val="restart"/>
                  <w:noWrap w:val="0"/>
                  <w:vAlign w:val="center"/>
                </w:tcPr>
                <w:p w14:paraId="1C480140">
                  <w:pPr>
                    <w:jc w:val="center"/>
                    <w:rPr>
                      <w:rFonts w:hint="eastAsia" w:eastAsia="宋体"/>
                      <w:color w:val="auto"/>
                      <w:szCs w:val="21"/>
                      <w:highlight w:val="none"/>
                      <w:lang w:val="en-US" w:eastAsia="zh-CN"/>
                    </w:rPr>
                  </w:pPr>
                  <w:r>
                    <w:rPr>
                      <w:rFonts w:hint="eastAsia"/>
                      <w:color w:val="auto"/>
                      <w:szCs w:val="21"/>
                      <w:highlight w:val="none"/>
                      <w:lang w:val="en-US" w:eastAsia="zh-CN"/>
                    </w:rPr>
                    <w:t>混凝土</w:t>
                  </w:r>
                </w:p>
              </w:tc>
              <w:tc>
                <w:tcPr>
                  <w:tcW w:w="1140" w:type="pct"/>
                  <w:vMerge w:val="restart"/>
                  <w:noWrap w:val="0"/>
                  <w:vAlign w:val="center"/>
                </w:tcPr>
                <w:p w14:paraId="40C7032D">
                  <w:pPr>
                    <w:jc w:val="center"/>
                    <w:rPr>
                      <w:rFonts w:hint="default" w:eastAsia="宋体"/>
                      <w:color w:val="auto"/>
                      <w:szCs w:val="21"/>
                      <w:highlight w:val="none"/>
                      <w:lang w:val="en-US" w:eastAsia="zh-CN"/>
                    </w:rPr>
                  </w:pPr>
                  <w:r>
                    <w:rPr>
                      <w:rFonts w:hint="eastAsia"/>
                      <w:color w:val="auto"/>
                      <w:szCs w:val="21"/>
                      <w:highlight w:val="none"/>
                      <w:lang w:val="en-US" w:eastAsia="zh-CN"/>
                    </w:rPr>
                    <w:t>239999.143</w:t>
                  </w:r>
                </w:p>
              </w:tc>
            </w:tr>
            <w:tr w14:paraId="51AC51B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074" w:type="pct"/>
                  <w:noWrap w:val="0"/>
                  <w:vAlign w:val="center"/>
                </w:tcPr>
                <w:p w14:paraId="151EFE9A">
                  <w:pPr>
                    <w:autoSpaceDE w:val="0"/>
                    <w:autoSpaceDN w:val="0"/>
                    <w:jc w:val="center"/>
                    <w:rPr>
                      <w:color w:val="auto"/>
                      <w:szCs w:val="21"/>
                      <w:highlight w:val="none"/>
                    </w:rPr>
                  </w:pPr>
                  <w:r>
                    <w:rPr>
                      <w:rFonts w:hint="eastAsia" w:ascii="宋体" w:hAnsi="宋体"/>
                      <w:color w:val="auto"/>
                      <w:kern w:val="0"/>
                      <w:szCs w:val="21"/>
                      <w:highlight w:val="none"/>
                    </w:rPr>
                    <w:t>石子</w:t>
                  </w:r>
                </w:p>
              </w:tc>
              <w:tc>
                <w:tcPr>
                  <w:tcW w:w="1102" w:type="dxa"/>
                  <w:noWrap w:val="0"/>
                  <w:vAlign w:val="center"/>
                </w:tcPr>
                <w:p w14:paraId="116EEB6C">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82008</w:t>
                  </w:r>
                </w:p>
              </w:tc>
              <w:tc>
                <w:tcPr>
                  <w:tcW w:w="1144" w:type="pct"/>
                  <w:vMerge w:val="continue"/>
                  <w:noWrap w:val="0"/>
                  <w:vAlign w:val="center"/>
                </w:tcPr>
                <w:p w14:paraId="27CCEB1F">
                  <w:pPr>
                    <w:jc w:val="center"/>
                    <w:rPr>
                      <w:color w:val="auto"/>
                      <w:szCs w:val="21"/>
                      <w:highlight w:val="none"/>
                    </w:rPr>
                  </w:pPr>
                </w:p>
              </w:tc>
              <w:tc>
                <w:tcPr>
                  <w:tcW w:w="1140" w:type="pct"/>
                  <w:vMerge w:val="continue"/>
                  <w:noWrap w:val="0"/>
                  <w:vAlign w:val="center"/>
                </w:tcPr>
                <w:p w14:paraId="1D895E93">
                  <w:pPr>
                    <w:jc w:val="center"/>
                    <w:rPr>
                      <w:color w:val="auto"/>
                      <w:szCs w:val="21"/>
                      <w:highlight w:val="none"/>
                    </w:rPr>
                  </w:pPr>
                </w:p>
              </w:tc>
            </w:tr>
            <w:tr w14:paraId="268A685A">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074" w:type="pct"/>
                  <w:noWrap w:val="0"/>
                  <w:vAlign w:val="center"/>
                </w:tcPr>
                <w:p w14:paraId="7203EC06">
                  <w:pPr>
                    <w:autoSpaceDE w:val="0"/>
                    <w:autoSpaceDN w:val="0"/>
                    <w:jc w:val="center"/>
                    <w:rPr>
                      <w:color w:val="auto"/>
                      <w:szCs w:val="21"/>
                      <w:highlight w:val="none"/>
                    </w:rPr>
                  </w:pPr>
                  <w:r>
                    <w:rPr>
                      <w:rFonts w:hint="eastAsia" w:ascii="宋体" w:hAnsi="宋体"/>
                      <w:color w:val="auto"/>
                      <w:kern w:val="0"/>
                      <w:szCs w:val="21"/>
                      <w:highlight w:val="none"/>
                    </w:rPr>
                    <w:t>粉煤灰</w:t>
                  </w:r>
                </w:p>
              </w:tc>
              <w:tc>
                <w:tcPr>
                  <w:tcW w:w="1102" w:type="dxa"/>
                  <w:noWrap w:val="0"/>
                  <w:vAlign w:val="center"/>
                </w:tcPr>
                <w:p w14:paraId="561EA2BE">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8201</w:t>
                  </w:r>
                </w:p>
              </w:tc>
              <w:tc>
                <w:tcPr>
                  <w:tcW w:w="1144" w:type="pct"/>
                  <w:vMerge w:val="restart"/>
                  <w:noWrap w:val="0"/>
                  <w:vAlign w:val="center"/>
                </w:tcPr>
                <w:p w14:paraId="518F7DDF">
                  <w:pPr>
                    <w:jc w:val="center"/>
                    <w:rPr>
                      <w:rFonts w:hint="default" w:eastAsia="宋体"/>
                      <w:color w:val="auto"/>
                      <w:szCs w:val="21"/>
                      <w:highlight w:val="none"/>
                      <w:lang w:val="en-US" w:eastAsia="zh-CN"/>
                    </w:rPr>
                  </w:pPr>
                  <w:r>
                    <w:rPr>
                      <w:rFonts w:hint="eastAsia"/>
                      <w:color w:val="auto"/>
                      <w:szCs w:val="21"/>
                      <w:highlight w:val="none"/>
                      <w:lang w:val="en-US" w:eastAsia="zh-CN"/>
                    </w:rPr>
                    <w:t>粉尘</w:t>
                  </w:r>
                </w:p>
              </w:tc>
              <w:tc>
                <w:tcPr>
                  <w:tcW w:w="1140" w:type="pct"/>
                  <w:vMerge w:val="restart"/>
                  <w:noWrap w:val="0"/>
                  <w:vAlign w:val="center"/>
                </w:tcPr>
                <w:p w14:paraId="6D83C578">
                  <w:pPr>
                    <w:jc w:val="center"/>
                    <w:rPr>
                      <w:rFonts w:hint="default" w:eastAsia="宋体"/>
                      <w:color w:val="auto"/>
                      <w:szCs w:val="21"/>
                      <w:highlight w:val="none"/>
                      <w:lang w:val="en-US" w:eastAsia="zh-CN"/>
                    </w:rPr>
                  </w:pPr>
                  <w:r>
                    <w:rPr>
                      <w:rFonts w:hint="default"/>
                      <w:color w:val="auto"/>
                      <w:szCs w:val="21"/>
                      <w:highlight w:val="none"/>
                      <w:lang w:val="en-US" w:eastAsia="zh-CN"/>
                    </w:rPr>
                    <w:t>1.657</w:t>
                  </w:r>
                </w:p>
              </w:tc>
            </w:tr>
            <w:tr w14:paraId="129C871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2074" w:type="pct"/>
                  <w:noWrap w:val="0"/>
                  <w:vAlign w:val="center"/>
                </w:tcPr>
                <w:p w14:paraId="519EE669">
                  <w:pPr>
                    <w:autoSpaceDE w:val="0"/>
                    <w:autoSpaceDN w:val="0"/>
                    <w:jc w:val="center"/>
                    <w:rPr>
                      <w:color w:val="auto"/>
                      <w:highlight w:val="none"/>
                    </w:rPr>
                  </w:pPr>
                  <w:r>
                    <w:rPr>
                      <w:rFonts w:hint="eastAsia" w:ascii="宋体" w:hAnsi="宋体"/>
                      <w:color w:val="auto"/>
                      <w:kern w:val="0"/>
                      <w:szCs w:val="21"/>
                      <w:highlight w:val="none"/>
                    </w:rPr>
                    <w:t>水泥（</w:t>
                  </w:r>
                  <w:r>
                    <w:rPr>
                      <w:color w:val="auto"/>
                      <w:kern w:val="0"/>
                      <w:szCs w:val="21"/>
                      <w:highlight w:val="none"/>
                    </w:rPr>
                    <w:t>P52.5</w:t>
                  </w:r>
                  <w:r>
                    <w:rPr>
                      <w:rFonts w:hint="eastAsia" w:ascii="宋体" w:hAnsi="宋体"/>
                      <w:color w:val="auto"/>
                      <w:kern w:val="0"/>
                      <w:szCs w:val="21"/>
                      <w:highlight w:val="none"/>
                    </w:rPr>
                    <w:t>以下的各型号优质水泥）</w:t>
                  </w:r>
                </w:p>
              </w:tc>
              <w:tc>
                <w:tcPr>
                  <w:tcW w:w="1102" w:type="dxa"/>
                  <w:noWrap w:val="0"/>
                  <w:vAlign w:val="center"/>
                </w:tcPr>
                <w:p w14:paraId="4E3360EF">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24603</w:t>
                  </w:r>
                </w:p>
              </w:tc>
              <w:tc>
                <w:tcPr>
                  <w:tcW w:w="1144" w:type="pct"/>
                  <w:vMerge w:val="continue"/>
                  <w:noWrap w:val="0"/>
                  <w:vAlign w:val="center"/>
                </w:tcPr>
                <w:p w14:paraId="1AD02B1D">
                  <w:pPr>
                    <w:jc w:val="center"/>
                    <w:rPr>
                      <w:rFonts w:hint="default" w:eastAsia="宋体"/>
                      <w:color w:val="auto"/>
                      <w:szCs w:val="21"/>
                      <w:highlight w:val="none"/>
                      <w:lang w:val="en-US" w:eastAsia="zh-CN"/>
                    </w:rPr>
                  </w:pPr>
                </w:p>
              </w:tc>
              <w:tc>
                <w:tcPr>
                  <w:tcW w:w="1140" w:type="pct"/>
                  <w:vMerge w:val="continue"/>
                  <w:noWrap w:val="0"/>
                  <w:vAlign w:val="center"/>
                </w:tcPr>
                <w:p w14:paraId="45A6644D">
                  <w:pPr>
                    <w:jc w:val="center"/>
                    <w:rPr>
                      <w:rFonts w:hint="eastAsia"/>
                      <w:color w:val="auto"/>
                      <w:szCs w:val="21"/>
                      <w:highlight w:val="none"/>
                    </w:rPr>
                  </w:pPr>
                </w:p>
              </w:tc>
            </w:tr>
            <w:tr w14:paraId="7049AAFA">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PrEx>
              <w:trPr>
                <w:trHeight w:val="222" w:hRule="atLeast"/>
                <w:jc w:val="center"/>
              </w:trPr>
              <w:tc>
                <w:tcPr>
                  <w:tcW w:w="2074" w:type="pct"/>
                  <w:noWrap w:val="0"/>
                  <w:vAlign w:val="center"/>
                </w:tcPr>
                <w:p w14:paraId="6301B6E0">
                  <w:pPr>
                    <w:autoSpaceDE w:val="0"/>
                    <w:autoSpaceDN w:val="0"/>
                    <w:jc w:val="center"/>
                    <w:rPr>
                      <w:color w:val="auto"/>
                      <w:highlight w:val="none"/>
                    </w:rPr>
                  </w:pPr>
                  <w:r>
                    <w:rPr>
                      <w:rFonts w:hint="eastAsia" w:ascii="宋体" w:hAnsi="宋体"/>
                      <w:color w:val="auto"/>
                      <w:kern w:val="0"/>
                      <w:szCs w:val="21"/>
                      <w:highlight w:val="none"/>
                      <w:lang w:val="en-US" w:eastAsia="zh-CN"/>
                    </w:rPr>
                    <w:t>石灰石矿粉</w:t>
                  </w:r>
                </w:p>
              </w:tc>
              <w:tc>
                <w:tcPr>
                  <w:tcW w:w="1102" w:type="dxa"/>
                  <w:noWrap w:val="0"/>
                  <w:vAlign w:val="center"/>
                </w:tcPr>
                <w:p w14:paraId="3A97118D">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16402</w:t>
                  </w:r>
                </w:p>
              </w:tc>
              <w:tc>
                <w:tcPr>
                  <w:tcW w:w="1144" w:type="pct"/>
                  <w:vMerge w:val="restart"/>
                  <w:noWrap w:val="0"/>
                  <w:vAlign w:val="center"/>
                </w:tcPr>
                <w:p w14:paraId="1666A942">
                  <w:pPr>
                    <w:jc w:val="center"/>
                    <w:rPr>
                      <w:color w:val="auto"/>
                      <w:szCs w:val="21"/>
                      <w:highlight w:val="none"/>
                    </w:rPr>
                  </w:pPr>
                </w:p>
              </w:tc>
              <w:tc>
                <w:tcPr>
                  <w:tcW w:w="1140" w:type="pct"/>
                  <w:vMerge w:val="restart"/>
                  <w:noWrap w:val="0"/>
                  <w:vAlign w:val="center"/>
                </w:tcPr>
                <w:p w14:paraId="1B31B482">
                  <w:pPr>
                    <w:jc w:val="center"/>
                    <w:rPr>
                      <w:rFonts w:hint="default"/>
                      <w:color w:val="auto"/>
                      <w:szCs w:val="21"/>
                      <w:highlight w:val="none"/>
                      <w:lang w:val="en-US"/>
                    </w:rPr>
                  </w:pPr>
                </w:p>
              </w:tc>
            </w:tr>
            <w:tr w14:paraId="7B4D07E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PrEx>
              <w:trPr>
                <w:trHeight w:val="222" w:hRule="atLeast"/>
                <w:jc w:val="center"/>
              </w:trPr>
              <w:tc>
                <w:tcPr>
                  <w:tcW w:w="2074" w:type="pct"/>
                  <w:noWrap w:val="0"/>
                  <w:vAlign w:val="center"/>
                </w:tcPr>
                <w:p w14:paraId="1575B86A">
                  <w:pPr>
                    <w:autoSpaceDE w:val="0"/>
                    <w:autoSpaceDN w:val="0"/>
                    <w:jc w:val="center"/>
                    <w:rPr>
                      <w:color w:val="auto"/>
                      <w:highlight w:val="none"/>
                    </w:rPr>
                  </w:pPr>
                  <w:r>
                    <w:rPr>
                      <w:rFonts w:hint="eastAsia" w:ascii="宋体" w:hAnsi="宋体"/>
                      <w:color w:val="auto"/>
                      <w:kern w:val="0"/>
                      <w:szCs w:val="21"/>
                      <w:highlight w:val="none"/>
                      <w:lang w:val="en-US" w:eastAsia="zh-CN"/>
                    </w:rPr>
                    <w:t>膨胀剂</w:t>
                  </w:r>
                </w:p>
              </w:tc>
              <w:tc>
                <w:tcPr>
                  <w:tcW w:w="1102" w:type="dxa"/>
                  <w:noWrap w:val="0"/>
                  <w:vAlign w:val="center"/>
                </w:tcPr>
                <w:p w14:paraId="4E36D918">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820</w:t>
                  </w:r>
                </w:p>
              </w:tc>
              <w:tc>
                <w:tcPr>
                  <w:tcW w:w="1144" w:type="pct"/>
                  <w:vMerge w:val="continue"/>
                  <w:noWrap w:val="0"/>
                  <w:vAlign w:val="center"/>
                </w:tcPr>
                <w:p w14:paraId="52D13BDD">
                  <w:pPr>
                    <w:jc w:val="center"/>
                    <w:rPr>
                      <w:color w:val="auto"/>
                      <w:szCs w:val="21"/>
                      <w:highlight w:val="none"/>
                    </w:rPr>
                  </w:pPr>
                </w:p>
              </w:tc>
              <w:tc>
                <w:tcPr>
                  <w:tcW w:w="1140" w:type="pct"/>
                  <w:vMerge w:val="continue"/>
                  <w:noWrap w:val="0"/>
                  <w:vAlign w:val="center"/>
                </w:tcPr>
                <w:p w14:paraId="4B21C012">
                  <w:pPr>
                    <w:jc w:val="center"/>
                    <w:rPr>
                      <w:rFonts w:hint="eastAsia"/>
                      <w:color w:val="auto"/>
                      <w:szCs w:val="21"/>
                      <w:highlight w:val="none"/>
                    </w:rPr>
                  </w:pPr>
                </w:p>
              </w:tc>
            </w:tr>
            <w:tr w14:paraId="39E537E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PrEx>
              <w:trPr>
                <w:trHeight w:val="222" w:hRule="atLeast"/>
                <w:jc w:val="center"/>
              </w:trPr>
              <w:tc>
                <w:tcPr>
                  <w:tcW w:w="2074" w:type="pct"/>
                  <w:noWrap w:val="0"/>
                  <w:vAlign w:val="center"/>
                </w:tcPr>
                <w:p w14:paraId="293AEF62">
                  <w:pPr>
                    <w:autoSpaceDE w:val="0"/>
                    <w:autoSpaceDN w:val="0"/>
                    <w:jc w:val="center"/>
                    <w:rPr>
                      <w:color w:val="auto"/>
                      <w:highlight w:val="none"/>
                    </w:rPr>
                  </w:pPr>
                  <w:r>
                    <w:rPr>
                      <w:rFonts w:hint="eastAsia" w:ascii="宋体" w:hAnsi="宋体"/>
                      <w:color w:val="auto"/>
                      <w:kern w:val="0"/>
                      <w:szCs w:val="21"/>
                      <w:highlight w:val="none"/>
                    </w:rPr>
                    <w:t>外加剂</w:t>
                  </w:r>
                </w:p>
              </w:tc>
              <w:tc>
                <w:tcPr>
                  <w:tcW w:w="1102" w:type="dxa"/>
                  <w:noWrap w:val="0"/>
                  <w:vAlign w:val="center"/>
                </w:tcPr>
                <w:p w14:paraId="2D87C62F">
                  <w:pPr>
                    <w:autoSpaceDE w:val="0"/>
                    <w:autoSpaceDN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820</w:t>
                  </w:r>
                </w:p>
              </w:tc>
              <w:tc>
                <w:tcPr>
                  <w:tcW w:w="1144" w:type="pct"/>
                  <w:vMerge w:val="restart"/>
                  <w:noWrap w:val="0"/>
                  <w:vAlign w:val="center"/>
                </w:tcPr>
                <w:p w14:paraId="77C48201">
                  <w:pPr>
                    <w:jc w:val="center"/>
                    <w:rPr>
                      <w:rFonts w:hint="default"/>
                      <w:color w:val="auto"/>
                      <w:szCs w:val="21"/>
                      <w:highlight w:val="none"/>
                      <w:lang w:val="en-US"/>
                    </w:rPr>
                  </w:pPr>
                </w:p>
              </w:tc>
              <w:tc>
                <w:tcPr>
                  <w:tcW w:w="1140" w:type="pct"/>
                  <w:vMerge w:val="restart"/>
                  <w:noWrap w:val="0"/>
                  <w:vAlign w:val="center"/>
                </w:tcPr>
                <w:p w14:paraId="6465A2B3">
                  <w:pPr>
                    <w:jc w:val="center"/>
                    <w:rPr>
                      <w:rFonts w:hint="eastAsia"/>
                      <w:color w:val="auto"/>
                      <w:szCs w:val="21"/>
                      <w:highlight w:val="none"/>
                    </w:rPr>
                  </w:pPr>
                </w:p>
              </w:tc>
            </w:tr>
            <w:tr w14:paraId="17911709">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2074" w:type="pct"/>
                  <w:noWrap w:val="0"/>
                  <w:vAlign w:val="center"/>
                </w:tcPr>
                <w:p w14:paraId="009012BE">
                  <w:pPr>
                    <w:autoSpaceDE w:val="0"/>
                    <w:autoSpaceDN w:val="0"/>
                    <w:jc w:val="center"/>
                    <w:rPr>
                      <w:rFonts w:hint="eastAsia" w:ascii="宋体" w:hAnsi="宋体" w:eastAsia="宋体"/>
                      <w:color w:val="auto"/>
                      <w:kern w:val="0"/>
                      <w:szCs w:val="21"/>
                      <w:highlight w:val="none"/>
                      <w:lang w:val="en-US" w:eastAsia="zh-CN"/>
                    </w:rPr>
                  </w:pPr>
                  <w:r>
                    <w:rPr>
                      <w:rFonts w:hint="eastAsia" w:ascii="宋体" w:hAnsi="宋体"/>
                      <w:color w:val="auto"/>
                      <w:kern w:val="0"/>
                      <w:szCs w:val="21"/>
                      <w:highlight w:val="none"/>
                      <w:lang w:val="en-US" w:eastAsia="zh-CN"/>
                    </w:rPr>
                    <w:t>中水</w:t>
                  </w:r>
                </w:p>
              </w:tc>
              <w:tc>
                <w:tcPr>
                  <w:tcW w:w="639" w:type="pct"/>
                  <w:noWrap w:val="0"/>
                  <w:vAlign w:val="center"/>
                </w:tcPr>
                <w:p w14:paraId="7CCEC57C">
                  <w:pPr>
                    <w:autoSpaceDE w:val="0"/>
                    <w:autoSpaceDN w:val="0"/>
                    <w:jc w:val="center"/>
                    <w:rPr>
                      <w:rFonts w:hint="default" w:eastAsia="宋体"/>
                      <w:color w:val="auto"/>
                      <w:kern w:val="0"/>
                      <w:szCs w:val="21"/>
                      <w:highlight w:val="none"/>
                      <w:lang w:val="en-US" w:eastAsia="zh-CN"/>
                    </w:rPr>
                  </w:pPr>
                  <w:r>
                    <w:rPr>
                      <w:rFonts w:hint="default" w:eastAsia="宋体"/>
                      <w:color w:val="auto"/>
                      <w:kern w:val="0"/>
                      <w:szCs w:val="21"/>
                      <w:highlight w:val="none"/>
                      <w:lang w:val="en-US" w:eastAsia="zh-CN"/>
                    </w:rPr>
                    <w:t>25138.8</w:t>
                  </w:r>
                </w:p>
              </w:tc>
              <w:tc>
                <w:tcPr>
                  <w:tcW w:w="1144" w:type="pct"/>
                  <w:vMerge w:val="continue"/>
                  <w:noWrap w:val="0"/>
                  <w:vAlign w:val="center"/>
                </w:tcPr>
                <w:p w14:paraId="269993E4">
                  <w:pPr>
                    <w:jc w:val="center"/>
                    <w:rPr>
                      <w:color w:val="auto"/>
                      <w:szCs w:val="21"/>
                      <w:highlight w:val="none"/>
                    </w:rPr>
                  </w:pPr>
                </w:p>
              </w:tc>
              <w:tc>
                <w:tcPr>
                  <w:tcW w:w="1140" w:type="pct"/>
                  <w:vMerge w:val="continue"/>
                  <w:noWrap w:val="0"/>
                  <w:vAlign w:val="center"/>
                </w:tcPr>
                <w:p w14:paraId="44BFFBB2">
                  <w:pPr>
                    <w:jc w:val="center"/>
                    <w:rPr>
                      <w:rFonts w:hint="eastAsia"/>
                      <w:color w:val="auto"/>
                      <w:szCs w:val="21"/>
                      <w:highlight w:val="none"/>
                    </w:rPr>
                  </w:pPr>
                </w:p>
              </w:tc>
            </w:tr>
            <w:tr w14:paraId="6044043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074" w:type="pct"/>
                  <w:noWrap w:val="0"/>
                  <w:vAlign w:val="center"/>
                </w:tcPr>
                <w:p w14:paraId="4B933E45">
                  <w:pPr>
                    <w:spacing w:line="240" w:lineRule="atLeast"/>
                    <w:jc w:val="center"/>
                    <w:rPr>
                      <w:color w:val="auto"/>
                      <w:szCs w:val="21"/>
                      <w:highlight w:val="none"/>
                    </w:rPr>
                  </w:pPr>
                  <w:r>
                    <w:rPr>
                      <w:color w:val="auto"/>
                      <w:szCs w:val="21"/>
                      <w:highlight w:val="none"/>
                    </w:rPr>
                    <w:t>合计</w:t>
                  </w:r>
                </w:p>
              </w:tc>
              <w:tc>
                <w:tcPr>
                  <w:tcW w:w="639" w:type="pct"/>
                  <w:noWrap w:val="0"/>
                  <w:vAlign w:val="center"/>
                </w:tcPr>
                <w:p w14:paraId="60D1E134">
                  <w:pPr>
                    <w:spacing w:line="240" w:lineRule="atLeast"/>
                    <w:jc w:val="center"/>
                    <w:rPr>
                      <w:rFonts w:hint="default" w:eastAsia="宋体"/>
                      <w:color w:val="auto"/>
                      <w:szCs w:val="21"/>
                      <w:highlight w:val="none"/>
                      <w:lang w:val="en-US" w:eastAsia="zh-CN"/>
                    </w:rPr>
                  </w:pPr>
                  <w:r>
                    <w:rPr>
                      <w:rFonts w:hint="eastAsia"/>
                      <w:color w:val="auto"/>
                      <w:szCs w:val="21"/>
                      <w:highlight w:val="none"/>
                      <w:lang w:val="en-US" w:eastAsia="zh-CN"/>
                    </w:rPr>
                    <w:t>240000.8</w:t>
                  </w:r>
                </w:p>
              </w:tc>
              <w:tc>
                <w:tcPr>
                  <w:tcW w:w="1144" w:type="pct"/>
                  <w:noWrap w:val="0"/>
                  <w:vAlign w:val="center"/>
                </w:tcPr>
                <w:p w14:paraId="702A1F7E">
                  <w:pPr>
                    <w:spacing w:line="240" w:lineRule="atLeast"/>
                    <w:jc w:val="center"/>
                    <w:rPr>
                      <w:color w:val="auto"/>
                      <w:szCs w:val="21"/>
                      <w:highlight w:val="none"/>
                    </w:rPr>
                  </w:pPr>
                  <w:r>
                    <w:rPr>
                      <w:color w:val="auto"/>
                      <w:szCs w:val="21"/>
                      <w:highlight w:val="none"/>
                    </w:rPr>
                    <w:t>合计</w:t>
                  </w:r>
                </w:p>
              </w:tc>
              <w:tc>
                <w:tcPr>
                  <w:tcW w:w="1140" w:type="pct"/>
                  <w:noWrap w:val="0"/>
                  <w:vAlign w:val="center"/>
                </w:tcPr>
                <w:p w14:paraId="4E98BFF8">
                  <w:pPr>
                    <w:spacing w:line="240" w:lineRule="atLeast"/>
                    <w:jc w:val="center"/>
                    <w:rPr>
                      <w:rFonts w:hint="default" w:eastAsia="宋体"/>
                      <w:color w:val="auto"/>
                      <w:szCs w:val="21"/>
                      <w:highlight w:val="none"/>
                      <w:lang w:val="en-US" w:eastAsia="zh-CN"/>
                    </w:rPr>
                  </w:pPr>
                  <w:r>
                    <w:rPr>
                      <w:rFonts w:hint="eastAsia"/>
                      <w:color w:val="auto"/>
                      <w:szCs w:val="21"/>
                      <w:highlight w:val="none"/>
                      <w:lang w:val="en-US" w:eastAsia="zh-CN"/>
                    </w:rPr>
                    <w:t>240000.8</w:t>
                  </w:r>
                </w:p>
              </w:tc>
            </w:tr>
          </w:tbl>
          <w:p w14:paraId="4ADA50A5">
            <w:pPr>
              <w:adjustRightInd w:val="0"/>
              <w:snapToGrid w:val="0"/>
              <w:spacing w:line="360" w:lineRule="auto"/>
              <w:ind w:firstLine="482" w:firstLineChars="200"/>
              <w:jc w:val="left"/>
              <w:rPr>
                <w:rFonts w:ascii="宋体" w:hAnsi="宋体" w:cs="宋体"/>
                <w:bCs/>
                <w:color w:val="auto"/>
                <w:sz w:val="24"/>
                <w:highlight w:val="none"/>
              </w:rPr>
            </w:pPr>
            <w:r>
              <w:rPr>
                <w:rFonts w:hint="eastAsia"/>
                <w:b/>
                <w:bCs/>
                <w:color w:val="auto"/>
                <w:sz w:val="24"/>
                <w:highlight w:val="none"/>
                <w:lang w:val="en-US" w:eastAsia="zh-CN"/>
              </w:rPr>
              <w:t>8</w:t>
            </w:r>
            <w:r>
              <w:rPr>
                <w:rFonts w:hint="eastAsia" w:ascii="宋体" w:hAnsi="宋体"/>
                <w:b/>
                <w:bCs/>
                <w:color w:val="auto"/>
                <w:sz w:val="24"/>
                <w:highlight w:val="none"/>
                <w:lang w:eastAsia="zh-CN"/>
              </w:rPr>
              <w:t>、</w:t>
            </w:r>
            <w:r>
              <w:rPr>
                <w:rFonts w:hint="eastAsia" w:ascii="宋体" w:hAnsi="宋体"/>
                <w:b/>
                <w:bCs/>
                <w:color w:val="auto"/>
                <w:sz w:val="24"/>
                <w:highlight w:val="none"/>
              </w:rPr>
              <w:t>主要生产设备</w:t>
            </w:r>
          </w:p>
          <w:p w14:paraId="0E927C93">
            <w:pPr>
              <w:spacing w:line="360" w:lineRule="auto"/>
              <w:ind w:firstLine="480" w:firstLineChars="200"/>
              <w:rPr>
                <w:rFonts w:ascii="宋体" w:hAnsi="宋体"/>
                <w:color w:val="auto"/>
                <w:sz w:val="24"/>
                <w:highlight w:val="none"/>
              </w:rPr>
            </w:pPr>
            <w:r>
              <w:rPr>
                <w:rFonts w:ascii="宋体" w:hAnsi="宋体"/>
                <w:color w:val="auto"/>
                <w:sz w:val="24"/>
                <w:highlight w:val="none"/>
              </w:rPr>
              <w:t>本项目主要生产设备见</w:t>
            </w:r>
            <w:r>
              <w:rPr>
                <w:rFonts w:hint="eastAsia" w:ascii="宋体" w:hAnsi="宋体"/>
                <w:color w:val="auto"/>
                <w:sz w:val="24"/>
                <w:highlight w:val="none"/>
              </w:rPr>
              <w:t>下</w:t>
            </w:r>
            <w:r>
              <w:rPr>
                <w:rFonts w:ascii="宋体" w:hAnsi="宋体"/>
                <w:color w:val="auto"/>
                <w:sz w:val="24"/>
                <w:highlight w:val="none"/>
              </w:rPr>
              <w:t>表。</w:t>
            </w:r>
          </w:p>
          <w:p w14:paraId="7F2FA083">
            <w:pPr>
              <w:jc w:val="center"/>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表2-5主要生产设备一览表</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2302"/>
              <w:gridCol w:w="932"/>
              <w:gridCol w:w="960"/>
              <w:gridCol w:w="3739"/>
            </w:tblGrid>
            <w:tr w14:paraId="0904CB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4E5E898D">
                  <w:pPr>
                    <w:jc w:val="center"/>
                    <w:rPr>
                      <w:color w:val="auto"/>
                      <w:highlight w:val="none"/>
                    </w:rPr>
                  </w:pPr>
                  <w:r>
                    <w:rPr>
                      <w:rFonts w:ascii="宋体" w:hAnsi="宋体"/>
                      <w:color w:val="auto"/>
                      <w:highlight w:val="none"/>
                    </w:rPr>
                    <w:t>序号</w:t>
                  </w:r>
                </w:p>
              </w:tc>
              <w:tc>
                <w:tcPr>
                  <w:tcW w:w="1336" w:type="pct"/>
                  <w:tcBorders>
                    <w:tl2br w:val="nil"/>
                    <w:tr2bl w:val="nil"/>
                  </w:tcBorders>
                  <w:noWrap w:val="0"/>
                  <w:vAlign w:val="center"/>
                </w:tcPr>
                <w:p w14:paraId="40DFAA99">
                  <w:pPr>
                    <w:jc w:val="center"/>
                    <w:rPr>
                      <w:color w:val="auto"/>
                      <w:highlight w:val="none"/>
                    </w:rPr>
                  </w:pPr>
                  <w:r>
                    <w:rPr>
                      <w:rFonts w:ascii="宋体" w:hAnsi="宋体"/>
                      <w:color w:val="auto"/>
                      <w:highlight w:val="none"/>
                    </w:rPr>
                    <w:t>设备名称</w:t>
                  </w:r>
                </w:p>
              </w:tc>
              <w:tc>
                <w:tcPr>
                  <w:tcW w:w="541" w:type="pct"/>
                  <w:tcBorders>
                    <w:tl2br w:val="nil"/>
                    <w:tr2bl w:val="nil"/>
                  </w:tcBorders>
                  <w:noWrap w:val="0"/>
                  <w:vAlign w:val="center"/>
                </w:tcPr>
                <w:p w14:paraId="5E8951D2">
                  <w:pPr>
                    <w:jc w:val="center"/>
                    <w:rPr>
                      <w:color w:val="auto"/>
                      <w:highlight w:val="none"/>
                    </w:rPr>
                  </w:pPr>
                  <w:r>
                    <w:rPr>
                      <w:rFonts w:ascii="宋体" w:hAnsi="宋体"/>
                      <w:color w:val="auto"/>
                      <w:highlight w:val="none"/>
                    </w:rPr>
                    <w:t>单位</w:t>
                  </w:r>
                </w:p>
              </w:tc>
              <w:tc>
                <w:tcPr>
                  <w:tcW w:w="557" w:type="pct"/>
                  <w:tcBorders>
                    <w:tl2br w:val="nil"/>
                    <w:tr2bl w:val="nil"/>
                  </w:tcBorders>
                  <w:noWrap w:val="0"/>
                  <w:vAlign w:val="center"/>
                </w:tcPr>
                <w:p w14:paraId="5A93327C">
                  <w:pPr>
                    <w:jc w:val="center"/>
                    <w:rPr>
                      <w:color w:val="auto"/>
                      <w:highlight w:val="none"/>
                    </w:rPr>
                  </w:pPr>
                  <w:r>
                    <w:rPr>
                      <w:rFonts w:ascii="宋体" w:hAnsi="宋体"/>
                      <w:color w:val="auto"/>
                      <w:highlight w:val="none"/>
                    </w:rPr>
                    <w:t>数量</w:t>
                  </w:r>
                </w:p>
              </w:tc>
              <w:tc>
                <w:tcPr>
                  <w:tcW w:w="2169" w:type="pct"/>
                  <w:tcBorders>
                    <w:tl2br w:val="nil"/>
                    <w:tr2bl w:val="nil"/>
                  </w:tcBorders>
                  <w:noWrap w:val="0"/>
                  <w:vAlign w:val="center"/>
                </w:tcPr>
                <w:p w14:paraId="3249F7A9">
                  <w:pPr>
                    <w:jc w:val="center"/>
                    <w:rPr>
                      <w:color w:val="auto"/>
                      <w:highlight w:val="none"/>
                    </w:rPr>
                  </w:pPr>
                  <w:r>
                    <w:rPr>
                      <w:rFonts w:ascii="宋体" w:hAnsi="宋体"/>
                      <w:color w:val="auto"/>
                      <w:highlight w:val="none"/>
                    </w:rPr>
                    <w:t>备注</w:t>
                  </w:r>
                </w:p>
              </w:tc>
            </w:tr>
            <w:tr w14:paraId="69F12D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1C985C85">
                  <w:pPr>
                    <w:jc w:val="center"/>
                    <w:rPr>
                      <w:color w:val="auto"/>
                      <w:highlight w:val="none"/>
                    </w:rPr>
                  </w:pPr>
                  <w:r>
                    <w:rPr>
                      <w:color w:val="auto"/>
                      <w:highlight w:val="none"/>
                    </w:rPr>
                    <w:t>1</w:t>
                  </w:r>
                </w:p>
              </w:tc>
              <w:tc>
                <w:tcPr>
                  <w:tcW w:w="1336" w:type="pct"/>
                  <w:tcBorders>
                    <w:tl2br w:val="nil"/>
                    <w:tr2bl w:val="nil"/>
                  </w:tcBorders>
                  <w:noWrap w:val="0"/>
                  <w:vAlign w:val="center"/>
                </w:tcPr>
                <w:p w14:paraId="1B862CD3">
                  <w:pPr>
                    <w:jc w:val="center"/>
                    <w:rPr>
                      <w:color w:val="auto"/>
                      <w:highlight w:val="none"/>
                    </w:rPr>
                  </w:pPr>
                  <w:r>
                    <w:rPr>
                      <w:rFonts w:ascii="宋体" w:hAnsi="宋体"/>
                      <w:color w:val="auto"/>
                      <w:highlight w:val="none"/>
                    </w:rPr>
                    <w:t>搅拌机</w:t>
                  </w:r>
                </w:p>
              </w:tc>
              <w:tc>
                <w:tcPr>
                  <w:tcW w:w="541" w:type="pct"/>
                  <w:tcBorders>
                    <w:tl2br w:val="nil"/>
                    <w:tr2bl w:val="nil"/>
                  </w:tcBorders>
                  <w:noWrap w:val="0"/>
                  <w:vAlign w:val="center"/>
                </w:tcPr>
                <w:p w14:paraId="66E0CA36">
                  <w:pPr>
                    <w:jc w:val="center"/>
                    <w:rPr>
                      <w:color w:val="auto"/>
                      <w:highlight w:val="none"/>
                    </w:rPr>
                  </w:pPr>
                  <w:r>
                    <w:rPr>
                      <w:rFonts w:ascii="宋体" w:hAnsi="宋体"/>
                      <w:color w:val="auto"/>
                      <w:highlight w:val="none"/>
                    </w:rPr>
                    <w:t>台</w:t>
                  </w:r>
                </w:p>
              </w:tc>
              <w:tc>
                <w:tcPr>
                  <w:tcW w:w="557" w:type="pct"/>
                  <w:tcBorders>
                    <w:tl2br w:val="nil"/>
                    <w:tr2bl w:val="nil"/>
                  </w:tcBorders>
                  <w:noWrap w:val="0"/>
                  <w:vAlign w:val="center"/>
                </w:tcPr>
                <w:p w14:paraId="1DA260B7">
                  <w:pPr>
                    <w:jc w:val="center"/>
                    <w:rPr>
                      <w:rFonts w:hint="eastAsia" w:eastAsia="宋体"/>
                      <w:color w:val="auto"/>
                      <w:highlight w:val="none"/>
                      <w:lang w:eastAsia="zh-CN"/>
                    </w:rPr>
                  </w:pPr>
                  <w:r>
                    <w:rPr>
                      <w:rFonts w:hint="eastAsia"/>
                      <w:color w:val="auto"/>
                      <w:highlight w:val="none"/>
                      <w:lang w:val="en-US" w:eastAsia="zh-CN"/>
                    </w:rPr>
                    <w:t>2</w:t>
                  </w:r>
                </w:p>
              </w:tc>
              <w:tc>
                <w:tcPr>
                  <w:tcW w:w="2169" w:type="pct"/>
                  <w:tcBorders>
                    <w:tl2br w:val="nil"/>
                    <w:tr2bl w:val="nil"/>
                  </w:tcBorders>
                  <w:noWrap w:val="0"/>
                  <w:vAlign w:val="center"/>
                </w:tcPr>
                <w:p w14:paraId="50FAF552">
                  <w:pPr>
                    <w:jc w:val="center"/>
                    <w:rPr>
                      <w:rFonts w:hint="default" w:eastAsia="宋体"/>
                      <w:color w:val="auto"/>
                      <w:highlight w:val="none"/>
                      <w:lang w:val="en-US" w:eastAsia="zh-CN"/>
                    </w:rPr>
                  </w:pPr>
                  <w:r>
                    <w:rPr>
                      <w:rFonts w:hint="eastAsia" w:eastAsia="宋体"/>
                      <w:color w:val="auto"/>
                      <w:highlight w:val="none"/>
                      <w:lang w:val="en-US" w:eastAsia="zh-CN"/>
                    </w:rPr>
                    <w:t>1</w:t>
                  </w:r>
                  <w:r>
                    <w:rPr>
                      <w:rFonts w:hint="eastAsia"/>
                      <w:color w:val="auto"/>
                      <w:highlight w:val="none"/>
                      <w:lang w:val="en-US" w:eastAsia="zh-CN"/>
                    </w:rPr>
                    <w:t>2</w:t>
                  </w:r>
                  <w:r>
                    <w:rPr>
                      <w:rFonts w:hint="eastAsia" w:eastAsia="宋体"/>
                      <w:color w:val="auto"/>
                      <w:highlight w:val="none"/>
                      <w:lang w:val="en-US" w:eastAsia="zh-CN"/>
                    </w:rPr>
                    <w:t>0型</w:t>
                  </w:r>
                </w:p>
              </w:tc>
            </w:tr>
            <w:tr w14:paraId="56F21B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6F262165">
                  <w:pPr>
                    <w:jc w:val="center"/>
                    <w:rPr>
                      <w:rFonts w:hint="eastAsia" w:eastAsia="宋体"/>
                      <w:color w:val="auto"/>
                      <w:highlight w:val="none"/>
                      <w:lang w:eastAsia="zh-CN"/>
                    </w:rPr>
                  </w:pPr>
                  <w:r>
                    <w:rPr>
                      <w:rFonts w:hint="eastAsia"/>
                      <w:color w:val="auto"/>
                      <w:highlight w:val="none"/>
                      <w:lang w:val="en-US" w:eastAsia="zh-CN"/>
                    </w:rPr>
                    <w:t>2</w:t>
                  </w:r>
                </w:p>
              </w:tc>
              <w:tc>
                <w:tcPr>
                  <w:tcW w:w="1336" w:type="pct"/>
                  <w:tcBorders>
                    <w:tl2br w:val="nil"/>
                    <w:tr2bl w:val="nil"/>
                  </w:tcBorders>
                  <w:noWrap w:val="0"/>
                  <w:vAlign w:val="center"/>
                </w:tcPr>
                <w:p w14:paraId="4898436F">
                  <w:pPr>
                    <w:jc w:val="center"/>
                    <w:rPr>
                      <w:color w:val="auto"/>
                      <w:highlight w:val="none"/>
                    </w:rPr>
                  </w:pPr>
                  <w:r>
                    <w:rPr>
                      <w:rFonts w:hint="eastAsia" w:ascii="宋体" w:hAnsi="宋体"/>
                      <w:color w:val="auto"/>
                      <w:highlight w:val="none"/>
                    </w:rPr>
                    <w:t>水泥计量系统</w:t>
                  </w:r>
                </w:p>
              </w:tc>
              <w:tc>
                <w:tcPr>
                  <w:tcW w:w="541" w:type="pct"/>
                  <w:tcBorders>
                    <w:tl2br w:val="nil"/>
                    <w:tr2bl w:val="nil"/>
                  </w:tcBorders>
                  <w:noWrap w:val="0"/>
                  <w:vAlign w:val="center"/>
                </w:tcPr>
                <w:p w14:paraId="76204A67">
                  <w:pPr>
                    <w:jc w:val="center"/>
                    <w:rPr>
                      <w:color w:val="auto"/>
                      <w:highlight w:val="none"/>
                    </w:rPr>
                  </w:pPr>
                  <w:r>
                    <w:rPr>
                      <w:rFonts w:ascii="宋体" w:hAnsi="宋体"/>
                      <w:color w:val="auto"/>
                      <w:highlight w:val="none"/>
                    </w:rPr>
                    <w:t>台</w:t>
                  </w:r>
                </w:p>
              </w:tc>
              <w:tc>
                <w:tcPr>
                  <w:tcW w:w="557" w:type="pct"/>
                  <w:tcBorders>
                    <w:tl2br w:val="nil"/>
                    <w:tr2bl w:val="nil"/>
                  </w:tcBorders>
                  <w:noWrap w:val="0"/>
                  <w:vAlign w:val="center"/>
                </w:tcPr>
                <w:p w14:paraId="195EE233">
                  <w:pPr>
                    <w:jc w:val="center"/>
                    <w:rPr>
                      <w:rFonts w:hint="eastAsia" w:eastAsia="宋体"/>
                      <w:color w:val="auto"/>
                      <w:highlight w:val="none"/>
                      <w:lang w:eastAsia="zh-CN"/>
                    </w:rPr>
                  </w:pPr>
                  <w:r>
                    <w:rPr>
                      <w:rFonts w:hint="eastAsia"/>
                      <w:color w:val="auto"/>
                      <w:highlight w:val="none"/>
                      <w:lang w:val="en-US" w:eastAsia="zh-CN"/>
                    </w:rPr>
                    <w:t>1</w:t>
                  </w:r>
                </w:p>
              </w:tc>
              <w:tc>
                <w:tcPr>
                  <w:tcW w:w="2169" w:type="pct"/>
                  <w:tcBorders>
                    <w:tl2br w:val="nil"/>
                    <w:tr2bl w:val="nil"/>
                  </w:tcBorders>
                  <w:noWrap w:val="0"/>
                  <w:vAlign w:val="center"/>
                </w:tcPr>
                <w:p w14:paraId="7A0D5565">
                  <w:pPr>
                    <w:jc w:val="center"/>
                    <w:rPr>
                      <w:rFonts w:hint="eastAsia"/>
                      <w:color w:val="auto"/>
                      <w:highlight w:val="none"/>
                    </w:rPr>
                  </w:pPr>
                  <w:r>
                    <w:rPr>
                      <w:rFonts w:hint="eastAsia" w:ascii="宋体" w:hAnsi="宋体"/>
                      <w:color w:val="auto"/>
                      <w:highlight w:val="none"/>
                    </w:rPr>
                    <w:t>包括计量斗、振动器等</w:t>
                  </w:r>
                </w:p>
              </w:tc>
            </w:tr>
            <w:tr w14:paraId="39B8AD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1FCC8D4A">
                  <w:pPr>
                    <w:jc w:val="center"/>
                    <w:rPr>
                      <w:rFonts w:hint="eastAsia" w:eastAsia="宋体"/>
                      <w:color w:val="auto"/>
                      <w:highlight w:val="none"/>
                      <w:lang w:eastAsia="zh-CN"/>
                    </w:rPr>
                  </w:pPr>
                  <w:r>
                    <w:rPr>
                      <w:rFonts w:hint="eastAsia"/>
                      <w:color w:val="auto"/>
                      <w:highlight w:val="none"/>
                      <w:lang w:val="en-US" w:eastAsia="zh-CN"/>
                    </w:rPr>
                    <w:t>3</w:t>
                  </w:r>
                </w:p>
              </w:tc>
              <w:tc>
                <w:tcPr>
                  <w:tcW w:w="1336" w:type="pct"/>
                  <w:tcBorders>
                    <w:tl2br w:val="nil"/>
                    <w:tr2bl w:val="nil"/>
                  </w:tcBorders>
                  <w:noWrap w:val="0"/>
                  <w:vAlign w:val="center"/>
                </w:tcPr>
                <w:p w14:paraId="6C846B4B">
                  <w:pPr>
                    <w:jc w:val="center"/>
                    <w:rPr>
                      <w:color w:val="auto"/>
                      <w:highlight w:val="none"/>
                    </w:rPr>
                  </w:pPr>
                  <w:r>
                    <w:rPr>
                      <w:rFonts w:hint="eastAsia" w:ascii="宋体" w:hAnsi="宋体"/>
                      <w:color w:val="auto"/>
                      <w:highlight w:val="none"/>
                      <w:lang w:val="en-US" w:eastAsia="zh-CN"/>
                    </w:rPr>
                    <w:t>水泥</w:t>
                  </w:r>
                  <w:r>
                    <w:rPr>
                      <w:rFonts w:hint="eastAsia" w:ascii="宋体" w:hAnsi="宋体"/>
                      <w:color w:val="auto"/>
                      <w:highlight w:val="none"/>
                    </w:rPr>
                    <w:t>/粉煤灰计量系统</w:t>
                  </w:r>
                </w:p>
              </w:tc>
              <w:tc>
                <w:tcPr>
                  <w:tcW w:w="541" w:type="pct"/>
                  <w:tcBorders>
                    <w:tl2br w:val="nil"/>
                    <w:tr2bl w:val="nil"/>
                  </w:tcBorders>
                  <w:noWrap w:val="0"/>
                  <w:vAlign w:val="center"/>
                </w:tcPr>
                <w:p w14:paraId="64F53DDB">
                  <w:pPr>
                    <w:jc w:val="center"/>
                    <w:rPr>
                      <w:color w:val="auto"/>
                      <w:highlight w:val="none"/>
                    </w:rPr>
                  </w:pPr>
                  <w:r>
                    <w:rPr>
                      <w:rFonts w:hint="eastAsia"/>
                      <w:color w:val="auto"/>
                      <w:highlight w:val="none"/>
                    </w:rPr>
                    <w:t>套</w:t>
                  </w:r>
                </w:p>
              </w:tc>
              <w:tc>
                <w:tcPr>
                  <w:tcW w:w="557" w:type="pct"/>
                  <w:tcBorders>
                    <w:tl2br w:val="nil"/>
                    <w:tr2bl w:val="nil"/>
                  </w:tcBorders>
                  <w:noWrap w:val="0"/>
                  <w:vAlign w:val="center"/>
                </w:tcPr>
                <w:p w14:paraId="46A53EDD">
                  <w:pPr>
                    <w:jc w:val="center"/>
                    <w:rPr>
                      <w:rFonts w:hint="eastAsia" w:eastAsia="宋体"/>
                      <w:color w:val="auto"/>
                      <w:highlight w:val="none"/>
                      <w:lang w:eastAsia="zh-CN"/>
                    </w:rPr>
                  </w:pPr>
                  <w:r>
                    <w:rPr>
                      <w:rFonts w:hint="eastAsia"/>
                      <w:color w:val="auto"/>
                      <w:highlight w:val="none"/>
                      <w:lang w:val="en-US" w:eastAsia="zh-CN"/>
                    </w:rPr>
                    <w:t>1</w:t>
                  </w:r>
                </w:p>
              </w:tc>
              <w:tc>
                <w:tcPr>
                  <w:tcW w:w="2169" w:type="pct"/>
                  <w:tcBorders>
                    <w:tl2br w:val="nil"/>
                    <w:tr2bl w:val="nil"/>
                  </w:tcBorders>
                  <w:noWrap w:val="0"/>
                  <w:vAlign w:val="center"/>
                </w:tcPr>
                <w:p w14:paraId="2589EAB0">
                  <w:pPr>
                    <w:jc w:val="center"/>
                    <w:rPr>
                      <w:color w:val="auto"/>
                      <w:highlight w:val="none"/>
                    </w:rPr>
                  </w:pPr>
                  <w:r>
                    <w:rPr>
                      <w:rFonts w:hint="eastAsia" w:ascii="宋体" w:hAnsi="宋体"/>
                      <w:color w:val="auto"/>
                      <w:highlight w:val="none"/>
                    </w:rPr>
                    <w:t>包括计量斗、振动器等</w:t>
                  </w:r>
                </w:p>
              </w:tc>
            </w:tr>
            <w:tr w14:paraId="52AC32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3374252E">
                  <w:pPr>
                    <w:jc w:val="center"/>
                    <w:rPr>
                      <w:rFonts w:hint="eastAsia" w:eastAsia="宋体"/>
                      <w:color w:val="auto"/>
                      <w:highlight w:val="none"/>
                      <w:lang w:eastAsia="zh-CN"/>
                    </w:rPr>
                  </w:pPr>
                  <w:r>
                    <w:rPr>
                      <w:rFonts w:hint="eastAsia"/>
                      <w:color w:val="auto"/>
                      <w:highlight w:val="none"/>
                      <w:lang w:val="en-US" w:eastAsia="zh-CN"/>
                    </w:rPr>
                    <w:t>4</w:t>
                  </w:r>
                </w:p>
              </w:tc>
              <w:tc>
                <w:tcPr>
                  <w:tcW w:w="1336" w:type="pct"/>
                  <w:tcBorders>
                    <w:tl2br w:val="nil"/>
                    <w:tr2bl w:val="nil"/>
                  </w:tcBorders>
                  <w:noWrap w:val="0"/>
                  <w:vAlign w:val="center"/>
                </w:tcPr>
                <w:p w14:paraId="6F1A245E">
                  <w:pPr>
                    <w:jc w:val="center"/>
                    <w:rPr>
                      <w:rFonts w:hint="eastAsia" w:ascii="宋体" w:hAnsi="宋体"/>
                      <w:color w:val="auto"/>
                      <w:highlight w:val="none"/>
                    </w:rPr>
                  </w:pPr>
                  <w:r>
                    <w:rPr>
                      <w:rFonts w:hint="eastAsia" w:ascii="宋体" w:hAnsi="宋体"/>
                      <w:color w:val="auto"/>
                      <w:highlight w:val="none"/>
                    </w:rPr>
                    <w:t>水计量及供水系统</w:t>
                  </w:r>
                </w:p>
              </w:tc>
              <w:tc>
                <w:tcPr>
                  <w:tcW w:w="541" w:type="pct"/>
                  <w:tcBorders>
                    <w:tl2br w:val="nil"/>
                    <w:tr2bl w:val="nil"/>
                  </w:tcBorders>
                  <w:noWrap w:val="0"/>
                  <w:vAlign w:val="center"/>
                </w:tcPr>
                <w:p w14:paraId="59DF7490">
                  <w:pPr>
                    <w:jc w:val="center"/>
                    <w:rPr>
                      <w:color w:val="auto"/>
                      <w:highlight w:val="none"/>
                    </w:rPr>
                  </w:pPr>
                  <w:r>
                    <w:rPr>
                      <w:rFonts w:hint="eastAsia"/>
                      <w:color w:val="auto"/>
                      <w:highlight w:val="none"/>
                    </w:rPr>
                    <w:t>套</w:t>
                  </w:r>
                </w:p>
              </w:tc>
              <w:tc>
                <w:tcPr>
                  <w:tcW w:w="557" w:type="pct"/>
                  <w:tcBorders>
                    <w:tl2br w:val="nil"/>
                    <w:tr2bl w:val="nil"/>
                  </w:tcBorders>
                  <w:noWrap w:val="0"/>
                  <w:vAlign w:val="center"/>
                </w:tcPr>
                <w:p w14:paraId="2C4D5D4C">
                  <w:pPr>
                    <w:jc w:val="center"/>
                    <w:rPr>
                      <w:color w:val="auto"/>
                      <w:highlight w:val="none"/>
                    </w:rPr>
                  </w:pPr>
                  <w:r>
                    <w:rPr>
                      <w:color w:val="auto"/>
                      <w:highlight w:val="none"/>
                    </w:rPr>
                    <w:t>2</w:t>
                  </w:r>
                </w:p>
              </w:tc>
              <w:tc>
                <w:tcPr>
                  <w:tcW w:w="2169" w:type="pct"/>
                  <w:tcBorders>
                    <w:tl2br w:val="nil"/>
                    <w:tr2bl w:val="nil"/>
                  </w:tcBorders>
                  <w:noWrap w:val="0"/>
                  <w:vAlign w:val="center"/>
                </w:tcPr>
                <w:p w14:paraId="22A18A06">
                  <w:pPr>
                    <w:jc w:val="center"/>
                    <w:rPr>
                      <w:rFonts w:hint="eastAsia"/>
                      <w:color w:val="auto"/>
                      <w:highlight w:val="none"/>
                    </w:rPr>
                  </w:pPr>
                  <w:r>
                    <w:rPr>
                      <w:rFonts w:hint="eastAsia" w:ascii="宋体" w:hAnsi="宋体"/>
                      <w:color w:val="auto"/>
                      <w:highlight w:val="none"/>
                    </w:rPr>
                    <w:t>包括计量斗、水泵、供水管路等</w:t>
                  </w:r>
                </w:p>
              </w:tc>
            </w:tr>
            <w:tr w14:paraId="035E42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540B9880">
                  <w:pPr>
                    <w:jc w:val="center"/>
                    <w:rPr>
                      <w:rFonts w:hint="eastAsia" w:eastAsia="宋体"/>
                      <w:color w:val="auto"/>
                      <w:highlight w:val="none"/>
                      <w:lang w:eastAsia="zh-CN"/>
                    </w:rPr>
                  </w:pPr>
                  <w:r>
                    <w:rPr>
                      <w:rFonts w:hint="eastAsia"/>
                      <w:color w:val="auto"/>
                      <w:highlight w:val="none"/>
                      <w:lang w:val="en-US" w:eastAsia="zh-CN"/>
                    </w:rPr>
                    <w:t>5</w:t>
                  </w:r>
                </w:p>
              </w:tc>
              <w:tc>
                <w:tcPr>
                  <w:tcW w:w="1336" w:type="pct"/>
                  <w:tcBorders>
                    <w:tl2br w:val="nil"/>
                    <w:tr2bl w:val="nil"/>
                  </w:tcBorders>
                  <w:noWrap w:val="0"/>
                  <w:vAlign w:val="center"/>
                </w:tcPr>
                <w:p w14:paraId="1CA7BFD4">
                  <w:pPr>
                    <w:jc w:val="center"/>
                    <w:rPr>
                      <w:rFonts w:hint="eastAsia" w:ascii="宋体" w:hAnsi="宋体"/>
                      <w:color w:val="auto"/>
                      <w:highlight w:val="none"/>
                    </w:rPr>
                  </w:pPr>
                  <w:r>
                    <w:rPr>
                      <w:rFonts w:ascii="宋体" w:hAnsi="宋体"/>
                      <w:color w:val="auto"/>
                      <w:highlight w:val="none"/>
                    </w:rPr>
                    <w:t>外加剂</w:t>
                  </w:r>
                  <w:r>
                    <w:rPr>
                      <w:rFonts w:hint="eastAsia" w:ascii="宋体" w:hAnsi="宋体"/>
                      <w:color w:val="auto"/>
                      <w:highlight w:val="none"/>
                    </w:rPr>
                    <w:t>计量系统</w:t>
                  </w:r>
                </w:p>
              </w:tc>
              <w:tc>
                <w:tcPr>
                  <w:tcW w:w="541" w:type="pct"/>
                  <w:tcBorders>
                    <w:tl2br w:val="nil"/>
                    <w:tr2bl w:val="nil"/>
                  </w:tcBorders>
                  <w:noWrap w:val="0"/>
                  <w:vAlign w:val="center"/>
                </w:tcPr>
                <w:p w14:paraId="0C21A4C3">
                  <w:pPr>
                    <w:jc w:val="center"/>
                    <w:rPr>
                      <w:color w:val="auto"/>
                      <w:highlight w:val="none"/>
                    </w:rPr>
                  </w:pPr>
                  <w:r>
                    <w:rPr>
                      <w:rFonts w:hint="eastAsia"/>
                      <w:color w:val="auto"/>
                      <w:highlight w:val="none"/>
                    </w:rPr>
                    <w:t>套</w:t>
                  </w:r>
                </w:p>
              </w:tc>
              <w:tc>
                <w:tcPr>
                  <w:tcW w:w="557" w:type="pct"/>
                  <w:tcBorders>
                    <w:tl2br w:val="nil"/>
                    <w:tr2bl w:val="nil"/>
                  </w:tcBorders>
                  <w:noWrap w:val="0"/>
                  <w:vAlign w:val="center"/>
                </w:tcPr>
                <w:p w14:paraId="29ED6A36">
                  <w:pPr>
                    <w:jc w:val="center"/>
                    <w:rPr>
                      <w:rFonts w:hint="eastAsia" w:eastAsia="宋体"/>
                      <w:color w:val="auto"/>
                      <w:highlight w:val="none"/>
                      <w:lang w:eastAsia="zh-CN"/>
                    </w:rPr>
                  </w:pPr>
                  <w:r>
                    <w:rPr>
                      <w:rFonts w:hint="eastAsia"/>
                      <w:color w:val="auto"/>
                      <w:highlight w:val="none"/>
                      <w:lang w:val="en-US" w:eastAsia="zh-CN"/>
                    </w:rPr>
                    <w:t>1</w:t>
                  </w:r>
                </w:p>
              </w:tc>
              <w:tc>
                <w:tcPr>
                  <w:tcW w:w="2169" w:type="pct"/>
                  <w:tcBorders>
                    <w:tl2br w:val="nil"/>
                    <w:tr2bl w:val="nil"/>
                  </w:tcBorders>
                  <w:noWrap w:val="0"/>
                  <w:vAlign w:val="center"/>
                </w:tcPr>
                <w:p w14:paraId="5448C531">
                  <w:pPr>
                    <w:jc w:val="center"/>
                    <w:rPr>
                      <w:rFonts w:hint="eastAsia"/>
                      <w:color w:val="auto"/>
                      <w:highlight w:val="none"/>
                    </w:rPr>
                  </w:pPr>
                  <w:r>
                    <w:rPr>
                      <w:rFonts w:hint="eastAsia" w:ascii="宋体" w:hAnsi="宋体"/>
                      <w:color w:val="auto"/>
                      <w:highlight w:val="none"/>
                    </w:rPr>
                    <w:t>包括计量斗、供液管路等</w:t>
                  </w:r>
                </w:p>
              </w:tc>
            </w:tr>
            <w:tr w14:paraId="581764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73057E1C">
                  <w:pPr>
                    <w:jc w:val="center"/>
                    <w:rPr>
                      <w:rFonts w:hint="eastAsia" w:eastAsia="宋体"/>
                      <w:color w:val="auto"/>
                      <w:highlight w:val="none"/>
                      <w:lang w:eastAsia="zh-CN"/>
                    </w:rPr>
                  </w:pPr>
                  <w:r>
                    <w:rPr>
                      <w:rFonts w:hint="eastAsia"/>
                      <w:color w:val="auto"/>
                      <w:highlight w:val="none"/>
                      <w:lang w:val="en-US" w:eastAsia="zh-CN"/>
                    </w:rPr>
                    <w:t>6</w:t>
                  </w:r>
                </w:p>
              </w:tc>
              <w:tc>
                <w:tcPr>
                  <w:tcW w:w="1336" w:type="pct"/>
                  <w:tcBorders>
                    <w:tl2br w:val="nil"/>
                    <w:tr2bl w:val="nil"/>
                  </w:tcBorders>
                  <w:noWrap w:val="0"/>
                  <w:vAlign w:val="center"/>
                </w:tcPr>
                <w:p w14:paraId="656378FB">
                  <w:pPr>
                    <w:jc w:val="center"/>
                    <w:rPr>
                      <w:color w:val="auto"/>
                      <w:highlight w:val="none"/>
                    </w:rPr>
                  </w:pPr>
                  <w:r>
                    <w:rPr>
                      <w:rFonts w:ascii="宋体" w:hAnsi="宋体"/>
                      <w:color w:val="auto"/>
                      <w:highlight w:val="none"/>
                    </w:rPr>
                    <w:t>装载机</w:t>
                  </w:r>
                </w:p>
              </w:tc>
              <w:tc>
                <w:tcPr>
                  <w:tcW w:w="541" w:type="pct"/>
                  <w:tcBorders>
                    <w:tl2br w:val="nil"/>
                    <w:tr2bl w:val="nil"/>
                  </w:tcBorders>
                  <w:noWrap w:val="0"/>
                  <w:vAlign w:val="center"/>
                </w:tcPr>
                <w:p w14:paraId="3A2CE604">
                  <w:pPr>
                    <w:jc w:val="center"/>
                    <w:rPr>
                      <w:color w:val="auto"/>
                      <w:highlight w:val="none"/>
                    </w:rPr>
                  </w:pPr>
                  <w:r>
                    <w:rPr>
                      <w:rFonts w:ascii="宋体" w:hAnsi="宋体"/>
                      <w:color w:val="auto"/>
                      <w:highlight w:val="none"/>
                    </w:rPr>
                    <w:t>辆</w:t>
                  </w:r>
                </w:p>
              </w:tc>
              <w:tc>
                <w:tcPr>
                  <w:tcW w:w="557" w:type="pct"/>
                  <w:tcBorders>
                    <w:tl2br w:val="nil"/>
                    <w:tr2bl w:val="nil"/>
                  </w:tcBorders>
                  <w:noWrap w:val="0"/>
                  <w:vAlign w:val="center"/>
                </w:tcPr>
                <w:p w14:paraId="073946AB">
                  <w:pPr>
                    <w:jc w:val="center"/>
                    <w:rPr>
                      <w:rFonts w:hint="eastAsia" w:eastAsia="宋体"/>
                      <w:color w:val="auto"/>
                      <w:highlight w:val="none"/>
                      <w:lang w:eastAsia="zh-CN"/>
                    </w:rPr>
                  </w:pPr>
                  <w:r>
                    <w:rPr>
                      <w:rFonts w:hint="eastAsia"/>
                      <w:color w:val="auto"/>
                      <w:highlight w:val="none"/>
                      <w:lang w:val="en-US" w:eastAsia="zh-CN"/>
                    </w:rPr>
                    <w:t>4</w:t>
                  </w:r>
                </w:p>
              </w:tc>
              <w:tc>
                <w:tcPr>
                  <w:tcW w:w="2169" w:type="pct"/>
                  <w:tcBorders>
                    <w:tl2br w:val="nil"/>
                    <w:tr2bl w:val="nil"/>
                  </w:tcBorders>
                  <w:noWrap w:val="0"/>
                  <w:vAlign w:val="center"/>
                </w:tcPr>
                <w:p w14:paraId="74703A77">
                  <w:pPr>
                    <w:jc w:val="center"/>
                    <w:rPr>
                      <w:rFonts w:hint="eastAsia" w:eastAsia="宋体"/>
                      <w:color w:val="auto"/>
                      <w:highlight w:val="none"/>
                      <w:lang w:eastAsia="zh-CN"/>
                    </w:rPr>
                  </w:pPr>
                  <w:r>
                    <w:rPr>
                      <w:rFonts w:hint="eastAsia"/>
                      <w:color w:val="auto"/>
                      <w:highlight w:val="none"/>
                      <w:lang w:val="en-US" w:eastAsia="zh-CN"/>
                    </w:rPr>
                    <w:t>/</w:t>
                  </w:r>
                </w:p>
              </w:tc>
            </w:tr>
            <w:tr w14:paraId="42EFA0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4FCB1892">
                  <w:pPr>
                    <w:jc w:val="center"/>
                    <w:rPr>
                      <w:rFonts w:hint="eastAsia" w:eastAsia="宋体"/>
                      <w:color w:val="auto"/>
                      <w:highlight w:val="none"/>
                      <w:lang w:eastAsia="zh-CN"/>
                    </w:rPr>
                  </w:pPr>
                  <w:r>
                    <w:rPr>
                      <w:rFonts w:hint="eastAsia"/>
                      <w:color w:val="auto"/>
                      <w:highlight w:val="none"/>
                      <w:lang w:val="en-US" w:eastAsia="zh-CN"/>
                    </w:rPr>
                    <w:t>7</w:t>
                  </w:r>
                </w:p>
              </w:tc>
              <w:tc>
                <w:tcPr>
                  <w:tcW w:w="1336" w:type="pct"/>
                  <w:tcBorders>
                    <w:tl2br w:val="nil"/>
                    <w:tr2bl w:val="nil"/>
                  </w:tcBorders>
                  <w:noWrap w:val="0"/>
                  <w:vAlign w:val="center"/>
                </w:tcPr>
                <w:p w14:paraId="505F9A67">
                  <w:pPr>
                    <w:jc w:val="center"/>
                    <w:rPr>
                      <w:color w:val="auto"/>
                      <w:highlight w:val="none"/>
                    </w:rPr>
                  </w:pPr>
                  <w:r>
                    <w:rPr>
                      <w:rFonts w:hint="eastAsia" w:ascii="宋体" w:hAnsi="宋体"/>
                      <w:color w:val="auto"/>
                      <w:highlight w:val="none"/>
                      <w:lang w:val="en-US" w:eastAsia="zh-CN"/>
                    </w:rPr>
                    <w:t>水平</w:t>
                  </w:r>
                  <w:r>
                    <w:rPr>
                      <w:rFonts w:hint="eastAsia" w:ascii="宋体" w:hAnsi="宋体"/>
                      <w:color w:val="auto"/>
                      <w:highlight w:val="none"/>
                    </w:rPr>
                    <w:t>皮带输送机</w:t>
                  </w:r>
                </w:p>
              </w:tc>
              <w:tc>
                <w:tcPr>
                  <w:tcW w:w="541" w:type="pct"/>
                  <w:tcBorders>
                    <w:tl2br w:val="nil"/>
                    <w:tr2bl w:val="nil"/>
                  </w:tcBorders>
                  <w:noWrap w:val="0"/>
                  <w:vAlign w:val="center"/>
                </w:tcPr>
                <w:p w14:paraId="6B8CFE4C">
                  <w:pPr>
                    <w:jc w:val="center"/>
                    <w:rPr>
                      <w:color w:val="auto"/>
                      <w:highlight w:val="none"/>
                    </w:rPr>
                  </w:pPr>
                  <w:r>
                    <w:rPr>
                      <w:rFonts w:hint="eastAsia" w:ascii="宋体" w:hAnsi="宋体"/>
                      <w:color w:val="auto"/>
                      <w:highlight w:val="none"/>
                    </w:rPr>
                    <w:t>台</w:t>
                  </w:r>
                </w:p>
              </w:tc>
              <w:tc>
                <w:tcPr>
                  <w:tcW w:w="557" w:type="pct"/>
                  <w:tcBorders>
                    <w:tl2br w:val="nil"/>
                    <w:tr2bl w:val="nil"/>
                  </w:tcBorders>
                  <w:noWrap w:val="0"/>
                  <w:vAlign w:val="center"/>
                </w:tcPr>
                <w:p w14:paraId="614D0D00">
                  <w:pPr>
                    <w:jc w:val="center"/>
                    <w:rPr>
                      <w:rFonts w:hint="eastAsia" w:eastAsia="宋体"/>
                      <w:color w:val="auto"/>
                      <w:highlight w:val="none"/>
                      <w:lang w:eastAsia="zh-CN"/>
                    </w:rPr>
                  </w:pPr>
                  <w:r>
                    <w:rPr>
                      <w:rFonts w:hint="eastAsia"/>
                      <w:color w:val="auto"/>
                      <w:highlight w:val="none"/>
                      <w:lang w:val="en-US" w:eastAsia="zh-CN"/>
                    </w:rPr>
                    <w:t>1</w:t>
                  </w:r>
                </w:p>
              </w:tc>
              <w:tc>
                <w:tcPr>
                  <w:tcW w:w="2169" w:type="pct"/>
                  <w:tcBorders>
                    <w:tl2br w:val="nil"/>
                    <w:tr2bl w:val="nil"/>
                  </w:tcBorders>
                  <w:noWrap w:val="0"/>
                  <w:vAlign w:val="center"/>
                </w:tcPr>
                <w:p w14:paraId="360E949D">
                  <w:pPr>
                    <w:jc w:val="center"/>
                    <w:rPr>
                      <w:color w:val="auto"/>
                      <w:highlight w:val="none"/>
                    </w:rPr>
                  </w:pPr>
                  <w:r>
                    <w:rPr>
                      <w:rFonts w:hint="eastAsia"/>
                      <w:color w:val="auto"/>
                      <w:highlight w:val="none"/>
                    </w:rPr>
                    <w:t>/</w:t>
                  </w:r>
                </w:p>
              </w:tc>
            </w:tr>
            <w:tr w14:paraId="179A7F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0AE6C142">
                  <w:pPr>
                    <w:jc w:val="center"/>
                    <w:rPr>
                      <w:rFonts w:hint="default"/>
                      <w:color w:val="auto"/>
                      <w:highlight w:val="none"/>
                      <w:lang w:val="en-US" w:eastAsia="zh-CN"/>
                    </w:rPr>
                  </w:pPr>
                  <w:r>
                    <w:rPr>
                      <w:rFonts w:hint="eastAsia"/>
                      <w:color w:val="auto"/>
                      <w:highlight w:val="none"/>
                      <w:lang w:val="en-US" w:eastAsia="zh-CN"/>
                    </w:rPr>
                    <w:t>8</w:t>
                  </w:r>
                </w:p>
              </w:tc>
              <w:tc>
                <w:tcPr>
                  <w:tcW w:w="1336" w:type="pct"/>
                  <w:tcBorders>
                    <w:tl2br w:val="nil"/>
                    <w:tr2bl w:val="nil"/>
                  </w:tcBorders>
                  <w:noWrap w:val="0"/>
                  <w:vAlign w:val="center"/>
                </w:tcPr>
                <w:p w14:paraId="6856CD91">
                  <w:pPr>
                    <w:jc w:val="center"/>
                    <w:rPr>
                      <w:rFonts w:hint="eastAsia" w:ascii="宋体" w:hAnsi="宋体"/>
                      <w:color w:val="auto"/>
                      <w:highlight w:val="none"/>
                      <w:lang w:val="en-US" w:eastAsia="zh-CN"/>
                    </w:rPr>
                  </w:pPr>
                  <w:r>
                    <w:rPr>
                      <w:rFonts w:hint="eastAsia" w:ascii="宋体" w:hAnsi="宋体"/>
                      <w:color w:val="auto"/>
                      <w:highlight w:val="none"/>
                    </w:rPr>
                    <w:t>过渡皮带机</w:t>
                  </w:r>
                </w:p>
              </w:tc>
              <w:tc>
                <w:tcPr>
                  <w:tcW w:w="541" w:type="pct"/>
                  <w:tcBorders>
                    <w:tl2br w:val="nil"/>
                    <w:tr2bl w:val="nil"/>
                  </w:tcBorders>
                  <w:noWrap w:val="0"/>
                  <w:vAlign w:val="center"/>
                </w:tcPr>
                <w:p w14:paraId="612272AC">
                  <w:pPr>
                    <w:jc w:val="center"/>
                    <w:rPr>
                      <w:rFonts w:hint="eastAsia" w:ascii="宋体" w:hAnsi="宋体"/>
                      <w:color w:val="auto"/>
                      <w:highlight w:val="none"/>
                    </w:rPr>
                  </w:pPr>
                  <w:r>
                    <w:rPr>
                      <w:rFonts w:hint="eastAsia" w:ascii="宋体" w:hAnsi="宋体"/>
                      <w:color w:val="auto"/>
                      <w:highlight w:val="none"/>
                    </w:rPr>
                    <w:t>台</w:t>
                  </w:r>
                </w:p>
              </w:tc>
              <w:tc>
                <w:tcPr>
                  <w:tcW w:w="557" w:type="pct"/>
                  <w:tcBorders>
                    <w:tl2br w:val="nil"/>
                    <w:tr2bl w:val="nil"/>
                  </w:tcBorders>
                  <w:noWrap w:val="0"/>
                  <w:vAlign w:val="center"/>
                </w:tcPr>
                <w:p w14:paraId="6672FF18">
                  <w:pPr>
                    <w:jc w:val="center"/>
                    <w:rPr>
                      <w:rFonts w:hint="eastAsia"/>
                      <w:color w:val="auto"/>
                      <w:highlight w:val="none"/>
                      <w:lang w:val="en-US" w:eastAsia="zh-CN"/>
                    </w:rPr>
                  </w:pPr>
                  <w:r>
                    <w:rPr>
                      <w:rFonts w:hint="eastAsia"/>
                      <w:color w:val="auto"/>
                      <w:highlight w:val="none"/>
                      <w:lang w:val="en-US" w:eastAsia="zh-CN"/>
                    </w:rPr>
                    <w:t>1</w:t>
                  </w:r>
                </w:p>
              </w:tc>
              <w:tc>
                <w:tcPr>
                  <w:tcW w:w="2169" w:type="pct"/>
                  <w:tcBorders>
                    <w:tl2br w:val="nil"/>
                    <w:tr2bl w:val="nil"/>
                  </w:tcBorders>
                  <w:noWrap w:val="0"/>
                  <w:vAlign w:val="center"/>
                </w:tcPr>
                <w:p w14:paraId="452C5126">
                  <w:pPr>
                    <w:jc w:val="center"/>
                    <w:rPr>
                      <w:rFonts w:hint="eastAsia" w:eastAsia="宋体"/>
                      <w:color w:val="auto"/>
                      <w:highlight w:val="none"/>
                      <w:lang w:val="en-US" w:eastAsia="zh-CN"/>
                    </w:rPr>
                  </w:pPr>
                  <w:r>
                    <w:rPr>
                      <w:rFonts w:hint="eastAsia"/>
                      <w:color w:val="auto"/>
                      <w:highlight w:val="none"/>
                      <w:lang w:val="en-US" w:eastAsia="zh-CN"/>
                    </w:rPr>
                    <w:t>/</w:t>
                  </w:r>
                </w:p>
              </w:tc>
            </w:tr>
            <w:tr w14:paraId="1599F1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4566010A">
                  <w:pPr>
                    <w:jc w:val="center"/>
                    <w:rPr>
                      <w:rFonts w:hint="default"/>
                      <w:color w:val="auto"/>
                      <w:highlight w:val="none"/>
                      <w:lang w:val="en-US" w:eastAsia="zh-CN"/>
                    </w:rPr>
                  </w:pPr>
                  <w:r>
                    <w:rPr>
                      <w:rFonts w:hint="eastAsia"/>
                      <w:color w:val="auto"/>
                      <w:highlight w:val="none"/>
                      <w:lang w:val="en-US" w:eastAsia="zh-CN"/>
                    </w:rPr>
                    <w:t>9</w:t>
                  </w:r>
                </w:p>
              </w:tc>
              <w:tc>
                <w:tcPr>
                  <w:tcW w:w="1336" w:type="pct"/>
                  <w:tcBorders>
                    <w:tl2br w:val="nil"/>
                    <w:tr2bl w:val="nil"/>
                  </w:tcBorders>
                  <w:noWrap w:val="0"/>
                  <w:vAlign w:val="center"/>
                </w:tcPr>
                <w:p w14:paraId="2B4E6975">
                  <w:pPr>
                    <w:jc w:val="center"/>
                    <w:rPr>
                      <w:rFonts w:hint="eastAsia" w:ascii="宋体" w:hAnsi="宋体"/>
                      <w:color w:val="auto"/>
                      <w:highlight w:val="none"/>
                    </w:rPr>
                  </w:pPr>
                  <w:r>
                    <w:rPr>
                      <w:rFonts w:hint="eastAsia" w:ascii="宋体" w:hAnsi="宋体"/>
                      <w:color w:val="auto"/>
                      <w:highlight w:val="none"/>
                    </w:rPr>
                    <w:t>斜皮带机</w:t>
                  </w:r>
                </w:p>
              </w:tc>
              <w:tc>
                <w:tcPr>
                  <w:tcW w:w="541" w:type="pct"/>
                  <w:tcBorders>
                    <w:tl2br w:val="nil"/>
                    <w:tr2bl w:val="nil"/>
                  </w:tcBorders>
                  <w:noWrap w:val="0"/>
                  <w:vAlign w:val="center"/>
                </w:tcPr>
                <w:p w14:paraId="756AA5B0">
                  <w:pPr>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台</w:t>
                  </w:r>
                </w:p>
              </w:tc>
              <w:tc>
                <w:tcPr>
                  <w:tcW w:w="557" w:type="pct"/>
                  <w:tcBorders>
                    <w:tl2br w:val="nil"/>
                    <w:tr2bl w:val="nil"/>
                  </w:tcBorders>
                  <w:noWrap w:val="0"/>
                  <w:vAlign w:val="center"/>
                </w:tcPr>
                <w:p w14:paraId="5826F5A5">
                  <w:pPr>
                    <w:jc w:val="center"/>
                    <w:rPr>
                      <w:rFonts w:hint="default"/>
                      <w:color w:val="auto"/>
                      <w:highlight w:val="none"/>
                      <w:lang w:val="en-US" w:eastAsia="zh-CN"/>
                    </w:rPr>
                  </w:pPr>
                  <w:r>
                    <w:rPr>
                      <w:rFonts w:hint="eastAsia"/>
                      <w:color w:val="auto"/>
                      <w:highlight w:val="none"/>
                      <w:lang w:val="en-US" w:eastAsia="zh-CN"/>
                    </w:rPr>
                    <w:t>1</w:t>
                  </w:r>
                </w:p>
              </w:tc>
              <w:tc>
                <w:tcPr>
                  <w:tcW w:w="2169" w:type="pct"/>
                  <w:tcBorders>
                    <w:tl2br w:val="nil"/>
                    <w:tr2bl w:val="nil"/>
                  </w:tcBorders>
                  <w:noWrap w:val="0"/>
                  <w:vAlign w:val="center"/>
                </w:tcPr>
                <w:p w14:paraId="61AD6C34">
                  <w:pPr>
                    <w:jc w:val="center"/>
                    <w:rPr>
                      <w:rFonts w:hint="eastAsia" w:eastAsia="宋体"/>
                      <w:color w:val="auto"/>
                      <w:highlight w:val="none"/>
                      <w:lang w:val="en-US" w:eastAsia="zh-CN"/>
                    </w:rPr>
                  </w:pPr>
                  <w:r>
                    <w:rPr>
                      <w:rFonts w:hint="eastAsia"/>
                      <w:color w:val="auto"/>
                      <w:highlight w:val="none"/>
                      <w:lang w:val="en-US" w:eastAsia="zh-CN"/>
                    </w:rPr>
                    <w:t>/</w:t>
                  </w:r>
                </w:p>
              </w:tc>
            </w:tr>
            <w:tr w14:paraId="78849A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4C1508E3">
                  <w:pPr>
                    <w:jc w:val="center"/>
                    <w:rPr>
                      <w:rFonts w:hint="default" w:eastAsia="宋体"/>
                      <w:color w:val="auto"/>
                      <w:highlight w:val="none"/>
                      <w:lang w:val="en-US" w:eastAsia="zh-CN"/>
                    </w:rPr>
                  </w:pPr>
                  <w:r>
                    <w:rPr>
                      <w:rFonts w:hint="eastAsia"/>
                      <w:color w:val="auto"/>
                      <w:highlight w:val="none"/>
                      <w:lang w:val="en-US" w:eastAsia="zh-CN"/>
                    </w:rPr>
                    <w:t>10</w:t>
                  </w:r>
                </w:p>
              </w:tc>
              <w:tc>
                <w:tcPr>
                  <w:tcW w:w="1336" w:type="pct"/>
                  <w:tcBorders>
                    <w:tl2br w:val="nil"/>
                    <w:tr2bl w:val="nil"/>
                  </w:tcBorders>
                  <w:noWrap w:val="0"/>
                  <w:vAlign w:val="center"/>
                </w:tcPr>
                <w:p w14:paraId="61E8DA0F">
                  <w:pPr>
                    <w:jc w:val="center"/>
                    <w:rPr>
                      <w:rFonts w:hint="eastAsia" w:ascii="宋体" w:hAnsi="宋体"/>
                      <w:color w:val="auto"/>
                      <w:highlight w:val="none"/>
                    </w:rPr>
                  </w:pPr>
                  <w:r>
                    <w:rPr>
                      <w:rFonts w:hint="eastAsia" w:ascii="宋体" w:hAnsi="宋体"/>
                      <w:color w:val="auto"/>
                      <w:highlight w:val="none"/>
                    </w:rPr>
                    <w:t>螺旋输送机</w:t>
                  </w:r>
                </w:p>
              </w:tc>
              <w:tc>
                <w:tcPr>
                  <w:tcW w:w="541" w:type="pct"/>
                  <w:tcBorders>
                    <w:tl2br w:val="nil"/>
                    <w:tr2bl w:val="nil"/>
                  </w:tcBorders>
                  <w:noWrap w:val="0"/>
                  <w:vAlign w:val="center"/>
                </w:tcPr>
                <w:p w14:paraId="1B485286">
                  <w:pPr>
                    <w:jc w:val="center"/>
                    <w:rPr>
                      <w:color w:val="auto"/>
                      <w:highlight w:val="none"/>
                    </w:rPr>
                  </w:pPr>
                  <w:r>
                    <w:rPr>
                      <w:rFonts w:hint="eastAsia" w:ascii="宋体" w:hAnsi="宋体"/>
                      <w:color w:val="auto"/>
                      <w:highlight w:val="none"/>
                    </w:rPr>
                    <w:t>台</w:t>
                  </w:r>
                </w:p>
              </w:tc>
              <w:tc>
                <w:tcPr>
                  <w:tcW w:w="557" w:type="pct"/>
                  <w:tcBorders>
                    <w:tl2br w:val="nil"/>
                    <w:tr2bl w:val="nil"/>
                  </w:tcBorders>
                  <w:noWrap w:val="0"/>
                  <w:vAlign w:val="center"/>
                </w:tcPr>
                <w:p w14:paraId="612967F1">
                  <w:pPr>
                    <w:jc w:val="center"/>
                    <w:rPr>
                      <w:rFonts w:hint="default" w:eastAsia="宋体"/>
                      <w:color w:val="auto"/>
                      <w:highlight w:val="none"/>
                      <w:lang w:val="en-US" w:eastAsia="zh-CN"/>
                    </w:rPr>
                  </w:pPr>
                  <w:r>
                    <w:rPr>
                      <w:rFonts w:hint="eastAsia"/>
                      <w:color w:val="auto"/>
                      <w:highlight w:val="none"/>
                      <w:lang w:val="en-US" w:eastAsia="zh-CN"/>
                    </w:rPr>
                    <w:t>10</w:t>
                  </w:r>
                </w:p>
              </w:tc>
              <w:tc>
                <w:tcPr>
                  <w:tcW w:w="2169" w:type="pct"/>
                  <w:tcBorders>
                    <w:tl2br w:val="nil"/>
                    <w:tr2bl w:val="nil"/>
                  </w:tcBorders>
                  <w:noWrap w:val="0"/>
                  <w:vAlign w:val="center"/>
                </w:tcPr>
                <w:p w14:paraId="561219AF">
                  <w:pPr>
                    <w:jc w:val="center"/>
                    <w:rPr>
                      <w:rFonts w:hint="eastAsia"/>
                      <w:color w:val="auto"/>
                      <w:highlight w:val="none"/>
                    </w:rPr>
                  </w:pPr>
                  <w:r>
                    <w:rPr>
                      <w:rFonts w:hint="eastAsia"/>
                      <w:color w:val="auto"/>
                      <w:highlight w:val="none"/>
                    </w:rPr>
                    <w:t>/</w:t>
                  </w:r>
                </w:p>
              </w:tc>
            </w:tr>
            <w:tr w14:paraId="69BC29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3F5284D1">
                  <w:pPr>
                    <w:jc w:val="center"/>
                    <w:rPr>
                      <w:rFonts w:hint="default" w:eastAsia="宋体"/>
                      <w:color w:val="auto"/>
                      <w:highlight w:val="none"/>
                      <w:lang w:val="en-US" w:eastAsia="zh-CN"/>
                    </w:rPr>
                  </w:pPr>
                  <w:r>
                    <w:rPr>
                      <w:rFonts w:hint="eastAsia"/>
                      <w:color w:val="auto"/>
                      <w:highlight w:val="none"/>
                      <w:lang w:val="en-US" w:eastAsia="zh-CN"/>
                    </w:rPr>
                    <w:t>11</w:t>
                  </w:r>
                </w:p>
              </w:tc>
              <w:tc>
                <w:tcPr>
                  <w:tcW w:w="1336" w:type="pct"/>
                  <w:tcBorders>
                    <w:tl2br w:val="nil"/>
                    <w:tr2bl w:val="nil"/>
                  </w:tcBorders>
                  <w:noWrap w:val="0"/>
                  <w:vAlign w:val="center"/>
                </w:tcPr>
                <w:p w14:paraId="65646B9B">
                  <w:pPr>
                    <w:jc w:val="center"/>
                    <w:rPr>
                      <w:rFonts w:hint="eastAsia" w:ascii="宋体" w:hAnsi="宋体"/>
                      <w:color w:val="auto"/>
                      <w:highlight w:val="none"/>
                    </w:rPr>
                  </w:pPr>
                  <w:r>
                    <w:rPr>
                      <w:rFonts w:hint="eastAsia" w:ascii="宋体" w:hAnsi="宋体"/>
                      <w:color w:val="auto"/>
                      <w:highlight w:val="none"/>
                      <w:lang w:val="en-US" w:eastAsia="zh-CN"/>
                    </w:rPr>
                    <w:t>连</w:t>
                  </w:r>
                  <w:r>
                    <w:rPr>
                      <w:rFonts w:hint="eastAsia" w:ascii="宋体" w:hAnsi="宋体"/>
                      <w:color w:val="auto"/>
                      <w:highlight w:val="none"/>
                    </w:rPr>
                    <w:t>杆式空压机</w:t>
                  </w:r>
                </w:p>
              </w:tc>
              <w:tc>
                <w:tcPr>
                  <w:tcW w:w="541" w:type="pct"/>
                  <w:tcBorders>
                    <w:tl2br w:val="nil"/>
                    <w:tr2bl w:val="nil"/>
                  </w:tcBorders>
                  <w:noWrap w:val="0"/>
                  <w:vAlign w:val="center"/>
                </w:tcPr>
                <w:p w14:paraId="62CB766E">
                  <w:pPr>
                    <w:jc w:val="center"/>
                    <w:rPr>
                      <w:color w:val="auto"/>
                      <w:highlight w:val="none"/>
                    </w:rPr>
                  </w:pPr>
                  <w:r>
                    <w:rPr>
                      <w:rFonts w:hint="eastAsia" w:ascii="宋体" w:hAnsi="宋体"/>
                      <w:color w:val="auto"/>
                      <w:highlight w:val="none"/>
                    </w:rPr>
                    <w:t>台</w:t>
                  </w:r>
                </w:p>
              </w:tc>
              <w:tc>
                <w:tcPr>
                  <w:tcW w:w="557" w:type="pct"/>
                  <w:tcBorders>
                    <w:tl2br w:val="nil"/>
                    <w:tr2bl w:val="nil"/>
                  </w:tcBorders>
                  <w:noWrap w:val="0"/>
                  <w:vAlign w:val="center"/>
                </w:tcPr>
                <w:p w14:paraId="76C67C5F">
                  <w:pPr>
                    <w:jc w:val="center"/>
                    <w:rPr>
                      <w:color w:val="auto"/>
                      <w:highlight w:val="none"/>
                    </w:rPr>
                  </w:pPr>
                  <w:r>
                    <w:rPr>
                      <w:color w:val="auto"/>
                      <w:highlight w:val="none"/>
                    </w:rPr>
                    <w:t>2</w:t>
                  </w:r>
                </w:p>
              </w:tc>
              <w:tc>
                <w:tcPr>
                  <w:tcW w:w="2169" w:type="pct"/>
                  <w:tcBorders>
                    <w:tl2br w:val="nil"/>
                    <w:tr2bl w:val="nil"/>
                  </w:tcBorders>
                  <w:noWrap w:val="0"/>
                  <w:vAlign w:val="center"/>
                </w:tcPr>
                <w:p w14:paraId="65E46DD4">
                  <w:pPr>
                    <w:jc w:val="center"/>
                    <w:rPr>
                      <w:rFonts w:hint="eastAsia"/>
                      <w:color w:val="auto"/>
                      <w:highlight w:val="none"/>
                    </w:rPr>
                  </w:pPr>
                  <w:r>
                    <w:rPr>
                      <w:rFonts w:hint="eastAsia"/>
                      <w:color w:val="auto"/>
                      <w:highlight w:val="none"/>
                    </w:rPr>
                    <w:t>/</w:t>
                  </w:r>
                </w:p>
              </w:tc>
            </w:tr>
            <w:tr w14:paraId="6BB652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1700BCA9">
                  <w:pPr>
                    <w:jc w:val="center"/>
                    <w:rPr>
                      <w:rFonts w:hint="default" w:eastAsia="宋体"/>
                      <w:color w:val="auto"/>
                      <w:highlight w:val="none"/>
                      <w:lang w:val="en-US" w:eastAsia="zh-CN"/>
                    </w:rPr>
                  </w:pPr>
                  <w:r>
                    <w:rPr>
                      <w:rFonts w:hint="eastAsia"/>
                      <w:color w:val="auto"/>
                      <w:highlight w:val="none"/>
                      <w:lang w:val="en-US" w:eastAsia="zh-CN"/>
                    </w:rPr>
                    <w:t>12</w:t>
                  </w:r>
                </w:p>
              </w:tc>
              <w:tc>
                <w:tcPr>
                  <w:tcW w:w="1336" w:type="pct"/>
                  <w:tcBorders>
                    <w:tl2br w:val="nil"/>
                    <w:tr2bl w:val="nil"/>
                  </w:tcBorders>
                  <w:noWrap w:val="0"/>
                  <w:vAlign w:val="center"/>
                </w:tcPr>
                <w:p w14:paraId="2FF8EB40">
                  <w:pPr>
                    <w:jc w:val="center"/>
                    <w:rPr>
                      <w:rFonts w:hint="eastAsia" w:ascii="宋体" w:hAnsi="宋体"/>
                      <w:color w:val="auto"/>
                      <w:highlight w:val="none"/>
                    </w:rPr>
                  </w:pPr>
                  <w:r>
                    <w:rPr>
                      <w:rFonts w:hint="eastAsia" w:ascii="宋体" w:hAnsi="宋体"/>
                      <w:color w:val="auto"/>
                      <w:highlight w:val="none"/>
                    </w:rPr>
                    <w:t>配料站</w:t>
                  </w:r>
                </w:p>
              </w:tc>
              <w:tc>
                <w:tcPr>
                  <w:tcW w:w="541" w:type="pct"/>
                  <w:tcBorders>
                    <w:tl2br w:val="nil"/>
                    <w:tr2bl w:val="nil"/>
                  </w:tcBorders>
                  <w:noWrap w:val="0"/>
                  <w:vAlign w:val="center"/>
                </w:tcPr>
                <w:p w14:paraId="27F89548">
                  <w:pPr>
                    <w:jc w:val="center"/>
                    <w:rPr>
                      <w:color w:val="auto"/>
                      <w:highlight w:val="none"/>
                    </w:rPr>
                  </w:pPr>
                  <w:r>
                    <w:rPr>
                      <w:rFonts w:hint="eastAsia"/>
                      <w:color w:val="auto"/>
                      <w:highlight w:val="none"/>
                    </w:rPr>
                    <w:t>个</w:t>
                  </w:r>
                </w:p>
              </w:tc>
              <w:tc>
                <w:tcPr>
                  <w:tcW w:w="557" w:type="pct"/>
                  <w:tcBorders>
                    <w:tl2br w:val="nil"/>
                    <w:tr2bl w:val="nil"/>
                  </w:tcBorders>
                  <w:noWrap w:val="0"/>
                  <w:vAlign w:val="center"/>
                </w:tcPr>
                <w:p w14:paraId="5B3111C9">
                  <w:pPr>
                    <w:jc w:val="center"/>
                    <w:rPr>
                      <w:color w:val="auto"/>
                      <w:highlight w:val="none"/>
                    </w:rPr>
                  </w:pPr>
                  <w:r>
                    <w:rPr>
                      <w:color w:val="auto"/>
                      <w:highlight w:val="none"/>
                    </w:rPr>
                    <w:t>1</w:t>
                  </w:r>
                </w:p>
              </w:tc>
              <w:tc>
                <w:tcPr>
                  <w:tcW w:w="2169" w:type="pct"/>
                  <w:tcBorders>
                    <w:tl2br w:val="nil"/>
                    <w:tr2bl w:val="nil"/>
                  </w:tcBorders>
                  <w:noWrap w:val="0"/>
                  <w:vAlign w:val="center"/>
                </w:tcPr>
                <w:p w14:paraId="788B77FD">
                  <w:pPr>
                    <w:jc w:val="center"/>
                    <w:rPr>
                      <w:rFonts w:hint="eastAsia"/>
                      <w:color w:val="auto"/>
                      <w:highlight w:val="none"/>
                    </w:rPr>
                  </w:pPr>
                  <w:r>
                    <w:rPr>
                      <w:rFonts w:hint="eastAsia"/>
                      <w:color w:val="auto"/>
                      <w:highlight w:val="none"/>
                    </w:rPr>
                    <w:t>包括</w:t>
                  </w:r>
                  <w:r>
                    <w:rPr>
                      <w:rFonts w:hint="eastAsia"/>
                      <w:color w:val="auto"/>
                      <w:highlight w:val="none"/>
                      <w:lang w:val="en-US" w:eastAsia="zh-CN"/>
                    </w:rPr>
                    <w:t>4</w:t>
                  </w:r>
                  <w:r>
                    <w:rPr>
                      <w:rFonts w:hint="eastAsia"/>
                      <w:color w:val="auto"/>
                      <w:highlight w:val="none"/>
                    </w:rPr>
                    <w:t>个配料仓、计量斗、振动器，以及</w:t>
                  </w:r>
                  <w:r>
                    <w:rPr>
                      <w:rFonts w:hint="eastAsia"/>
                      <w:color w:val="auto"/>
                      <w:highlight w:val="none"/>
                      <w:lang w:val="en-US" w:eastAsia="zh-CN"/>
                    </w:rPr>
                    <w:t>1</w:t>
                  </w:r>
                  <w:r>
                    <w:rPr>
                      <w:rFonts w:hint="eastAsia"/>
                      <w:color w:val="auto"/>
                      <w:highlight w:val="none"/>
                    </w:rPr>
                    <w:t>条皮带等</w:t>
                  </w:r>
                </w:p>
              </w:tc>
            </w:tr>
            <w:tr w14:paraId="262864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1EFEB359">
                  <w:pPr>
                    <w:jc w:val="center"/>
                    <w:rPr>
                      <w:rFonts w:hint="default"/>
                      <w:color w:val="auto"/>
                      <w:highlight w:val="none"/>
                      <w:lang w:val="en-US" w:eastAsia="zh-CN"/>
                    </w:rPr>
                  </w:pPr>
                  <w:r>
                    <w:rPr>
                      <w:rFonts w:hint="eastAsia"/>
                      <w:color w:val="auto"/>
                      <w:highlight w:val="none"/>
                      <w:lang w:val="en-US" w:eastAsia="zh-CN"/>
                    </w:rPr>
                    <w:t>13</w:t>
                  </w:r>
                </w:p>
              </w:tc>
              <w:tc>
                <w:tcPr>
                  <w:tcW w:w="1336" w:type="pct"/>
                  <w:tcBorders>
                    <w:tl2br w:val="nil"/>
                    <w:tr2bl w:val="nil"/>
                  </w:tcBorders>
                  <w:noWrap w:val="0"/>
                  <w:vAlign w:val="center"/>
                </w:tcPr>
                <w:p w14:paraId="3B227F15">
                  <w:pPr>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水泥筒仓</w:t>
                  </w:r>
                </w:p>
              </w:tc>
              <w:tc>
                <w:tcPr>
                  <w:tcW w:w="541" w:type="pct"/>
                  <w:tcBorders>
                    <w:tl2br w:val="nil"/>
                    <w:tr2bl w:val="nil"/>
                  </w:tcBorders>
                  <w:noWrap w:val="0"/>
                  <w:vAlign w:val="center"/>
                </w:tcPr>
                <w:p w14:paraId="149C5F9D">
                  <w:pPr>
                    <w:jc w:val="center"/>
                    <w:rPr>
                      <w:rFonts w:hint="eastAsia"/>
                      <w:color w:val="auto"/>
                      <w:highlight w:val="none"/>
                    </w:rPr>
                  </w:pPr>
                  <w:r>
                    <w:rPr>
                      <w:rFonts w:hint="eastAsia"/>
                      <w:color w:val="auto"/>
                      <w:highlight w:val="none"/>
                    </w:rPr>
                    <w:t>个</w:t>
                  </w:r>
                </w:p>
              </w:tc>
              <w:tc>
                <w:tcPr>
                  <w:tcW w:w="557" w:type="pct"/>
                  <w:tcBorders>
                    <w:tl2br w:val="nil"/>
                    <w:tr2bl w:val="nil"/>
                  </w:tcBorders>
                  <w:noWrap w:val="0"/>
                  <w:vAlign w:val="center"/>
                </w:tcPr>
                <w:p w14:paraId="6BFC4D84">
                  <w:pPr>
                    <w:jc w:val="center"/>
                    <w:rPr>
                      <w:rFonts w:hint="eastAsia" w:eastAsia="宋体"/>
                      <w:color w:val="auto"/>
                      <w:highlight w:val="none"/>
                      <w:lang w:val="en-US" w:eastAsia="zh-CN"/>
                    </w:rPr>
                  </w:pPr>
                  <w:r>
                    <w:rPr>
                      <w:rFonts w:hint="eastAsia"/>
                      <w:color w:val="auto"/>
                      <w:highlight w:val="none"/>
                      <w:lang w:val="en-US" w:eastAsia="zh-CN"/>
                    </w:rPr>
                    <w:t>4</w:t>
                  </w:r>
                </w:p>
              </w:tc>
              <w:tc>
                <w:tcPr>
                  <w:tcW w:w="2169" w:type="pct"/>
                  <w:tcBorders>
                    <w:tl2br w:val="nil"/>
                    <w:tr2bl w:val="nil"/>
                  </w:tcBorders>
                  <w:noWrap w:val="0"/>
                  <w:vAlign w:val="center"/>
                </w:tcPr>
                <w:p w14:paraId="61E313E6">
                  <w:pPr>
                    <w:jc w:val="center"/>
                    <w:rPr>
                      <w:rFonts w:hint="default" w:eastAsia="宋体"/>
                      <w:color w:val="auto"/>
                      <w:highlight w:val="none"/>
                      <w:lang w:val="en-US" w:eastAsia="zh-CN"/>
                    </w:rPr>
                  </w:pPr>
                  <w:r>
                    <w:rPr>
                      <w:rFonts w:hint="eastAsia"/>
                      <w:color w:val="auto"/>
                      <w:highlight w:val="none"/>
                      <w:lang w:val="en-US" w:eastAsia="zh-CN"/>
                    </w:rPr>
                    <w:t>300t</w:t>
                  </w:r>
                </w:p>
              </w:tc>
            </w:tr>
            <w:tr w14:paraId="715CF0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60B8225A">
                  <w:pPr>
                    <w:jc w:val="center"/>
                    <w:rPr>
                      <w:rFonts w:hint="default"/>
                      <w:color w:val="auto"/>
                      <w:highlight w:val="none"/>
                      <w:lang w:val="en-US" w:eastAsia="zh-CN"/>
                    </w:rPr>
                  </w:pPr>
                  <w:r>
                    <w:rPr>
                      <w:rFonts w:hint="eastAsia"/>
                      <w:color w:val="auto"/>
                      <w:highlight w:val="none"/>
                      <w:lang w:val="en-US" w:eastAsia="zh-CN"/>
                    </w:rPr>
                    <w:t>14</w:t>
                  </w:r>
                </w:p>
              </w:tc>
              <w:tc>
                <w:tcPr>
                  <w:tcW w:w="1336" w:type="pct"/>
                  <w:tcBorders>
                    <w:tl2br w:val="nil"/>
                    <w:tr2bl w:val="nil"/>
                  </w:tcBorders>
                  <w:noWrap w:val="0"/>
                  <w:vAlign w:val="center"/>
                </w:tcPr>
                <w:p w14:paraId="66C02DEC">
                  <w:pPr>
                    <w:jc w:val="center"/>
                    <w:rPr>
                      <w:rFonts w:hint="eastAsia" w:ascii="宋体" w:hAnsi="宋体"/>
                      <w:color w:val="auto"/>
                      <w:highlight w:val="none"/>
                      <w:lang w:val="en-US" w:eastAsia="zh-CN"/>
                    </w:rPr>
                  </w:pPr>
                  <w:r>
                    <w:rPr>
                      <w:rFonts w:hint="default" w:ascii="Times New Roman" w:hAnsi="Times New Roman" w:cs="Times New Roman"/>
                      <w:color w:val="auto"/>
                      <w:kern w:val="0"/>
                      <w:szCs w:val="21"/>
                      <w:highlight w:val="none"/>
                    </w:rPr>
                    <w:t>粉煤灰筒仓</w:t>
                  </w:r>
                </w:p>
              </w:tc>
              <w:tc>
                <w:tcPr>
                  <w:tcW w:w="541" w:type="pct"/>
                  <w:tcBorders>
                    <w:tl2br w:val="nil"/>
                    <w:tr2bl w:val="nil"/>
                  </w:tcBorders>
                  <w:noWrap w:val="0"/>
                  <w:vAlign w:val="center"/>
                </w:tcPr>
                <w:p w14:paraId="326B09D9">
                  <w:pPr>
                    <w:jc w:val="center"/>
                    <w:rPr>
                      <w:rFonts w:hint="eastAsia"/>
                      <w:color w:val="auto"/>
                      <w:highlight w:val="none"/>
                    </w:rPr>
                  </w:pPr>
                  <w:r>
                    <w:rPr>
                      <w:rFonts w:hint="eastAsia"/>
                      <w:color w:val="auto"/>
                      <w:highlight w:val="none"/>
                    </w:rPr>
                    <w:t>个</w:t>
                  </w:r>
                </w:p>
              </w:tc>
              <w:tc>
                <w:tcPr>
                  <w:tcW w:w="557" w:type="pct"/>
                  <w:tcBorders>
                    <w:tl2br w:val="nil"/>
                    <w:tr2bl w:val="nil"/>
                  </w:tcBorders>
                  <w:noWrap w:val="0"/>
                  <w:vAlign w:val="center"/>
                </w:tcPr>
                <w:p w14:paraId="46758796">
                  <w:pPr>
                    <w:jc w:val="center"/>
                    <w:rPr>
                      <w:rFonts w:hint="default"/>
                      <w:color w:val="auto"/>
                      <w:highlight w:val="none"/>
                      <w:lang w:val="en-US" w:eastAsia="zh-CN"/>
                    </w:rPr>
                  </w:pPr>
                  <w:r>
                    <w:rPr>
                      <w:rFonts w:hint="eastAsia"/>
                      <w:color w:val="auto"/>
                      <w:highlight w:val="none"/>
                      <w:lang w:val="en-US" w:eastAsia="zh-CN"/>
                    </w:rPr>
                    <w:t>2</w:t>
                  </w:r>
                </w:p>
              </w:tc>
              <w:tc>
                <w:tcPr>
                  <w:tcW w:w="2169" w:type="pct"/>
                  <w:tcBorders>
                    <w:tl2br w:val="nil"/>
                    <w:tr2bl w:val="nil"/>
                  </w:tcBorders>
                  <w:noWrap w:val="0"/>
                  <w:vAlign w:val="center"/>
                </w:tcPr>
                <w:p w14:paraId="5BCBF87E">
                  <w:pPr>
                    <w:jc w:val="center"/>
                    <w:rPr>
                      <w:rFonts w:hint="default"/>
                      <w:color w:val="auto"/>
                      <w:highlight w:val="none"/>
                      <w:lang w:val="en-US" w:eastAsia="zh-CN"/>
                    </w:rPr>
                  </w:pPr>
                  <w:r>
                    <w:rPr>
                      <w:rFonts w:hint="eastAsia"/>
                      <w:color w:val="auto"/>
                      <w:highlight w:val="none"/>
                      <w:lang w:val="en-US" w:eastAsia="zh-CN"/>
                    </w:rPr>
                    <w:t>200t</w:t>
                  </w:r>
                </w:p>
              </w:tc>
            </w:tr>
            <w:tr w14:paraId="7DAC74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5D32175E">
                  <w:pPr>
                    <w:jc w:val="center"/>
                    <w:rPr>
                      <w:rFonts w:hint="default"/>
                      <w:color w:val="auto"/>
                      <w:highlight w:val="none"/>
                      <w:lang w:val="en-US" w:eastAsia="zh-CN"/>
                    </w:rPr>
                  </w:pPr>
                  <w:r>
                    <w:rPr>
                      <w:rFonts w:hint="eastAsia"/>
                      <w:color w:val="auto"/>
                      <w:highlight w:val="none"/>
                      <w:lang w:val="en-US" w:eastAsia="zh-CN"/>
                    </w:rPr>
                    <w:t>15</w:t>
                  </w:r>
                </w:p>
              </w:tc>
              <w:tc>
                <w:tcPr>
                  <w:tcW w:w="1336" w:type="pct"/>
                  <w:tcBorders>
                    <w:tl2br w:val="nil"/>
                    <w:tr2bl w:val="nil"/>
                  </w:tcBorders>
                  <w:noWrap w:val="0"/>
                  <w:vAlign w:val="center"/>
                </w:tcPr>
                <w:p w14:paraId="5BA11D4D">
                  <w:pPr>
                    <w:jc w:val="center"/>
                    <w:rPr>
                      <w:rFonts w:hint="eastAsia" w:ascii="宋体" w:hAnsi="宋体"/>
                      <w:color w:val="auto"/>
                      <w:highlight w:val="none"/>
                      <w:lang w:val="en-US" w:eastAsia="zh-CN"/>
                    </w:rPr>
                  </w:pPr>
                  <w:r>
                    <w:rPr>
                      <w:rFonts w:hint="eastAsia" w:ascii="Times New Roman" w:hAnsi="Times New Roman" w:cs="Times New Roman"/>
                      <w:color w:val="auto"/>
                      <w:kern w:val="0"/>
                      <w:szCs w:val="21"/>
                      <w:highlight w:val="none"/>
                      <w:lang w:val="en-US" w:eastAsia="zh-CN"/>
                    </w:rPr>
                    <w:t>石灰石矿粉筒仓</w:t>
                  </w:r>
                </w:p>
              </w:tc>
              <w:tc>
                <w:tcPr>
                  <w:tcW w:w="541" w:type="pct"/>
                  <w:tcBorders>
                    <w:tl2br w:val="nil"/>
                    <w:tr2bl w:val="nil"/>
                  </w:tcBorders>
                  <w:noWrap w:val="0"/>
                  <w:vAlign w:val="center"/>
                </w:tcPr>
                <w:p w14:paraId="5212D213">
                  <w:pPr>
                    <w:jc w:val="center"/>
                    <w:rPr>
                      <w:rFonts w:hint="eastAsia"/>
                      <w:color w:val="auto"/>
                      <w:highlight w:val="none"/>
                    </w:rPr>
                  </w:pPr>
                  <w:r>
                    <w:rPr>
                      <w:rFonts w:hint="eastAsia"/>
                      <w:color w:val="auto"/>
                      <w:highlight w:val="none"/>
                    </w:rPr>
                    <w:t>个</w:t>
                  </w:r>
                </w:p>
              </w:tc>
              <w:tc>
                <w:tcPr>
                  <w:tcW w:w="557" w:type="pct"/>
                  <w:tcBorders>
                    <w:tl2br w:val="nil"/>
                    <w:tr2bl w:val="nil"/>
                  </w:tcBorders>
                  <w:noWrap w:val="0"/>
                  <w:vAlign w:val="center"/>
                </w:tcPr>
                <w:p w14:paraId="1E059818">
                  <w:pPr>
                    <w:jc w:val="center"/>
                    <w:rPr>
                      <w:rFonts w:hint="default"/>
                      <w:color w:val="auto"/>
                      <w:highlight w:val="none"/>
                      <w:lang w:val="en-US" w:eastAsia="zh-CN"/>
                    </w:rPr>
                  </w:pPr>
                  <w:r>
                    <w:rPr>
                      <w:rFonts w:hint="eastAsia"/>
                      <w:color w:val="auto"/>
                      <w:highlight w:val="none"/>
                      <w:lang w:val="en-US" w:eastAsia="zh-CN"/>
                    </w:rPr>
                    <w:t>2</w:t>
                  </w:r>
                </w:p>
              </w:tc>
              <w:tc>
                <w:tcPr>
                  <w:tcW w:w="2169" w:type="pct"/>
                  <w:tcBorders>
                    <w:tl2br w:val="nil"/>
                    <w:tr2bl w:val="nil"/>
                  </w:tcBorders>
                  <w:noWrap w:val="0"/>
                  <w:vAlign w:val="center"/>
                </w:tcPr>
                <w:p w14:paraId="04583F17">
                  <w:pPr>
                    <w:jc w:val="center"/>
                    <w:rPr>
                      <w:rFonts w:hint="default"/>
                      <w:color w:val="auto"/>
                      <w:highlight w:val="none"/>
                      <w:lang w:val="en-US" w:eastAsia="zh-CN"/>
                    </w:rPr>
                  </w:pPr>
                  <w:r>
                    <w:rPr>
                      <w:rFonts w:hint="eastAsia"/>
                      <w:color w:val="auto"/>
                      <w:highlight w:val="none"/>
                      <w:lang w:val="en-US" w:eastAsia="zh-CN"/>
                    </w:rPr>
                    <w:t>200t</w:t>
                  </w:r>
                </w:p>
              </w:tc>
            </w:tr>
            <w:tr w14:paraId="7C3EEF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5C6072C7">
                  <w:pPr>
                    <w:jc w:val="center"/>
                    <w:rPr>
                      <w:rFonts w:hint="default"/>
                      <w:color w:val="auto"/>
                      <w:highlight w:val="none"/>
                      <w:lang w:val="en-US" w:eastAsia="zh-CN"/>
                    </w:rPr>
                  </w:pPr>
                  <w:r>
                    <w:rPr>
                      <w:rFonts w:hint="eastAsia"/>
                      <w:color w:val="auto"/>
                      <w:highlight w:val="none"/>
                      <w:lang w:val="en-US" w:eastAsia="zh-CN"/>
                    </w:rPr>
                    <w:t>16</w:t>
                  </w:r>
                </w:p>
              </w:tc>
              <w:tc>
                <w:tcPr>
                  <w:tcW w:w="1336" w:type="pct"/>
                  <w:tcBorders>
                    <w:tl2br w:val="nil"/>
                    <w:tr2bl w:val="nil"/>
                  </w:tcBorders>
                  <w:noWrap w:val="0"/>
                  <w:vAlign w:val="center"/>
                </w:tcPr>
                <w:p w14:paraId="4CD2D68D">
                  <w:pPr>
                    <w:jc w:val="center"/>
                    <w:rPr>
                      <w:rFonts w:hint="eastAsia" w:ascii="宋体" w:hAnsi="宋体"/>
                      <w:color w:val="auto"/>
                      <w:highlight w:val="none"/>
                      <w:lang w:val="en-US" w:eastAsia="zh-CN"/>
                    </w:rPr>
                  </w:pPr>
                  <w:r>
                    <w:rPr>
                      <w:rFonts w:hint="eastAsia" w:cs="Times New Roman"/>
                      <w:color w:val="auto"/>
                      <w:kern w:val="0"/>
                      <w:szCs w:val="21"/>
                      <w:highlight w:val="none"/>
                      <w:lang w:val="en-US" w:eastAsia="zh-CN"/>
                    </w:rPr>
                    <w:t>膨胀剂储罐</w:t>
                  </w:r>
                </w:p>
              </w:tc>
              <w:tc>
                <w:tcPr>
                  <w:tcW w:w="541" w:type="pct"/>
                  <w:tcBorders>
                    <w:tl2br w:val="nil"/>
                    <w:tr2bl w:val="nil"/>
                  </w:tcBorders>
                  <w:noWrap w:val="0"/>
                  <w:vAlign w:val="center"/>
                </w:tcPr>
                <w:p w14:paraId="707B3C30">
                  <w:pPr>
                    <w:jc w:val="center"/>
                    <w:rPr>
                      <w:rFonts w:hint="eastAsia"/>
                      <w:color w:val="auto"/>
                      <w:highlight w:val="none"/>
                    </w:rPr>
                  </w:pPr>
                  <w:r>
                    <w:rPr>
                      <w:rFonts w:hint="eastAsia"/>
                      <w:color w:val="auto"/>
                      <w:highlight w:val="none"/>
                    </w:rPr>
                    <w:t>个</w:t>
                  </w:r>
                </w:p>
              </w:tc>
              <w:tc>
                <w:tcPr>
                  <w:tcW w:w="557" w:type="pct"/>
                  <w:tcBorders>
                    <w:tl2br w:val="nil"/>
                    <w:tr2bl w:val="nil"/>
                  </w:tcBorders>
                  <w:noWrap w:val="0"/>
                  <w:vAlign w:val="center"/>
                </w:tcPr>
                <w:p w14:paraId="6B73F239">
                  <w:pPr>
                    <w:jc w:val="center"/>
                    <w:rPr>
                      <w:rFonts w:hint="default"/>
                      <w:color w:val="auto"/>
                      <w:highlight w:val="none"/>
                      <w:lang w:val="en-US" w:eastAsia="zh-CN"/>
                    </w:rPr>
                  </w:pPr>
                  <w:r>
                    <w:rPr>
                      <w:rFonts w:hint="eastAsia"/>
                      <w:color w:val="auto"/>
                      <w:highlight w:val="none"/>
                      <w:lang w:val="en-US" w:eastAsia="zh-CN"/>
                    </w:rPr>
                    <w:t>4</w:t>
                  </w:r>
                </w:p>
              </w:tc>
              <w:tc>
                <w:tcPr>
                  <w:tcW w:w="2169" w:type="pct"/>
                  <w:tcBorders>
                    <w:tl2br w:val="nil"/>
                    <w:tr2bl w:val="nil"/>
                  </w:tcBorders>
                  <w:noWrap w:val="0"/>
                  <w:vAlign w:val="center"/>
                </w:tcPr>
                <w:p w14:paraId="288724A8">
                  <w:pPr>
                    <w:jc w:val="center"/>
                    <w:rPr>
                      <w:rFonts w:hint="default"/>
                      <w:color w:val="auto"/>
                      <w:highlight w:val="none"/>
                      <w:vertAlign w:val="baseline"/>
                      <w:lang w:val="en-US" w:eastAsia="zh-CN"/>
                    </w:rPr>
                  </w:pPr>
                  <w:r>
                    <w:rPr>
                      <w:rFonts w:hint="eastAsia"/>
                      <w:color w:val="auto"/>
                      <w:highlight w:val="none"/>
                      <w:lang w:val="en-US" w:eastAsia="zh-CN"/>
                    </w:rPr>
                    <w:t>20m</w:t>
                  </w:r>
                  <w:r>
                    <w:rPr>
                      <w:rFonts w:hint="eastAsia"/>
                      <w:color w:val="auto"/>
                      <w:highlight w:val="none"/>
                      <w:vertAlign w:val="superscript"/>
                      <w:lang w:val="en-US" w:eastAsia="zh-CN"/>
                    </w:rPr>
                    <w:t>3</w:t>
                  </w:r>
                </w:p>
              </w:tc>
            </w:tr>
            <w:tr w14:paraId="4B3A5E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122B7C80">
                  <w:pPr>
                    <w:jc w:val="center"/>
                    <w:rPr>
                      <w:rFonts w:hint="default"/>
                      <w:color w:val="auto"/>
                      <w:highlight w:val="none"/>
                      <w:lang w:val="en-US" w:eastAsia="zh-CN"/>
                    </w:rPr>
                  </w:pPr>
                  <w:r>
                    <w:rPr>
                      <w:rFonts w:hint="eastAsia"/>
                      <w:color w:val="auto"/>
                      <w:highlight w:val="none"/>
                      <w:lang w:val="en-US" w:eastAsia="zh-CN"/>
                    </w:rPr>
                    <w:t>17</w:t>
                  </w:r>
                </w:p>
              </w:tc>
              <w:tc>
                <w:tcPr>
                  <w:tcW w:w="1336" w:type="pct"/>
                  <w:tcBorders>
                    <w:tl2br w:val="nil"/>
                    <w:tr2bl w:val="nil"/>
                  </w:tcBorders>
                  <w:noWrap w:val="0"/>
                  <w:vAlign w:val="center"/>
                </w:tcPr>
                <w:p w14:paraId="6991D766">
                  <w:pPr>
                    <w:jc w:val="center"/>
                    <w:rPr>
                      <w:rFonts w:hint="eastAsia" w:ascii="宋体" w:hAnsi="宋体"/>
                      <w:color w:val="auto"/>
                      <w:highlight w:val="none"/>
                      <w:lang w:val="en-US" w:eastAsia="zh-CN"/>
                    </w:rPr>
                  </w:pPr>
                  <w:r>
                    <w:rPr>
                      <w:rFonts w:hint="default" w:ascii="Times New Roman" w:hAnsi="Times New Roman" w:cs="Times New Roman"/>
                      <w:color w:val="auto"/>
                      <w:kern w:val="0"/>
                      <w:szCs w:val="21"/>
                      <w:highlight w:val="none"/>
                    </w:rPr>
                    <w:t>外加剂</w:t>
                  </w:r>
                  <w:r>
                    <w:rPr>
                      <w:rFonts w:hint="eastAsia" w:cs="Times New Roman"/>
                      <w:color w:val="auto"/>
                      <w:kern w:val="0"/>
                      <w:szCs w:val="21"/>
                      <w:highlight w:val="none"/>
                      <w:lang w:val="en-US" w:eastAsia="zh-CN"/>
                    </w:rPr>
                    <w:t>储</w:t>
                  </w:r>
                  <w:r>
                    <w:rPr>
                      <w:rFonts w:hint="default" w:ascii="Times New Roman" w:hAnsi="Times New Roman" w:cs="Times New Roman"/>
                      <w:color w:val="auto"/>
                      <w:kern w:val="0"/>
                      <w:szCs w:val="21"/>
                      <w:highlight w:val="none"/>
                    </w:rPr>
                    <w:t>罐</w:t>
                  </w:r>
                </w:p>
              </w:tc>
              <w:tc>
                <w:tcPr>
                  <w:tcW w:w="541" w:type="pct"/>
                  <w:tcBorders>
                    <w:tl2br w:val="nil"/>
                    <w:tr2bl w:val="nil"/>
                  </w:tcBorders>
                  <w:noWrap w:val="0"/>
                  <w:vAlign w:val="center"/>
                </w:tcPr>
                <w:p w14:paraId="29946F0C">
                  <w:pPr>
                    <w:jc w:val="center"/>
                    <w:rPr>
                      <w:rFonts w:hint="eastAsia"/>
                      <w:color w:val="auto"/>
                      <w:highlight w:val="none"/>
                    </w:rPr>
                  </w:pPr>
                  <w:r>
                    <w:rPr>
                      <w:rFonts w:hint="eastAsia"/>
                      <w:color w:val="auto"/>
                      <w:highlight w:val="none"/>
                    </w:rPr>
                    <w:t>个</w:t>
                  </w:r>
                </w:p>
              </w:tc>
              <w:tc>
                <w:tcPr>
                  <w:tcW w:w="557" w:type="pct"/>
                  <w:tcBorders>
                    <w:tl2br w:val="nil"/>
                    <w:tr2bl w:val="nil"/>
                  </w:tcBorders>
                  <w:noWrap w:val="0"/>
                  <w:vAlign w:val="center"/>
                </w:tcPr>
                <w:p w14:paraId="6AE83BE6">
                  <w:pPr>
                    <w:jc w:val="center"/>
                    <w:rPr>
                      <w:rFonts w:hint="default"/>
                      <w:color w:val="auto"/>
                      <w:highlight w:val="none"/>
                      <w:lang w:val="en-US" w:eastAsia="zh-CN"/>
                    </w:rPr>
                  </w:pPr>
                  <w:r>
                    <w:rPr>
                      <w:rFonts w:hint="eastAsia"/>
                      <w:color w:val="auto"/>
                      <w:highlight w:val="none"/>
                      <w:lang w:val="en-US" w:eastAsia="zh-CN"/>
                    </w:rPr>
                    <w:t>2</w:t>
                  </w:r>
                </w:p>
              </w:tc>
              <w:tc>
                <w:tcPr>
                  <w:tcW w:w="2169" w:type="pct"/>
                  <w:tcBorders>
                    <w:tl2br w:val="nil"/>
                    <w:tr2bl w:val="nil"/>
                  </w:tcBorders>
                  <w:noWrap w:val="0"/>
                  <w:vAlign w:val="center"/>
                </w:tcPr>
                <w:p w14:paraId="632FB758">
                  <w:pPr>
                    <w:jc w:val="center"/>
                    <w:rPr>
                      <w:rFonts w:hint="eastAsia"/>
                      <w:color w:val="auto"/>
                      <w:highlight w:val="none"/>
                      <w:lang w:val="en-US" w:eastAsia="zh-CN"/>
                    </w:rPr>
                  </w:pPr>
                  <w:r>
                    <w:rPr>
                      <w:rFonts w:hint="eastAsia"/>
                      <w:color w:val="auto"/>
                      <w:highlight w:val="none"/>
                      <w:lang w:val="en-US" w:eastAsia="zh-CN"/>
                    </w:rPr>
                    <w:t>20m</w:t>
                  </w:r>
                  <w:r>
                    <w:rPr>
                      <w:rFonts w:hint="eastAsia"/>
                      <w:color w:val="auto"/>
                      <w:highlight w:val="none"/>
                      <w:vertAlign w:val="superscript"/>
                      <w:lang w:val="en-US" w:eastAsia="zh-CN"/>
                    </w:rPr>
                    <w:t>3</w:t>
                  </w:r>
                </w:p>
              </w:tc>
            </w:tr>
            <w:tr w14:paraId="23E484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0F8A8AA3">
                  <w:pPr>
                    <w:jc w:val="center"/>
                    <w:rPr>
                      <w:rFonts w:hint="default"/>
                      <w:color w:val="auto"/>
                      <w:highlight w:val="none"/>
                      <w:lang w:val="en-US" w:eastAsia="zh-CN"/>
                    </w:rPr>
                  </w:pPr>
                  <w:r>
                    <w:rPr>
                      <w:rFonts w:hint="eastAsia"/>
                      <w:color w:val="auto"/>
                      <w:highlight w:val="none"/>
                      <w:lang w:val="en-US" w:eastAsia="zh-CN"/>
                    </w:rPr>
                    <w:t>18</w:t>
                  </w:r>
                </w:p>
              </w:tc>
              <w:tc>
                <w:tcPr>
                  <w:tcW w:w="1336" w:type="pct"/>
                  <w:tcBorders>
                    <w:tl2br w:val="nil"/>
                    <w:tr2bl w:val="nil"/>
                  </w:tcBorders>
                  <w:noWrap w:val="0"/>
                  <w:vAlign w:val="center"/>
                </w:tcPr>
                <w:p w14:paraId="6F4C6513">
                  <w:pPr>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喷淋系统</w:t>
                  </w:r>
                </w:p>
              </w:tc>
              <w:tc>
                <w:tcPr>
                  <w:tcW w:w="541" w:type="pct"/>
                  <w:tcBorders>
                    <w:tl2br w:val="nil"/>
                    <w:tr2bl w:val="nil"/>
                  </w:tcBorders>
                  <w:noWrap w:val="0"/>
                  <w:vAlign w:val="center"/>
                </w:tcPr>
                <w:p w14:paraId="456A9688">
                  <w:pPr>
                    <w:jc w:val="center"/>
                    <w:rPr>
                      <w:rFonts w:hint="eastAsia" w:eastAsia="宋体"/>
                      <w:color w:val="auto"/>
                      <w:highlight w:val="none"/>
                      <w:lang w:val="en-US" w:eastAsia="zh-CN"/>
                    </w:rPr>
                  </w:pPr>
                  <w:r>
                    <w:rPr>
                      <w:rFonts w:hint="eastAsia"/>
                      <w:color w:val="auto"/>
                      <w:highlight w:val="none"/>
                      <w:lang w:val="en-US" w:eastAsia="zh-CN"/>
                    </w:rPr>
                    <w:t>套</w:t>
                  </w:r>
                </w:p>
              </w:tc>
              <w:tc>
                <w:tcPr>
                  <w:tcW w:w="557" w:type="pct"/>
                  <w:tcBorders>
                    <w:tl2br w:val="nil"/>
                    <w:tr2bl w:val="nil"/>
                  </w:tcBorders>
                  <w:noWrap w:val="0"/>
                  <w:vAlign w:val="center"/>
                </w:tcPr>
                <w:p w14:paraId="3C918BB8">
                  <w:pPr>
                    <w:jc w:val="center"/>
                    <w:rPr>
                      <w:rFonts w:hint="default" w:eastAsia="宋体"/>
                      <w:color w:val="auto"/>
                      <w:highlight w:val="none"/>
                      <w:lang w:val="en-US" w:eastAsia="zh-CN"/>
                    </w:rPr>
                  </w:pPr>
                  <w:r>
                    <w:rPr>
                      <w:rFonts w:hint="eastAsia"/>
                      <w:color w:val="auto"/>
                      <w:highlight w:val="none"/>
                      <w:lang w:val="en-US" w:eastAsia="zh-CN"/>
                    </w:rPr>
                    <w:t>1</w:t>
                  </w:r>
                </w:p>
              </w:tc>
              <w:tc>
                <w:tcPr>
                  <w:tcW w:w="2169" w:type="pct"/>
                  <w:tcBorders>
                    <w:tl2br w:val="nil"/>
                    <w:tr2bl w:val="nil"/>
                  </w:tcBorders>
                  <w:noWrap w:val="0"/>
                  <w:vAlign w:val="center"/>
                </w:tcPr>
                <w:p w14:paraId="0DC1107B">
                  <w:pPr>
                    <w:jc w:val="center"/>
                    <w:rPr>
                      <w:rFonts w:hint="default" w:eastAsia="宋体"/>
                      <w:color w:val="auto"/>
                      <w:highlight w:val="none"/>
                      <w:lang w:val="en-US" w:eastAsia="zh-CN"/>
                    </w:rPr>
                  </w:pPr>
                  <w:r>
                    <w:rPr>
                      <w:rFonts w:hint="eastAsia"/>
                      <w:color w:val="auto"/>
                      <w:highlight w:val="none"/>
                      <w:lang w:val="en-US" w:eastAsia="zh-CN"/>
                    </w:rPr>
                    <w:t>/</w:t>
                  </w:r>
                </w:p>
              </w:tc>
            </w:tr>
            <w:tr w14:paraId="4131F5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5C1E16BE">
                  <w:pPr>
                    <w:jc w:val="center"/>
                    <w:rPr>
                      <w:rFonts w:hint="default"/>
                      <w:color w:val="auto"/>
                      <w:highlight w:val="none"/>
                      <w:lang w:val="en-US" w:eastAsia="zh-CN"/>
                    </w:rPr>
                  </w:pPr>
                  <w:r>
                    <w:rPr>
                      <w:rFonts w:hint="eastAsia"/>
                      <w:color w:val="auto"/>
                      <w:highlight w:val="none"/>
                      <w:lang w:val="en-US" w:eastAsia="zh-CN"/>
                    </w:rPr>
                    <w:t>19</w:t>
                  </w:r>
                </w:p>
              </w:tc>
              <w:tc>
                <w:tcPr>
                  <w:tcW w:w="1336" w:type="pct"/>
                  <w:tcBorders>
                    <w:tl2br w:val="nil"/>
                    <w:tr2bl w:val="nil"/>
                  </w:tcBorders>
                  <w:noWrap w:val="0"/>
                  <w:vAlign w:val="center"/>
                </w:tcPr>
                <w:p w14:paraId="0D0CD49E">
                  <w:pPr>
                    <w:jc w:val="center"/>
                    <w:rPr>
                      <w:rFonts w:hint="default" w:ascii="宋体" w:hAnsi="宋体"/>
                      <w:color w:val="auto"/>
                      <w:highlight w:val="none"/>
                      <w:lang w:val="en-US" w:eastAsia="zh-CN"/>
                    </w:rPr>
                  </w:pPr>
                  <w:r>
                    <w:rPr>
                      <w:rFonts w:hint="eastAsia" w:ascii="宋体" w:hAnsi="宋体"/>
                      <w:color w:val="auto"/>
                      <w:highlight w:val="none"/>
                      <w:lang w:val="en-US" w:eastAsia="zh-CN"/>
                    </w:rPr>
                    <w:t>脉冲除尘器</w:t>
                  </w:r>
                </w:p>
              </w:tc>
              <w:tc>
                <w:tcPr>
                  <w:tcW w:w="541" w:type="pct"/>
                  <w:tcBorders>
                    <w:tl2br w:val="nil"/>
                    <w:tr2bl w:val="nil"/>
                  </w:tcBorders>
                  <w:noWrap w:val="0"/>
                  <w:vAlign w:val="center"/>
                </w:tcPr>
                <w:p w14:paraId="27102723">
                  <w:pPr>
                    <w:jc w:val="center"/>
                    <w:rPr>
                      <w:rFonts w:hint="default"/>
                      <w:color w:val="auto"/>
                      <w:highlight w:val="none"/>
                      <w:lang w:val="en-US" w:eastAsia="zh-CN"/>
                    </w:rPr>
                  </w:pPr>
                  <w:r>
                    <w:rPr>
                      <w:rFonts w:hint="eastAsia"/>
                      <w:color w:val="auto"/>
                      <w:highlight w:val="none"/>
                      <w:lang w:val="en-US" w:eastAsia="zh-CN"/>
                    </w:rPr>
                    <w:t>套</w:t>
                  </w:r>
                </w:p>
              </w:tc>
              <w:tc>
                <w:tcPr>
                  <w:tcW w:w="557" w:type="pct"/>
                  <w:tcBorders>
                    <w:tl2br w:val="nil"/>
                    <w:tr2bl w:val="nil"/>
                  </w:tcBorders>
                  <w:noWrap w:val="0"/>
                  <w:vAlign w:val="center"/>
                </w:tcPr>
                <w:p w14:paraId="7E242556">
                  <w:pPr>
                    <w:jc w:val="center"/>
                    <w:rPr>
                      <w:rFonts w:hint="default"/>
                      <w:color w:val="auto"/>
                      <w:highlight w:val="none"/>
                      <w:lang w:val="en-US" w:eastAsia="zh-CN"/>
                    </w:rPr>
                  </w:pPr>
                  <w:r>
                    <w:rPr>
                      <w:rFonts w:hint="eastAsia"/>
                      <w:color w:val="auto"/>
                      <w:highlight w:val="none"/>
                      <w:lang w:val="en-US" w:eastAsia="zh-CN"/>
                    </w:rPr>
                    <w:t>2</w:t>
                  </w:r>
                </w:p>
              </w:tc>
              <w:tc>
                <w:tcPr>
                  <w:tcW w:w="2169" w:type="pct"/>
                  <w:tcBorders>
                    <w:tl2br w:val="nil"/>
                    <w:tr2bl w:val="nil"/>
                  </w:tcBorders>
                  <w:noWrap w:val="0"/>
                  <w:vAlign w:val="center"/>
                </w:tcPr>
                <w:p w14:paraId="290A0938">
                  <w:pPr>
                    <w:jc w:val="center"/>
                    <w:rPr>
                      <w:rFonts w:hint="default"/>
                      <w:color w:val="auto"/>
                      <w:highlight w:val="none"/>
                      <w:lang w:val="en-US" w:eastAsia="zh-CN"/>
                    </w:rPr>
                  </w:pPr>
                  <w:r>
                    <w:rPr>
                      <w:rFonts w:hint="eastAsia"/>
                      <w:color w:val="auto"/>
                      <w:highlight w:val="none"/>
                      <w:lang w:val="en-US" w:eastAsia="zh-CN"/>
                    </w:rPr>
                    <w:t>DMC-48，处理效率99%</w:t>
                  </w:r>
                </w:p>
              </w:tc>
            </w:tr>
            <w:tr w14:paraId="48733E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5" w:type="pct"/>
                  <w:tcBorders>
                    <w:tl2br w:val="nil"/>
                    <w:tr2bl w:val="nil"/>
                  </w:tcBorders>
                  <w:noWrap w:val="0"/>
                  <w:vAlign w:val="center"/>
                </w:tcPr>
                <w:p w14:paraId="0D2053F8">
                  <w:pPr>
                    <w:jc w:val="center"/>
                    <w:rPr>
                      <w:rFonts w:hint="default"/>
                      <w:color w:val="auto"/>
                      <w:highlight w:val="none"/>
                      <w:lang w:val="en-US" w:eastAsia="zh-CN"/>
                    </w:rPr>
                  </w:pPr>
                  <w:r>
                    <w:rPr>
                      <w:rFonts w:hint="eastAsia"/>
                      <w:color w:val="auto"/>
                      <w:highlight w:val="none"/>
                      <w:lang w:val="en-US" w:eastAsia="zh-CN"/>
                    </w:rPr>
                    <w:t>20</w:t>
                  </w:r>
                </w:p>
              </w:tc>
              <w:tc>
                <w:tcPr>
                  <w:tcW w:w="1336" w:type="pct"/>
                  <w:tcBorders>
                    <w:tl2br w:val="nil"/>
                    <w:tr2bl w:val="nil"/>
                  </w:tcBorders>
                  <w:noWrap w:val="0"/>
                  <w:vAlign w:val="center"/>
                </w:tcPr>
                <w:p w14:paraId="026DF995">
                  <w:pPr>
                    <w:jc w:val="center"/>
                    <w:rPr>
                      <w:rFonts w:hint="eastAsia" w:ascii="宋体" w:hAnsi="宋体"/>
                      <w:color w:val="auto"/>
                      <w:highlight w:val="none"/>
                      <w:lang w:val="en-US" w:eastAsia="zh-CN"/>
                    </w:rPr>
                  </w:pPr>
                  <w:r>
                    <w:rPr>
                      <w:rFonts w:hint="default" w:ascii="Times New Roman" w:hAnsi="Times New Roman" w:cs="Times New Roman"/>
                      <w:color w:val="auto"/>
                      <w:kern w:val="0"/>
                      <w:szCs w:val="21"/>
                      <w:highlight w:val="none"/>
                    </w:rPr>
                    <w:t>滤芯除尘器</w:t>
                  </w:r>
                </w:p>
              </w:tc>
              <w:tc>
                <w:tcPr>
                  <w:tcW w:w="541" w:type="pct"/>
                  <w:tcBorders>
                    <w:tl2br w:val="nil"/>
                    <w:tr2bl w:val="nil"/>
                  </w:tcBorders>
                  <w:noWrap w:val="0"/>
                  <w:vAlign w:val="center"/>
                </w:tcPr>
                <w:p w14:paraId="18554097">
                  <w:pPr>
                    <w:jc w:val="center"/>
                    <w:rPr>
                      <w:rFonts w:hint="default"/>
                      <w:color w:val="auto"/>
                      <w:highlight w:val="none"/>
                      <w:lang w:val="en-US" w:eastAsia="zh-CN"/>
                    </w:rPr>
                  </w:pPr>
                  <w:r>
                    <w:rPr>
                      <w:rFonts w:hint="eastAsia"/>
                      <w:color w:val="auto"/>
                      <w:highlight w:val="none"/>
                      <w:lang w:val="en-US" w:eastAsia="zh-CN"/>
                    </w:rPr>
                    <w:t>套</w:t>
                  </w:r>
                </w:p>
              </w:tc>
              <w:tc>
                <w:tcPr>
                  <w:tcW w:w="557" w:type="pct"/>
                  <w:tcBorders>
                    <w:tl2br w:val="nil"/>
                    <w:tr2bl w:val="nil"/>
                  </w:tcBorders>
                  <w:noWrap w:val="0"/>
                  <w:vAlign w:val="center"/>
                </w:tcPr>
                <w:p w14:paraId="0921D7B8">
                  <w:pPr>
                    <w:jc w:val="center"/>
                    <w:rPr>
                      <w:rFonts w:hint="default"/>
                      <w:color w:val="auto"/>
                      <w:highlight w:val="none"/>
                      <w:lang w:val="en-US" w:eastAsia="zh-CN"/>
                    </w:rPr>
                  </w:pPr>
                  <w:r>
                    <w:rPr>
                      <w:rFonts w:hint="eastAsia"/>
                      <w:color w:val="auto"/>
                      <w:highlight w:val="none"/>
                      <w:lang w:val="en-US" w:eastAsia="zh-CN"/>
                    </w:rPr>
                    <w:t>10</w:t>
                  </w:r>
                </w:p>
              </w:tc>
              <w:tc>
                <w:tcPr>
                  <w:tcW w:w="2169" w:type="pct"/>
                  <w:tcBorders>
                    <w:tl2br w:val="nil"/>
                    <w:tr2bl w:val="nil"/>
                  </w:tcBorders>
                  <w:noWrap w:val="0"/>
                  <w:vAlign w:val="center"/>
                </w:tcPr>
                <w:p w14:paraId="7BFCB344">
                  <w:pPr>
                    <w:jc w:val="center"/>
                    <w:rPr>
                      <w:rFonts w:hint="default"/>
                      <w:color w:val="auto"/>
                      <w:highlight w:val="none"/>
                      <w:lang w:val="en-US" w:eastAsia="zh-CN"/>
                    </w:rPr>
                  </w:pPr>
                  <w:r>
                    <w:rPr>
                      <w:rFonts w:hint="eastAsia"/>
                      <w:color w:val="auto"/>
                      <w:highlight w:val="none"/>
                      <w:lang w:val="en-US" w:eastAsia="zh-CN"/>
                    </w:rPr>
                    <w:t>LX-4230，处理效率99%</w:t>
                  </w:r>
                </w:p>
              </w:tc>
            </w:tr>
          </w:tbl>
          <w:p w14:paraId="69963CE3">
            <w:pPr>
              <w:autoSpaceDE w:val="0"/>
              <w:autoSpaceDN w:val="0"/>
              <w:adjustRightInd w:val="0"/>
              <w:spacing w:line="360" w:lineRule="auto"/>
              <w:ind w:firstLine="482" w:firstLineChars="200"/>
              <w:rPr>
                <w:b/>
                <w:iCs/>
                <w:color w:val="auto"/>
                <w:sz w:val="24"/>
                <w:highlight w:val="none"/>
              </w:rPr>
            </w:pPr>
            <w:r>
              <w:rPr>
                <w:rFonts w:hint="eastAsia"/>
                <w:b/>
                <w:iCs/>
                <w:color w:val="auto"/>
                <w:sz w:val="24"/>
                <w:highlight w:val="none"/>
                <w:lang w:val="en-US" w:eastAsia="zh-CN"/>
              </w:rPr>
              <w:t>9</w:t>
            </w:r>
            <w:r>
              <w:rPr>
                <w:rFonts w:hint="eastAsia"/>
                <w:b/>
                <w:iCs/>
                <w:color w:val="auto"/>
                <w:sz w:val="24"/>
                <w:highlight w:val="none"/>
                <w:lang w:eastAsia="zh-CN"/>
              </w:rPr>
              <w:t>、</w:t>
            </w:r>
            <w:r>
              <w:rPr>
                <w:rFonts w:ascii="宋体" w:hAnsi="宋体"/>
                <w:b/>
                <w:iCs/>
                <w:color w:val="auto"/>
                <w:sz w:val="24"/>
                <w:highlight w:val="none"/>
              </w:rPr>
              <w:t>总平面布置</w:t>
            </w:r>
          </w:p>
          <w:p w14:paraId="30AEBFEE">
            <w:pPr>
              <w:spacing w:line="360" w:lineRule="auto"/>
              <w:ind w:firstLine="470" w:firstLineChars="196"/>
              <w:rPr>
                <w:rFonts w:ascii="宋体" w:hAnsi="宋体"/>
                <w:color w:val="auto"/>
                <w:sz w:val="24"/>
                <w:highlight w:val="none"/>
              </w:rPr>
            </w:pPr>
            <w:r>
              <w:rPr>
                <w:rFonts w:ascii="宋体" w:hAnsi="宋体"/>
                <w:color w:val="auto"/>
                <w:sz w:val="24"/>
                <w:highlight w:val="none"/>
              </w:rPr>
              <w:t>按照厂区的实际情况和工艺需要，将</w:t>
            </w:r>
            <w:r>
              <w:rPr>
                <w:rFonts w:hint="eastAsia" w:ascii="宋体" w:hAnsi="宋体"/>
                <w:color w:val="auto"/>
                <w:sz w:val="24"/>
                <w:highlight w:val="none"/>
              </w:rPr>
              <w:t>场地</w:t>
            </w:r>
            <w:r>
              <w:rPr>
                <w:rFonts w:ascii="宋体" w:hAnsi="宋体"/>
                <w:color w:val="auto"/>
                <w:sz w:val="24"/>
                <w:highlight w:val="none"/>
              </w:rPr>
              <w:t>按功能分为</w:t>
            </w:r>
            <w:r>
              <w:rPr>
                <w:rFonts w:hint="eastAsia" w:ascii="宋体" w:hAnsi="宋体"/>
                <w:color w:val="auto"/>
                <w:sz w:val="24"/>
                <w:highlight w:val="none"/>
              </w:rPr>
              <w:t>生产区、办公</w:t>
            </w:r>
            <w:r>
              <w:rPr>
                <w:rFonts w:ascii="宋体" w:hAnsi="宋体"/>
                <w:color w:val="auto"/>
                <w:sz w:val="24"/>
                <w:highlight w:val="none"/>
              </w:rPr>
              <w:t>区</w:t>
            </w:r>
            <w:r>
              <w:rPr>
                <w:rFonts w:hint="eastAsia" w:ascii="宋体" w:hAnsi="宋体"/>
                <w:color w:val="auto"/>
                <w:sz w:val="24"/>
                <w:highlight w:val="none"/>
                <w:lang w:val="en-US" w:eastAsia="zh-CN"/>
              </w:rPr>
              <w:t>两</w:t>
            </w:r>
            <w:r>
              <w:rPr>
                <w:rFonts w:ascii="宋体" w:hAnsi="宋体"/>
                <w:color w:val="auto"/>
                <w:sz w:val="24"/>
                <w:highlight w:val="none"/>
              </w:rPr>
              <w:t>部分。</w:t>
            </w:r>
            <w:r>
              <w:rPr>
                <w:rFonts w:hint="eastAsia" w:ascii="宋体" w:hAnsi="宋体"/>
                <w:color w:val="auto"/>
                <w:sz w:val="24"/>
                <w:highlight w:val="none"/>
              </w:rPr>
              <w:t>办公</w:t>
            </w:r>
            <w:r>
              <w:rPr>
                <w:rFonts w:ascii="宋体" w:hAnsi="宋体"/>
                <w:color w:val="auto"/>
                <w:sz w:val="24"/>
                <w:highlight w:val="none"/>
              </w:rPr>
              <w:t>区</w:t>
            </w:r>
            <w:r>
              <w:rPr>
                <w:rFonts w:hint="eastAsia" w:ascii="宋体" w:hAnsi="宋体"/>
                <w:color w:val="auto"/>
                <w:sz w:val="24"/>
                <w:highlight w:val="none"/>
                <w:lang w:val="en-US" w:eastAsia="zh-CN"/>
              </w:rPr>
              <w:t>主要在厂区内南侧，剩余区域为生产区域，主要包括</w:t>
            </w:r>
            <w:r>
              <w:rPr>
                <w:rFonts w:hint="eastAsia" w:ascii="宋体" w:hAnsi="宋体"/>
                <w:color w:val="auto"/>
                <w:sz w:val="24"/>
                <w:highlight w:val="none"/>
              </w:rPr>
              <w:t>砂石料</w:t>
            </w:r>
            <w:r>
              <w:rPr>
                <w:rFonts w:ascii="宋体" w:hAnsi="宋体"/>
                <w:color w:val="auto"/>
                <w:sz w:val="24"/>
                <w:highlight w:val="none"/>
              </w:rPr>
              <w:t>棚、搅拌</w:t>
            </w:r>
            <w:r>
              <w:rPr>
                <w:rFonts w:hint="eastAsia" w:ascii="宋体" w:hAnsi="宋体"/>
                <w:color w:val="auto"/>
                <w:sz w:val="24"/>
                <w:highlight w:val="none"/>
              </w:rPr>
              <w:t>站</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沉淀池</w:t>
            </w:r>
            <w:r>
              <w:rPr>
                <w:rFonts w:hint="eastAsia" w:ascii="宋体" w:hAnsi="宋体"/>
                <w:color w:val="auto"/>
                <w:sz w:val="24"/>
                <w:highlight w:val="none"/>
              </w:rPr>
              <w:t>等；</w:t>
            </w:r>
            <w:r>
              <w:rPr>
                <w:rFonts w:ascii="宋体" w:hAnsi="宋体"/>
                <w:color w:val="auto"/>
                <w:sz w:val="24"/>
                <w:highlight w:val="none"/>
              </w:rPr>
              <w:t>根据厂区外围道路的具体情况，整个厂区在</w:t>
            </w:r>
            <w:r>
              <w:rPr>
                <w:rFonts w:hint="eastAsia" w:ascii="宋体" w:hAnsi="宋体"/>
                <w:color w:val="auto"/>
                <w:sz w:val="24"/>
                <w:highlight w:val="none"/>
                <w:lang w:val="en-US" w:eastAsia="zh-CN"/>
              </w:rPr>
              <w:t>西</w:t>
            </w:r>
            <w:r>
              <w:rPr>
                <w:rFonts w:ascii="宋体" w:hAnsi="宋体"/>
                <w:color w:val="auto"/>
                <w:sz w:val="24"/>
                <w:highlight w:val="none"/>
              </w:rPr>
              <w:t>侧</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南侧均</w:t>
            </w:r>
            <w:r>
              <w:rPr>
                <w:rFonts w:ascii="宋体" w:hAnsi="宋体"/>
                <w:color w:val="auto"/>
                <w:sz w:val="24"/>
                <w:highlight w:val="none"/>
              </w:rPr>
              <w:t>设有对外出入口</w:t>
            </w:r>
            <w:r>
              <w:rPr>
                <w:rFonts w:hint="eastAsia" w:ascii="宋体" w:hAnsi="宋体"/>
                <w:color w:val="auto"/>
                <w:sz w:val="24"/>
                <w:highlight w:val="none"/>
              </w:rPr>
              <w:t>，详见项目平面布置图</w:t>
            </w:r>
            <w:r>
              <w:rPr>
                <w:rFonts w:hint="eastAsia" w:ascii="宋体" w:hAnsi="宋体"/>
                <w:color w:val="auto"/>
                <w:sz w:val="24"/>
                <w:highlight w:val="none"/>
                <w:lang w:eastAsia="zh-CN"/>
              </w:rPr>
              <w:t>（</w:t>
            </w:r>
            <w:r>
              <w:rPr>
                <w:rFonts w:hint="eastAsia" w:ascii="宋体" w:hAnsi="宋体"/>
                <w:color w:val="auto"/>
                <w:sz w:val="24"/>
                <w:highlight w:val="none"/>
              </w:rPr>
              <w:t>附图</w:t>
            </w:r>
            <w:r>
              <w:rPr>
                <w:rFonts w:hint="eastAsia"/>
                <w:color w:val="auto"/>
                <w:sz w:val="24"/>
                <w:highlight w:val="none"/>
                <w:lang w:val="en-US" w:eastAsia="zh-CN"/>
              </w:rPr>
              <w:t>3</w:t>
            </w:r>
            <w:r>
              <w:rPr>
                <w:rFonts w:hint="eastAsia" w:ascii="宋体" w:hAnsi="宋体"/>
                <w:color w:val="auto"/>
                <w:sz w:val="24"/>
                <w:highlight w:val="none"/>
                <w:lang w:eastAsia="zh-CN"/>
              </w:rPr>
              <w:t>）</w:t>
            </w:r>
            <w:r>
              <w:rPr>
                <w:rFonts w:ascii="宋体" w:hAnsi="宋体"/>
                <w:color w:val="auto"/>
                <w:sz w:val="24"/>
                <w:highlight w:val="none"/>
              </w:rPr>
              <w:t>。</w:t>
            </w:r>
            <w:r>
              <w:rPr>
                <w:rFonts w:hint="eastAsia" w:ascii="宋体" w:hAnsi="宋体"/>
                <w:color w:val="auto"/>
                <w:sz w:val="24"/>
                <w:highlight w:val="none"/>
              </w:rPr>
              <w:t>本项目总平面布置衔接顺畅、方便运输，厂区总平面布置做到了功能分区、工艺流程顺捷，人员分流顺畅，生产管理方便。</w:t>
            </w:r>
          </w:p>
          <w:p w14:paraId="622C6AEE">
            <w:pPr>
              <w:adjustRightInd w:val="0"/>
              <w:snapToGrid w:val="0"/>
              <w:spacing w:line="360" w:lineRule="auto"/>
              <w:ind w:firstLine="482" w:firstLineChars="200"/>
              <w:jc w:val="left"/>
              <w:rPr>
                <w:b/>
                <w:bCs/>
                <w:color w:val="auto"/>
                <w:sz w:val="24"/>
                <w:highlight w:val="none"/>
              </w:rPr>
            </w:pPr>
            <w:r>
              <w:rPr>
                <w:rFonts w:hint="eastAsia"/>
                <w:b/>
                <w:bCs/>
                <w:color w:val="auto"/>
                <w:sz w:val="24"/>
                <w:highlight w:val="none"/>
                <w:lang w:val="en-US" w:eastAsia="zh-CN"/>
              </w:rPr>
              <w:t>10</w:t>
            </w:r>
            <w:r>
              <w:rPr>
                <w:rFonts w:hint="eastAsia"/>
                <w:b/>
                <w:bCs/>
                <w:color w:val="auto"/>
                <w:sz w:val="24"/>
                <w:highlight w:val="none"/>
                <w:lang w:eastAsia="zh-CN"/>
              </w:rPr>
              <w:t>、</w:t>
            </w:r>
            <w:r>
              <w:rPr>
                <w:rFonts w:hint="eastAsia" w:ascii="宋体" w:hAnsi="宋体"/>
                <w:b/>
                <w:bCs/>
                <w:color w:val="auto"/>
                <w:sz w:val="24"/>
                <w:highlight w:val="none"/>
              </w:rPr>
              <w:t>劳动定员及生产制度</w:t>
            </w:r>
          </w:p>
          <w:p w14:paraId="10F9403C">
            <w:pPr>
              <w:adjustRightInd w:val="0"/>
              <w:snapToGrid w:val="0"/>
              <w:spacing w:line="360" w:lineRule="auto"/>
              <w:ind w:firstLine="480" w:firstLineChars="200"/>
              <w:jc w:val="left"/>
              <w:rPr>
                <w:rFonts w:hint="eastAsia"/>
                <w:bCs/>
                <w:color w:val="auto"/>
                <w:sz w:val="24"/>
                <w:highlight w:val="none"/>
              </w:rPr>
            </w:pPr>
            <w:r>
              <w:rPr>
                <w:rFonts w:hint="eastAsia" w:ascii="宋体" w:hAnsi="宋体"/>
                <w:bCs/>
                <w:color w:val="auto"/>
                <w:sz w:val="24"/>
                <w:highlight w:val="none"/>
              </w:rPr>
              <w:t>本项目运营期劳动定员</w:t>
            </w:r>
            <w:r>
              <w:rPr>
                <w:rFonts w:hint="eastAsia" w:cs="宋体"/>
                <w:bCs/>
                <w:color w:val="auto"/>
                <w:sz w:val="24"/>
                <w:highlight w:val="none"/>
                <w:lang w:val="en-US" w:eastAsia="zh-CN"/>
              </w:rPr>
              <w:t>20</w:t>
            </w:r>
            <w:r>
              <w:rPr>
                <w:rFonts w:hint="eastAsia" w:cs="宋体"/>
                <w:bCs/>
                <w:color w:val="auto"/>
                <w:sz w:val="24"/>
                <w:highlight w:val="none"/>
              </w:rPr>
              <w:t>人</w:t>
            </w:r>
            <w:r>
              <w:rPr>
                <w:rFonts w:hint="eastAsia" w:ascii="宋体" w:hAnsi="宋体"/>
                <w:bCs/>
                <w:color w:val="auto"/>
                <w:sz w:val="24"/>
                <w:highlight w:val="none"/>
              </w:rPr>
              <w:t>，年工作天数</w:t>
            </w:r>
            <w:r>
              <w:rPr>
                <w:rFonts w:hint="eastAsia"/>
                <w:bCs/>
                <w:color w:val="auto"/>
                <w:sz w:val="24"/>
                <w:highlight w:val="none"/>
              </w:rPr>
              <w:t>2</w:t>
            </w:r>
            <w:r>
              <w:rPr>
                <w:rFonts w:hint="eastAsia"/>
                <w:bCs/>
                <w:color w:val="auto"/>
                <w:sz w:val="24"/>
                <w:highlight w:val="none"/>
                <w:lang w:val="en-US" w:eastAsia="zh-CN"/>
              </w:rPr>
              <w:t>0</w:t>
            </w:r>
            <w:r>
              <w:rPr>
                <w:rFonts w:hint="eastAsia"/>
                <w:bCs/>
                <w:color w:val="auto"/>
                <w:sz w:val="24"/>
                <w:highlight w:val="none"/>
              </w:rPr>
              <w:t>0</w:t>
            </w:r>
            <w:r>
              <w:rPr>
                <w:rFonts w:hint="eastAsia" w:ascii="宋体" w:hAnsi="宋体"/>
                <w:bCs/>
                <w:color w:val="auto"/>
                <w:sz w:val="24"/>
                <w:highlight w:val="none"/>
              </w:rPr>
              <w:t>天，</w:t>
            </w:r>
            <w:r>
              <w:rPr>
                <w:rFonts w:ascii="宋体" w:hAnsi="宋体" w:cs="宋体"/>
                <w:bCs/>
                <w:color w:val="auto"/>
                <w:sz w:val="24"/>
                <w:highlight w:val="none"/>
              </w:rPr>
              <w:t>每天工作</w:t>
            </w:r>
            <w:r>
              <w:rPr>
                <w:rFonts w:hint="eastAsia"/>
                <w:bCs/>
                <w:color w:val="auto"/>
                <w:sz w:val="24"/>
                <w:highlight w:val="none"/>
              </w:rPr>
              <w:t>12</w:t>
            </w:r>
            <w:r>
              <w:rPr>
                <w:rFonts w:ascii="宋体" w:hAnsi="宋体" w:cs="宋体"/>
                <w:bCs/>
                <w:color w:val="auto"/>
                <w:sz w:val="24"/>
                <w:highlight w:val="none"/>
              </w:rPr>
              <w:t>小时</w:t>
            </w:r>
            <w:r>
              <w:rPr>
                <w:rFonts w:hint="eastAsia" w:ascii="宋体" w:hAnsi="宋体" w:cs="宋体"/>
                <w:bCs/>
                <w:color w:val="auto"/>
                <w:sz w:val="24"/>
                <w:highlight w:val="none"/>
              </w:rPr>
              <w:t>（</w:t>
            </w:r>
            <w:r>
              <w:rPr>
                <w:bCs/>
                <w:color w:val="auto"/>
                <w:sz w:val="24"/>
                <w:highlight w:val="none"/>
              </w:rPr>
              <w:t>7:00~19:00</w:t>
            </w:r>
            <w:r>
              <w:rPr>
                <w:rFonts w:hint="eastAsia" w:ascii="宋体" w:hAnsi="宋体" w:cs="宋体"/>
                <w:bCs/>
                <w:color w:val="auto"/>
                <w:sz w:val="24"/>
                <w:highlight w:val="none"/>
              </w:rPr>
              <w:t>），冬季不生产</w:t>
            </w:r>
            <w:r>
              <w:rPr>
                <w:rFonts w:hint="eastAsia" w:ascii="宋体" w:hAnsi="宋体"/>
                <w:bCs/>
                <w:color w:val="auto"/>
                <w:sz w:val="24"/>
                <w:highlight w:val="none"/>
              </w:rPr>
              <w:t>。</w:t>
            </w:r>
          </w:p>
          <w:p w14:paraId="571582FA">
            <w:pPr>
              <w:adjustRightInd w:val="0"/>
              <w:snapToGrid w:val="0"/>
              <w:spacing w:line="360" w:lineRule="auto"/>
              <w:ind w:firstLine="482" w:firstLineChars="200"/>
              <w:jc w:val="left"/>
              <w:rPr>
                <w:rFonts w:ascii="宋体" w:hAnsi="宋体" w:cs="宋体"/>
                <w:bCs/>
                <w:color w:val="auto"/>
                <w:sz w:val="24"/>
                <w:highlight w:val="none"/>
              </w:rPr>
            </w:pPr>
            <w:r>
              <w:rPr>
                <w:b/>
                <w:iCs/>
                <w:color w:val="auto"/>
                <w:sz w:val="24"/>
                <w:highlight w:val="none"/>
              </w:rPr>
              <w:t>1</w:t>
            </w:r>
            <w:r>
              <w:rPr>
                <w:rFonts w:hint="eastAsia"/>
                <w:b/>
                <w:iCs/>
                <w:color w:val="auto"/>
                <w:sz w:val="24"/>
                <w:highlight w:val="none"/>
                <w:lang w:val="en-US" w:eastAsia="zh-CN"/>
              </w:rPr>
              <w:t>1</w:t>
            </w:r>
            <w:r>
              <w:rPr>
                <w:rFonts w:hint="eastAsia"/>
                <w:b/>
                <w:iCs/>
                <w:color w:val="auto"/>
                <w:sz w:val="24"/>
                <w:highlight w:val="none"/>
                <w:lang w:eastAsia="zh-CN"/>
              </w:rPr>
              <w:t>、</w:t>
            </w:r>
            <w:r>
              <w:rPr>
                <w:rFonts w:hint="eastAsia"/>
                <w:b/>
                <w:iCs/>
                <w:color w:val="auto"/>
                <w:sz w:val="24"/>
                <w:highlight w:val="none"/>
              </w:rPr>
              <w:t>公用工程</w:t>
            </w:r>
          </w:p>
          <w:p w14:paraId="27665B80">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（1）供水</w:t>
            </w:r>
          </w:p>
          <w:p w14:paraId="0D282E70">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eastAsia="zh-CN"/>
              </w:rPr>
              <w:t>本项目生产用水来自鄂尔多斯市圣圆水务集团有限责任公司提供的中水</w:t>
            </w:r>
            <w:r>
              <w:rPr>
                <w:rFonts w:hint="eastAsia" w:cs="Times New Roman"/>
                <w:bCs/>
                <w:color w:val="auto"/>
                <w:sz w:val="24"/>
                <w:highlight w:val="none"/>
                <w:lang w:eastAsia="zh-CN"/>
              </w:rPr>
              <w:t>，</w:t>
            </w:r>
            <w:r>
              <w:rPr>
                <w:rFonts w:hint="eastAsia" w:cs="Times New Roman"/>
                <w:bCs/>
                <w:color w:val="auto"/>
                <w:sz w:val="24"/>
                <w:highlight w:val="none"/>
                <w:lang w:val="en-US" w:eastAsia="zh-CN"/>
              </w:rPr>
              <w:t>使用量为</w:t>
            </w:r>
            <w:r>
              <w:rPr>
                <w:rFonts w:hint="default" w:ascii="Times New Roman" w:hAnsi="Times New Roman" w:cs="Times New Roman"/>
                <w:bCs/>
                <w:color w:val="auto"/>
                <w:sz w:val="24"/>
                <w:highlight w:val="none"/>
                <w:lang w:val="en-US" w:eastAsia="zh-CN"/>
              </w:rPr>
              <w:t>25138.8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125.694</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ascii="Times New Roman" w:hAnsi="Times New Roman" w:cs="Times New Roman"/>
                <w:bCs/>
                <w:color w:val="auto"/>
                <w:sz w:val="24"/>
                <w:highlight w:val="none"/>
                <w:lang w:eastAsia="zh-CN"/>
              </w:rPr>
              <w:t>）；生活用水</w:t>
            </w:r>
            <w:r>
              <w:rPr>
                <w:rFonts w:hint="eastAsia" w:cs="Times New Roman"/>
                <w:bCs/>
                <w:color w:val="auto"/>
                <w:sz w:val="24"/>
                <w:highlight w:val="none"/>
                <w:lang w:val="en-US" w:eastAsia="zh-CN"/>
              </w:rPr>
              <w:t>外购桶装水</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使用量</w:t>
            </w:r>
            <w:r>
              <w:rPr>
                <w:rFonts w:hint="default" w:ascii="Times New Roman" w:hAnsi="Times New Roman" w:cs="Times New Roman"/>
                <w:bCs/>
                <w:color w:val="auto"/>
                <w:sz w:val="24"/>
                <w:highlight w:val="none"/>
              </w:rPr>
              <w:t>为</w:t>
            </w:r>
            <w:r>
              <w:rPr>
                <w:rFonts w:hint="eastAsia"/>
                <w:bCs/>
                <w:color w:val="auto"/>
                <w:sz w:val="24"/>
                <w:highlight w:val="none"/>
                <w:lang w:val="en-US" w:eastAsia="zh-CN"/>
              </w:rPr>
              <w:t>288</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cs="Times New Roman"/>
                <w:bCs/>
                <w:color w:val="auto"/>
                <w:sz w:val="24"/>
                <w:highlight w:val="none"/>
                <w:lang w:val="en-US" w:eastAsia="zh-CN"/>
              </w:rPr>
              <w:t>1.44</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ascii="宋体" w:hAnsi="宋体"/>
                <w:bCs/>
                <w:color w:val="auto"/>
                <w:sz w:val="24"/>
                <w:highlight w:val="none"/>
              </w:rPr>
              <w:t>。</w:t>
            </w:r>
          </w:p>
          <w:p w14:paraId="1B43A646">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cs="宋体"/>
                <w:bCs/>
                <w:color w:val="auto"/>
                <w:sz w:val="24"/>
                <w:highlight w:val="none"/>
              </w:rPr>
            </w:pPr>
            <w:r>
              <w:rPr>
                <w:rFonts w:hint="eastAsia" w:ascii="宋体" w:hAnsi="宋体"/>
                <w:bCs/>
                <w:color w:val="auto"/>
                <w:sz w:val="24"/>
                <w:highlight w:val="none"/>
              </w:rPr>
              <w:t>①生产用水</w:t>
            </w:r>
          </w:p>
          <w:p w14:paraId="173CD1F2">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eastAsia="宋体" w:cs="宋体"/>
                <w:bCs/>
                <w:color w:val="auto"/>
                <w:sz w:val="24"/>
                <w:highlight w:val="none"/>
                <w:lang w:eastAsia="zh-CN"/>
              </w:rPr>
            </w:pPr>
            <w:r>
              <w:rPr>
                <w:rFonts w:hint="eastAsia" w:ascii="宋体" w:hAnsi="宋体"/>
                <w:bCs/>
                <w:color w:val="auto"/>
                <w:sz w:val="24"/>
                <w:highlight w:val="none"/>
              </w:rPr>
              <w:t>生产用水主要是搅拌混合用水、运输车辆</w:t>
            </w:r>
            <w:r>
              <w:rPr>
                <w:rFonts w:ascii="宋体" w:hAnsi="宋体" w:cs="宋体"/>
                <w:bCs/>
                <w:color w:val="auto"/>
                <w:sz w:val="24"/>
                <w:highlight w:val="none"/>
              </w:rPr>
              <w:t>清洗用水、</w:t>
            </w:r>
            <w:r>
              <w:rPr>
                <w:rFonts w:hint="eastAsia" w:ascii="宋体" w:hAnsi="宋体" w:cs="宋体"/>
                <w:bCs/>
                <w:color w:val="auto"/>
                <w:sz w:val="24"/>
                <w:highlight w:val="none"/>
                <w:lang w:val="en-US" w:eastAsia="zh-CN"/>
              </w:rPr>
              <w:t>混凝土罐车清洗用水、</w:t>
            </w:r>
            <w:r>
              <w:rPr>
                <w:rFonts w:ascii="宋体" w:hAnsi="宋体" w:cs="宋体"/>
                <w:bCs/>
                <w:color w:val="auto"/>
                <w:sz w:val="24"/>
                <w:highlight w:val="none"/>
              </w:rPr>
              <w:t>实验室用水</w:t>
            </w:r>
            <w:r>
              <w:rPr>
                <w:rFonts w:hint="eastAsia" w:ascii="宋体" w:hAnsi="宋体"/>
                <w:bCs/>
                <w:color w:val="auto"/>
                <w:sz w:val="24"/>
                <w:highlight w:val="none"/>
              </w:rPr>
              <w:t>、储料棚抑尘用水</w:t>
            </w:r>
            <w:r>
              <w:rPr>
                <w:rFonts w:hint="eastAsia" w:ascii="宋体" w:hAnsi="宋体"/>
                <w:bCs/>
                <w:color w:val="auto"/>
                <w:sz w:val="24"/>
                <w:highlight w:val="none"/>
                <w:lang w:eastAsia="zh-CN"/>
              </w:rPr>
              <w:t>、</w:t>
            </w:r>
            <w:r>
              <w:rPr>
                <w:rFonts w:hint="eastAsia" w:cs="Times New Roman"/>
                <w:bCs/>
                <w:color w:val="auto"/>
                <w:sz w:val="24"/>
                <w:highlight w:val="none"/>
                <w:lang w:val="en-US" w:eastAsia="zh-CN"/>
              </w:rPr>
              <w:t>厂区道路、工业广场抑尘用水、</w:t>
            </w:r>
            <w:r>
              <w:rPr>
                <w:rFonts w:hint="eastAsia" w:ascii="宋体" w:hAnsi="宋体"/>
                <w:bCs/>
                <w:color w:val="auto"/>
                <w:sz w:val="24"/>
                <w:highlight w:val="none"/>
                <w:lang w:val="en-US" w:eastAsia="zh-CN"/>
              </w:rPr>
              <w:t>搅拌罐清洗用水</w:t>
            </w:r>
            <w:r>
              <w:rPr>
                <w:rFonts w:hint="eastAsia" w:ascii="宋体" w:hAnsi="宋体"/>
                <w:bCs/>
                <w:color w:val="auto"/>
                <w:sz w:val="24"/>
                <w:highlight w:val="none"/>
              </w:rPr>
              <w:t>等。</w:t>
            </w:r>
          </w:p>
          <w:p w14:paraId="2E0906E1">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cs="宋体"/>
                <w:bCs/>
                <w:color w:val="auto"/>
                <w:sz w:val="24"/>
                <w:highlight w:val="none"/>
              </w:rPr>
            </w:pPr>
            <w:r>
              <w:rPr>
                <w:rFonts w:hint="eastAsia" w:ascii="宋体" w:hAnsi="宋体"/>
                <w:bCs/>
                <w:color w:val="auto"/>
                <w:sz w:val="24"/>
                <w:highlight w:val="none"/>
              </w:rPr>
              <w:t>搅拌混合用水：</w:t>
            </w:r>
            <w:r>
              <w:rPr>
                <w:rFonts w:ascii="宋体" w:hAnsi="宋体" w:cs="宋体"/>
                <w:bCs/>
                <w:color w:val="auto"/>
                <w:sz w:val="24"/>
                <w:highlight w:val="none"/>
              </w:rPr>
              <w:t>项目建成后年产混凝土</w:t>
            </w:r>
            <w:r>
              <w:rPr>
                <w:rFonts w:hint="eastAsia"/>
                <w:bCs/>
                <w:color w:val="auto"/>
                <w:sz w:val="24"/>
                <w:highlight w:val="none"/>
                <w:lang w:val="en-US" w:eastAsia="zh-CN"/>
              </w:rPr>
              <w:t>10</w:t>
            </w:r>
            <w:r>
              <w:rPr>
                <w:rFonts w:ascii="宋体" w:hAnsi="宋体" w:cs="宋体"/>
                <w:bCs/>
                <w:color w:val="auto"/>
                <w:sz w:val="24"/>
                <w:highlight w:val="none"/>
              </w:rPr>
              <w:t>万</w:t>
            </w:r>
            <w:r>
              <w:rPr>
                <w:bCs/>
                <w:color w:val="auto"/>
                <w:sz w:val="24"/>
                <w:highlight w:val="none"/>
              </w:rPr>
              <w:t>m</w:t>
            </w:r>
            <w:r>
              <w:rPr>
                <w:rFonts w:cs="宋体"/>
                <w:bCs/>
                <w:color w:val="auto"/>
                <w:sz w:val="24"/>
                <w:highlight w:val="none"/>
                <w:vertAlign w:val="superscript"/>
              </w:rPr>
              <w:t>3</w:t>
            </w:r>
            <w:r>
              <w:rPr>
                <w:rFonts w:hint="eastAsia" w:ascii="宋体" w:hAnsi="宋体"/>
                <w:bCs/>
                <w:color w:val="auto"/>
                <w:sz w:val="24"/>
                <w:highlight w:val="none"/>
              </w:rPr>
              <w:t>，根据</w:t>
            </w:r>
            <w:r>
              <w:rPr>
                <w:rFonts w:ascii="宋体" w:hAnsi="宋体" w:cs="宋体"/>
                <w:bCs/>
                <w:color w:val="auto"/>
                <w:sz w:val="24"/>
                <w:highlight w:val="none"/>
              </w:rPr>
              <w:t>《</w:t>
            </w:r>
            <w:r>
              <w:rPr>
                <w:rFonts w:hint="eastAsia" w:ascii="宋体" w:hAnsi="宋体"/>
                <w:bCs/>
                <w:color w:val="auto"/>
                <w:sz w:val="24"/>
                <w:highlight w:val="none"/>
              </w:rPr>
              <w:t>行业用水定额</w:t>
            </w:r>
            <w:r>
              <w:rPr>
                <w:rFonts w:ascii="宋体" w:hAnsi="宋体" w:cs="宋体"/>
                <w:bCs/>
                <w:color w:val="auto"/>
                <w:sz w:val="24"/>
                <w:highlight w:val="none"/>
              </w:rPr>
              <w:t>》</w:t>
            </w:r>
            <w:r>
              <w:rPr>
                <w:rFonts w:hint="eastAsia" w:ascii="宋体" w:hAnsi="宋体"/>
                <w:bCs/>
                <w:color w:val="auto"/>
                <w:sz w:val="24"/>
                <w:highlight w:val="none"/>
              </w:rPr>
              <w:t>（</w:t>
            </w:r>
            <w:r>
              <w:rPr>
                <w:rFonts w:hint="eastAsia"/>
                <w:bCs/>
                <w:color w:val="auto"/>
                <w:sz w:val="24"/>
                <w:highlight w:val="none"/>
              </w:rPr>
              <w:t>D</w:t>
            </w:r>
            <w:r>
              <w:rPr>
                <w:rFonts w:cs="宋体"/>
                <w:bCs/>
                <w:color w:val="auto"/>
                <w:sz w:val="24"/>
                <w:highlight w:val="none"/>
              </w:rPr>
              <w:t>B15/T385</w:t>
            </w:r>
            <w:r>
              <w:rPr>
                <w:rFonts w:hint="eastAsia" w:cs="宋体"/>
                <w:bCs/>
                <w:color w:val="auto"/>
                <w:sz w:val="24"/>
                <w:highlight w:val="none"/>
                <w:lang w:val="en-US" w:eastAsia="zh-CN"/>
              </w:rPr>
              <w:t>-</w:t>
            </w:r>
            <w:r>
              <w:rPr>
                <w:rFonts w:cs="宋体"/>
                <w:bCs/>
                <w:color w:val="auto"/>
                <w:sz w:val="24"/>
                <w:highlight w:val="none"/>
              </w:rPr>
              <w:t>202</w:t>
            </w:r>
            <w:r>
              <w:rPr>
                <w:rFonts w:hint="eastAsia" w:cs="宋体"/>
                <w:bCs/>
                <w:color w:val="auto"/>
                <w:sz w:val="24"/>
                <w:highlight w:val="none"/>
                <w:lang w:val="en-US" w:eastAsia="zh-CN"/>
              </w:rPr>
              <w:t>5</w:t>
            </w:r>
            <w:r>
              <w:rPr>
                <w:rFonts w:hint="eastAsia" w:ascii="宋体" w:hAnsi="宋体"/>
                <w:bCs/>
                <w:color w:val="auto"/>
                <w:sz w:val="24"/>
                <w:highlight w:val="none"/>
              </w:rPr>
              <w:t>）</w:t>
            </w:r>
            <w:r>
              <w:rPr>
                <w:rFonts w:hint="eastAsia" w:ascii="宋体" w:hAnsi="宋体"/>
                <w:bCs/>
                <w:color w:val="auto"/>
                <w:sz w:val="24"/>
                <w:highlight w:val="none"/>
                <w:lang w:eastAsia="zh-CN"/>
              </w:rPr>
              <w:t>，</w:t>
            </w:r>
            <w:r>
              <w:rPr>
                <w:rFonts w:hint="eastAsia" w:ascii="宋体" w:hAnsi="宋体"/>
                <w:bCs/>
                <w:color w:val="auto"/>
                <w:sz w:val="24"/>
                <w:highlight w:val="none"/>
              </w:rPr>
              <w:t>预拌混凝土用水量</w:t>
            </w:r>
            <w:r>
              <w:rPr>
                <w:rFonts w:hint="eastAsia" w:ascii="宋体" w:hAnsi="宋体"/>
                <w:bCs/>
                <w:color w:val="auto"/>
                <w:sz w:val="24"/>
                <w:highlight w:val="none"/>
                <w:lang w:val="en-US" w:eastAsia="zh-CN"/>
              </w:rPr>
              <w:t>为</w:t>
            </w:r>
            <w:r>
              <w:rPr>
                <w:rFonts w:hint="eastAsia"/>
                <w:bCs/>
                <w:color w:val="auto"/>
                <w:sz w:val="24"/>
                <w:highlight w:val="none"/>
              </w:rPr>
              <w:t>0</w:t>
            </w:r>
            <w:r>
              <w:rPr>
                <w:rFonts w:cs="宋体"/>
                <w:bCs/>
                <w:color w:val="auto"/>
                <w:sz w:val="24"/>
                <w:highlight w:val="none"/>
              </w:rPr>
              <w:t>.15</w:t>
            </w:r>
            <w:r>
              <w:rPr>
                <w:rFonts w:hint="eastAsia"/>
                <w:bCs/>
                <w:color w:val="auto"/>
                <w:sz w:val="24"/>
                <w:highlight w:val="none"/>
              </w:rPr>
              <w:t>m</w:t>
            </w:r>
            <w:r>
              <w:rPr>
                <w:rFonts w:cs="宋体"/>
                <w:bCs/>
                <w:color w:val="auto"/>
                <w:sz w:val="24"/>
                <w:highlight w:val="none"/>
                <w:vertAlign w:val="superscript"/>
              </w:rPr>
              <w:t>3</w:t>
            </w:r>
            <w:r>
              <w:rPr>
                <w:rFonts w:cs="宋体"/>
                <w:bCs/>
                <w:color w:val="auto"/>
                <w:sz w:val="24"/>
                <w:highlight w:val="none"/>
              </w:rPr>
              <w:t>/m</w:t>
            </w:r>
            <w:r>
              <w:rPr>
                <w:rFonts w:cs="宋体"/>
                <w:bCs/>
                <w:color w:val="auto"/>
                <w:sz w:val="24"/>
                <w:highlight w:val="none"/>
                <w:vertAlign w:val="superscript"/>
              </w:rPr>
              <w:t>3</w:t>
            </w:r>
            <w:r>
              <w:rPr>
                <w:rFonts w:hint="eastAsia" w:cs="宋体"/>
                <w:bCs/>
                <w:color w:val="auto"/>
                <w:sz w:val="24"/>
                <w:highlight w:val="none"/>
                <w:vertAlign w:val="baseline"/>
              </w:rPr>
              <w:t>·</w:t>
            </w:r>
            <w:r>
              <w:rPr>
                <w:rFonts w:hint="eastAsia" w:cs="宋体"/>
                <w:bCs/>
                <w:color w:val="auto"/>
                <w:sz w:val="24"/>
                <w:highlight w:val="none"/>
                <w:vertAlign w:val="baseline"/>
                <w:lang w:val="en-US" w:eastAsia="zh-CN"/>
              </w:rPr>
              <w:t>原料</w:t>
            </w:r>
            <w:r>
              <w:rPr>
                <w:rFonts w:ascii="宋体" w:hAnsi="宋体" w:cs="宋体"/>
                <w:bCs/>
                <w:color w:val="auto"/>
                <w:sz w:val="24"/>
                <w:highlight w:val="none"/>
              </w:rPr>
              <w:t>，则生产用水量为</w:t>
            </w:r>
            <w:r>
              <w:rPr>
                <w:rFonts w:hint="eastAsia" w:ascii="宋体" w:hAnsi="宋体" w:cs="宋体"/>
                <w:bCs/>
                <w:color w:val="auto"/>
                <w:sz w:val="24"/>
                <w:highlight w:val="none"/>
                <w:lang w:val="en-US" w:eastAsia="zh-CN"/>
              </w:rPr>
              <w:t>1</w:t>
            </w:r>
            <w:r>
              <w:rPr>
                <w:rFonts w:hint="eastAsia"/>
                <w:bCs/>
                <w:color w:val="auto"/>
                <w:sz w:val="24"/>
                <w:highlight w:val="none"/>
                <w:lang w:val="en-US" w:eastAsia="zh-CN"/>
              </w:rPr>
              <w:t>5000</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ascii="宋体" w:hAnsi="宋体" w:cs="宋体"/>
                <w:bCs/>
                <w:color w:val="auto"/>
                <w:sz w:val="24"/>
                <w:highlight w:val="none"/>
              </w:rPr>
              <w:t>（</w:t>
            </w:r>
            <w:r>
              <w:rPr>
                <w:rFonts w:hint="eastAsia"/>
                <w:bCs/>
                <w:color w:val="auto"/>
                <w:sz w:val="24"/>
                <w:highlight w:val="none"/>
                <w:lang w:val="en-US" w:eastAsia="zh-CN"/>
              </w:rPr>
              <w:t>75</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ascii="宋体" w:hAnsi="宋体" w:cs="宋体"/>
                <w:bCs/>
                <w:color w:val="auto"/>
                <w:sz w:val="24"/>
                <w:highlight w:val="none"/>
              </w:rPr>
              <w:t>）</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其中</w:t>
            </w:r>
            <w:r>
              <w:rPr>
                <w:rFonts w:hint="eastAsia" w:cs="宋体"/>
                <w:bCs/>
                <w:color w:val="auto"/>
                <w:sz w:val="24"/>
                <w:highlight w:val="none"/>
                <w:lang w:val="en-US" w:eastAsia="zh-CN"/>
              </w:rPr>
              <w:t>中水供给</w:t>
            </w:r>
            <w:r>
              <w:rPr>
                <w:rFonts w:hint="default" w:ascii="Times New Roman" w:hAnsi="Times New Roman" w:cs="Times New Roman"/>
                <w:bCs/>
                <w:color w:val="auto"/>
                <w:sz w:val="24"/>
                <w:highlight w:val="none"/>
                <w:lang w:val="en-US" w:eastAsia="zh-CN"/>
              </w:rPr>
              <w:t>8044.8</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hint="eastAsia" w:cs="宋体"/>
                <w:bCs/>
                <w:color w:val="auto"/>
                <w:sz w:val="24"/>
                <w:highlight w:val="none"/>
                <w:lang w:eastAsia="zh-CN"/>
              </w:rPr>
              <w:t>（</w:t>
            </w:r>
            <w:r>
              <w:rPr>
                <w:rFonts w:hint="eastAsia" w:cs="Times New Roman"/>
                <w:bCs/>
                <w:color w:val="auto"/>
                <w:sz w:val="24"/>
                <w:highlight w:val="none"/>
                <w:lang w:val="en-US" w:eastAsia="zh-CN"/>
              </w:rPr>
              <w:t>40.224</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cs="宋体"/>
                <w:bCs/>
                <w:color w:val="auto"/>
                <w:sz w:val="24"/>
                <w:highlight w:val="none"/>
                <w:lang w:eastAsia="zh-CN"/>
              </w:rPr>
              <w:t>）</w:t>
            </w:r>
            <w:r>
              <w:rPr>
                <w:rFonts w:hint="eastAsia" w:cs="宋体"/>
                <w:bCs/>
                <w:color w:val="auto"/>
                <w:sz w:val="24"/>
                <w:highlight w:val="none"/>
                <w:lang w:val="en-US" w:eastAsia="zh-CN"/>
              </w:rPr>
              <w:t>，沉淀池中回用水供给6955.2</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hint="eastAsia" w:cs="宋体"/>
                <w:bCs/>
                <w:color w:val="auto"/>
                <w:sz w:val="24"/>
                <w:highlight w:val="none"/>
                <w:lang w:eastAsia="zh-CN"/>
              </w:rPr>
              <w:t>（</w:t>
            </w:r>
            <w:r>
              <w:rPr>
                <w:rFonts w:hint="eastAsia" w:cs="宋体"/>
                <w:bCs/>
                <w:color w:val="auto"/>
                <w:sz w:val="24"/>
                <w:highlight w:val="none"/>
                <w:lang w:val="en-US" w:eastAsia="zh-CN"/>
              </w:rPr>
              <w:t>34.776</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cs="宋体"/>
                <w:bCs/>
                <w:color w:val="auto"/>
                <w:sz w:val="24"/>
                <w:highlight w:val="none"/>
                <w:lang w:eastAsia="zh-CN"/>
              </w:rPr>
              <w:t>）</w:t>
            </w:r>
            <w:r>
              <w:rPr>
                <w:rFonts w:ascii="宋体" w:hAnsi="宋体" w:cs="宋体"/>
                <w:bCs/>
                <w:color w:val="auto"/>
                <w:sz w:val="24"/>
                <w:highlight w:val="none"/>
              </w:rPr>
              <w:t>。</w:t>
            </w:r>
          </w:p>
          <w:p w14:paraId="4A465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运输车辆清洗用水：</w:t>
            </w:r>
            <w:r>
              <w:rPr>
                <w:rFonts w:hint="eastAsia" w:cs="Times New Roman"/>
                <w:bCs/>
                <w:color w:val="auto"/>
                <w:sz w:val="24"/>
                <w:highlight w:val="none"/>
                <w:lang w:val="en-US" w:eastAsia="zh-CN"/>
              </w:rPr>
              <w:t>本项目厂区出入口设车辆冲洗平台（共3座），</w:t>
            </w:r>
            <w:r>
              <w:rPr>
                <w:rFonts w:hint="eastAsia" w:ascii="Times New Roman" w:hAnsi="Times New Roman" w:cs="Times New Roman"/>
                <w:bCs/>
                <w:color w:val="auto"/>
                <w:sz w:val="24"/>
                <w:highlight w:val="none"/>
                <w:lang w:val="en-US" w:eastAsia="zh-CN"/>
              </w:rPr>
              <w:t>项目每日进出车辆约</w:t>
            </w:r>
            <w:r>
              <w:rPr>
                <w:rFonts w:hint="eastAsia" w:cs="Times New Roman"/>
                <w:bCs/>
                <w:color w:val="auto"/>
                <w:sz w:val="24"/>
                <w:highlight w:val="none"/>
                <w:lang w:val="en-US" w:eastAsia="zh-CN"/>
              </w:rPr>
              <w:t>90</w:t>
            </w:r>
            <w:r>
              <w:rPr>
                <w:rFonts w:hint="eastAsia" w:ascii="Times New Roman" w:hAnsi="Times New Roman" w:cs="Times New Roman"/>
                <w:bCs/>
                <w:color w:val="auto"/>
                <w:sz w:val="24"/>
                <w:highlight w:val="none"/>
                <w:lang w:val="en-US" w:eastAsia="zh-CN"/>
              </w:rPr>
              <w:t>辆，为了减少车辆沾染灰尘对外部环境造成污染，因此对出场车辆轮胎、</w:t>
            </w:r>
            <w:r>
              <w:rPr>
                <w:rFonts w:hint="eastAsia" w:cs="Times New Roman"/>
                <w:bCs/>
                <w:color w:val="auto"/>
                <w:sz w:val="24"/>
                <w:highlight w:val="none"/>
                <w:lang w:val="en-US" w:eastAsia="zh-CN"/>
              </w:rPr>
              <w:t>底盘</w:t>
            </w:r>
            <w:r>
              <w:rPr>
                <w:rFonts w:hint="eastAsia" w:ascii="Times New Roman" w:hAnsi="Times New Roman" w:cs="Times New Roman"/>
                <w:bCs/>
                <w:color w:val="auto"/>
                <w:sz w:val="24"/>
                <w:highlight w:val="none"/>
                <w:lang w:val="en-US" w:eastAsia="zh-CN"/>
              </w:rPr>
              <w:t>进行简单冲洗，</w:t>
            </w:r>
            <w:r>
              <w:rPr>
                <w:rFonts w:hint="default" w:ascii="Times New Roman" w:hAnsi="Times New Roman" w:cs="Times New Roman"/>
                <w:bCs/>
                <w:color w:val="auto"/>
                <w:sz w:val="24"/>
                <w:highlight w:val="none"/>
              </w:rPr>
              <w:t>平均每辆冲洗用水量约0.</w:t>
            </w:r>
            <w:r>
              <w:rPr>
                <w:rFonts w:hint="eastAsia" w:cs="Times New Roman"/>
                <w:bCs/>
                <w:color w:val="auto"/>
                <w:sz w:val="24"/>
                <w:highlight w:val="none"/>
                <w:lang w:val="en-US" w:eastAsia="zh-CN"/>
              </w:rPr>
              <w:t>2</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/次，则车辆清洗用水量为</w:t>
            </w:r>
            <w:r>
              <w:rPr>
                <w:rFonts w:hint="eastAsia" w:cs="Times New Roman"/>
                <w:bCs/>
                <w:color w:val="auto"/>
                <w:sz w:val="24"/>
                <w:highlight w:val="none"/>
                <w:lang w:val="en-US" w:eastAsia="zh-CN"/>
              </w:rPr>
              <w:t>3600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18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w:t>
            </w:r>
          </w:p>
          <w:p w14:paraId="2350D82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bCs/>
                <w:color w:val="auto"/>
                <w:sz w:val="24"/>
                <w:highlight w:val="none"/>
              </w:rPr>
            </w:pPr>
            <w:r>
              <w:rPr>
                <w:rFonts w:hint="eastAsia" w:ascii="宋体" w:hAnsi="宋体" w:cs="宋体"/>
                <w:bCs/>
                <w:color w:val="auto"/>
                <w:sz w:val="24"/>
                <w:highlight w:val="none"/>
                <w:lang w:val="en-US" w:eastAsia="zh-CN"/>
              </w:rPr>
              <w:t>混凝土罐车清洗用水：本项目混凝土运输车辆在装车前需对罐体进行清洗，根据企业提供资料，项目所产</w:t>
            </w:r>
            <w:r>
              <w:rPr>
                <w:rFonts w:hint="eastAsia" w:cs="Times New Roman"/>
                <w:bCs/>
                <w:color w:val="auto"/>
                <w:sz w:val="24"/>
                <w:highlight w:val="none"/>
                <w:lang w:val="en-US" w:eastAsia="zh-CN"/>
              </w:rPr>
              <w:t>1</w:t>
            </w:r>
            <w:r>
              <w:rPr>
                <w:rFonts w:hint="default" w:ascii="Times New Roman" w:hAnsi="Times New Roman" w:cs="Times New Roman"/>
                <w:bCs/>
                <w:color w:val="auto"/>
                <w:sz w:val="24"/>
                <w:highlight w:val="none"/>
                <w:lang w:val="en-US" w:eastAsia="zh-CN"/>
              </w:rPr>
              <w:t>0万m</w:t>
            </w:r>
            <w:r>
              <w:rPr>
                <w:rFonts w:hint="default" w:ascii="Times New Roman" w:hAnsi="Times New Roman" w:cs="Times New Roman"/>
                <w:bCs/>
                <w:color w:val="auto"/>
                <w:sz w:val="24"/>
                <w:highlight w:val="none"/>
                <w:vertAlign w:val="superscript"/>
                <w:lang w:val="en-US" w:eastAsia="zh-CN"/>
              </w:rPr>
              <w:t>3</w:t>
            </w:r>
            <w:r>
              <w:rPr>
                <w:rFonts w:hint="default" w:ascii="Times New Roman" w:hAnsi="Times New Roman" w:cs="Times New Roman"/>
                <w:bCs/>
                <w:color w:val="auto"/>
                <w:sz w:val="24"/>
                <w:highlight w:val="none"/>
                <w:lang w:val="en-US" w:eastAsia="zh-CN"/>
              </w:rPr>
              <w:t>/a</w:t>
            </w:r>
            <w:r>
              <w:rPr>
                <w:rFonts w:hint="eastAsia" w:ascii="宋体" w:hAnsi="宋体" w:cs="宋体"/>
                <w:bCs/>
                <w:color w:val="auto"/>
                <w:sz w:val="24"/>
                <w:highlight w:val="none"/>
                <w:lang w:val="en-US" w:eastAsia="zh-CN"/>
              </w:rPr>
              <w:t>混凝土共需运输车次为</w:t>
            </w:r>
            <w:r>
              <w:rPr>
                <w:rFonts w:hint="default" w:ascii="Times New Roman" w:hAnsi="Times New Roman" w:cs="Times New Roman"/>
                <w:bCs/>
                <w:color w:val="auto"/>
                <w:sz w:val="24"/>
                <w:highlight w:val="none"/>
                <w:lang w:val="en-US" w:eastAsia="zh-CN"/>
              </w:rPr>
              <w:t>5000</w:t>
            </w:r>
            <w:r>
              <w:rPr>
                <w:rFonts w:hint="eastAsia" w:ascii="宋体" w:hAnsi="宋体" w:cs="宋体"/>
                <w:bCs/>
                <w:color w:val="auto"/>
                <w:sz w:val="24"/>
                <w:highlight w:val="none"/>
                <w:lang w:val="en-US" w:eastAsia="zh-CN"/>
              </w:rPr>
              <w:t>辆，罐体清洗所需水量约</w:t>
            </w:r>
            <w:r>
              <w:rPr>
                <w:rFonts w:hint="eastAsia" w:ascii="Times New Roman" w:hAnsi="Times New Roman" w:cs="Times New Roman"/>
                <w:bCs/>
                <w:color w:val="auto"/>
                <w:sz w:val="24"/>
                <w:highlight w:val="none"/>
                <w:lang w:val="en-US" w:eastAsia="zh-CN"/>
              </w:rPr>
              <w:t>1</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3</w:t>
            </w:r>
            <w:r>
              <w:rPr>
                <w:rFonts w:hint="default" w:ascii="Times New Roman" w:hAnsi="Times New Roman" w:cs="Times New Roman"/>
                <w:bCs/>
                <w:color w:val="auto"/>
                <w:sz w:val="24"/>
                <w:highlight w:val="none"/>
              </w:rPr>
              <w:t>/次</w:t>
            </w:r>
            <w:r>
              <w:rPr>
                <w:rFonts w:hint="eastAsia" w:cs="Times New Roman"/>
                <w:bCs/>
                <w:color w:val="auto"/>
                <w:sz w:val="24"/>
                <w:highlight w:val="none"/>
                <w:lang w:eastAsia="zh-CN"/>
              </w:rPr>
              <w:t>，</w:t>
            </w:r>
            <w:r>
              <w:rPr>
                <w:rFonts w:hint="eastAsia" w:cs="Times New Roman"/>
                <w:bCs/>
                <w:color w:val="auto"/>
                <w:sz w:val="24"/>
                <w:highlight w:val="none"/>
                <w:lang w:val="en-US" w:eastAsia="zh-CN"/>
              </w:rPr>
              <w:t>则每年需5000</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3</w:t>
            </w:r>
            <w:r>
              <w:rPr>
                <w:rFonts w:hint="default" w:ascii="Times New Roman" w:hAnsi="Times New Roman" w:cs="Times New Roman"/>
                <w:bCs/>
                <w:color w:val="auto"/>
                <w:sz w:val="24"/>
                <w:highlight w:val="none"/>
                <w:lang w:val="en-US" w:eastAsia="zh-CN"/>
              </w:rPr>
              <w:t>/a</w:t>
            </w:r>
            <w:r>
              <w:rPr>
                <w:rFonts w:hint="eastAsia" w:cs="Times New Roman"/>
                <w:bCs/>
                <w:color w:val="auto"/>
                <w:sz w:val="24"/>
                <w:highlight w:val="none"/>
                <w:lang w:val="en-US" w:eastAsia="zh-CN"/>
              </w:rPr>
              <w:t>（25</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cs="Times New Roman"/>
                <w:bCs/>
                <w:color w:val="auto"/>
                <w:sz w:val="24"/>
                <w:highlight w:val="none"/>
                <w:lang w:val="en-US" w:eastAsia="zh-CN"/>
              </w:rPr>
              <w:t>）。</w:t>
            </w:r>
          </w:p>
          <w:p w14:paraId="7636B0DE">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cs="宋体"/>
                <w:bCs/>
                <w:color w:val="auto"/>
                <w:sz w:val="24"/>
                <w:highlight w:val="none"/>
              </w:rPr>
            </w:pPr>
            <w:r>
              <w:rPr>
                <w:rFonts w:hint="eastAsia" w:ascii="宋体" w:hAnsi="宋体"/>
                <w:bCs/>
                <w:color w:val="auto"/>
                <w:sz w:val="24"/>
                <w:highlight w:val="none"/>
              </w:rPr>
              <w:t>实验室用水：实验室</w:t>
            </w:r>
            <w:r>
              <w:rPr>
                <w:rFonts w:ascii="宋体" w:hAnsi="宋体" w:cs="宋体"/>
                <w:bCs/>
                <w:color w:val="auto"/>
                <w:sz w:val="24"/>
                <w:highlight w:val="none"/>
              </w:rPr>
              <w:t>用</w:t>
            </w:r>
            <w:r>
              <w:rPr>
                <w:rFonts w:hint="eastAsia" w:ascii="宋体" w:hAnsi="宋体"/>
                <w:bCs/>
                <w:color w:val="auto"/>
                <w:sz w:val="24"/>
                <w:highlight w:val="none"/>
              </w:rPr>
              <w:t>水主要是</w:t>
            </w:r>
            <w:r>
              <w:rPr>
                <w:rFonts w:ascii="宋体" w:hAnsi="宋体" w:cs="宋体"/>
                <w:bCs/>
                <w:color w:val="auto"/>
                <w:sz w:val="24"/>
                <w:highlight w:val="none"/>
              </w:rPr>
              <w:t>混凝土试件、水泥试体的标准养护及恒温恒湿试验，为物理实验，不需要化学试剂和化学药品，</w:t>
            </w:r>
            <w:r>
              <w:rPr>
                <w:rFonts w:hint="eastAsia" w:ascii="宋体" w:hAnsi="宋体" w:cs="宋体"/>
                <w:bCs/>
                <w:color w:val="auto"/>
                <w:sz w:val="24"/>
                <w:highlight w:val="none"/>
                <w:lang w:val="en-US" w:eastAsia="zh-CN"/>
              </w:rPr>
              <w:t>根据企业提供数据，</w:t>
            </w:r>
            <w:r>
              <w:rPr>
                <w:rFonts w:ascii="宋体" w:hAnsi="宋体" w:cs="宋体"/>
                <w:bCs/>
                <w:color w:val="auto"/>
                <w:sz w:val="24"/>
                <w:highlight w:val="none"/>
              </w:rPr>
              <w:t>本项目实验室用水量为</w:t>
            </w:r>
            <w:r>
              <w:rPr>
                <w:rFonts w:hint="eastAsia" w:cs="宋体"/>
                <w:bCs/>
                <w:color w:val="auto"/>
                <w:sz w:val="24"/>
                <w:highlight w:val="none"/>
                <w:lang w:val="en-US" w:eastAsia="zh-CN"/>
              </w:rPr>
              <w:t>24</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/a</w:t>
            </w:r>
            <w:r>
              <w:rPr>
                <w:rFonts w:hint="eastAsia" w:cs="宋体"/>
                <w:bCs/>
                <w:color w:val="auto"/>
                <w:sz w:val="24"/>
                <w:highlight w:val="none"/>
                <w:lang w:eastAsia="zh-CN"/>
              </w:rPr>
              <w:t>（</w:t>
            </w:r>
            <w:r>
              <w:rPr>
                <w:rFonts w:cs="宋体"/>
                <w:bCs/>
                <w:color w:val="auto"/>
                <w:sz w:val="24"/>
                <w:highlight w:val="none"/>
              </w:rPr>
              <w:t>0.</w:t>
            </w:r>
            <w:r>
              <w:rPr>
                <w:rFonts w:hint="eastAsia" w:cs="宋体"/>
                <w:bCs/>
                <w:color w:val="auto"/>
                <w:sz w:val="24"/>
                <w:highlight w:val="none"/>
                <w:lang w:val="en-US" w:eastAsia="zh-CN"/>
              </w:rPr>
              <w:t>12</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cs="宋体"/>
                <w:bCs/>
                <w:color w:val="auto"/>
                <w:sz w:val="24"/>
                <w:highlight w:val="none"/>
                <w:lang w:eastAsia="zh-CN"/>
              </w:rPr>
              <w:t>）</w:t>
            </w:r>
            <w:r>
              <w:rPr>
                <w:rFonts w:ascii="宋体" w:hAnsi="宋体" w:cs="宋体"/>
                <w:bCs/>
                <w:color w:val="auto"/>
                <w:sz w:val="24"/>
                <w:highlight w:val="none"/>
              </w:rPr>
              <w:t>。</w:t>
            </w:r>
          </w:p>
          <w:p w14:paraId="08A672F5">
            <w:pPr>
              <w:pStyle w:val="5"/>
              <w:keepNext w:val="0"/>
              <w:keepLines w:val="0"/>
              <w:pageBreakBefore w:val="0"/>
              <w:widowControl w:val="0"/>
              <w:kinsoku/>
              <w:wordWrap/>
              <w:overflowPunct/>
              <w:topLinePunct w:val="0"/>
              <w:bidi w:val="0"/>
              <w:spacing w:line="360" w:lineRule="auto"/>
              <w:ind w:firstLine="480" w:firstLineChars="200"/>
              <w:jc w:val="both"/>
              <w:textAlignment w:val="auto"/>
              <w:rPr>
                <w:color w:val="auto"/>
                <w:highlight w:val="none"/>
              </w:rPr>
            </w:pPr>
            <w:r>
              <w:rPr>
                <w:rFonts w:hint="default" w:ascii="Times New Roman" w:hAnsi="Times New Roman" w:cs="Times New Roman"/>
                <w:bCs/>
                <w:color w:val="auto"/>
                <w:highlight w:val="none"/>
              </w:rPr>
              <w:t>储料棚</w:t>
            </w:r>
            <w:r>
              <w:rPr>
                <w:rFonts w:hint="default" w:ascii="Times New Roman" w:hAnsi="Times New Roman" w:cs="Times New Roman"/>
                <w:color w:val="auto"/>
                <w:highlight w:val="none"/>
              </w:rPr>
              <w:t>抑尘用水：</w:t>
            </w:r>
            <w:r>
              <w:rPr>
                <w:rFonts w:hint="eastAsia" w:ascii="Times New Roman" w:hAnsi="Times New Roman" w:cs="Times New Roman"/>
                <w:color w:val="auto"/>
                <w:highlight w:val="none"/>
                <w:lang w:val="en-US" w:eastAsia="zh-CN"/>
              </w:rPr>
              <w:t>本项目建设砂石料棚</w:t>
            </w: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座，料棚占地面积</w:t>
            </w:r>
            <w:r>
              <w:rPr>
                <w:rFonts w:hint="eastAsia" w:cs="Times New Roman"/>
                <w:color w:val="auto"/>
                <w:highlight w:val="none"/>
                <w:lang w:val="en-US" w:eastAsia="zh-CN"/>
              </w:rPr>
              <w:t>3000</w:t>
            </w:r>
            <w:r>
              <w:rPr>
                <w:rFonts w:hint="eastAsia" w:ascii="Times New Roman" w:hAnsi="Times New Roman" w:cs="Times New Roman"/>
                <w:color w:val="auto"/>
                <w:highlight w:val="none"/>
                <w:lang w:val="en-US" w:eastAsia="zh-CN"/>
              </w:rPr>
              <w:t>m</w:t>
            </w:r>
            <w:r>
              <w:rPr>
                <w:rFonts w:hint="eastAsia"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rPr>
              <w:t>。</w:t>
            </w:r>
            <w:r>
              <w:rPr>
                <w:rFonts w:ascii="宋体" w:hAnsi="宋体"/>
                <w:color w:val="auto"/>
                <w:highlight w:val="none"/>
              </w:rPr>
              <w:t>砂</w:t>
            </w:r>
            <w:r>
              <w:rPr>
                <w:rFonts w:hint="eastAsia" w:ascii="宋体" w:hAnsi="宋体"/>
                <w:color w:val="auto"/>
                <w:highlight w:val="none"/>
              </w:rPr>
              <w:t>料棚、石料棚均为全封闭式，</w:t>
            </w:r>
            <w:r>
              <w:rPr>
                <w:rFonts w:hint="eastAsia" w:ascii="宋体" w:hAnsi="宋体"/>
                <w:color w:val="auto"/>
                <w:highlight w:val="none"/>
                <w:lang w:val="en-US" w:eastAsia="zh-CN"/>
              </w:rPr>
              <w:t>配套一套喷淋设施抑制装卸及贮存时产生的粉尘，根据企业提供数据，</w:t>
            </w:r>
            <w:r>
              <w:rPr>
                <w:rFonts w:hint="eastAsia" w:ascii="宋体" w:hAnsi="宋体"/>
                <w:color w:val="auto"/>
                <w:highlight w:val="none"/>
              </w:rPr>
              <w:t>抑尘用水定额</w:t>
            </w:r>
            <w:r>
              <w:rPr>
                <w:rFonts w:hint="eastAsia" w:ascii="宋体" w:hAnsi="宋体"/>
                <w:color w:val="auto"/>
                <w:highlight w:val="none"/>
                <w:lang w:val="en-US" w:eastAsia="zh-CN"/>
              </w:rPr>
              <w:t>约为</w:t>
            </w:r>
            <w:r>
              <w:rPr>
                <w:rFonts w:hint="eastAsia"/>
                <w:color w:val="auto"/>
                <w:highlight w:val="none"/>
                <w:lang w:val="en-US" w:eastAsia="zh-CN"/>
              </w:rPr>
              <w:t>2</w:t>
            </w:r>
            <w:r>
              <w:rPr>
                <w:color w:val="auto"/>
                <w:highlight w:val="none"/>
              </w:rPr>
              <w:t>L</w:t>
            </w:r>
            <w:r>
              <w:rPr>
                <w:rFonts w:hint="eastAsia"/>
                <w:color w:val="auto"/>
                <w:highlight w:val="none"/>
              </w:rPr>
              <w:t>/m</w:t>
            </w:r>
            <w:r>
              <w:rPr>
                <w:color w:val="auto"/>
                <w:highlight w:val="none"/>
                <w:vertAlign w:val="superscript"/>
              </w:rPr>
              <w:t>2</w:t>
            </w:r>
            <w:r>
              <w:rPr>
                <w:rFonts w:hint="eastAsia"/>
                <w:color w:val="auto"/>
                <w:highlight w:val="none"/>
              </w:rPr>
              <w:t>·</w:t>
            </w:r>
            <w:r>
              <w:rPr>
                <w:rFonts w:hint="eastAsia"/>
                <w:color w:val="auto"/>
                <w:highlight w:val="none"/>
                <w:lang w:val="en-US" w:eastAsia="zh-CN"/>
              </w:rPr>
              <w:t>次</w:t>
            </w:r>
            <w:r>
              <w:rPr>
                <w:rFonts w:hint="eastAsia" w:ascii="宋体" w:hAnsi="宋体"/>
                <w:color w:val="auto"/>
                <w:highlight w:val="none"/>
              </w:rPr>
              <w:t>计，</w:t>
            </w:r>
            <w:r>
              <w:rPr>
                <w:rFonts w:hint="eastAsia" w:ascii="宋体" w:hAnsi="宋体"/>
                <w:color w:val="auto"/>
                <w:highlight w:val="none"/>
                <w:lang w:val="en-US" w:eastAsia="zh-CN"/>
              </w:rPr>
              <w:t>每日喷洒</w:t>
            </w:r>
            <w:r>
              <w:rPr>
                <w:rFonts w:hint="eastAsia" w:ascii="Times New Roman" w:hAnsi="Times New Roman" w:cs="Times New Roman"/>
                <w:color w:val="auto"/>
                <w:highlight w:val="none"/>
                <w:lang w:val="en-US" w:eastAsia="zh-CN"/>
              </w:rPr>
              <w:t>5</w:t>
            </w:r>
            <w:r>
              <w:rPr>
                <w:rFonts w:hint="eastAsia" w:ascii="宋体" w:hAnsi="宋体"/>
                <w:color w:val="auto"/>
                <w:highlight w:val="none"/>
                <w:lang w:val="en-US" w:eastAsia="zh-CN"/>
              </w:rPr>
              <w:t>次，</w:t>
            </w:r>
            <w:r>
              <w:rPr>
                <w:rFonts w:hint="eastAsia" w:ascii="宋体" w:hAnsi="宋体"/>
                <w:color w:val="auto"/>
                <w:highlight w:val="none"/>
              </w:rPr>
              <w:t>则</w:t>
            </w:r>
            <w:r>
              <w:rPr>
                <w:rFonts w:hint="eastAsia" w:ascii="宋体" w:hAnsi="宋体"/>
                <w:bCs/>
                <w:color w:val="auto"/>
                <w:highlight w:val="none"/>
              </w:rPr>
              <w:t>储料棚</w:t>
            </w:r>
            <w:r>
              <w:rPr>
                <w:rFonts w:hint="eastAsia" w:ascii="宋体" w:hAnsi="宋体"/>
                <w:color w:val="auto"/>
                <w:highlight w:val="none"/>
              </w:rPr>
              <w:t>抑尘用水量为</w:t>
            </w:r>
            <w:r>
              <w:rPr>
                <w:rFonts w:hint="eastAsia"/>
                <w:color w:val="auto"/>
                <w:highlight w:val="none"/>
                <w:lang w:val="en-US" w:eastAsia="zh-CN"/>
              </w:rPr>
              <w:t>6000</w:t>
            </w:r>
            <w:r>
              <w:rPr>
                <w:rFonts w:hint="eastAsia"/>
                <w:color w:val="auto"/>
                <w:highlight w:val="none"/>
              </w:rPr>
              <w:t>m</w:t>
            </w:r>
            <w:r>
              <w:rPr>
                <w:color w:val="auto"/>
                <w:highlight w:val="none"/>
                <w:vertAlign w:val="superscript"/>
              </w:rPr>
              <w:t>3</w:t>
            </w:r>
            <w:r>
              <w:rPr>
                <w:color w:val="auto"/>
                <w:highlight w:val="none"/>
              </w:rPr>
              <w:t>/</w:t>
            </w:r>
            <w:r>
              <w:rPr>
                <w:rFonts w:hint="eastAsia"/>
                <w:color w:val="auto"/>
                <w:highlight w:val="none"/>
              </w:rPr>
              <w:t>a</w:t>
            </w:r>
            <w:r>
              <w:rPr>
                <w:rFonts w:hint="eastAsia"/>
                <w:color w:val="auto"/>
                <w:highlight w:val="none"/>
                <w:lang w:eastAsia="zh-CN"/>
              </w:rPr>
              <w:t>（</w:t>
            </w:r>
            <w:r>
              <w:rPr>
                <w:rFonts w:hint="eastAsia"/>
                <w:color w:val="auto"/>
                <w:highlight w:val="none"/>
                <w:lang w:val="en-US" w:eastAsia="zh-CN"/>
              </w:rPr>
              <w:t>30</w:t>
            </w:r>
            <w:r>
              <w:rPr>
                <w:rFonts w:hint="eastAsia"/>
                <w:color w:val="auto"/>
                <w:highlight w:val="none"/>
              </w:rPr>
              <w:t>m</w:t>
            </w:r>
            <w:r>
              <w:rPr>
                <w:color w:val="auto"/>
                <w:highlight w:val="none"/>
                <w:vertAlign w:val="superscript"/>
              </w:rPr>
              <w:t>3</w:t>
            </w:r>
            <w:r>
              <w:rPr>
                <w:color w:val="auto"/>
                <w:highlight w:val="none"/>
              </w:rPr>
              <w:t>/d</w:t>
            </w:r>
            <w:r>
              <w:rPr>
                <w:rFonts w:hint="eastAsia"/>
                <w:color w:val="auto"/>
                <w:highlight w:val="none"/>
                <w:lang w:eastAsia="zh-CN"/>
              </w:rPr>
              <w:t>）</w:t>
            </w:r>
            <w:r>
              <w:rPr>
                <w:rFonts w:hint="eastAsia" w:ascii="宋体" w:hAnsi="宋体"/>
                <w:color w:val="auto"/>
                <w:highlight w:val="none"/>
              </w:rPr>
              <w:t>。</w:t>
            </w:r>
          </w:p>
          <w:p w14:paraId="09D567CC">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both"/>
              <w:textAlignment w:val="auto"/>
              <w:rPr>
                <w:rFonts w:hint="eastAsia" w:ascii="Times New Roman" w:hAnsi="Times New Roman" w:cs="Times New Roman"/>
                <w:bCs/>
                <w:color w:val="auto"/>
                <w:sz w:val="24"/>
                <w:highlight w:val="none"/>
                <w:lang w:val="en-US" w:eastAsia="zh-CN"/>
              </w:rPr>
            </w:pPr>
            <w:r>
              <w:rPr>
                <w:rFonts w:hint="eastAsia" w:ascii="宋体" w:hAnsi="宋体"/>
                <w:bCs/>
                <w:color w:val="auto"/>
                <w:sz w:val="24"/>
                <w:highlight w:val="none"/>
                <w:lang w:val="en-US" w:eastAsia="zh-CN"/>
              </w:rPr>
              <w:t>搅拌罐清洗用水：</w:t>
            </w:r>
            <w:r>
              <w:rPr>
                <w:rFonts w:hint="default" w:ascii="Times New Roman" w:hAnsi="Times New Roman" w:cs="Times New Roman"/>
                <w:bCs/>
                <w:color w:val="auto"/>
                <w:sz w:val="24"/>
                <w:highlight w:val="none"/>
                <w:lang w:val="en-US" w:eastAsia="zh-CN"/>
              </w:rPr>
              <w:t>为了延长搅拌罐使用寿命，搅拌楼内搅拌罐需定期清洗，根据企业提供资料，搅拌罐每2个月清洗一次，每次用水量约为</w:t>
            </w:r>
            <w:r>
              <w:rPr>
                <w:rFonts w:hint="eastAsia" w:cs="Times New Roman"/>
                <w:bCs/>
                <w:color w:val="auto"/>
                <w:sz w:val="24"/>
                <w:highlight w:val="none"/>
                <w:lang w:val="en-US" w:eastAsia="zh-CN"/>
              </w:rPr>
              <w:t>10</w:t>
            </w:r>
            <w:r>
              <w:rPr>
                <w:rFonts w:hint="eastAsia"/>
                <w:color w:val="auto"/>
                <w:highlight w:val="none"/>
              </w:rPr>
              <w:t>m</w:t>
            </w:r>
            <w:r>
              <w:rPr>
                <w:color w:val="auto"/>
                <w:highlight w:val="none"/>
                <w:vertAlign w:val="superscript"/>
              </w:rPr>
              <w:t>3</w:t>
            </w:r>
            <w:r>
              <w:rPr>
                <w:rFonts w:hint="default" w:ascii="Times New Roman" w:hAnsi="Times New Roman" w:cs="Times New Roman"/>
                <w:bCs/>
                <w:color w:val="auto"/>
                <w:sz w:val="24"/>
                <w:highlight w:val="none"/>
                <w:lang w:val="en-US" w:eastAsia="zh-CN"/>
              </w:rPr>
              <w:t>，</w:t>
            </w:r>
            <w:r>
              <w:rPr>
                <w:rFonts w:hint="eastAsia" w:ascii="Times New Roman" w:hAnsi="Times New Roman" w:cs="Times New Roman"/>
                <w:bCs/>
                <w:color w:val="auto"/>
                <w:sz w:val="24"/>
                <w:highlight w:val="none"/>
                <w:lang w:val="en-US" w:eastAsia="zh-CN"/>
              </w:rPr>
              <w:t>本项目共设两个搅拌罐，因此，搅拌罐清洗用水量约为</w:t>
            </w:r>
            <w:r>
              <w:rPr>
                <w:rFonts w:hint="eastAsia" w:cs="Times New Roman"/>
                <w:bCs/>
                <w:color w:val="auto"/>
                <w:sz w:val="24"/>
                <w:highlight w:val="none"/>
                <w:lang w:val="en-US" w:eastAsia="zh-CN"/>
              </w:rPr>
              <w:t>70</w:t>
            </w:r>
            <w:r>
              <w:rPr>
                <w:rFonts w:hint="eastAsia"/>
                <w:color w:val="auto"/>
                <w:highlight w:val="none"/>
              </w:rPr>
              <w:t>m</w:t>
            </w:r>
            <w:r>
              <w:rPr>
                <w:rFonts w:hint="eastAsia"/>
                <w:color w:val="auto"/>
                <w:highlight w:val="none"/>
                <w:vertAlign w:val="superscript"/>
                <w:lang w:val="en-US" w:eastAsia="zh-CN"/>
              </w:rPr>
              <w:t>3</w:t>
            </w:r>
            <w:r>
              <w:rPr>
                <w:rFonts w:hint="eastAsia" w:ascii="Times New Roman" w:hAnsi="Times New Roman" w:cs="Times New Roman"/>
                <w:bCs/>
                <w:color w:val="auto"/>
                <w:sz w:val="24"/>
                <w:highlight w:val="none"/>
                <w:lang w:val="en-US" w:eastAsia="zh-CN"/>
              </w:rPr>
              <w:t>/a（0.</w:t>
            </w:r>
            <w:r>
              <w:rPr>
                <w:rFonts w:hint="eastAsia" w:cs="Times New Roman"/>
                <w:bCs/>
                <w:color w:val="auto"/>
                <w:sz w:val="24"/>
                <w:highlight w:val="none"/>
                <w:lang w:val="en-US" w:eastAsia="zh-CN"/>
              </w:rPr>
              <w:t>35</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p>
          <w:p w14:paraId="7426491A">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both"/>
              <w:textAlignment w:val="auto"/>
              <w:rPr>
                <w:rFonts w:hint="default" w:ascii="Times New Roman" w:hAnsi="Times New Roman" w:cs="Times New Roman"/>
                <w:bCs/>
                <w:color w:val="auto"/>
                <w:sz w:val="24"/>
                <w:highlight w:val="none"/>
                <w:vertAlign w:val="baseline"/>
                <w:lang w:val="en-US" w:eastAsia="zh-CN"/>
              </w:rPr>
            </w:pPr>
            <w:r>
              <w:rPr>
                <w:rFonts w:hint="eastAsia" w:cs="Times New Roman"/>
                <w:bCs/>
                <w:color w:val="auto"/>
                <w:sz w:val="24"/>
                <w:highlight w:val="none"/>
                <w:lang w:val="en-US" w:eastAsia="zh-CN"/>
              </w:rPr>
              <w:t>厂区道路、工业广场抑尘用水：本项目配备2辆洒水车，每日在厂区道路、工业广场进行洒水抑尘，每日喷洒两次，抑尘面积约3000m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vertAlign w:val="baseline"/>
                <w:lang w:val="en-US" w:eastAsia="zh-CN"/>
              </w:rPr>
              <w:t>，</w:t>
            </w:r>
            <w:r>
              <w:rPr>
                <w:rFonts w:hint="eastAsia" w:cs="Times New Roman"/>
                <w:bCs/>
                <w:color w:val="auto"/>
                <w:sz w:val="24"/>
                <w:highlight w:val="none"/>
                <w:lang w:val="en-US" w:eastAsia="zh-CN"/>
              </w:rPr>
              <w:t>抑尘用水按2L/m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lang w:val="en-US" w:eastAsia="zh-CN"/>
              </w:rPr>
              <w:t>·次计，则抑尘用水量为12m</w:t>
            </w:r>
            <w:r>
              <w:rPr>
                <w:rFonts w:hint="eastAsia" w:cs="Times New Roman"/>
                <w:bCs/>
                <w:color w:val="auto"/>
                <w:sz w:val="24"/>
                <w:highlight w:val="none"/>
                <w:vertAlign w:val="superscript"/>
                <w:lang w:val="en-US" w:eastAsia="zh-CN"/>
              </w:rPr>
              <w:t>3</w:t>
            </w:r>
            <w:r>
              <w:rPr>
                <w:rFonts w:hint="eastAsia" w:cs="Times New Roman"/>
                <w:bCs/>
                <w:color w:val="auto"/>
                <w:sz w:val="24"/>
                <w:highlight w:val="none"/>
                <w:vertAlign w:val="baseline"/>
                <w:lang w:val="en-US" w:eastAsia="zh-CN"/>
              </w:rPr>
              <w:t>/d（2880m</w:t>
            </w:r>
            <w:r>
              <w:rPr>
                <w:rFonts w:hint="eastAsia" w:cs="Times New Roman"/>
                <w:bCs/>
                <w:color w:val="auto"/>
                <w:sz w:val="24"/>
                <w:highlight w:val="none"/>
                <w:vertAlign w:val="superscript"/>
                <w:lang w:val="en-US" w:eastAsia="zh-CN"/>
              </w:rPr>
              <w:t>3</w:t>
            </w:r>
            <w:r>
              <w:rPr>
                <w:rFonts w:hint="eastAsia" w:cs="Times New Roman"/>
                <w:bCs/>
                <w:color w:val="auto"/>
                <w:sz w:val="24"/>
                <w:highlight w:val="none"/>
                <w:vertAlign w:val="baseline"/>
                <w:lang w:val="en-US" w:eastAsia="zh-CN"/>
              </w:rPr>
              <w:t>/d）。</w:t>
            </w:r>
          </w:p>
          <w:p w14:paraId="1796877A">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rFonts w:cs="宋体"/>
                <w:bCs/>
                <w:color w:val="auto"/>
                <w:sz w:val="24"/>
                <w:highlight w:val="none"/>
              </w:rPr>
            </w:pPr>
            <w:r>
              <w:rPr>
                <w:rFonts w:hint="eastAsia" w:ascii="宋体" w:hAnsi="宋体"/>
                <w:bCs/>
                <w:color w:val="auto"/>
                <w:sz w:val="24"/>
                <w:highlight w:val="none"/>
                <w:lang w:val="en-US" w:eastAsia="zh-CN"/>
              </w:rPr>
              <w:t>②</w:t>
            </w:r>
            <w:r>
              <w:rPr>
                <w:rFonts w:hint="eastAsia" w:ascii="宋体" w:hAnsi="宋体"/>
                <w:bCs/>
                <w:color w:val="auto"/>
                <w:sz w:val="24"/>
                <w:highlight w:val="none"/>
              </w:rPr>
              <w:t>生活用水</w:t>
            </w:r>
          </w:p>
          <w:p w14:paraId="30B933E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bCs/>
                <w:color w:val="auto"/>
                <w:sz w:val="24"/>
                <w:highlight w:val="none"/>
              </w:rPr>
            </w:pPr>
            <w:r>
              <w:rPr>
                <w:rFonts w:ascii="宋体" w:hAnsi="宋体"/>
                <w:bCs/>
                <w:color w:val="auto"/>
                <w:sz w:val="24"/>
                <w:highlight w:val="none"/>
              </w:rPr>
              <w:t>本项目劳动定员</w:t>
            </w:r>
            <w:r>
              <w:rPr>
                <w:rFonts w:hint="eastAsia"/>
                <w:bCs/>
                <w:color w:val="auto"/>
                <w:sz w:val="24"/>
                <w:highlight w:val="none"/>
                <w:lang w:val="en-US" w:eastAsia="zh-CN"/>
              </w:rPr>
              <w:t>20</w:t>
            </w:r>
            <w:r>
              <w:rPr>
                <w:rFonts w:ascii="宋体" w:hAnsi="宋体"/>
                <w:bCs/>
                <w:color w:val="auto"/>
                <w:sz w:val="24"/>
                <w:highlight w:val="none"/>
              </w:rPr>
              <w:t>人，</w:t>
            </w:r>
            <w:r>
              <w:rPr>
                <w:rFonts w:hint="eastAsia" w:ascii="宋体" w:hAnsi="宋体"/>
                <w:bCs/>
                <w:color w:val="auto"/>
                <w:sz w:val="24"/>
                <w:highlight w:val="none"/>
              </w:rPr>
              <w:t>根据</w:t>
            </w:r>
            <w:r>
              <w:rPr>
                <w:rFonts w:ascii="宋体" w:hAnsi="宋体" w:cs="宋体"/>
                <w:bCs/>
                <w:color w:val="auto"/>
                <w:sz w:val="24"/>
                <w:highlight w:val="none"/>
              </w:rPr>
              <w:t>《</w:t>
            </w:r>
            <w:r>
              <w:rPr>
                <w:rFonts w:hint="eastAsia" w:ascii="宋体" w:hAnsi="宋体"/>
                <w:bCs/>
                <w:color w:val="auto"/>
                <w:sz w:val="24"/>
                <w:highlight w:val="none"/>
              </w:rPr>
              <w:t>行业用水定额</w:t>
            </w:r>
            <w:r>
              <w:rPr>
                <w:rFonts w:ascii="宋体" w:hAnsi="宋体" w:cs="宋体"/>
                <w:bCs/>
                <w:color w:val="auto"/>
                <w:sz w:val="24"/>
                <w:highlight w:val="none"/>
              </w:rPr>
              <w:t>》</w:t>
            </w:r>
            <w:r>
              <w:rPr>
                <w:rFonts w:hint="eastAsia" w:ascii="宋体" w:hAnsi="宋体"/>
                <w:bCs/>
                <w:color w:val="auto"/>
                <w:sz w:val="24"/>
                <w:highlight w:val="none"/>
              </w:rPr>
              <w:t>（</w:t>
            </w:r>
            <w:r>
              <w:rPr>
                <w:rFonts w:hint="eastAsia"/>
                <w:bCs/>
                <w:color w:val="auto"/>
                <w:sz w:val="24"/>
                <w:highlight w:val="none"/>
              </w:rPr>
              <w:t>D</w:t>
            </w:r>
            <w:r>
              <w:rPr>
                <w:rFonts w:cs="宋体"/>
                <w:bCs/>
                <w:color w:val="auto"/>
                <w:sz w:val="24"/>
                <w:highlight w:val="none"/>
              </w:rPr>
              <w:t>B15/T385</w:t>
            </w:r>
            <w:r>
              <w:rPr>
                <w:rFonts w:hint="eastAsia" w:cs="宋体"/>
                <w:bCs/>
                <w:color w:val="auto"/>
                <w:sz w:val="24"/>
                <w:highlight w:val="none"/>
                <w:lang w:val="en-US" w:eastAsia="zh-CN"/>
              </w:rPr>
              <w:t>-</w:t>
            </w:r>
            <w:r>
              <w:rPr>
                <w:rFonts w:cs="宋体"/>
                <w:bCs/>
                <w:color w:val="auto"/>
                <w:sz w:val="24"/>
                <w:highlight w:val="none"/>
              </w:rPr>
              <w:t>202</w:t>
            </w:r>
            <w:r>
              <w:rPr>
                <w:rFonts w:hint="eastAsia" w:cs="宋体"/>
                <w:bCs/>
                <w:color w:val="auto"/>
                <w:sz w:val="24"/>
                <w:highlight w:val="none"/>
                <w:lang w:val="en-US" w:eastAsia="zh-CN"/>
              </w:rPr>
              <w:t>5</w:t>
            </w:r>
            <w:r>
              <w:rPr>
                <w:rFonts w:hint="eastAsia" w:ascii="宋体" w:hAnsi="宋体"/>
                <w:bCs/>
                <w:color w:val="auto"/>
                <w:sz w:val="24"/>
                <w:highlight w:val="none"/>
              </w:rPr>
              <w:t>）</w:t>
            </w:r>
            <w:r>
              <w:rPr>
                <w:rFonts w:ascii="宋体" w:hAnsi="宋体"/>
                <w:bCs/>
                <w:color w:val="auto"/>
                <w:sz w:val="24"/>
                <w:highlight w:val="none"/>
              </w:rPr>
              <w:t>，职工生活用水量按</w:t>
            </w:r>
            <w:r>
              <w:rPr>
                <w:rFonts w:hint="eastAsia"/>
                <w:bCs/>
                <w:color w:val="auto"/>
                <w:sz w:val="24"/>
                <w:highlight w:val="none"/>
                <w:lang w:val="en-US" w:eastAsia="zh-CN"/>
              </w:rPr>
              <w:t>60</w:t>
            </w:r>
            <w:r>
              <w:rPr>
                <w:bCs/>
                <w:color w:val="auto"/>
                <w:sz w:val="24"/>
                <w:highlight w:val="none"/>
              </w:rPr>
              <w:t>L/</w:t>
            </w:r>
            <w:r>
              <w:rPr>
                <w:rFonts w:ascii="宋体" w:hAnsi="宋体"/>
                <w:bCs/>
                <w:color w:val="auto"/>
                <w:sz w:val="24"/>
                <w:highlight w:val="none"/>
              </w:rPr>
              <w:t>人</w:t>
            </w:r>
            <w:r>
              <w:rPr>
                <w:bCs/>
                <w:color w:val="auto"/>
                <w:sz w:val="24"/>
                <w:highlight w:val="none"/>
              </w:rPr>
              <w:t>·d</w:t>
            </w:r>
            <w:r>
              <w:rPr>
                <w:rFonts w:ascii="宋体" w:hAnsi="宋体"/>
                <w:bCs/>
                <w:color w:val="auto"/>
                <w:sz w:val="24"/>
                <w:highlight w:val="none"/>
              </w:rPr>
              <w:t>计，则用水量为</w:t>
            </w:r>
            <w:r>
              <w:rPr>
                <w:rFonts w:hint="eastAsia"/>
                <w:bCs/>
                <w:color w:val="auto"/>
                <w:sz w:val="24"/>
                <w:highlight w:val="none"/>
                <w:lang w:val="en-US" w:eastAsia="zh-CN"/>
              </w:rPr>
              <w:t>288</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cs="Times New Roman"/>
                <w:bCs/>
                <w:color w:val="auto"/>
                <w:sz w:val="24"/>
                <w:highlight w:val="none"/>
                <w:lang w:val="en-US" w:eastAsia="zh-CN"/>
              </w:rPr>
              <w:t>1.44</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ascii="宋体" w:hAnsi="宋体"/>
                <w:bCs/>
                <w:color w:val="auto"/>
                <w:sz w:val="24"/>
                <w:highlight w:val="none"/>
              </w:rPr>
              <w:t>。</w:t>
            </w:r>
          </w:p>
          <w:p w14:paraId="73379137">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ascii="宋体" w:hAnsi="宋体"/>
                <w:bCs/>
                <w:color w:val="auto"/>
                <w:sz w:val="24"/>
                <w:highlight w:val="none"/>
              </w:rPr>
              <w:t>（</w:t>
            </w:r>
            <w:r>
              <w:rPr>
                <w:bCs/>
                <w:color w:val="auto"/>
                <w:sz w:val="24"/>
                <w:highlight w:val="none"/>
              </w:rPr>
              <w:t>2</w:t>
            </w:r>
            <w:r>
              <w:rPr>
                <w:rFonts w:ascii="宋体" w:hAnsi="宋体"/>
                <w:bCs/>
                <w:color w:val="auto"/>
                <w:sz w:val="24"/>
                <w:highlight w:val="none"/>
              </w:rPr>
              <w:t>）排水工程</w:t>
            </w:r>
          </w:p>
          <w:p w14:paraId="1DFB9AF3">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eastAsia" w:ascii="宋体" w:hAnsi="宋体"/>
                <w:bCs/>
                <w:color w:val="auto"/>
                <w:sz w:val="24"/>
                <w:highlight w:val="none"/>
              </w:rPr>
              <w:t>搅拌混合用水</w:t>
            </w:r>
            <w:r>
              <w:rPr>
                <w:rFonts w:ascii="宋体" w:hAnsi="宋体"/>
                <w:bCs/>
                <w:color w:val="auto"/>
                <w:sz w:val="24"/>
                <w:highlight w:val="none"/>
              </w:rPr>
              <w:t>全部进入产品，不外排</w:t>
            </w:r>
            <w:r>
              <w:rPr>
                <w:rFonts w:hint="eastAsia" w:ascii="宋体" w:hAnsi="宋体"/>
                <w:bCs/>
                <w:color w:val="auto"/>
                <w:sz w:val="24"/>
                <w:highlight w:val="none"/>
              </w:rPr>
              <w:t>；储料棚抑尘用</w:t>
            </w:r>
            <w:r>
              <w:rPr>
                <w:rFonts w:hint="eastAsia" w:ascii="宋体" w:hAnsi="宋体"/>
                <w:color w:val="auto"/>
                <w:sz w:val="24"/>
                <w:highlight w:val="none"/>
              </w:rPr>
              <w:t>水</w:t>
            </w:r>
            <w:r>
              <w:rPr>
                <w:rFonts w:hint="eastAsia" w:ascii="宋体" w:hAnsi="宋体"/>
                <w:color w:val="auto"/>
                <w:sz w:val="24"/>
                <w:highlight w:val="none"/>
                <w:lang w:eastAsia="zh-CN"/>
              </w:rPr>
              <w:t>、</w:t>
            </w:r>
            <w:r>
              <w:rPr>
                <w:rFonts w:hint="eastAsia" w:cs="Times New Roman"/>
                <w:bCs/>
                <w:color w:val="auto"/>
                <w:sz w:val="24"/>
                <w:highlight w:val="none"/>
                <w:lang w:val="en-US" w:eastAsia="zh-CN"/>
              </w:rPr>
              <w:t>厂区道路、工业广场抑尘用水</w:t>
            </w:r>
            <w:r>
              <w:rPr>
                <w:rFonts w:hint="eastAsia" w:ascii="宋体" w:hAnsi="宋体"/>
                <w:bCs/>
                <w:color w:val="auto"/>
                <w:sz w:val="24"/>
                <w:highlight w:val="none"/>
              </w:rPr>
              <w:t>全部自然蒸发，不外排；</w:t>
            </w:r>
            <w:r>
              <w:rPr>
                <w:rFonts w:hint="eastAsia" w:ascii="宋体" w:hAnsi="宋体"/>
                <w:bCs/>
                <w:color w:val="auto"/>
                <w:sz w:val="24"/>
                <w:highlight w:val="none"/>
                <w:lang w:val="en-US" w:eastAsia="zh-CN"/>
              </w:rPr>
              <w:t>搅拌罐清洗废水、</w:t>
            </w:r>
            <w:r>
              <w:rPr>
                <w:rFonts w:hint="eastAsia" w:ascii="宋体" w:hAnsi="宋体" w:cs="宋体"/>
                <w:bCs/>
                <w:color w:val="auto"/>
                <w:sz w:val="24"/>
                <w:highlight w:val="none"/>
                <w:lang w:val="en-US" w:eastAsia="zh-CN"/>
              </w:rPr>
              <w:t>混凝土罐车清洗废水、</w:t>
            </w:r>
            <w:r>
              <w:rPr>
                <w:rFonts w:ascii="宋体" w:hAnsi="宋体"/>
                <w:bCs/>
                <w:color w:val="auto"/>
                <w:sz w:val="24"/>
                <w:highlight w:val="none"/>
              </w:rPr>
              <w:t>运输车辆清洗废水、实验室废水</w:t>
            </w:r>
            <w:r>
              <w:rPr>
                <w:rFonts w:hint="eastAsia" w:ascii="宋体" w:hAnsi="宋体"/>
                <w:bCs/>
                <w:color w:val="auto"/>
                <w:sz w:val="24"/>
                <w:highlight w:val="none"/>
              </w:rPr>
              <w:t>经</w:t>
            </w:r>
            <w:r>
              <w:rPr>
                <w:rFonts w:hint="eastAsia" w:ascii="宋体" w:hAnsi="宋体"/>
                <w:bCs/>
                <w:color w:val="auto"/>
                <w:sz w:val="24"/>
                <w:highlight w:val="none"/>
                <w:lang w:val="en-US" w:eastAsia="zh-CN"/>
              </w:rPr>
              <w:t>沉淀池处理后</w:t>
            </w:r>
            <w:r>
              <w:rPr>
                <w:rFonts w:hint="eastAsia" w:ascii="宋体" w:hAnsi="宋体"/>
                <w:bCs/>
                <w:color w:val="auto"/>
                <w:sz w:val="24"/>
                <w:highlight w:val="none"/>
              </w:rPr>
              <w:t>回用于生产，不外排。故本项目排</w:t>
            </w:r>
            <w:r>
              <w:rPr>
                <w:rFonts w:ascii="宋体" w:hAnsi="宋体"/>
                <w:bCs/>
                <w:color w:val="auto"/>
                <w:sz w:val="24"/>
                <w:highlight w:val="none"/>
              </w:rPr>
              <w:t>水主要为生活污水</w:t>
            </w:r>
            <w:r>
              <w:rPr>
                <w:rFonts w:hint="eastAsia" w:ascii="宋体" w:hAnsi="宋体"/>
                <w:bCs/>
                <w:color w:val="auto"/>
                <w:sz w:val="24"/>
                <w:highlight w:val="none"/>
              </w:rPr>
              <w:t>。</w:t>
            </w:r>
          </w:p>
          <w:p w14:paraId="1B3C4E6C">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bCs/>
                <w:color w:val="auto"/>
                <w:sz w:val="24"/>
                <w:szCs w:val="24"/>
                <w:highlight w:val="none"/>
              </w:rPr>
            </w:pPr>
            <w:r>
              <w:rPr>
                <w:rFonts w:hint="eastAsia" w:ascii="宋体" w:hAnsi="宋体"/>
                <w:bCs/>
                <w:color w:val="auto"/>
                <w:sz w:val="24"/>
                <w:highlight w:val="none"/>
              </w:rPr>
              <w:t>①</w:t>
            </w:r>
            <w:r>
              <w:rPr>
                <w:rFonts w:ascii="宋体" w:hAnsi="宋体"/>
                <w:bCs/>
                <w:color w:val="auto"/>
                <w:sz w:val="24"/>
                <w:highlight w:val="none"/>
              </w:rPr>
              <w:t>生活污水：生活污水量按用水量的</w:t>
            </w:r>
            <w:r>
              <w:rPr>
                <w:bCs/>
                <w:color w:val="auto"/>
                <w:sz w:val="24"/>
                <w:highlight w:val="none"/>
              </w:rPr>
              <w:t>80%</w:t>
            </w:r>
            <w:r>
              <w:rPr>
                <w:rFonts w:ascii="宋体" w:hAnsi="宋体"/>
                <w:bCs/>
                <w:color w:val="auto"/>
                <w:sz w:val="24"/>
                <w:highlight w:val="none"/>
              </w:rPr>
              <w:t>计算，则职工生活污水产生量为</w:t>
            </w:r>
            <w:r>
              <w:rPr>
                <w:rFonts w:hint="eastAsia"/>
                <w:bCs/>
                <w:color w:val="auto"/>
                <w:sz w:val="24"/>
                <w:highlight w:val="none"/>
                <w:lang w:val="en-US" w:eastAsia="zh-CN"/>
              </w:rPr>
              <w:t>230.4</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lang w:val="en-US" w:eastAsia="zh-CN"/>
              </w:rPr>
              <w:t>1.152</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ascii="宋体" w:hAnsi="宋体"/>
                <w:bCs/>
                <w:color w:val="auto"/>
                <w:sz w:val="24"/>
                <w:highlight w:val="none"/>
              </w:rPr>
              <w:t>。</w:t>
            </w:r>
            <w:r>
              <w:rPr>
                <w:rFonts w:hint="default" w:ascii="Times New Roman" w:hAnsi="Times New Roman" w:cs="Times New Roman"/>
                <w:color w:val="auto"/>
                <w:kern w:val="0"/>
                <w:sz w:val="24"/>
                <w:szCs w:val="24"/>
                <w:highlight w:val="none"/>
              </w:rPr>
              <w:t>本项目生活污水经</w:t>
            </w:r>
            <w:r>
              <w:rPr>
                <w:rFonts w:hint="eastAsia" w:ascii="Times New Roman" w:hAnsi="Times New Roman" w:cs="Times New Roman"/>
                <w:color w:val="auto"/>
                <w:kern w:val="0"/>
                <w:sz w:val="24"/>
                <w:szCs w:val="24"/>
                <w:highlight w:val="none"/>
                <w:lang w:val="en-US" w:eastAsia="zh-CN"/>
              </w:rPr>
              <w:t>30m</w:t>
            </w:r>
            <w:r>
              <w:rPr>
                <w:rFonts w:hint="eastAsia"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化粪池预处理</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满足《污水综合排放标准》（GB8978-1996）三级标准</w:t>
            </w:r>
            <w:r>
              <w:rPr>
                <w:rFonts w:hint="default" w:ascii="Times New Roman" w:hAnsi="Times New Roman" w:cs="Times New Roman"/>
                <w:color w:val="auto"/>
                <w:kern w:val="0"/>
                <w:sz w:val="24"/>
                <w:szCs w:val="24"/>
                <w:highlight w:val="none"/>
              </w:rPr>
              <w:t>后</w:t>
            </w:r>
            <w:r>
              <w:rPr>
                <w:rFonts w:hint="eastAsia" w:ascii="Times New Roman" w:hAnsi="Times New Roman" w:cs="Times New Roman"/>
                <w:color w:val="auto"/>
                <w:kern w:val="0"/>
                <w:sz w:val="24"/>
                <w:szCs w:val="24"/>
                <w:highlight w:val="none"/>
                <w:lang w:val="en-US" w:eastAsia="zh-CN"/>
              </w:rPr>
              <w:t>定期拉运至</w:t>
            </w:r>
            <w:r>
              <w:rPr>
                <w:rFonts w:hint="eastAsia" w:cs="Times New Roman"/>
                <w:color w:val="auto"/>
                <w:kern w:val="0"/>
                <w:sz w:val="24"/>
                <w:szCs w:val="24"/>
                <w:highlight w:val="yellow"/>
                <w:lang w:val="en-US" w:eastAsia="zh-CN"/>
              </w:rPr>
              <w:t>阿镇污水处理厂处理</w:t>
            </w:r>
            <w:r>
              <w:rPr>
                <w:rFonts w:hint="eastAsia" w:ascii="宋体" w:hAnsi="宋体"/>
                <w:bCs/>
                <w:color w:val="auto"/>
                <w:sz w:val="24"/>
                <w:szCs w:val="24"/>
                <w:highlight w:val="none"/>
              </w:rPr>
              <w:t>。</w:t>
            </w:r>
          </w:p>
          <w:p w14:paraId="198DBC62">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bCs/>
                <w:color w:val="auto"/>
                <w:sz w:val="24"/>
                <w:highlight w:val="none"/>
                <w:lang w:val="en-US" w:eastAsia="zh-CN"/>
              </w:rPr>
            </w:pPr>
            <w:r>
              <w:rPr>
                <w:rFonts w:hint="eastAsia" w:ascii="宋体" w:hAnsi="宋体"/>
                <w:bCs/>
                <w:color w:val="auto"/>
                <w:sz w:val="24"/>
                <w:highlight w:val="none"/>
                <w:lang w:val="en-US" w:eastAsia="zh-CN"/>
              </w:rPr>
              <w:t>②搅拌罐清洗废水：搅拌罐清洗用水量约为</w:t>
            </w:r>
            <w:r>
              <w:rPr>
                <w:rFonts w:hint="eastAsia" w:cs="Times New Roman"/>
                <w:bCs/>
                <w:color w:val="auto"/>
                <w:sz w:val="24"/>
                <w:highlight w:val="none"/>
                <w:lang w:val="en-US" w:eastAsia="zh-CN"/>
              </w:rPr>
              <w:t>70</w:t>
            </w:r>
            <w:r>
              <w:rPr>
                <w:rFonts w:hint="eastAsia"/>
                <w:color w:val="auto"/>
                <w:highlight w:val="none"/>
              </w:rPr>
              <w:t>m</w:t>
            </w:r>
            <w:r>
              <w:rPr>
                <w:color w:val="auto"/>
                <w:highlight w:val="none"/>
                <w:vertAlign w:val="superscript"/>
              </w:rPr>
              <w:t>3</w:t>
            </w:r>
            <w:r>
              <w:rPr>
                <w:rFonts w:hint="eastAsia" w:ascii="Times New Roman" w:hAnsi="Times New Roman" w:cs="Times New Roman"/>
                <w:bCs/>
                <w:color w:val="auto"/>
                <w:sz w:val="24"/>
                <w:highlight w:val="none"/>
                <w:lang w:val="en-US" w:eastAsia="zh-CN"/>
              </w:rPr>
              <w:t>/a（</w:t>
            </w:r>
            <w:r>
              <w:rPr>
                <w:rFonts w:hint="eastAsia" w:cs="Times New Roman"/>
                <w:bCs/>
                <w:color w:val="auto"/>
                <w:sz w:val="24"/>
                <w:highlight w:val="none"/>
                <w:lang w:val="en-US" w:eastAsia="zh-CN"/>
              </w:rPr>
              <w:t>0.35</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r>
              <w:rPr>
                <w:rFonts w:hint="eastAsia" w:cs="Times New Roman"/>
                <w:bCs/>
                <w:color w:val="auto"/>
                <w:sz w:val="24"/>
                <w:highlight w:val="none"/>
                <w:lang w:val="en-US" w:eastAsia="zh-CN"/>
              </w:rPr>
              <w:t>，</w:t>
            </w:r>
            <w:r>
              <w:rPr>
                <w:rFonts w:ascii="宋体" w:hAnsi="宋体"/>
                <w:bCs/>
                <w:color w:val="auto"/>
                <w:sz w:val="24"/>
                <w:highlight w:val="none"/>
              </w:rPr>
              <w:t>废水的产生量按用水量的</w:t>
            </w:r>
            <w:r>
              <w:rPr>
                <w:rFonts w:hint="eastAsia"/>
                <w:bCs/>
                <w:color w:val="auto"/>
                <w:sz w:val="24"/>
                <w:highlight w:val="none"/>
                <w:lang w:val="en-US" w:eastAsia="zh-CN"/>
              </w:rPr>
              <w:t>8</w:t>
            </w:r>
            <w:r>
              <w:rPr>
                <w:bCs/>
                <w:color w:val="auto"/>
                <w:sz w:val="24"/>
                <w:highlight w:val="none"/>
              </w:rPr>
              <w:t>0%</w:t>
            </w:r>
            <w:r>
              <w:rPr>
                <w:rFonts w:ascii="宋体" w:hAnsi="宋体"/>
                <w:bCs/>
                <w:color w:val="auto"/>
                <w:sz w:val="24"/>
                <w:highlight w:val="none"/>
              </w:rPr>
              <w:t>计算</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则搅拌罐清洗废水产生量为</w:t>
            </w:r>
            <w:r>
              <w:rPr>
                <w:rFonts w:hint="eastAsia" w:cs="Times New Roman"/>
                <w:bCs/>
                <w:color w:val="auto"/>
                <w:sz w:val="24"/>
                <w:highlight w:val="none"/>
                <w:lang w:val="en-US" w:eastAsia="zh-CN"/>
              </w:rPr>
              <w:t>56</w:t>
            </w:r>
            <w:r>
              <w:rPr>
                <w:rFonts w:hint="eastAsia"/>
                <w:color w:val="auto"/>
                <w:highlight w:val="none"/>
              </w:rPr>
              <w:t>m</w:t>
            </w:r>
            <w:r>
              <w:rPr>
                <w:color w:val="auto"/>
                <w:highlight w:val="none"/>
                <w:vertAlign w:val="superscript"/>
              </w:rPr>
              <w:t>3</w:t>
            </w:r>
            <w:r>
              <w:rPr>
                <w:rFonts w:hint="eastAsia" w:ascii="Times New Roman" w:hAnsi="Times New Roman" w:cs="Times New Roman"/>
                <w:bCs/>
                <w:color w:val="auto"/>
                <w:sz w:val="24"/>
                <w:highlight w:val="none"/>
                <w:lang w:val="en-US" w:eastAsia="zh-CN"/>
              </w:rPr>
              <w:t>/a（0.28</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eastAsia" w:ascii="宋体" w:hAnsi="宋体"/>
                <w:bCs/>
                <w:color w:val="auto"/>
                <w:sz w:val="24"/>
                <w:highlight w:val="none"/>
                <w:lang w:eastAsia="zh-CN"/>
              </w:rPr>
              <w:t>。</w:t>
            </w:r>
          </w:p>
          <w:p w14:paraId="224A31A2">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bCs/>
                <w:color w:val="auto"/>
                <w:sz w:val="24"/>
                <w:highlight w:val="none"/>
                <w:lang w:val="en-US" w:eastAsia="zh-CN"/>
              </w:rPr>
            </w:pPr>
            <w:r>
              <w:rPr>
                <w:rFonts w:hint="eastAsia" w:ascii="宋体" w:hAnsi="宋体"/>
                <w:bCs/>
                <w:color w:val="auto"/>
                <w:sz w:val="24"/>
                <w:highlight w:val="none"/>
                <w:lang w:val="en-US" w:eastAsia="zh-CN"/>
              </w:rPr>
              <w:t>③</w:t>
            </w:r>
            <w:r>
              <w:rPr>
                <w:rFonts w:hint="eastAsia" w:ascii="宋体" w:hAnsi="宋体" w:cs="宋体"/>
                <w:bCs/>
                <w:color w:val="auto"/>
                <w:sz w:val="24"/>
                <w:highlight w:val="none"/>
                <w:lang w:val="en-US" w:eastAsia="zh-CN"/>
              </w:rPr>
              <w:t>混凝土罐车清洗废水</w:t>
            </w:r>
          </w:p>
          <w:p w14:paraId="244C4D6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default" w:ascii="宋体" w:hAnsi="宋体"/>
                <w:bCs/>
                <w:color w:val="auto"/>
                <w:sz w:val="24"/>
                <w:highlight w:val="none"/>
                <w:lang w:val="en-US" w:eastAsia="zh-CN"/>
              </w:rPr>
            </w:pPr>
            <w:r>
              <w:rPr>
                <w:rFonts w:hint="eastAsia" w:ascii="宋体" w:hAnsi="宋体"/>
                <w:bCs/>
                <w:color w:val="auto"/>
                <w:sz w:val="24"/>
                <w:highlight w:val="none"/>
                <w:lang w:val="en-US" w:eastAsia="zh-CN"/>
              </w:rPr>
              <w:t>本项目</w:t>
            </w:r>
            <w:r>
              <w:rPr>
                <w:rFonts w:hint="eastAsia" w:ascii="宋体" w:hAnsi="宋体" w:cs="宋体"/>
                <w:bCs/>
                <w:color w:val="auto"/>
                <w:sz w:val="24"/>
                <w:highlight w:val="none"/>
                <w:lang w:val="en-US" w:eastAsia="zh-CN"/>
              </w:rPr>
              <w:t>混凝土罐车清洗用水量为</w:t>
            </w:r>
            <w:r>
              <w:rPr>
                <w:rFonts w:hint="eastAsia" w:cs="Times New Roman"/>
                <w:bCs/>
                <w:color w:val="auto"/>
                <w:sz w:val="24"/>
                <w:highlight w:val="none"/>
                <w:lang w:val="en-US" w:eastAsia="zh-CN"/>
              </w:rPr>
              <w:t>5000</w:t>
            </w:r>
            <w:r>
              <w:rPr>
                <w:rFonts w:hint="default" w:ascii="Times New Roman" w:hAnsi="Times New Roman" w:cs="Times New Roman"/>
                <w:bCs/>
                <w:color w:val="auto"/>
                <w:sz w:val="24"/>
                <w:highlight w:val="none"/>
                <w:lang w:val="en-US" w:eastAsia="zh-CN"/>
              </w:rPr>
              <w:t>m</w:t>
            </w:r>
            <w:r>
              <w:rPr>
                <w:rFonts w:hint="default" w:ascii="Times New Roman" w:hAnsi="Times New Roman" w:cs="Times New Roman"/>
                <w:bCs/>
                <w:color w:val="auto"/>
                <w:sz w:val="24"/>
                <w:highlight w:val="none"/>
                <w:vertAlign w:val="superscript"/>
                <w:lang w:val="en-US" w:eastAsia="zh-CN"/>
              </w:rPr>
              <w:t>3</w:t>
            </w:r>
            <w:r>
              <w:rPr>
                <w:rFonts w:hint="default" w:ascii="Times New Roman" w:hAnsi="Times New Roman" w:cs="Times New Roman"/>
                <w:bCs/>
                <w:color w:val="auto"/>
                <w:sz w:val="24"/>
                <w:highlight w:val="none"/>
                <w:lang w:val="en-US" w:eastAsia="zh-CN"/>
              </w:rPr>
              <w:t>/a</w:t>
            </w:r>
            <w:r>
              <w:rPr>
                <w:rFonts w:hint="eastAsia" w:cs="Times New Roman"/>
                <w:bCs/>
                <w:color w:val="auto"/>
                <w:sz w:val="24"/>
                <w:highlight w:val="none"/>
                <w:lang w:val="en-US" w:eastAsia="zh-CN"/>
              </w:rPr>
              <w:t>（25</w:t>
            </w:r>
            <w:r>
              <w:rPr>
                <w:rFonts w:cs="宋体"/>
                <w:bCs/>
                <w:color w:val="auto"/>
                <w:sz w:val="24"/>
                <w:highlight w:val="none"/>
              </w:rPr>
              <w:t>m</w:t>
            </w:r>
            <w:r>
              <w:rPr>
                <w:rFonts w:cs="宋体"/>
                <w:bCs/>
                <w:color w:val="auto"/>
                <w:sz w:val="24"/>
                <w:highlight w:val="none"/>
                <w:vertAlign w:val="superscript"/>
              </w:rPr>
              <w:t>3</w:t>
            </w:r>
            <w:r>
              <w:rPr>
                <w:rFonts w:cs="宋体"/>
                <w:bCs/>
                <w:color w:val="auto"/>
                <w:sz w:val="24"/>
                <w:highlight w:val="none"/>
              </w:rPr>
              <w:t>/d</w:t>
            </w:r>
            <w:r>
              <w:rPr>
                <w:rFonts w:hint="eastAsia" w:cs="Times New Roman"/>
                <w:bCs/>
                <w:color w:val="auto"/>
                <w:sz w:val="24"/>
                <w:highlight w:val="none"/>
                <w:lang w:val="en-US" w:eastAsia="zh-CN"/>
              </w:rPr>
              <w:t>），</w:t>
            </w:r>
            <w:r>
              <w:rPr>
                <w:rFonts w:ascii="宋体" w:hAnsi="宋体"/>
                <w:bCs/>
                <w:color w:val="auto"/>
                <w:sz w:val="24"/>
                <w:highlight w:val="none"/>
              </w:rPr>
              <w:t>废水的产生量按用水量的</w:t>
            </w:r>
            <w:r>
              <w:rPr>
                <w:rFonts w:hint="eastAsia"/>
                <w:bCs/>
                <w:color w:val="auto"/>
                <w:sz w:val="24"/>
                <w:highlight w:val="none"/>
                <w:lang w:val="en-US" w:eastAsia="zh-CN"/>
              </w:rPr>
              <w:t>8</w:t>
            </w:r>
            <w:r>
              <w:rPr>
                <w:bCs/>
                <w:color w:val="auto"/>
                <w:sz w:val="24"/>
                <w:highlight w:val="none"/>
              </w:rPr>
              <w:t>0%</w:t>
            </w:r>
            <w:r>
              <w:rPr>
                <w:rFonts w:ascii="宋体" w:hAnsi="宋体"/>
                <w:bCs/>
                <w:color w:val="auto"/>
                <w:sz w:val="24"/>
                <w:highlight w:val="none"/>
              </w:rPr>
              <w:t>计算</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则</w:t>
            </w:r>
            <w:r>
              <w:rPr>
                <w:rFonts w:hint="eastAsia" w:ascii="宋体" w:hAnsi="宋体" w:cs="宋体"/>
                <w:bCs/>
                <w:color w:val="auto"/>
                <w:sz w:val="24"/>
                <w:highlight w:val="none"/>
                <w:lang w:val="en-US" w:eastAsia="zh-CN"/>
              </w:rPr>
              <w:t>混凝土罐车清洗废水</w:t>
            </w:r>
            <w:r>
              <w:rPr>
                <w:rFonts w:hint="eastAsia" w:ascii="宋体" w:hAnsi="宋体"/>
                <w:bCs/>
                <w:color w:val="auto"/>
                <w:sz w:val="24"/>
                <w:highlight w:val="none"/>
                <w:lang w:val="en-US" w:eastAsia="zh-CN"/>
              </w:rPr>
              <w:t>产生量为</w:t>
            </w:r>
            <w:r>
              <w:rPr>
                <w:rFonts w:hint="eastAsia" w:cs="Times New Roman"/>
                <w:bCs/>
                <w:color w:val="auto"/>
                <w:sz w:val="24"/>
                <w:highlight w:val="none"/>
                <w:lang w:val="en-US" w:eastAsia="zh-CN"/>
              </w:rPr>
              <w:t>4</w:t>
            </w:r>
            <w:r>
              <w:rPr>
                <w:rFonts w:hint="default" w:ascii="Times New Roman" w:hAnsi="Times New Roman" w:cs="Times New Roman"/>
                <w:bCs/>
                <w:color w:val="auto"/>
                <w:sz w:val="24"/>
                <w:highlight w:val="none"/>
                <w:lang w:val="en-US" w:eastAsia="zh-CN"/>
              </w:rPr>
              <w:t>000</w:t>
            </w:r>
            <w:r>
              <w:rPr>
                <w:rFonts w:hint="eastAsia"/>
                <w:color w:val="auto"/>
                <w:highlight w:val="none"/>
              </w:rPr>
              <w:t>m</w:t>
            </w:r>
            <w:r>
              <w:rPr>
                <w:color w:val="auto"/>
                <w:highlight w:val="none"/>
                <w:vertAlign w:val="superscript"/>
              </w:rPr>
              <w:t>3</w:t>
            </w:r>
            <w:r>
              <w:rPr>
                <w:rFonts w:hint="eastAsia" w:ascii="Times New Roman" w:hAnsi="Times New Roman" w:cs="Times New Roman"/>
                <w:bCs/>
                <w:color w:val="auto"/>
                <w:sz w:val="24"/>
                <w:highlight w:val="none"/>
                <w:lang w:val="en-US" w:eastAsia="zh-CN"/>
              </w:rPr>
              <w:t>/a（</w:t>
            </w:r>
            <w:r>
              <w:rPr>
                <w:rFonts w:hint="eastAsia" w:cs="Times New Roman"/>
                <w:bCs/>
                <w:color w:val="auto"/>
                <w:sz w:val="24"/>
                <w:highlight w:val="none"/>
                <w:lang w:val="en-US" w:eastAsia="zh-CN"/>
              </w:rPr>
              <w:t>20</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eastAsia" w:ascii="宋体" w:hAnsi="宋体"/>
                <w:bCs/>
                <w:color w:val="auto"/>
                <w:sz w:val="24"/>
                <w:highlight w:val="none"/>
                <w:lang w:eastAsia="zh-CN"/>
              </w:rPr>
              <w:t>。</w:t>
            </w:r>
          </w:p>
          <w:p w14:paraId="1D974260">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eastAsia" w:ascii="宋体" w:hAnsi="宋体"/>
                <w:bCs/>
                <w:color w:val="auto"/>
                <w:sz w:val="24"/>
                <w:highlight w:val="none"/>
                <w:lang w:val="en-US" w:eastAsia="zh-CN"/>
              </w:rPr>
              <w:t>④</w:t>
            </w:r>
            <w:r>
              <w:rPr>
                <w:rFonts w:ascii="宋体" w:hAnsi="宋体"/>
                <w:bCs/>
                <w:color w:val="auto"/>
                <w:sz w:val="24"/>
                <w:highlight w:val="none"/>
              </w:rPr>
              <w:t>运输车辆清洗废水：运输车辆清洗用水总量为</w:t>
            </w:r>
            <w:r>
              <w:rPr>
                <w:rFonts w:hint="default" w:ascii="Times New Roman" w:hAnsi="Times New Roman" w:cs="Times New Roman"/>
                <w:bCs/>
                <w:color w:val="auto"/>
                <w:sz w:val="24"/>
                <w:highlight w:val="none"/>
                <w:lang w:val="en-US" w:eastAsia="zh-CN"/>
              </w:rPr>
              <w:t>3600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/a</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18</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/d</w:t>
            </w:r>
            <w:r>
              <w:rPr>
                <w:rFonts w:hint="eastAsia" w:ascii="Times New Roman" w:hAnsi="Times New Roman" w:cs="Times New Roman"/>
                <w:bCs/>
                <w:color w:val="auto"/>
                <w:sz w:val="24"/>
                <w:highlight w:val="none"/>
                <w:lang w:eastAsia="zh-CN"/>
              </w:rPr>
              <w:t>）</w:t>
            </w:r>
            <w:r>
              <w:rPr>
                <w:rFonts w:hint="eastAsia" w:ascii="宋体" w:hAnsi="宋体"/>
                <w:bCs/>
                <w:color w:val="auto"/>
                <w:sz w:val="24"/>
                <w:highlight w:val="none"/>
              </w:rPr>
              <w:t>，</w:t>
            </w:r>
            <w:r>
              <w:rPr>
                <w:rFonts w:ascii="宋体" w:hAnsi="宋体"/>
                <w:bCs/>
                <w:color w:val="auto"/>
                <w:sz w:val="24"/>
                <w:highlight w:val="none"/>
              </w:rPr>
              <w:t>废水的产生量按用水量的</w:t>
            </w:r>
            <w:r>
              <w:rPr>
                <w:rFonts w:hint="eastAsia"/>
                <w:bCs/>
                <w:color w:val="auto"/>
                <w:sz w:val="24"/>
                <w:highlight w:val="none"/>
                <w:lang w:val="en-US" w:eastAsia="zh-CN"/>
              </w:rPr>
              <w:t>8</w:t>
            </w:r>
            <w:r>
              <w:rPr>
                <w:bCs/>
                <w:color w:val="auto"/>
                <w:sz w:val="24"/>
                <w:highlight w:val="none"/>
              </w:rPr>
              <w:t>0%</w:t>
            </w:r>
            <w:r>
              <w:rPr>
                <w:rFonts w:ascii="宋体" w:hAnsi="宋体"/>
                <w:bCs/>
                <w:color w:val="auto"/>
                <w:sz w:val="24"/>
                <w:highlight w:val="none"/>
              </w:rPr>
              <w:t>计算，则运输车辆清洗废水产生量为</w:t>
            </w:r>
            <w:r>
              <w:rPr>
                <w:rFonts w:hint="eastAsia"/>
                <w:bCs/>
                <w:color w:val="auto"/>
                <w:sz w:val="24"/>
                <w:highlight w:val="none"/>
                <w:lang w:val="en-US" w:eastAsia="zh-CN"/>
              </w:rPr>
              <w:t>2880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lang w:val="en-US" w:eastAsia="zh-CN"/>
              </w:rPr>
              <w:t>14.4</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eastAsia="zh-CN"/>
              </w:rPr>
              <w:t>）</w:t>
            </w:r>
            <w:r>
              <w:rPr>
                <w:rFonts w:hint="eastAsia" w:ascii="宋体" w:hAnsi="宋体"/>
                <w:bCs/>
                <w:color w:val="auto"/>
                <w:sz w:val="24"/>
                <w:highlight w:val="none"/>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p>
          <w:p w14:paraId="42F5661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r>
              <w:rPr>
                <w:rFonts w:hint="eastAsia" w:ascii="宋体" w:hAnsi="宋体"/>
                <w:bCs/>
                <w:color w:val="auto"/>
                <w:sz w:val="24"/>
                <w:highlight w:val="none"/>
                <w:lang w:val="en-US" w:eastAsia="zh-CN"/>
              </w:rPr>
              <w:t>⑤</w:t>
            </w:r>
            <w:r>
              <w:rPr>
                <w:rFonts w:ascii="宋体" w:hAnsi="宋体"/>
                <w:bCs/>
                <w:color w:val="auto"/>
                <w:sz w:val="24"/>
                <w:highlight w:val="none"/>
              </w:rPr>
              <w:t>实验室废水：实验室</w:t>
            </w:r>
            <w:r>
              <w:rPr>
                <w:rFonts w:hint="eastAsia" w:ascii="宋体" w:hAnsi="宋体"/>
                <w:bCs/>
                <w:color w:val="auto"/>
                <w:sz w:val="24"/>
                <w:highlight w:val="none"/>
              </w:rPr>
              <w:t>废水</w:t>
            </w:r>
            <w:r>
              <w:rPr>
                <w:rFonts w:ascii="宋体" w:hAnsi="宋体"/>
                <w:bCs/>
                <w:color w:val="auto"/>
                <w:sz w:val="24"/>
                <w:highlight w:val="none"/>
              </w:rPr>
              <w:t>量按用水量的</w:t>
            </w:r>
            <w:r>
              <w:rPr>
                <w:rFonts w:hint="default" w:ascii="Times New Roman" w:hAnsi="Times New Roman" w:cs="Times New Roman"/>
                <w:bCs/>
                <w:color w:val="auto"/>
                <w:sz w:val="24"/>
                <w:highlight w:val="none"/>
                <w:lang w:val="en-US" w:eastAsia="zh-CN"/>
              </w:rPr>
              <w:t>8</w:t>
            </w:r>
            <w:r>
              <w:rPr>
                <w:bCs/>
                <w:color w:val="auto"/>
                <w:sz w:val="24"/>
                <w:highlight w:val="none"/>
              </w:rPr>
              <w:t>0%</w:t>
            </w:r>
            <w:r>
              <w:rPr>
                <w:rFonts w:ascii="宋体" w:hAnsi="宋体"/>
                <w:bCs/>
                <w:color w:val="auto"/>
                <w:sz w:val="24"/>
                <w:highlight w:val="none"/>
              </w:rPr>
              <w:t>计算，则实验室废水产生量为</w:t>
            </w:r>
            <w:r>
              <w:rPr>
                <w:rFonts w:hint="eastAsia"/>
                <w:bCs/>
                <w:color w:val="auto"/>
                <w:sz w:val="24"/>
                <w:highlight w:val="none"/>
                <w:lang w:val="en-US" w:eastAsia="zh-CN"/>
              </w:rPr>
              <w:t>19.2</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rPr>
              <w:t>0.096</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ascii="宋体" w:hAnsi="宋体"/>
                <w:bCs/>
                <w:color w:val="auto"/>
                <w:sz w:val="24"/>
                <w:highlight w:val="none"/>
              </w:rPr>
              <w:t>。实验室用水主要是混凝土试件、水泥试体的标准养护及恒温恒湿试验，不需要化学试剂和化学药品，所以实验室</w:t>
            </w:r>
            <w:r>
              <w:rPr>
                <w:rFonts w:hint="eastAsia" w:ascii="宋体" w:hAnsi="宋体"/>
                <w:bCs/>
                <w:color w:val="auto"/>
                <w:sz w:val="24"/>
                <w:highlight w:val="none"/>
              </w:rPr>
              <w:t>废水</w:t>
            </w:r>
            <w:r>
              <w:rPr>
                <w:rFonts w:hint="eastAsia" w:cs="Times New Roman"/>
                <w:bCs/>
                <w:color w:val="auto"/>
                <w:sz w:val="24"/>
                <w:highlight w:val="none"/>
                <w:lang w:val="en-US" w:eastAsia="zh-CN"/>
              </w:rPr>
              <w:t>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p>
          <w:p w14:paraId="7E6EA21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宋体" w:hAnsi="宋体"/>
                <w:color w:val="auto"/>
                <w:sz w:val="24"/>
                <w:highlight w:val="none"/>
              </w:rPr>
            </w:pPr>
            <w:r>
              <w:rPr>
                <w:rFonts w:hint="eastAsia" w:ascii="宋体" w:hAnsi="宋体"/>
                <w:color w:val="auto"/>
                <w:sz w:val="24"/>
                <w:highlight w:val="none"/>
              </w:rPr>
              <w:t>项目用排水情况具体见下表，水平衡见下图。</w:t>
            </w:r>
          </w:p>
          <w:p w14:paraId="2025786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color w:val="auto"/>
                <w:sz w:val="24"/>
                <w:highlight w:val="none"/>
              </w:rPr>
            </w:pPr>
            <w:r>
              <w:rPr>
                <w:rFonts w:hint="default" w:ascii="Times New Roman" w:hAnsi="Times New Roman" w:eastAsia="宋体" w:cs="Times New Roman"/>
                <w:b/>
                <w:color w:val="auto"/>
                <w:sz w:val="24"/>
                <w:highlight w:val="none"/>
              </w:rPr>
              <w:t>表2-6项目用排水情况一览表</w:t>
            </w:r>
          </w:p>
          <w:tbl>
            <w:tblPr>
              <w:tblStyle w:val="2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334"/>
              <w:gridCol w:w="1222"/>
              <w:gridCol w:w="1222"/>
              <w:gridCol w:w="1222"/>
              <w:gridCol w:w="1222"/>
              <w:gridCol w:w="1906"/>
            </w:tblGrid>
            <w:tr w14:paraId="4131B5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5D719327">
                  <w:pPr>
                    <w:jc w:val="center"/>
                    <w:rPr>
                      <w:rFonts w:hint="eastAsia"/>
                      <w:color w:val="auto"/>
                      <w:kern w:val="0"/>
                      <w:szCs w:val="21"/>
                      <w:highlight w:val="none"/>
                    </w:rPr>
                  </w:pPr>
                  <w:r>
                    <w:rPr>
                      <w:rFonts w:ascii="宋体" w:hAnsi="宋体"/>
                      <w:color w:val="auto"/>
                      <w:kern w:val="0"/>
                      <w:szCs w:val="21"/>
                      <w:highlight w:val="none"/>
                    </w:rPr>
                    <w:t>序号</w:t>
                  </w:r>
                </w:p>
              </w:tc>
              <w:tc>
                <w:tcPr>
                  <w:tcW w:w="0" w:type="auto"/>
                  <w:tcBorders>
                    <w:tl2br w:val="nil"/>
                    <w:tr2bl w:val="nil"/>
                  </w:tcBorders>
                  <w:noWrap w:val="0"/>
                  <w:vAlign w:val="center"/>
                </w:tcPr>
                <w:p w14:paraId="4BBED63C">
                  <w:pPr>
                    <w:jc w:val="center"/>
                    <w:rPr>
                      <w:color w:val="auto"/>
                      <w:kern w:val="0"/>
                      <w:szCs w:val="21"/>
                      <w:highlight w:val="none"/>
                    </w:rPr>
                  </w:pPr>
                  <w:r>
                    <w:rPr>
                      <w:rFonts w:ascii="宋体" w:hAnsi="宋体"/>
                      <w:color w:val="auto"/>
                      <w:kern w:val="0"/>
                      <w:szCs w:val="21"/>
                      <w:highlight w:val="none"/>
                    </w:rPr>
                    <w:t>用水项目</w:t>
                  </w:r>
                </w:p>
              </w:tc>
              <w:tc>
                <w:tcPr>
                  <w:tcW w:w="0" w:type="auto"/>
                  <w:tcBorders>
                    <w:tl2br w:val="nil"/>
                    <w:tr2bl w:val="nil"/>
                  </w:tcBorders>
                  <w:noWrap w:val="0"/>
                  <w:vAlign w:val="center"/>
                </w:tcPr>
                <w:p w14:paraId="27F0854A">
                  <w:pPr>
                    <w:jc w:val="center"/>
                    <w:rPr>
                      <w:rFonts w:hint="eastAsia"/>
                      <w:color w:val="auto"/>
                      <w:kern w:val="0"/>
                      <w:szCs w:val="21"/>
                      <w:highlight w:val="none"/>
                    </w:rPr>
                  </w:pPr>
                  <w:r>
                    <w:rPr>
                      <w:rFonts w:ascii="宋体" w:hAnsi="宋体"/>
                      <w:color w:val="auto"/>
                      <w:kern w:val="0"/>
                      <w:szCs w:val="21"/>
                      <w:highlight w:val="none"/>
                    </w:rPr>
                    <w:t>用水量（</w:t>
                  </w:r>
                  <w:r>
                    <w:rPr>
                      <w:color w:val="auto"/>
                      <w:kern w:val="0"/>
                      <w:szCs w:val="21"/>
                      <w:highlight w:val="none"/>
                    </w:rPr>
                    <w:t>m</w:t>
                  </w:r>
                  <w:r>
                    <w:rPr>
                      <w:color w:val="auto"/>
                      <w:kern w:val="0"/>
                      <w:szCs w:val="21"/>
                      <w:highlight w:val="none"/>
                      <w:vertAlign w:val="superscript"/>
                    </w:rPr>
                    <w:t>3</w:t>
                  </w:r>
                  <w:r>
                    <w:rPr>
                      <w:color w:val="auto"/>
                      <w:kern w:val="0"/>
                      <w:szCs w:val="21"/>
                      <w:highlight w:val="none"/>
                    </w:rPr>
                    <w:t>/d</w:t>
                  </w:r>
                  <w:r>
                    <w:rPr>
                      <w:rFonts w:ascii="宋体" w:hAnsi="宋体"/>
                      <w:color w:val="auto"/>
                      <w:kern w:val="0"/>
                      <w:szCs w:val="21"/>
                      <w:highlight w:val="none"/>
                    </w:rPr>
                    <w:t>）</w:t>
                  </w:r>
                </w:p>
              </w:tc>
              <w:tc>
                <w:tcPr>
                  <w:tcW w:w="0" w:type="auto"/>
                  <w:tcBorders>
                    <w:tl2br w:val="nil"/>
                    <w:tr2bl w:val="nil"/>
                  </w:tcBorders>
                  <w:noWrap w:val="0"/>
                  <w:vAlign w:val="center"/>
                </w:tcPr>
                <w:p w14:paraId="6B31384B">
                  <w:pPr>
                    <w:jc w:val="center"/>
                    <w:rPr>
                      <w:color w:val="auto"/>
                      <w:kern w:val="0"/>
                      <w:szCs w:val="21"/>
                      <w:highlight w:val="none"/>
                    </w:rPr>
                  </w:pPr>
                  <w:r>
                    <w:rPr>
                      <w:rFonts w:hint="eastAsia" w:ascii="宋体" w:hAnsi="宋体"/>
                      <w:color w:val="auto"/>
                      <w:kern w:val="0"/>
                      <w:szCs w:val="21"/>
                      <w:highlight w:val="none"/>
                    </w:rPr>
                    <w:t>回用水</w:t>
                  </w:r>
                  <w:r>
                    <w:rPr>
                      <w:rFonts w:ascii="宋体" w:hAnsi="宋体"/>
                      <w:color w:val="auto"/>
                      <w:kern w:val="0"/>
                      <w:szCs w:val="21"/>
                      <w:highlight w:val="none"/>
                    </w:rPr>
                    <w:t>（</w:t>
                  </w:r>
                  <w:r>
                    <w:rPr>
                      <w:color w:val="auto"/>
                      <w:kern w:val="0"/>
                      <w:szCs w:val="21"/>
                      <w:highlight w:val="none"/>
                    </w:rPr>
                    <w:t>m</w:t>
                  </w:r>
                  <w:r>
                    <w:rPr>
                      <w:color w:val="auto"/>
                      <w:kern w:val="0"/>
                      <w:szCs w:val="21"/>
                      <w:highlight w:val="none"/>
                      <w:vertAlign w:val="superscript"/>
                    </w:rPr>
                    <w:t>3</w:t>
                  </w:r>
                  <w:r>
                    <w:rPr>
                      <w:color w:val="auto"/>
                      <w:kern w:val="0"/>
                      <w:szCs w:val="21"/>
                      <w:highlight w:val="none"/>
                    </w:rPr>
                    <w:t>/d</w:t>
                  </w:r>
                  <w:r>
                    <w:rPr>
                      <w:rFonts w:ascii="宋体" w:hAnsi="宋体"/>
                      <w:color w:val="auto"/>
                      <w:kern w:val="0"/>
                      <w:szCs w:val="21"/>
                      <w:highlight w:val="none"/>
                    </w:rPr>
                    <w:t>）</w:t>
                  </w:r>
                </w:p>
              </w:tc>
              <w:tc>
                <w:tcPr>
                  <w:tcW w:w="0" w:type="auto"/>
                  <w:tcBorders>
                    <w:tl2br w:val="nil"/>
                    <w:tr2bl w:val="nil"/>
                  </w:tcBorders>
                  <w:noWrap w:val="0"/>
                  <w:vAlign w:val="center"/>
                </w:tcPr>
                <w:p w14:paraId="387EDC05">
                  <w:pPr>
                    <w:jc w:val="center"/>
                    <w:rPr>
                      <w:rFonts w:hint="eastAsia" w:ascii="宋体" w:hAnsi="宋体"/>
                      <w:color w:val="auto"/>
                      <w:kern w:val="0"/>
                      <w:szCs w:val="21"/>
                      <w:highlight w:val="none"/>
                    </w:rPr>
                  </w:pPr>
                  <w:r>
                    <w:rPr>
                      <w:rFonts w:hint="eastAsia" w:ascii="宋体" w:hAnsi="宋体"/>
                      <w:color w:val="auto"/>
                      <w:kern w:val="0"/>
                      <w:szCs w:val="21"/>
                      <w:highlight w:val="none"/>
                    </w:rPr>
                    <w:t>损耗</w:t>
                  </w:r>
                  <w:r>
                    <w:rPr>
                      <w:rFonts w:ascii="宋体" w:hAnsi="宋体"/>
                      <w:color w:val="auto"/>
                      <w:kern w:val="0"/>
                      <w:szCs w:val="21"/>
                      <w:highlight w:val="none"/>
                    </w:rPr>
                    <w:t>量（</w:t>
                  </w:r>
                  <w:r>
                    <w:rPr>
                      <w:color w:val="auto"/>
                      <w:kern w:val="0"/>
                      <w:szCs w:val="21"/>
                      <w:highlight w:val="none"/>
                    </w:rPr>
                    <w:t>m</w:t>
                  </w:r>
                  <w:r>
                    <w:rPr>
                      <w:color w:val="auto"/>
                      <w:kern w:val="0"/>
                      <w:szCs w:val="21"/>
                      <w:highlight w:val="none"/>
                      <w:vertAlign w:val="superscript"/>
                    </w:rPr>
                    <w:t>3</w:t>
                  </w:r>
                  <w:r>
                    <w:rPr>
                      <w:color w:val="auto"/>
                      <w:kern w:val="0"/>
                      <w:szCs w:val="21"/>
                      <w:highlight w:val="none"/>
                    </w:rPr>
                    <w:t>/d</w:t>
                  </w:r>
                  <w:r>
                    <w:rPr>
                      <w:rFonts w:ascii="宋体" w:hAnsi="宋体"/>
                      <w:color w:val="auto"/>
                      <w:kern w:val="0"/>
                      <w:szCs w:val="21"/>
                      <w:highlight w:val="none"/>
                    </w:rPr>
                    <w:t>）</w:t>
                  </w:r>
                </w:p>
              </w:tc>
              <w:tc>
                <w:tcPr>
                  <w:tcW w:w="0" w:type="auto"/>
                  <w:tcBorders>
                    <w:tl2br w:val="nil"/>
                    <w:tr2bl w:val="nil"/>
                  </w:tcBorders>
                  <w:noWrap w:val="0"/>
                  <w:vAlign w:val="center"/>
                </w:tcPr>
                <w:p w14:paraId="46D46806">
                  <w:pPr>
                    <w:jc w:val="center"/>
                    <w:rPr>
                      <w:color w:val="auto"/>
                      <w:kern w:val="0"/>
                      <w:szCs w:val="21"/>
                      <w:highlight w:val="none"/>
                    </w:rPr>
                  </w:pPr>
                  <w:r>
                    <w:rPr>
                      <w:rFonts w:hint="eastAsia" w:ascii="宋体" w:hAnsi="宋体"/>
                      <w:color w:val="auto"/>
                      <w:kern w:val="0"/>
                      <w:szCs w:val="21"/>
                      <w:highlight w:val="none"/>
                    </w:rPr>
                    <w:t>废</w:t>
                  </w:r>
                  <w:r>
                    <w:rPr>
                      <w:rFonts w:ascii="宋体" w:hAnsi="宋体"/>
                      <w:color w:val="auto"/>
                      <w:kern w:val="0"/>
                      <w:szCs w:val="21"/>
                      <w:highlight w:val="none"/>
                    </w:rPr>
                    <w:t>水量（</w:t>
                  </w:r>
                  <w:r>
                    <w:rPr>
                      <w:color w:val="auto"/>
                      <w:kern w:val="0"/>
                      <w:szCs w:val="21"/>
                      <w:highlight w:val="none"/>
                    </w:rPr>
                    <w:t>m</w:t>
                  </w:r>
                  <w:r>
                    <w:rPr>
                      <w:color w:val="auto"/>
                      <w:kern w:val="0"/>
                      <w:szCs w:val="21"/>
                      <w:highlight w:val="none"/>
                      <w:vertAlign w:val="superscript"/>
                    </w:rPr>
                    <w:t>3</w:t>
                  </w:r>
                  <w:r>
                    <w:rPr>
                      <w:color w:val="auto"/>
                      <w:kern w:val="0"/>
                      <w:szCs w:val="21"/>
                      <w:highlight w:val="none"/>
                    </w:rPr>
                    <w:t>/d</w:t>
                  </w:r>
                  <w:r>
                    <w:rPr>
                      <w:rFonts w:ascii="宋体" w:hAnsi="宋体"/>
                      <w:color w:val="auto"/>
                      <w:kern w:val="0"/>
                      <w:szCs w:val="21"/>
                      <w:highlight w:val="none"/>
                    </w:rPr>
                    <w:t>）</w:t>
                  </w:r>
                </w:p>
              </w:tc>
              <w:tc>
                <w:tcPr>
                  <w:tcW w:w="0" w:type="auto"/>
                  <w:tcBorders>
                    <w:tl2br w:val="nil"/>
                    <w:tr2bl w:val="nil"/>
                  </w:tcBorders>
                  <w:noWrap w:val="0"/>
                  <w:vAlign w:val="center"/>
                </w:tcPr>
                <w:p w14:paraId="5BC9A8F8">
                  <w:pPr>
                    <w:jc w:val="center"/>
                    <w:rPr>
                      <w:rFonts w:hint="eastAsia" w:eastAsia="宋体"/>
                      <w:color w:val="auto"/>
                      <w:kern w:val="0"/>
                      <w:szCs w:val="21"/>
                      <w:highlight w:val="none"/>
                      <w:lang w:eastAsia="zh-CN"/>
                    </w:rPr>
                  </w:pPr>
                  <w:r>
                    <w:rPr>
                      <w:rFonts w:hint="eastAsia" w:ascii="宋体" w:hAnsi="宋体"/>
                      <w:color w:val="auto"/>
                      <w:kern w:val="0"/>
                      <w:szCs w:val="21"/>
                      <w:highlight w:val="none"/>
                      <w:lang w:val="en-US" w:eastAsia="zh-CN"/>
                    </w:rPr>
                    <w:t>去向</w:t>
                  </w:r>
                </w:p>
              </w:tc>
            </w:tr>
            <w:tr w14:paraId="5E1E5A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0" w:type="auto"/>
                  <w:tcBorders>
                    <w:tl2br w:val="nil"/>
                    <w:tr2bl w:val="nil"/>
                  </w:tcBorders>
                  <w:noWrap w:val="0"/>
                  <w:vAlign w:val="center"/>
                </w:tcPr>
                <w:p w14:paraId="173041E5">
                  <w:pPr>
                    <w:jc w:val="center"/>
                    <w:rPr>
                      <w:color w:val="auto"/>
                      <w:kern w:val="0"/>
                      <w:szCs w:val="21"/>
                      <w:highlight w:val="none"/>
                    </w:rPr>
                  </w:pPr>
                  <w:r>
                    <w:rPr>
                      <w:color w:val="auto"/>
                      <w:kern w:val="0"/>
                      <w:szCs w:val="21"/>
                      <w:highlight w:val="none"/>
                    </w:rPr>
                    <w:t>1</w:t>
                  </w:r>
                </w:p>
              </w:tc>
              <w:tc>
                <w:tcPr>
                  <w:tcW w:w="0" w:type="auto"/>
                  <w:tcBorders>
                    <w:tl2br w:val="nil"/>
                    <w:tr2bl w:val="nil"/>
                  </w:tcBorders>
                  <w:noWrap w:val="0"/>
                  <w:vAlign w:val="center"/>
                </w:tcPr>
                <w:p w14:paraId="507D8894">
                  <w:pPr>
                    <w:jc w:val="center"/>
                    <w:rPr>
                      <w:color w:val="auto"/>
                      <w:kern w:val="0"/>
                      <w:szCs w:val="21"/>
                      <w:highlight w:val="none"/>
                    </w:rPr>
                  </w:pPr>
                  <w:r>
                    <w:rPr>
                      <w:rFonts w:ascii="宋体" w:hAnsi="宋体"/>
                      <w:color w:val="auto"/>
                      <w:kern w:val="0"/>
                      <w:szCs w:val="21"/>
                      <w:highlight w:val="none"/>
                    </w:rPr>
                    <w:t>生</w:t>
                  </w:r>
                  <w:r>
                    <w:rPr>
                      <w:rFonts w:hint="eastAsia" w:ascii="宋体" w:hAnsi="宋体"/>
                      <w:color w:val="auto"/>
                      <w:kern w:val="0"/>
                      <w:szCs w:val="21"/>
                      <w:highlight w:val="none"/>
                    </w:rPr>
                    <w:t>活</w:t>
                  </w:r>
                  <w:r>
                    <w:rPr>
                      <w:rFonts w:ascii="宋体" w:hAnsi="宋体"/>
                      <w:color w:val="auto"/>
                      <w:kern w:val="0"/>
                      <w:szCs w:val="21"/>
                      <w:highlight w:val="none"/>
                    </w:rPr>
                    <w:t>用水</w:t>
                  </w:r>
                </w:p>
              </w:tc>
              <w:tc>
                <w:tcPr>
                  <w:tcW w:w="0" w:type="auto"/>
                  <w:tcBorders>
                    <w:tl2br w:val="nil"/>
                    <w:tr2bl w:val="nil"/>
                  </w:tcBorders>
                  <w:noWrap w:val="0"/>
                  <w:vAlign w:val="center"/>
                </w:tcPr>
                <w:p w14:paraId="5ECF015D">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1.44</w:t>
                  </w:r>
                </w:p>
              </w:tc>
              <w:tc>
                <w:tcPr>
                  <w:tcW w:w="0" w:type="auto"/>
                  <w:tcBorders>
                    <w:tl2br w:val="nil"/>
                    <w:tr2bl w:val="nil"/>
                  </w:tcBorders>
                  <w:noWrap w:val="0"/>
                  <w:vAlign w:val="center"/>
                </w:tcPr>
                <w:p w14:paraId="531CD11E">
                  <w:pPr>
                    <w:jc w:val="center"/>
                    <w:rPr>
                      <w:color w:val="auto"/>
                      <w:kern w:val="0"/>
                      <w:szCs w:val="21"/>
                      <w:highlight w:val="none"/>
                    </w:rPr>
                  </w:pPr>
                  <w:r>
                    <w:rPr>
                      <w:color w:val="auto"/>
                      <w:kern w:val="0"/>
                      <w:szCs w:val="21"/>
                      <w:highlight w:val="none"/>
                    </w:rPr>
                    <w:t>0</w:t>
                  </w:r>
                </w:p>
              </w:tc>
              <w:tc>
                <w:tcPr>
                  <w:tcW w:w="0" w:type="auto"/>
                  <w:tcBorders>
                    <w:tl2br w:val="nil"/>
                    <w:tr2bl w:val="nil"/>
                  </w:tcBorders>
                  <w:noWrap w:val="0"/>
                  <w:vAlign w:val="center"/>
                </w:tcPr>
                <w:p w14:paraId="68F0D3E4">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0.288</w:t>
                  </w:r>
                </w:p>
              </w:tc>
              <w:tc>
                <w:tcPr>
                  <w:tcW w:w="0" w:type="auto"/>
                  <w:tcBorders>
                    <w:tl2br w:val="nil"/>
                    <w:tr2bl w:val="nil"/>
                  </w:tcBorders>
                  <w:noWrap w:val="0"/>
                  <w:vAlign w:val="center"/>
                </w:tcPr>
                <w:p w14:paraId="55A4129A">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1.152</w:t>
                  </w:r>
                </w:p>
              </w:tc>
              <w:tc>
                <w:tcPr>
                  <w:tcW w:w="0" w:type="auto"/>
                  <w:tcBorders>
                    <w:tl2br w:val="nil"/>
                    <w:tr2bl w:val="nil"/>
                  </w:tcBorders>
                  <w:noWrap w:val="0"/>
                  <w:vAlign w:val="center"/>
                </w:tcPr>
                <w:p w14:paraId="6BFDC912">
                  <w:pPr>
                    <w:keepNext w:val="0"/>
                    <w:keepLines w:val="0"/>
                    <w:pageBreakBefore w:val="0"/>
                    <w:widowControl w:val="0"/>
                    <w:kinsoku/>
                    <w:wordWrap/>
                    <w:overflowPunct/>
                    <w:topLinePunct w:val="0"/>
                    <w:autoSpaceDE/>
                    <w:autoSpaceDN/>
                    <w:bidi w:val="0"/>
                    <w:adjustRightInd/>
                    <w:snapToGrid/>
                    <w:jc w:val="left"/>
                    <w:textAlignment w:val="auto"/>
                    <w:rPr>
                      <w:rFonts w:hint="eastAsia" w:eastAsia="宋体"/>
                      <w:color w:val="auto"/>
                      <w:kern w:val="0"/>
                      <w:szCs w:val="21"/>
                      <w:highlight w:val="none"/>
                      <w:lang w:val="en-US" w:eastAsia="zh-CN"/>
                    </w:rPr>
                  </w:pPr>
                  <w:r>
                    <w:rPr>
                      <w:rFonts w:hint="default"/>
                      <w:color w:val="auto"/>
                      <w:kern w:val="0"/>
                      <w:szCs w:val="21"/>
                      <w:highlight w:val="none"/>
                      <w:lang w:val="en-US"/>
                    </w:rPr>
                    <w:t>经化粪池预处理后定期拉运至</w:t>
                  </w:r>
                  <w:r>
                    <w:rPr>
                      <w:rFonts w:hint="eastAsia"/>
                      <w:color w:val="auto"/>
                      <w:kern w:val="0"/>
                      <w:szCs w:val="21"/>
                      <w:highlight w:val="yellow"/>
                      <w:lang w:val="en-US" w:eastAsia="zh-CN"/>
                    </w:rPr>
                    <w:t>阿镇污水处理厂处理</w:t>
                  </w:r>
                </w:p>
              </w:tc>
            </w:tr>
            <w:tr w14:paraId="38DC54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65399598">
                  <w:pPr>
                    <w:jc w:val="center"/>
                    <w:rPr>
                      <w:color w:val="auto"/>
                      <w:kern w:val="0"/>
                      <w:szCs w:val="21"/>
                      <w:highlight w:val="none"/>
                    </w:rPr>
                  </w:pPr>
                  <w:r>
                    <w:rPr>
                      <w:color w:val="auto"/>
                      <w:kern w:val="0"/>
                      <w:szCs w:val="21"/>
                      <w:highlight w:val="none"/>
                    </w:rPr>
                    <w:t>2</w:t>
                  </w:r>
                </w:p>
              </w:tc>
              <w:tc>
                <w:tcPr>
                  <w:tcW w:w="0" w:type="auto"/>
                  <w:tcBorders>
                    <w:tl2br w:val="nil"/>
                    <w:tr2bl w:val="nil"/>
                  </w:tcBorders>
                  <w:noWrap w:val="0"/>
                  <w:vAlign w:val="center"/>
                </w:tcPr>
                <w:p w14:paraId="0B212CF5">
                  <w:pPr>
                    <w:jc w:val="center"/>
                    <w:rPr>
                      <w:color w:val="auto"/>
                      <w:kern w:val="0"/>
                      <w:szCs w:val="21"/>
                      <w:highlight w:val="none"/>
                    </w:rPr>
                  </w:pPr>
                  <w:r>
                    <w:rPr>
                      <w:rFonts w:hint="eastAsia" w:ascii="宋体" w:hAnsi="宋体"/>
                      <w:color w:val="auto"/>
                      <w:kern w:val="0"/>
                      <w:szCs w:val="21"/>
                      <w:highlight w:val="none"/>
                    </w:rPr>
                    <w:t>搅拌混合用水</w:t>
                  </w:r>
                </w:p>
              </w:tc>
              <w:tc>
                <w:tcPr>
                  <w:tcW w:w="0" w:type="auto"/>
                  <w:tcBorders>
                    <w:tl2br w:val="nil"/>
                    <w:tr2bl w:val="nil"/>
                  </w:tcBorders>
                  <w:noWrap w:val="0"/>
                  <w:vAlign w:val="center"/>
                </w:tcPr>
                <w:p w14:paraId="56B78AD9">
                  <w:pPr>
                    <w:jc w:val="center"/>
                    <w:rPr>
                      <w:rFonts w:hint="default" w:eastAsia="宋体"/>
                      <w:color w:val="auto"/>
                      <w:kern w:val="0"/>
                      <w:szCs w:val="21"/>
                      <w:highlight w:val="none"/>
                      <w:lang w:val="en-US" w:eastAsia="zh-CN"/>
                    </w:rPr>
                  </w:pPr>
                  <w:r>
                    <w:rPr>
                      <w:rFonts w:hint="default" w:eastAsia="宋体"/>
                      <w:color w:val="auto"/>
                      <w:kern w:val="0"/>
                      <w:szCs w:val="21"/>
                      <w:highlight w:val="none"/>
                      <w:lang w:val="en-US" w:eastAsia="zh-CN"/>
                    </w:rPr>
                    <w:t>40.224</w:t>
                  </w:r>
                </w:p>
              </w:tc>
              <w:tc>
                <w:tcPr>
                  <w:tcW w:w="0" w:type="auto"/>
                  <w:tcBorders>
                    <w:tl2br w:val="nil"/>
                    <w:tr2bl w:val="nil"/>
                  </w:tcBorders>
                  <w:noWrap w:val="0"/>
                  <w:vAlign w:val="center"/>
                </w:tcPr>
                <w:p w14:paraId="3306F454">
                  <w:pPr>
                    <w:jc w:val="center"/>
                    <w:rPr>
                      <w:rFonts w:hint="default" w:eastAsia="宋体"/>
                      <w:color w:val="auto"/>
                      <w:kern w:val="0"/>
                      <w:szCs w:val="21"/>
                      <w:highlight w:val="none"/>
                      <w:lang w:val="en-US" w:eastAsia="zh-CN"/>
                    </w:rPr>
                  </w:pPr>
                  <w:r>
                    <w:rPr>
                      <w:rFonts w:hint="default" w:eastAsia="宋体"/>
                      <w:color w:val="auto"/>
                      <w:kern w:val="0"/>
                      <w:szCs w:val="21"/>
                      <w:highlight w:val="none"/>
                      <w:lang w:val="en-US" w:eastAsia="zh-CN"/>
                    </w:rPr>
                    <w:t>34.776</w:t>
                  </w:r>
                </w:p>
              </w:tc>
              <w:tc>
                <w:tcPr>
                  <w:tcW w:w="0" w:type="auto"/>
                  <w:tcBorders>
                    <w:tl2br w:val="nil"/>
                    <w:tr2bl w:val="nil"/>
                  </w:tcBorders>
                  <w:noWrap w:val="0"/>
                  <w:vAlign w:val="center"/>
                </w:tcPr>
                <w:p w14:paraId="4EEAEB34">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75</w:t>
                  </w:r>
                </w:p>
              </w:tc>
              <w:tc>
                <w:tcPr>
                  <w:tcW w:w="0" w:type="auto"/>
                  <w:tcBorders>
                    <w:tl2br w:val="nil"/>
                    <w:tr2bl w:val="nil"/>
                  </w:tcBorders>
                  <w:noWrap w:val="0"/>
                  <w:vAlign w:val="center"/>
                </w:tcPr>
                <w:p w14:paraId="606EDA12">
                  <w:pPr>
                    <w:jc w:val="center"/>
                    <w:rPr>
                      <w:color w:val="auto"/>
                      <w:kern w:val="0"/>
                      <w:szCs w:val="21"/>
                      <w:highlight w:val="none"/>
                    </w:rPr>
                  </w:pPr>
                  <w:r>
                    <w:rPr>
                      <w:color w:val="auto"/>
                      <w:kern w:val="0"/>
                      <w:szCs w:val="21"/>
                      <w:highlight w:val="none"/>
                    </w:rPr>
                    <w:t>/</w:t>
                  </w:r>
                </w:p>
              </w:tc>
              <w:tc>
                <w:tcPr>
                  <w:tcW w:w="0" w:type="auto"/>
                  <w:tcBorders>
                    <w:tl2br w:val="nil"/>
                    <w:tr2bl w:val="nil"/>
                  </w:tcBorders>
                  <w:noWrap w:val="0"/>
                  <w:vAlign w:val="center"/>
                </w:tcPr>
                <w:p w14:paraId="02C11DFB">
                  <w:pPr>
                    <w:jc w:val="left"/>
                    <w:rPr>
                      <w:color w:val="auto"/>
                      <w:kern w:val="0"/>
                      <w:szCs w:val="21"/>
                      <w:highlight w:val="none"/>
                    </w:rPr>
                  </w:pPr>
                  <w:r>
                    <w:rPr>
                      <w:rFonts w:hint="eastAsia"/>
                      <w:color w:val="auto"/>
                      <w:kern w:val="0"/>
                      <w:szCs w:val="21"/>
                      <w:highlight w:val="none"/>
                    </w:rPr>
                    <w:t>搅拌混合用水全部进入产品，不外排</w:t>
                  </w:r>
                </w:p>
              </w:tc>
            </w:tr>
            <w:tr w14:paraId="578230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19D8AD55">
                  <w:pPr>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3</w:t>
                  </w:r>
                </w:p>
              </w:tc>
              <w:tc>
                <w:tcPr>
                  <w:tcW w:w="0" w:type="auto"/>
                  <w:tcBorders>
                    <w:tl2br w:val="nil"/>
                    <w:tr2bl w:val="nil"/>
                  </w:tcBorders>
                  <w:noWrap w:val="0"/>
                  <w:vAlign w:val="center"/>
                </w:tcPr>
                <w:p w14:paraId="7174A4FA">
                  <w:pPr>
                    <w:jc w:val="center"/>
                    <w:rPr>
                      <w:rFonts w:hint="eastAsia" w:ascii="宋体" w:hAnsi="宋体"/>
                      <w:color w:val="auto"/>
                      <w:kern w:val="0"/>
                      <w:szCs w:val="21"/>
                      <w:highlight w:val="none"/>
                    </w:rPr>
                  </w:pPr>
                  <w:r>
                    <w:rPr>
                      <w:rFonts w:hint="eastAsia" w:ascii="宋体" w:hAnsi="宋体"/>
                      <w:color w:val="auto"/>
                      <w:kern w:val="0"/>
                      <w:szCs w:val="21"/>
                      <w:highlight w:val="none"/>
                    </w:rPr>
                    <w:t>搅拌罐清洗用水</w:t>
                  </w:r>
                </w:p>
              </w:tc>
              <w:tc>
                <w:tcPr>
                  <w:tcW w:w="0" w:type="auto"/>
                  <w:tcBorders>
                    <w:tl2br w:val="nil"/>
                    <w:tr2bl w:val="nil"/>
                  </w:tcBorders>
                  <w:noWrap w:val="0"/>
                  <w:vAlign w:val="center"/>
                </w:tcPr>
                <w:p w14:paraId="2D8007A7">
                  <w:pPr>
                    <w:jc w:val="center"/>
                    <w:rPr>
                      <w:rFonts w:hint="default"/>
                      <w:color w:val="auto"/>
                      <w:kern w:val="0"/>
                      <w:szCs w:val="21"/>
                      <w:highlight w:val="none"/>
                      <w:lang w:val="en-US" w:eastAsia="zh-CN"/>
                    </w:rPr>
                  </w:pPr>
                  <w:r>
                    <w:rPr>
                      <w:rFonts w:hint="eastAsia"/>
                      <w:color w:val="auto"/>
                      <w:kern w:val="0"/>
                      <w:szCs w:val="21"/>
                      <w:highlight w:val="none"/>
                      <w:lang w:val="en-US" w:eastAsia="zh-CN"/>
                    </w:rPr>
                    <w:t>0.35</w:t>
                  </w:r>
                </w:p>
              </w:tc>
              <w:tc>
                <w:tcPr>
                  <w:tcW w:w="0" w:type="auto"/>
                  <w:tcBorders>
                    <w:tl2br w:val="nil"/>
                    <w:tr2bl w:val="nil"/>
                  </w:tcBorders>
                  <w:noWrap w:val="0"/>
                  <w:vAlign w:val="center"/>
                </w:tcPr>
                <w:p w14:paraId="263B7BB2">
                  <w:pPr>
                    <w:jc w:val="center"/>
                    <w:rPr>
                      <w:rFonts w:hint="default"/>
                      <w:color w:val="auto"/>
                      <w:kern w:val="0"/>
                      <w:szCs w:val="21"/>
                      <w:highlight w:val="none"/>
                      <w:lang w:val="en-US" w:eastAsia="zh-CN"/>
                    </w:rPr>
                  </w:pPr>
                  <w:r>
                    <w:rPr>
                      <w:rFonts w:hint="eastAsia"/>
                      <w:color w:val="auto"/>
                      <w:kern w:val="0"/>
                      <w:szCs w:val="21"/>
                      <w:highlight w:val="none"/>
                      <w:lang w:val="en-US" w:eastAsia="zh-CN"/>
                    </w:rPr>
                    <w:t>0</w:t>
                  </w:r>
                </w:p>
              </w:tc>
              <w:tc>
                <w:tcPr>
                  <w:tcW w:w="0" w:type="auto"/>
                  <w:tcBorders>
                    <w:tl2br w:val="nil"/>
                    <w:tr2bl w:val="nil"/>
                  </w:tcBorders>
                  <w:noWrap w:val="0"/>
                  <w:vAlign w:val="center"/>
                </w:tcPr>
                <w:p w14:paraId="170E9A32">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0.07</w:t>
                  </w:r>
                </w:p>
              </w:tc>
              <w:tc>
                <w:tcPr>
                  <w:tcW w:w="0" w:type="auto"/>
                  <w:tcBorders>
                    <w:tl2br w:val="nil"/>
                    <w:tr2bl w:val="nil"/>
                  </w:tcBorders>
                  <w:noWrap w:val="0"/>
                  <w:vAlign w:val="center"/>
                </w:tcPr>
                <w:p w14:paraId="217C70A3">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0.28</w:t>
                  </w:r>
                </w:p>
              </w:tc>
              <w:tc>
                <w:tcPr>
                  <w:tcW w:w="0" w:type="auto"/>
                  <w:vMerge w:val="restart"/>
                  <w:tcBorders>
                    <w:tl2br w:val="nil"/>
                    <w:tr2bl w:val="nil"/>
                  </w:tcBorders>
                  <w:noWrap w:val="0"/>
                  <w:vAlign w:val="center"/>
                </w:tcPr>
                <w:p w14:paraId="62D9AA40">
                  <w:pPr>
                    <w:jc w:val="center"/>
                    <w:rPr>
                      <w:color w:val="auto"/>
                      <w:kern w:val="0"/>
                      <w:szCs w:val="21"/>
                      <w:highlight w:val="none"/>
                    </w:rPr>
                  </w:pPr>
                  <w:r>
                    <w:rPr>
                      <w:rFonts w:hint="eastAsia"/>
                      <w:color w:val="auto"/>
                      <w:kern w:val="0"/>
                      <w:szCs w:val="21"/>
                      <w:highlight w:val="none"/>
                    </w:rPr>
                    <w:t>经沉淀池处理后回用生产</w:t>
                  </w:r>
                </w:p>
              </w:tc>
            </w:tr>
            <w:tr w14:paraId="1C2529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45E66F73">
                  <w:pPr>
                    <w:jc w:val="center"/>
                    <w:rPr>
                      <w:rFonts w:hint="eastAsia" w:eastAsia="宋体"/>
                      <w:color w:val="auto"/>
                      <w:kern w:val="0"/>
                      <w:szCs w:val="21"/>
                      <w:highlight w:val="none"/>
                      <w:lang w:eastAsia="zh-CN"/>
                    </w:rPr>
                  </w:pPr>
                  <w:r>
                    <w:rPr>
                      <w:rFonts w:hint="eastAsia"/>
                      <w:color w:val="auto"/>
                      <w:kern w:val="0"/>
                      <w:szCs w:val="21"/>
                      <w:highlight w:val="none"/>
                      <w:lang w:val="en-US" w:eastAsia="zh-CN"/>
                    </w:rPr>
                    <w:t>4</w:t>
                  </w:r>
                </w:p>
              </w:tc>
              <w:tc>
                <w:tcPr>
                  <w:tcW w:w="0" w:type="auto"/>
                  <w:tcBorders>
                    <w:tl2br w:val="nil"/>
                    <w:tr2bl w:val="nil"/>
                  </w:tcBorders>
                  <w:noWrap w:val="0"/>
                  <w:vAlign w:val="center"/>
                </w:tcPr>
                <w:p w14:paraId="5E1FED85">
                  <w:pPr>
                    <w:jc w:val="center"/>
                    <w:rPr>
                      <w:color w:val="auto"/>
                      <w:kern w:val="0"/>
                      <w:szCs w:val="21"/>
                      <w:highlight w:val="none"/>
                    </w:rPr>
                  </w:pPr>
                  <w:r>
                    <w:rPr>
                      <w:rFonts w:ascii="宋体" w:hAnsi="宋体"/>
                      <w:bCs/>
                      <w:color w:val="auto"/>
                      <w:kern w:val="0"/>
                      <w:szCs w:val="21"/>
                      <w:highlight w:val="none"/>
                    </w:rPr>
                    <w:t>运输车辆清洗水</w:t>
                  </w:r>
                </w:p>
              </w:tc>
              <w:tc>
                <w:tcPr>
                  <w:tcW w:w="0" w:type="auto"/>
                  <w:tcBorders>
                    <w:tl2br w:val="nil"/>
                    <w:tr2bl w:val="nil"/>
                  </w:tcBorders>
                  <w:noWrap w:val="0"/>
                  <w:vAlign w:val="center"/>
                </w:tcPr>
                <w:p w14:paraId="3A1D99E2">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18</w:t>
                  </w:r>
                </w:p>
              </w:tc>
              <w:tc>
                <w:tcPr>
                  <w:tcW w:w="0" w:type="auto"/>
                  <w:tcBorders>
                    <w:tl2br w:val="nil"/>
                    <w:tr2bl w:val="nil"/>
                  </w:tcBorders>
                  <w:noWrap w:val="0"/>
                  <w:vAlign w:val="center"/>
                </w:tcPr>
                <w:p w14:paraId="4DAD7F5D">
                  <w:pPr>
                    <w:jc w:val="center"/>
                    <w:rPr>
                      <w:color w:val="auto"/>
                      <w:kern w:val="0"/>
                      <w:szCs w:val="21"/>
                      <w:highlight w:val="none"/>
                    </w:rPr>
                  </w:pPr>
                  <w:r>
                    <w:rPr>
                      <w:color w:val="auto"/>
                      <w:kern w:val="0"/>
                      <w:szCs w:val="21"/>
                      <w:highlight w:val="none"/>
                    </w:rPr>
                    <w:t>0</w:t>
                  </w:r>
                </w:p>
              </w:tc>
              <w:tc>
                <w:tcPr>
                  <w:tcW w:w="0" w:type="auto"/>
                  <w:tcBorders>
                    <w:tl2br w:val="nil"/>
                    <w:tr2bl w:val="nil"/>
                  </w:tcBorders>
                  <w:noWrap w:val="0"/>
                  <w:vAlign w:val="center"/>
                </w:tcPr>
                <w:p w14:paraId="223F50FF">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3.6</w:t>
                  </w:r>
                </w:p>
              </w:tc>
              <w:tc>
                <w:tcPr>
                  <w:tcW w:w="0" w:type="auto"/>
                  <w:tcBorders>
                    <w:tl2br w:val="nil"/>
                    <w:tr2bl w:val="nil"/>
                  </w:tcBorders>
                  <w:noWrap w:val="0"/>
                  <w:vAlign w:val="center"/>
                </w:tcPr>
                <w:p w14:paraId="726DAED4">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14.4</w:t>
                  </w:r>
                </w:p>
              </w:tc>
              <w:tc>
                <w:tcPr>
                  <w:tcW w:w="0" w:type="auto"/>
                  <w:vMerge w:val="continue"/>
                  <w:tcBorders>
                    <w:tl2br w:val="nil"/>
                    <w:tr2bl w:val="nil"/>
                  </w:tcBorders>
                  <w:noWrap w:val="0"/>
                  <w:vAlign w:val="center"/>
                </w:tcPr>
                <w:p w14:paraId="45B8DF64">
                  <w:pPr>
                    <w:jc w:val="center"/>
                    <w:rPr>
                      <w:color w:val="auto"/>
                      <w:kern w:val="0"/>
                      <w:szCs w:val="21"/>
                      <w:highlight w:val="none"/>
                    </w:rPr>
                  </w:pPr>
                </w:p>
              </w:tc>
            </w:tr>
            <w:tr w14:paraId="04A2D6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05CC5DDB">
                  <w:pPr>
                    <w:jc w:val="center"/>
                    <w:rPr>
                      <w:rFonts w:hint="default"/>
                      <w:color w:val="auto"/>
                      <w:kern w:val="0"/>
                      <w:szCs w:val="21"/>
                      <w:highlight w:val="none"/>
                      <w:lang w:val="en-US" w:eastAsia="zh-CN"/>
                    </w:rPr>
                  </w:pPr>
                  <w:r>
                    <w:rPr>
                      <w:rFonts w:hint="eastAsia"/>
                      <w:color w:val="auto"/>
                      <w:kern w:val="0"/>
                      <w:szCs w:val="21"/>
                      <w:highlight w:val="none"/>
                      <w:lang w:val="en-US" w:eastAsia="zh-CN"/>
                    </w:rPr>
                    <w:t>5</w:t>
                  </w:r>
                </w:p>
              </w:tc>
              <w:tc>
                <w:tcPr>
                  <w:tcW w:w="0" w:type="auto"/>
                  <w:tcBorders>
                    <w:tl2br w:val="nil"/>
                    <w:tr2bl w:val="nil"/>
                  </w:tcBorders>
                  <w:noWrap w:val="0"/>
                  <w:vAlign w:val="center"/>
                </w:tcPr>
                <w:p w14:paraId="4C91CB20">
                  <w:pPr>
                    <w:jc w:val="center"/>
                    <w:rPr>
                      <w:rFonts w:ascii="宋体" w:hAnsi="宋体"/>
                      <w:bCs/>
                      <w:color w:val="auto"/>
                      <w:kern w:val="0"/>
                      <w:szCs w:val="21"/>
                      <w:highlight w:val="none"/>
                    </w:rPr>
                  </w:pPr>
                  <w:r>
                    <w:rPr>
                      <w:rFonts w:hint="eastAsia" w:ascii="宋体" w:hAnsi="宋体"/>
                      <w:bCs/>
                      <w:color w:val="auto"/>
                      <w:kern w:val="0"/>
                      <w:szCs w:val="21"/>
                      <w:highlight w:val="none"/>
                    </w:rPr>
                    <w:t>混凝土罐车清洗用水</w:t>
                  </w:r>
                </w:p>
              </w:tc>
              <w:tc>
                <w:tcPr>
                  <w:tcW w:w="0" w:type="auto"/>
                  <w:tcBorders>
                    <w:tl2br w:val="nil"/>
                    <w:tr2bl w:val="nil"/>
                  </w:tcBorders>
                  <w:noWrap w:val="0"/>
                  <w:vAlign w:val="center"/>
                </w:tcPr>
                <w:p w14:paraId="2D2C7848">
                  <w:pPr>
                    <w:jc w:val="center"/>
                    <w:rPr>
                      <w:rFonts w:hint="default"/>
                      <w:color w:val="auto"/>
                      <w:kern w:val="0"/>
                      <w:szCs w:val="21"/>
                      <w:highlight w:val="none"/>
                      <w:lang w:val="en-US" w:eastAsia="zh-CN"/>
                    </w:rPr>
                  </w:pPr>
                  <w:r>
                    <w:rPr>
                      <w:rFonts w:hint="eastAsia"/>
                      <w:color w:val="auto"/>
                      <w:kern w:val="0"/>
                      <w:szCs w:val="21"/>
                      <w:highlight w:val="none"/>
                      <w:lang w:val="en-US" w:eastAsia="zh-CN"/>
                    </w:rPr>
                    <w:t>25</w:t>
                  </w:r>
                </w:p>
              </w:tc>
              <w:tc>
                <w:tcPr>
                  <w:tcW w:w="0" w:type="auto"/>
                  <w:tcBorders>
                    <w:tl2br w:val="nil"/>
                    <w:tr2bl w:val="nil"/>
                  </w:tcBorders>
                  <w:noWrap w:val="0"/>
                  <w:vAlign w:val="center"/>
                </w:tcPr>
                <w:p w14:paraId="75EBEEA6">
                  <w:pPr>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0</w:t>
                  </w:r>
                </w:p>
              </w:tc>
              <w:tc>
                <w:tcPr>
                  <w:tcW w:w="0" w:type="auto"/>
                  <w:tcBorders>
                    <w:tl2br w:val="nil"/>
                    <w:tr2bl w:val="nil"/>
                  </w:tcBorders>
                  <w:noWrap w:val="0"/>
                  <w:vAlign w:val="center"/>
                </w:tcPr>
                <w:p w14:paraId="5A7DAC67">
                  <w:pPr>
                    <w:jc w:val="center"/>
                    <w:rPr>
                      <w:rFonts w:hint="eastAsia"/>
                      <w:color w:val="auto"/>
                      <w:kern w:val="0"/>
                      <w:szCs w:val="21"/>
                      <w:highlight w:val="none"/>
                      <w:lang w:val="en-US" w:eastAsia="zh-CN"/>
                    </w:rPr>
                  </w:pPr>
                  <w:r>
                    <w:rPr>
                      <w:rFonts w:hint="eastAsia"/>
                      <w:color w:val="auto"/>
                      <w:kern w:val="0"/>
                      <w:szCs w:val="21"/>
                      <w:highlight w:val="none"/>
                      <w:lang w:val="en-US" w:eastAsia="zh-CN"/>
                    </w:rPr>
                    <w:t>5</w:t>
                  </w:r>
                </w:p>
              </w:tc>
              <w:tc>
                <w:tcPr>
                  <w:tcW w:w="0" w:type="auto"/>
                  <w:tcBorders>
                    <w:tl2br w:val="nil"/>
                    <w:tr2bl w:val="nil"/>
                  </w:tcBorders>
                  <w:noWrap w:val="0"/>
                  <w:vAlign w:val="center"/>
                </w:tcPr>
                <w:p w14:paraId="4234780D">
                  <w:pPr>
                    <w:jc w:val="center"/>
                    <w:rPr>
                      <w:rFonts w:hint="default"/>
                      <w:color w:val="auto"/>
                      <w:kern w:val="0"/>
                      <w:szCs w:val="21"/>
                      <w:highlight w:val="none"/>
                      <w:lang w:val="en-US" w:eastAsia="zh-CN"/>
                    </w:rPr>
                  </w:pPr>
                  <w:r>
                    <w:rPr>
                      <w:rFonts w:hint="eastAsia"/>
                      <w:color w:val="auto"/>
                      <w:kern w:val="0"/>
                      <w:szCs w:val="21"/>
                      <w:highlight w:val="none"/>
                      <w:lang w:val="en-US" w:eastAsia="zh-CN"/>
                    </w:rPr>
                    <w:t>20</w:t>
                  </w:r>
                </w:p>
              </w:tc>
              <w:tc>
                <w:tcPr>
                  <w:tcW w:w="0" w:type="auto"/>
                  <w:vMerge w:val="continue"/>
                  <w:tcBorders>
                    <w:tl2br w:val="nil"/>
                    <w:tr2bl w:val="nil"/>
                  </w:tcBorders>
                  <w:noWrap w:val="0"/>
                  <w:vAlign w:val="center"/>
                </w:tcPr>
                <w:p w14:paraId="59ED63E4">
                  <w:pPr>
                    <w:jc w:val="center"/>
                    <w:rPr>
                      <w:color w:val="auto"/>
                      <w:kern w:val="0"/>
                      <w:szCs w:val="21"/>
                      <w:highlight w:val="none"/>
                    </w:rPr>
                  </w:pPr>
                </w:p>
              </w:tc>
            </w:tr>
            <w:tr w14:paraId="388E8F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4C21D0B0">
                  <w:pPr>
                    <w:jc w:val="center"/>
                    <w:rPr>
                      <w:color w:val="auto"/>
                      <w:kern w:val="0"/>
                      <w:szCs w:val="21"/>
                      <w:highlight w:val="none"/>
                    </w:rPr>
                  </w:pPr>
                  <w:r>
                    <w:rPr>
                      <w:rFonts w:hint="eastAsia"/>
                      <w:color w:val="auto"/>
                      <w:kern w:val="0"/>
                      <w:szCs w:val="21"/>
                      <w:highlight w:val="none"/>
                      <w:lang w:val="en-US" w:eastAsia="zh-CN"/>
                    </w:rPr>
                    <w:t>6</w:t>
                  </w:r>
                </w:p>
              </w:tc>
              <w:tc>
                <w:tcPr>
                  <w:tcW w:w="0" w:type="auto"/>
                  <w:tcBorders>
                    <w:tl2br w:val="nil"/>
                    <w:tr2bl w:val="nil"/>
                  </w:tcBorders>
                  <w:noWrap w:val="0"/>
                  <w:vAlign w:val="center"/>
                </w:tcPr>
                <w:p w14:paraId="4A115C41">
                  <w:pPr>
                    <w:jc w:val="center"/>
                    <w:rPr>
                      <w:color w:val="auto"/>
                      <w:kern w:val="0"/>
                      <w:szCs w:val="21"/>
                      <w:highlight w:val="none"/>
                    </w:rPr>
                  </w:pPr>
                  <w:r>
                    <w:rPr>
                      <w:rFonts w:ascii="宋体" w:hAnsi="宋体"/>
                      <w:color w:val="auto"/>
                      <w:kern w:val="0"/>
                      <w:szCs w:val="21"/>
                      <w:highlight w:val="none"/>
                    </w:rPr>
                    <w:t>实验室用水</w:t>
                  </w:r>
                </w:p>
              </w:tc>
              <w:tc>
                <w:tcPr>
                  <w:tcW w:w="0" w:type="auto"/>
                  <w:tcBorders>
                    <w:tl2br w:val="nil"/>
                    <w:tr2bl w:val="nil"/>
                  </w:tcBorders>
                  <w:noWrap w:val="0"/>
                  <w:vAlign w:val="center"/>
                </w:tcPr>
                <w:p w14:paraId="5C9FC81E">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0.12</w:t>
                  </w:r>
                </w:p>
              </w:tc>
              <w:tc>
                <w:tcPr>
                  <w:tcW w:w="0" w:type="auto"/>
                  <w:tcBorders>
                    <w:tl2br w:val="nil"/>
                    <w:tr2bl w:val="nil"/>
                  </w:tcBorders>
                  <w:noWrap w:val="0"/>
                  <w:vAlign w:val="center"/>
                </w:tcPr>
                <w:p w14:paraId="0ACB3730">
                  <w:pPr>
                    <w:jc w:val="center"/>
                    <w:rPr>
                      <w:color w:val="auto"/>
                      <w:kern w:val="0"/>
                      <w:szCs w:val="21"/>
                      <w:highlight w:val="none"/>
                    </w:rPr>
                  </w:pPr>
                  <w:r>
                    <w:rPr>
                      <w:color w:val="auto"/>
                      <w:kern w:val="0"/>
                      <w:szCs w:val="21"/>
                      <w:highlight w:val="none"/>
                    </w:rPr>
                    <w:t>0</w:t>
                  </w:r>
                </w:p>
              </w:tc>
              <w:tc>
                <w:tcPr>
                  <w:tcW w:w="0" w:type="auto"/>
                  <w:tcBorders>
                    <w:tl2br w:val="nil"/>
                    <w:tr2bl w:val="nil"/>
                  </w:tcBorders>
                  <w:noWrap w:val="0"/>
                  <w:vAlign w:val="center"/>
                </w:tcPr>
                <w:p w14:paraId="1CDEF821">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0.024</w:t>
                  </w:r>
                </w:p>
              </w:tc>
              <w:tc>
                <w:tcPr>
                  <w:tcW w:w="0" w:type="auto"/>
                  <w:tcBorders>
                    <w:tl2br w:val="nil"/>
                    <w:tr2bl w:val="nil"/>
                  </w:tcBorders>
                  <w:noWrap w:val="0"/>
                  <w:vAlign w:val="center"/>
                </w:tcPr>
                <w:p w14:paraId="26B1DE6C">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0.096</w:t>
                  </w:r>
                </w:p>
              </w:tc>
              <w:tc>
                <w:tcPr>
                  <w:tcW w:w="0" w:type="auto"/>
                  <w:vMerge w:val="continue"/>
                  <w:tcBorders>
                    <w:tl2br w:val="nil"/>
                    <w:tr2bl w:val="nil"/>
                  </w:tcBorders>
                  <w:noWrap w:val="0"/>
                  <w:vAlign w:val="center"/>
                </w:tcPr>
                <w:p w14:paraId="261E71DA">
                  <w:pPr>
                    <w:jc w:val="center"/>
                    <w:rPr>
                      <w:color w:val="auto"/>
                      <w:kern w:val="0"/>
                      <w:szCs w:val="21"/>
                      <w:highlight w:val="none"/>
                    </w:rPr>
                  </w:pPr>
                </w:p>
              </w:tc>
            </w:tr>
            <w:tr w14:paraId="4AAE0B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6D126CE8">
                  <w:pPr>
                    <w:jc w:val="center"/>
                    <w:rPr>
                      <w:rFonts w:hint="eastAsia" w:eastAsia="宋体"/>
                      <w:color w:val="auto"/>
                      <w:kern w:val="0"/>
                      <w:szCs w:val="21"/>
                      <w:highlight w:val="none"/>
                      <w:lang w:eastAsia="zh-CN"/>
                    </w:rPr>
                  </w:pPr>
                  <w:r>
                    <w:rPr>
                      <w:rFonts w:hint="eastAsia"/>
                      <w:color w:val="auto"/>
                      <w:kern w:val="0"/>
                      <w:szCs w:val="21"/>
                      <w:highlight w:val="none"/>
                      <w:lang w:val="en-US" w:eastAsia="zh-CN"/>
                    </w:rPr>
                    <w:t>7</w:t>
                  </w:r>
                </w:p>
              </w:tc>
              <w:tc>
                <w:tcPr>
                  <w:tcW w:w="0" w:type="auto"/>
                  <w:tcBorders>
                    <w:tl2br w:val="nil"/>
                    <w:tr2bl w:val="nil"/>
                  </w:tcBorders>
                  <w:noWrap w:val="0"/>
                  <w:vAlign w:val="center"/>
                </w:tcPr>
                <w:p w14:paraId="5A04BAA8">
                  <w:pPr>
                    <w:jc w:val="center"/>
                    <w:rPr>
                      <w:rFonts w:hint="eastAsia"/>
                      <w:color w:val="auto"/>
                      <w:kern w:val="0"/>
                      <w:szCs w:val="21"/>
                      <w:highlight w:val="none"/>
                    </w:rPr>
                  </w:pPr>
                  <w:r>
                    <w:rPr>
                      <w:rFonts w:hint="eastAsia" w:ascii="宋体" w:hAnsi="宋体"/>
                      <w:color w:val="auto"/>
                      <w:kern w:val="0"/>
                      <w:szCs w:val="21"/>
                      <w:highlight w:val="none"/>
                    </w:rPr>
                    <w:t>储料棚抑尘用水</w:t>
                  </w:r>
                </w:p>
              </w:tc>
              <w:tc>
                <w:tcPr>
                  <w:tcW w:w="0" w:type="auto"/>
                  <w:tcBorders>
                    <w:tl2br w:val="nil"/>
                    <w:tr2bl w:val="nil"/>
                  </w:tcBorders>
                  <w:noWrap w:val="0"/>
                  <w:vAlign w:val="center"/>
                </w:tcPr>
                <w:p w14:paraId="70E2AAC7">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30</w:t>
                  </w:r>
                </w:p>
              </w:tc>
              <w:tc>
                <w:tcPr>
                  <w:tcW w:w="0" w:type="auto"/>
                  <w:tcBorders>
                    <w:tl2br w:val="nil"/>
                    <w:tr2bl w:val="nil"/>
                  </w:tcBorders>
                  <w:noWrap w:val="0"/>
                  <w:vAlign w:val="center"/>
                </w:tcPr>
                <w:p w14:paraId="1FF4A4E7">
                  <w:pPr>
                    <w:jc w:val="center"/>
                    <w:rPr>
                      <w:color w:val="auto"/>
                      <w:kern w:val="0"/>
                      <w:szCs w:val="21"/>
                      <w:highlight w:val="none"/>
                    </w:rPr>
                  </w:pPr>
                  <w:r>
                    <w:rPr>
                      <w:rFonts w:hint="eastAsia"/>
                      <w:color w:val="auto"/>
                      <w:kern w:val="0"/>
                      <w:szCs w:val="21"/>
                      <w:highlight w:val="none"/>
                    </w:rPr>
                    <w:t>0</w:t>
                  </w:r>
                </w:p>
              </w:tc>
              <w:tc>
                <w:tcPr>
                  <w:tcW w:w="0" w:type="auto"/>
                  <w:tcBorders>
                    <w:tl2br w:val="nil"/>
                    <w:tr2bl w:val="nil"/>
                  </w:tcBorders>
                  <w:noWrap w:val="0"/>
                  <w:vAlign w:val="center"/>
                </w:tcPr>
                <w:p w14:paraId="78E57B6B">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30</w:t>
                  </w:r>
                </w:p>
              </w:tc>
              <w:tc>
                <w:tcPr>
                  <w:tcW w:w="0" w:type="auto"/>
                  <w:tcBorders>
                    <w:tl2br w:val="nil"/>
                    <w:tr2bl w:val="nil"/>
                  </w:tcBorders>
                  <w:noWrap w:val="0"/>
                  <w:vAlign w:val="center"/>
                </w:tcPr>
                <w:p w14:paraId="2FFD5565">
                  <w:pPr>
                    <w:jc w:val="center"/>
                    <w:rPr>
                      <w:color w:val="auto"/>
                      <w:kern w:val="0"/>
                      <w:szCs w:val="21"/>
                      <w:highlight w:val="none"/>
                    </w:rPr>
                  </w:pPr>
                  <w:r>
                    <w:rPr>
                      <w:rFonts w:hint="eastAsia"/>
                      <w:color w:val="auto"/>
                      <w:kern w:val="0"/>
                      <w:szCs w:val="21"/>
                      <w:highlight w:val="none"/>
                    </w:rPr>
                    <w:t>0</w:t>
                  </w:r>
                </w:p>
              </w:tc>
              <w:tc>
                <w:tcPr>
                  <w:tcW w:w="0" w:type="auto"/>
                  <w:tcBorders>
                    <w:tl2br w:val="nil"/>
                    <w:tr2bl w:val="nil"/>
                  </w:tcBorders>
                  <w:noWrap w:val="0"/>
                  <w:vAlign w:val="center"/>
                </w:tcPr>
                <w:p w14:paraId="09436146">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进入原料，不外排</w:t>
                  </w:r>
                </w:p>
              </w:tc>
            </w:tr>
            <w:tr w14:paraId="27942C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tcBorders>
                    <w:tl2br w:val="nil"/>
                    <w:tr2bl w:val="nil"/>
                  </w:tcBorders>
                  <w:noWrap w:val="0"/>
                  <w:vAlign w:val="center"/>
                </w:tcPr>
                <w:p w14:paraId="57491588">
                  <w:pPr>
                    <w:jc w:val="center"/>
                    <w:rPr>
                      <w:rFonts w:hint="default"/>
                      <w:color w:val="auto"/>
                      <w:kern w:val="0"/>
                      <w:szCs w:val="21"/>
                      <w:highlight w:val="none"/>
                      <w:lang w:val="en-US" w:eastAsia="zh-CN"/>
                    </w:rPr>
                  </w:pPr>
                  <w:r>
                    <w:rPr>
                      <w:rFonts w:hint="eastAsia"/>
                      <w:color w:val="auto"/>
                      <w:kern w:val="0"/>
                      <w:szCs w:val="21"/>
                      <w:highlight w:val="none"/>
                      <w:lang w:val="en-US" w:eastAsia="zh-CN"/>
                    </w:rPr>
                    <w:t>8</w:t>
                  </w:r>
                </w:p>
              </w:tc>
              <w:tc>
                <w:tcPr>
                  <w:tcW w:w="0" w:type="auto"/>
                  <w:tcBorders>
                    <w:tl2br w:val="nil"/>
                    <w:tr2bl w:val="nil"/>
                  </w:tcBorders>
                  <w:noWrap w:val="0"/>
                  <w:vAlign w:val="center"/>
                </w:tcPr>
                <w:p w14:paraId="38E11CC5">
                  <w:pPr>
                    <w:jc w:val="center"/>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厂区道路、工业广场抑尘用水</w:t>
                  </w:r>
                </w:p>
              </w:tc>
              <w:tc>
                <w:tcPr>
                  <w:tcW w:w="0" w:type="auto"/>
                  <w:tcBorders>
                    <w:tl2br w:val="nil"/>
                    <w:tr2bl w:val="nil"/>
                  </w:tcBorders>
                  <w:noWrap w:val="0"/>
                  <w:vAlign w:val="center"/>
                </w:tcPr>
                <w:p w14:paraId="055C3B4E">
                  <w:pPr>
                    <w:jc w:val="center"/>
                    <w:rPr>
                      <w:rFonts w:hint="default"/>
                      <w:color w:val="auto"/>
                      <w:kern w:val="0"/>
                      <w:szCs w:val="21"/>
                      <w:highlight w:val="none"/>
                      <w:lang w:val="en-US" w:eastAsia="zh-CN"/>
                    </w:rPr>
                  </w:pPr>
                  <w:r>
                    <w:rPr>
                      <w:rFonts w:hint="eastAsia"/>
                      <w:color w:val="auto"/>
                      <w:kern w:val="0"/>
                      <w:szCs w:val="21"/>
                      <w:highlight w:val="none"/>
                      <w:lang w:val="en-US" w:eastAsia="zh-CN"/>
                    </w:rPr>
                    <w:t>12</w:t>
                  </w:r>
                </w:p>
              </w:tc>
              <w:tc>
                <w:tcPr>
                  <w:tcW w:w="0" w:type="auto"/>
                  <w:tcBorders>
                    <w:tl2br w:val="nil"/>
                    <w:tr2bl w:val="nil"/>
                  </w:tcBorders>
                  <w:noWrap w:val="0"/>
                  <w:vAlign w:val="center"/>
                </w:tcPr>
                <w:p w14:paraId="07F83609">
                  <w:pPr>
                    <w:jc w:val="center"/>
                    <w:rPr>
                      <w:rFonts w:hint="default"/>
                      <w:color w:val="auto"/>
                      <w:kern w:val="0"/>
                      <w:szCs w:val="21"/>
                      <w:highlight w:val="none"/>
                      <w:lang w:val="en-US" w:eastAsia="zh-CN"/>
                    </w:rPr>
                  </w:pPr>
                  <w:r>
                    <w:rPr>
                      <w:rFonts w:hint="eastAsia"/>
                      <w:color w:val="auto"/>
                      <w:kern w:val="0"/>
                      <w:szCs w:val="21"/>
                      <w:highlight w:val="none"/>
                      <w:lang w:val="en-US" w:eastAsia="zh-CN"/>
                    </w:rPr>
                    <w:t>0</w:t>
                  </w:r>
                </w:p>
              </w:tc>
              <w:tc>
                <w:tcPr>
                  <w:tcW w:w="0" w:type="auto"/>
                  <w:tcBorders>
                    <w:tl2br w:val="nil"/>
                    <w:tr2bl w:val="nil"/>
                  </w:tcBorders>
                  <w:noWrap w:val="0"/>
                  <w:vAlign w:val="center"/>
                </w:tcPr>
                <w:p w14:paraId="2EFCA110">
                  <w:pPr>
                    <w:jc w:val="center"/>
                    <w:rPr>
                      <w:rFonts w:hint="default"/>
                      <w:color w:val="auto"/>
                      <w:kern w:val="0"/>
                      <w:szCs w:val="21"/>
                      <w:highlight w:val="none"/>
                      <w:lang w:val="en-US" w:eastAsia="zh-CN"/>
                    </w:rPr>
                  </w:pPr>
                  <w:r>
                    <w:rPr>
                      <w:rFonts w:hint="eastAsia"/>
                      <w:color w:val="auto"/>
                      <w:kern w:val="0"/>
                      <w:szCs w:val="21"/>
                      <w:highlight w:val="none"/>
                      <w:lang w:val="en-US" w:eastAsia="zh-CN"/>
                    </w:rPr>
                    <w:t>12</w:t>
                  </w:r>
                </w:p>
              </w:tc>
              <w:tc>
                <w:tcPr>
                  <w:tcW w:w="0" w:type="auto"/>
                  <w:tcBorders>
                    <w:tl2br w:val="nil"/>
                    <w:tr2bl w:val="nil"/>
                  </w:tcBorders>
                  <w:noWrap w:val="0"/>
                  <w:vAlign w:val="center"/>
                </w:tcPr>
                <w:p w14:paraId="5650CA6B">
                  <w:pPr>
                    <w:jc w:val="center"/>
                    <w:rPr>
                      <w:rFonts w:hint="default"/>
                      <w:color w:val="auto"/>
                      <w:kern w:val="0"/>
                      <w:szCs w:val="21"/>
                      <w:highlight w:val="none"/>
                      <w:lang w:val="en-US" w:eastAsia="zh-CN"/>
                    </w:rPr>
                  </w:pPr>
                  <w:r>
                    <w:rPr>
                      <w:rFonts w:hint="eastAsia"/>
                      <w:color w:val="auto"/>
                      <w:kern w:val="0"/>
                      <w:szCs w:val="21"/>
                      <w:highlight w:val="none"/>
                      <w:lang w:val="en-US" w:eastAsia="zh-CN"/>
                    </w:rPr>
                    <w:t>0</w:t>
                  </w:r>
                </w:p>
              </w:tc>
              <w:tc>
                <w:tcPr>
                  <w:tcW w:w="0" w:type="auto"/>
                  <w:tcBorders>
                    <w:tl2br w:val="nil"/>
                    <w:tr2bl w:val="nil"/>
                  </w:tcBorders>
                  <w:noWrap w:val="0"/>
                  <w:vAlign w:val="center"/>
                </w:tcPr>
                <w:p w14:paraId="4D473EEF">
                  <w:pPr>
                    <w:jc w:val="center"/>
                    <w:rPr>
                      <w:rFonts w:hint="eastAsia"/>
                      <w:color w:val="auto"/>
                      <w:kern w:val="0"/>
                      <w:szCs w:val="21"/>
                      <w:highlight w:val="none"/>
                      <w:lang w:val="en-US" w:eastAsia="zh-CN"/>
                    </w:rPr>
                  </w:pPr>
                  <w:r>
                    <w:rPr>
                      <w:rFonts w:hint="eastAsia"/>
                      <w:color w:val="auto"/>
                      <w:kern w:val="0"/>
                      <w:szCs w:val="21"/>
                      <w:highlight w:val="none"/>
                      <w:lang w:val="en-US" w:eastAsia="zh-CN"/>
                    </w:rPr>
                    <w:t>自然吸收及蒸发</w:t>
                  </w:r>
                </w:p>
              </w:tc>
            </w:tr>
            <w:tr w14:paraId="1A52A6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gridSpan w:val="2"/>
                  <w:tcBorders>
                    <w:tl2br w:val="nil"/>
                    <w:tr2bl w:val="nil"/>
                  </w:tcBorders>
                  <w:noWrap w:val="0"/>
                  <w:vAlign w:val="center"/>
                </w:tcPr>
                <w:p w14:paraId="2693E1F6">
                  <w:pPr>
                    <w:jc w:val="center"/>
                    <w:rPr>
                      <w:color w:val="auto"/>
                      <w:kern w:val="0"/>
                      <w:szCs w:val="21"/>
                      <w:highlight w:val="none"/>
                    </w:rPr>
                  </w:pPr>
                  <w:r>
                    <w:rPr>
                      <w:rFonts w:ascii="宋体" w:hAnsi="宋体"/>
                      <w:color w:val="auto"/>
                      <w:kern w:val="0"/>
                      <w:szCs w:val="21"/>
                      <w:highlight w:val="none"/>
                    </w:rPr>
                    <w:t>合计</w:t>
                  </w:r>
                </w:p>
              </w:tc>
              <w:tc>
                <w:tcPr>
                  <w:tcW w:w="0" w:type="auto"/>
                  <w:tcBorders>
                    <w:tl2br w:val="nil"/>
                    <w:tr2bl w:val="nil"/>
                  </w:tcBorders>
                  <w:noWrap w:val="0"/>
                  <w:vAlign w:val="center"/>
                </w:tcPr>
                <w:p w14:paraId="461DB53D">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127.134</w:t>
                  </w:r>
                </w:p>
              </w:tc>
              <w:tc>
                <w:tcPr>
                  <w:tcW w:w="0" w:type="auto"/>
                  <w:tcBorders>
                    <w:tl2br w:val="nil"/>
                    <w:tr2bl w:val="nil"/>
                  </w:tcBorders>
                  <w:noWrap w:val="0"/>
                  <w:vAlign w:val="center"/>
                </w:tcPr>
                <w:p w14:paraId="38C6C407">
                  <w:pPr>
                    <w:jc w:val="center"/>
                    <w:rPr>
                      <w:rFonts w:hint="default" w:eastAsia="宋体"/>
                      <w:color w:val="auto"/>
                      <w:kern w:val="0"/>
                      <w:szCs w:val="21"/>
                      <w:highlight w:val="none"/>
                      <w:lang w:val="en-US" w:eastAsia="zh-CN"/>
                    </w:rPr>
                  </w:pPr>
                  <w:r>
                    <w:rPr>
                      <w:rFonts w:hint="default" w:eastAsia="宋体"/>
                      <w:color w:val="auto"/>
                      <w:kern w:val="0"/>
                      <w:szCs w:val="21"/>
                      <w:highlight w:val="none"/>
                      <w:lang w:val="en-US" w:eastAsia="zh-CN"/>
                    </w:rPr>
                    <w:t>34.776</w:t>
                  </w:r>
                </w:p>
              </w:tc>
              <w:tc>
                <w:tcPr>
                  <w:tcW w:w="0" w:type="auto"/>
                  <w:tcBorders>
                    <w:tl2br w:val="nil"/>
                    <w:tr2bl w:val="nil"/>
                  </w:tcBorders>
                  <w:noWrap w:val="0"/>
                  <w:vAlign w:val="center"/>
                </w:tcPr>
                <w:p w14:paraId="5410ABDB">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125.982</w:t>
                  </w:r>
                </w:p>
              </w:tc>
              <w:tc>
                <w:tcPr>
                  <w:tcW w:w="0" w:type="auto"/>
                  <w:tcBorders>
                    <w:tl2br w:val="nil"/>
                    <w:tr2bl w:val="nil"/>
                  </w:tcBorders>
                  <w:noWrap w:val="0"/>
                  <w:vAlign w:val="center"/>
                </w:tcPr>
                <w:p w14:paraId="1181032A">
                  <w:pPr>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35.928</w:t>
                  </w:r>
                </w:p>
              </w:tc>
              <w:tc>
                <w:tcPr>
                  <w:tcW w:w="0" w:type="auto"/>
                  <w:tcBorders>
                    <w:tl2br w:val="nil"/>
                    <w:tr2bl w:val="nil"/>
                  </w:tcBorders>
                  <w:noWrap w:val="0"/>
                  <w:vAlign w:val="center"/>
                </w:tcPr>
                <w:p w14:paraId="14B9D63B">
                  <w:pPr>
                    <w:jc w:val="center"/>
                    <w:rPr>
                      <w:rFonts w:hint="eastAsia" w:eastAsia="宋体"/>
                      <w:color w:val="auto"/>
                      <w:kern w:val="0"/>
                      <w:szCs w:val="21"/>
                      <w:highlight w:val="none"/>
                      <w:lang w:eastAsia="zh-CN"/>
                    </w:rPr>
                  </w:pPr>
                  <w:r>
                    <w:rPr>
                      <w:rFonts w:hint="eastAsia"/>
                      <w:color w:val="auto"/>
                      <w:kern w:val="0"/>
                      <w:szCs w:val="21"/>
                      <w:highlight w:val="none"/>
                      <w:lang w:val="en-US" w:eastAsia="zh-CN"/>
                    </w:rPr>
                    <w:t>/</w:t>
                  </w:r>
                </w:p>
              </w:tc>
            </w:tr>
          </w:tbl>
          <w:p w14:paraId="61C496E6">
            <w:pPr>
              <w:spacing w:line="360" w:lineRule="auto"/>
              <w:jc w:val="center"/>
              <w:rPr>
                <w:rFonts w:hint="eastAsia" w:ascii="宋体" w:hAnsi="宋体" w:eastAsia="宋体"/>
                <w:b/>
                <w:color w:val="auto"/>
                <w:kern w:val="0"/>
                <w:sz w:val="24"/>
                <w:highlight w:val="none"/>
                <w:lang w:eastAsia="zh-CN"/>
              </w:rPr>
            </w:pPr>
            <w:r>
              <w:rPr>
                <w:rFonts w:hint="eastAsia" w:ascii="宋体" w:hAnsi="宋体"/>
                <w:b/>
                <w:color w:val="auto"/>
                <w:kern w:val="0"/>
                <w:sz w:val="24"/>
                <w:highlight w:val="none"/>
              </w:rPr>
              <w:object>
                <v:shape id="_x0000_i1025" o:spt="75" type="#_x0000_t75" style="height:329.25pt;width:434.2pt;" o:ole="t" filled="f" o:preferrelative="t" stroked="f" coordsize="21600,21600">
                  <v:path/>
                  <v:fill on="f" focussize="0,0"/>
                  <v:stroke on="f"/>
                  <v:imagedata r:id="rId15" o:title=""/>
                  <o:lock v:ext="edit" aspectratio="f"/>
                  <w10:wrap type="none"/>
                  <w10:anchorlock/>
                </v:shape>
                <o:OLEObject Type="Embed" ProgID="Visio.Drawing.15" ShapeID="_x0000_i1025" DrawAspect="Content" ObjectID="_1468075725" r:id="rId14">
                  <o:LockedField>false</o:LockedField>
                </o:OLEObject>
              </w:object>
            </w:r>
            <w:r>
              <w:rPr>
                <w:rFonts w:hint="eastAsia" w:ascii="宋体" w:hAnsi="宋体"/>
                <w:b/>
                <w:color w:val="auto"/>
                <w:kern w:val="0"/>
                <w:sz w:val="24"/>
                <w:highlight w:val="none"/>
              </w:rPr>
              <w:t>图</w:t>
            </w:r>
            <w:r>
              <w:rPr>
                <w:b/>
                <w:color w:val="auto"/>
                <w:kern w:val="0"/>
                <w:sz w:val="24"/>
                <w:highlight w:val="none"/>
              </w:rPr>
              <w:t>2-1</w:t>
            </w:r>
            <w:r>
              <w:rPr>
                <w:rFonts w:hint="eastAsia" w:ascii="宋体" w:hAnsi="宋体"/>
                <w:b/>
                <w:color w:val="auto"/>
                <w:kern w:val="0"/>
                <w:sz w:val="24"/>
                <w:highlight w:val="none"/>
              </w:rPr>
              <w:t>项目水平衡图</w:t>
            </w:r>
            <w:r>
              <w:rPr>
                <w:rFonts w:hint="eastAsia"/>
                <w:b/>
                <w:color w:val="auto"/>
                <w:kern w:val="0"/>
                <w:sz w:val="24"/>
                <w:highlight w:val="none"/>
              </w:rPr>
              <w:t>m</w:t>
            </w:r>
            <w:r>
              <w:rPr>
                <w:rFonts w:hint="eastAsia"/>
                <w:b/>
                <w:color w:val="auto"/>
                <w:kern w:val="0"/>
                <w:sz w:val="24"/>
                <w:highlight w:val="none"/>
                <w:vertAlign w:val="superscript"/>
              </w:rPr>
              <w:t>3</w:t>
            </w:r>
            <w:r>
              <w:rPr>
                <w:rFonts w:hint="eastAsia"/>
                <w:b/>
                <w:color w:val="auto"/>
                <w:kern w:val="0"/>
                <w:sz w:val="24"/>
                <w:highlight w:val="none"/>
              </w:rPr>
              <w:t>/d</w:t>
            </w:r>
          </w:p>
          <w:p w14:paraId="52C6B475">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（3）供电工程</w:t>
            </w:r>
          </w:p>
          <w:p w14:paraId="4097FDDD">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项目总用电量为</w:t>
            </w:r>
            <w:r>
              <w:rPr>
                <w:rFonts w:hint="eastAsia" w:ascii="Times New Roman" w:hAnsi="Times New Roman" w:cs="Times New Roman"/>
                <w:bCs/>
                <w:color w:val="auto"/>
                <w:sz w:val="24"/>
                <w:highlight w:val="none"/>
                <w:lang w:val="en-US" w:eastAsia="zh-CN"/>
              </w:rPr>
              <w:t>30</w:t>
            </w:r>
            <w:r>
              <w:rPr>
                <w:rFonts w:hint="default" w:ascii="Times New Roman" w:hAnsi="Times New Roman" w:cs="Times New Roman"/>
                <w:bCs/>
                <w:color w:val="auto"/>
                <w:sz w:val="24"/>
                <w:highlight w:val="none"/>
              </w:rPr>
              <w:t>0000KWh，依托</w:t>
            </w:r>
            <w:r>
              <w:rPr>
                <w:rFonts w:hint="eastAsia" w:ascii="Times New Roman" w:hAnsi="Times New Roman" w:cs="Times New Roman"/>
                <w:bCs/>
                <w:color w:val="auto"/>
                <w:sz w:val="24"/>
                <w:highlight w:val="none"/>
                <w:lang w:val="en-US" w:eastAsia="zh-CN"/>
              </w:rPr>
              <w:t>园区供电线路，</w:t>
            </w:r>
            <w:r>
              <w:rPr>
                <w:rFonts w:hint="default" w:ascii="Times New Roman" w:hAnsi="Times New Roman" w:cs="Times New Roman"/>
                <w:bCs/>
                <w:color w:val="auto"/>
                <w:sz w:val="24"/>
                <w:highlight w:val="none"/>
              </w:rPr>
              <w:t>由当地电网供给。</w:t>
            </w:r>
          </w:p>
          <w:p w14:paraId="05FA4E86">
            <w:pPr>
              <w:spacing w:line="360" w:lineRule="auto"/>
              <w:ind w:firstLine="480" w:firstLineChars="200"/>
              <w:rPr>
                <w:rFonts w:ascii="宋体" w:hAnsi="宋体"/>
                <w:bCs/>
                <w:color w:val="auto"/>
                <w:sz w:val="24"/>
                <w:highlight w:val="none"/>
              </w:rPr>
            </w:pPr>
            <w:r>
              <w:rPr>
                <w:rFonts w:hint="eastAsia" w:ascii="宋体" w:hAnsi="宋体"/>
                <w:bCs/>
                <w:color w:val="auto"/>
                <w:sz w:val="24"/>
                <w:highlight w:val="none"/>
              </w:rPr>
              <w:t>（</w:t>
            </w:r>
            <w:r>
              <w:rPr>
                <w:rFonts w:hint="eastAsia"/>
                <w:bCs/>
                <w:color w:val="auto"/>
                <w:sz w:val="24"/>
                <w:highlight w:val="none"/>
              </w:rPr>
              <w:t>4</w:t>
            </w:r>
            <w:r>
              <w:rPr>
                <w:rFonts w:hint="eastAsia" w:ascii="宋体" w:hAnsi="宋体"/>
                <w:bCs/>
                <w:color w:val="auto"/>
                <w:sz w:val="24"/>
                <w:highlight w:val="none"/>
              </w:rPr>
              <w:t>）供热工程</w:t>
            </w:r>
          </w:p>
          <w:p w14:paraId="6B78D351">
            <w:pPr>
              <w:spacing w:line="360" w:lineRule="auto"/>
              <w:ind w:firstLine="480" w:firstLineChars="200"/>
              <w:rPr>
                <w:rFonts w:hint="eastAsia"/>
                <w:bCs/>
                <w:color w:val="auto"/>
                <w:sz w:val="24"/>
                <w:highlight w:val="none"/>
              </w:rPr>
            </w:pPr>
            <w:r>
              <w:rPr>
                <w:rFonts w:hint="eastAsia"/>
                <w:bCs/>
                <w:color w:val="auto"/>
                <w:sz w:val="24"/>
                <w:highlight w:val="none"/>
              </w:rPr>
              <w:t>本项目冬季不生产，不需要供热采暖</w:t>
            </w:r>
            <w:r>
              <w:rPr>
                <w:rFonts w:hint="eastAsia" w:ascii="宋体" w:hAnsi="宋体"/>
                <w:bCs/>
                <w:color w:val="auto"/>
                <w:sz w:val="24"/>
                <w:highlight w:val="none"/>
              </w:rPr>
              <w:t>。</w:t>
            </w:r>
          </w:p>
        </w:tc>
      </w:tr>
      <w:tr w14:paraId="68382F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3" w:type="dxa"/>
            <w:noWrap w:val="0"/>
            <w:vAlign w:val="center"/>
          </w:tcPr>
          <w:p w14:paraId="2F4ED0D1">
            <w:pPr>
              <w:pStyle w:val="19"/>
              <w:adjustRightInd w:val="0"/>
              <w:snapToGrid w:val="0"/>
              <w:spacing w:before="0" w:beforeAutospacing="0" w:after="0" w:afterAutospacing="0"/>
              <w:jc w:val="center"/>
              <w:rPr>
                <w:rFonts w:cs="宋体"/>
                <w:color w:val="auto"/>
                <w:szCs w:val="24"/>
                <w:highlight w:val="none"/>
              </w:rPr>
            </w:pPr>
            <w:r>
              <w:rPr>
                <w:rFonts w:hint="eastAsia" w:cs="宋体"/>
                <w:color w:val="auto"/>
                <w:szCs w:val="24"/>
                <w:highlight w:val="none"/>
              </w:rPr>
              <w:t>工艺流程和产排污环节</w:t>
            </w:r>
          </w:p>
        </w:tc>
        <w:tc>
          <w:tcPr>
            <w:tcW w:w="8161" w:type="dxa"/>
            <w:noWrap w:val="0"/>
            <w:vAlign w:val="top"/>
          </w:tcPr>
          <w:p w14:paraId="5D374018">
            <w:pPr>
              <w:spacing w:line="360" w:lineRule="auto"/>
              <w:ind w:firstLine="482" w:firstLineChars="200"/>
              <w:jc w:val="left"/>
              <w:rPr>
                <w:b/>
                <w:color w:val="auto"/>
                <w:sz w:val="24"/>
                <w:highlight w:val="none"/>
              </w:rPr>
            </w:pPr>
            <w:r>
              <w:rPr>
                <w:b/>
                <w:color w:val="auto"/>
                <w:sz w:val="24"/>
                <w:highlight w:val="none"/>
              </w:rPr>
              <w:t>1</w:t>
            </w:r>
            <w:r>
              <w:rPr>
                <w:rFonts w:hint="eastAsia" w:ascii="宋体" w:hAnsi="宋体"/>
                <w:b/>
                <w:color w:val="auto"/>
                <w:sz w:val="24"/>
                <w:highlight w:val="none"/>
                <w:lang w:eastAsia="zh-CN"/>
              </w:rPr>
              <w:t>、</w:t>
            </w:r>
            <w:r>
              <w:rPr>
                <w:rFonts w:ascii="宋体" w:hAnsi="宋体"/>
                <w:b/>
                <w:color w:val="auto"/>
                <w:sz w:val="24"/>
                <w:highlight w:val="none"/>
              </w:rPr>
              <w:t>施工期</w:t>
            </w:r>
            <w:r>
              <w:rPr>
                <w:rFonts w:hint="eastAsia" w:ascii="宋体" w:hAnsi="宋体"/>
                <w:b/>
                <w:color w:val="auto"/>
                <w:sz w:val="24"/>
                <w:highlight w:val="none"/>
              </w:rPr>
              <w:t>工艺流程和产排污环节</w:t>
            </w:r>
          </w:p>
          <w:p w14:paraId="3F9038B2">
            <w:pPr>
              <w:adjustRightInd w:val="0"/>
              <w:snapToGrid w:val="0"/>
              <w:spacing w:line="360" w:lineRule="auto"/>
              <w:ind w:firstLine="480" w:firstLineChars="200"/>
              <w:jc w:val="left"/>
              <w:rPr>
                <w:rFonts w:hint="default" w:ascii="宋体" w:hAnsi="宋体"/>
                <w:color w:val="auto"/>
                <w:sz w:val="24"/>
                <w:highlight w:val="none"/>
                <w:lang w:val="en-US" w:eastAsia="zh-CN"/>
              </w:rPr>
            </w:pPr>
            <w:r>
              <w:rPr>
                <w:rFonts w:hint="default" w:ascii="宋体" w:hAnsi="宋体"/>
                <w:color w:val="auto"/>
                <w:sz w:val="24"/>
                <w:highlight w:val="none"/>
                <w:lang w:val="en-US" w:eastAsia="zh-CN"/>
              </w:rPr>
              <w:t>本项目土建及配套设施施工工作已全部竣工，施工期已结束，因此本次评价不再针对施工阶段废气、废水、噪声、固废等环境影响开展专项分析。项目整个施工周期内，建设单位未收到周边居民、单位提交的环保相关投诉，无环境纠纷记录。</w:t>
            </w:r>
          </w:p>
          <w:p w14:paraId="20E46307">
            <w:pPr>
              <w:adjustRightInd w:val="0"/>
              <w:snapToGrid w:val="0"/>
              <w:spacing w:line="360" w:lineRule="auto"/>
              <w:ind w:firstLine="482" w:firstLineChars="200"/>
              <w:jc w:val="left"/>
              <w:rPr>
                <w:b/>
                <w:bCs/>
                <w:color w:val="auto"/>
                <w:sz w:val="24"/>
                <w:highlight w:val="none"/>
              </w:rPr>
            </w:pPr>
            <w:r>
              <w:rPr>
                <w:b/>
                <w:bCs/>
                <w:color w:val="auto"/>
                <w:sz w:val="24"/>
                <w:highlight w:val="none"/>
              </w:rPr>
              <w:t>2</w:t>
            </w:r>
            <w:r>
              <w:rPr>
                <w:rFonts w:hint="eastAsia" w:ascii="宋体" w:hAnsi="宋体"/>
                <w:b/>
                <w:bCs/>
                <w:color w:val="auto"/>
                <w:sz w:val="24"/>
                <w:highlight w:val="none"/>
                <w:lang w:eastAsia="zh-CN"/>
              </w:rPr>
              <w:t>、</w:t>
            </w:r>
            <w:r>
              <w:rPr>
                <w:rFonts w:ascii="宋体" w:hAnsi="宋体"/>
                <w:b/>
                <w:bCs/>
                <w:color w:val="auto"/>
                <w:sz w:val="24"/>
                <w:highlight w:val="none"/>
              </w:rPr>
              <w:t>运营期</w:t>
            </w:r>
            <w:r>
              <w:rPr>
                <w:rFonts w:hint="eastAsia" w:ascii="宋体" w:hAnsi="宋体"/>
                <w:b/>
                <w:bCs/>
                <w:color w:val="auto"/>
                <w:sz w:val="24"/>
                <w:highlight w:val="none"/>
              </w:rPr>
              <w:t>工艺流程和产排污环节</w:t>
            </w:r>
          </w:p>
          <w:p w14:paraId="5AB85EB2">
            <w:pPr>
              <w:spacing w:line="360" w:lineRule="auto"/>
              <w:ind w:firstLine="480" w:firstLineChars="200"/>
              <w:rPr>
                <w:rFonts w:hint="eastAsia" w:eastAsia="宋体"/>
                <w:color w:val="auto"/>
                <w:sz w:val="24"/>
                <w:highlight w:val="none"/>
                <w:lang w:eastAsia="zh-CN"/>
              </w:rPr>
            </w:pPr>
            <w:r>
              <w:rPr>
                <w:rFonts w:ascii="宋体" w:hAnsi="宋体"/>
                <w:color w:val="auto"/>
                <w:sz w:val="24"/>
                <w:highlight w:val="none"/>
              </w:rPr>
              <w:t>本项目主要为混凝土的搅拌，年产</w:t>
            </w:r>
            <w:r>
              <w:rPr>
                <w:rFonts w:hint="eastAsia" w:ascii="宋体" w:hAnsi="宋体"/>
                <w:color w:val="auto"/>
                <w:sz w:val="24"/>
                <w:highlight w:val="none"/>
                <w:lang w:eastAsia="zh-CN"/>
              </w:rPr>
              <w:t>预拌混凝土</w:t>
            </w:r>
            <w:r>
              <w:rPr>
                <w:rFonts w:hint="eastAsia"/>
                <w:color w:val="auto"/>
                <w:sz w:val="24"/>
                <w:highlight w:val="none"/>
                <w:lang w:val="en-US" w:eastAsia="zh-CN"/>
              </w:rPr>
              <w:t>10</w:t>
            </w:r>
            <w:r>
              <w:rPr>
                <w:rFonts w:ascii="宋体" w:hAnsi="宋体"/>
                <w:color w:val="auto"/>
                <w:sz w:val="24"/>
                <w:highlight w:val="none"/>
              </w:rPr>
              <w:t>万</w:t>
            </w:r>
            <w:r>
              <w:rPr>
                <w:color w:val="auto"/>
                <w:sz w:val="24"/>
                <w:highlight w:val="none"/>
              </w:rPr>
              <w:t>m</w:t>
            </w:r>
            <w:r>
              <w:rPr>
                <w:color w:val="auto"/>
                <w:sz w:val="24"/>
                <w:highlight w:val="none"/>
                <w:vertAlign w:val="superscript"/>
              </w:rPr>
              <w:t>3</w:t>
            </w:r>
            <w:r>
              <w:rPr>
                <w:rFonts w:ascii="宋体" w:hAnsi="宋体"/>
                <w:color w:val="auto"/>
                <w:sz w:val="24"/>
                <w:highlight w:val="none"/>
              </w:rPr>
              <w:t>。</w:t>
            </w:r>
            <w:bookmarkStart w:id="2" w:name="_Hlk521779518"/>
            <w:bookmarkEnd w:id="2"/>
            <w:r>
              <w:rPr>
                <w:rFonts w:ascii="宋体" w:hAnsi="宋体"/>
                <w:bCs/>
                <w:color w:val="auto"/>
                <w:sz w:val="24"/>
                <w:highlight w:val="none"/>
              </w:rPr>
              <w:t>混凝土搅拌站主要由搅拌主机、物料称量系统、物料输送系统、物料贮存系统和自动控制系统等</w:t>
            </w:r>
            <w:r>
              <w:rPr>
                <w:bCs/>
                <w:color w:val="auto"/>
                <w:sz w:val="24"/>
                <w:highlight w:val="none"/>
              </w:rPr>
              <w:t>5</w:t>
            </w:r>
            <w:r>
              <w:rPr>
                <w:rFonts w:ascii="宋体" w:hAnsi="宋体"/>
                <w:bCs/>
                <w:color w:val="auto"/>
                <w:sz w:val="24"/>
                <w:highlight w:val="none"/>
              </w:rPr>
              <w:t>大系统和其他附属设施组成。其主要生产工艺如下：</w:t>
            </w:r>
          </w:p>
          <w:p w14:paraId="5F08B0AD">
            <w:pPr>
              <w:spacing w:line="360" w:lineRule="auto"/>
              <w:ind w:firstLine="480" w:firstLineChars="200"/>
              <w:rPr>
                <w:rFonts w:hint="eastAsia" w:eastAsia="宋体"/>
                <w:bCs/>
                <w:color w:val="auto"/>
                <w:sz w:val="24"/>
                <w:highlight w:val="none"/>
                <w:lang w:eastAsia="zh-CN"/>
              </w:rPr>
            </w:pPr>
            <w:r>
              <w:rPr>
                <w:rFonts w:ascii="宋体" w:hAnsi="宋体"/>
                <w:bCs/>
                <w:color w:val="auto"/>
                <w:sz w:val="24"/>
                <w:highlight w:val="none"/>
              </w:rPr>
              <w:t>（</w:t>
            </w:r>
            <w:r>
              <w:rPr>
                <w:bCs/>
                <w:color w:val="auto"/>
                <w:sz w:val="24"/>
                <w:highlight w:val="none"/>
              </w:rPr>
              <w:t>1</w:t>
            </w:r>
            <w:r>
              <w:rPr>
                <w:rFonts w:ascii="宋体" w:hAnsi="宋体"/>
                <w:bCs/>
                <w:color w:val="auto"/>
                <w:sz w:val="24"/>
                <w:highlight w:val="none"/>
              </w:rPr>
              <w:t>）备料工序</w:t>
            </w:r>
          </w:p>
          <w:p w14:paraId="09409B6D">
            <w:pPr>
              <w:spacing w:line="360" w:lineRule="auto"/>
              <w:ind w:firstLine="480" w:firstLineChars="200"/>
              <w:rPr>
                <w:rFonts w:hint="eastAsia" w:eastAsia="宋体"/>
                <w:bCs/>
                <w:color w:val="auto"/>
                <w:sz w:val="24"/>
                <w:highlight w:val="none"/>
                <w:lang w:eastAsia="zh-CN"/>
              </w:rPr>
            </w:pPr>
            <w:r>
              <w:rPr>
                <w:rFonts w:ascii="宋体" w:hAnsi="宋体"/>
                <w:bCs/>
                <w:color w:val="auto"/>
                <w:sz w:val="24"/>
                <w:highlight w:val="none"/>
              </w:rPr>
              <w:t>砂子、石子等粗骨料由汽车运输到厂区在指定原料</w:t>
            </w:r>
            <w:r>
              <w:rPr>
                <w:rFonts w:hint="eastAsia" w:ascii="宋体" w:hAnsi="宋体"/>
                <w:bCs/>
                <w:color w:val="auto"/>
                <w:sz w:val="24"/>
                <w:highlight w:val="none"/>
              </w:rPr>
              <w:t>储棚内</w:t>
            </w:r>
            <w:r>
              <w:rPr>
                <w:rFonts w:ascii="宋体" w:hAnsi="宋体"/>
                <w:bCs/>
                <w:color w:val="auto"/>
                <w:sz w:val="24"/>
                <w:highlight w:val="none"/>
              </w:rPr>
              <w:t>储存；水泥、</w:t>
            </w:r>
            <w:r>
              <w:rPr>
                <w:rFonts w:hint="eastAsia" w:ascii="宋体" w:hAnsi="宋体"/>
                <w:bCs/>
                <w:color w:val="auto"/>
                <w:sz w:val="24"/>
                <w:highlight w:val="none"/>
                <w:lang w:val="en-US" w:eastAsia="zh-CN"/>
              </w:rPr>
              <w:t>石灰石矿粉、</w:t>
            </w:r>
            <w:r>
              <w:rPr>
                <w:rFonts w:ascii="宋体" w:hAnsi="宋体"/>
                <w:bCs/>
                <w:color w:val="auto"/>
                <w:sz w:val="24"/>
                <w:highlight w:val="none"/>
              </w:rPr>
              <w:t>粉煤灰</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膨胀剂</w:t>
            </w:r>
            <w:r>
              <w:rPr>
                <w:rFonts w:ascii="宋体" w:hAnsi="宋体"/>
                <w:bCs/>
                <w:color w:val="auto"/>
                <w:sz w:val="24"/>
                <w:highlight w:val="none"/>
              </w:rPr>
              <w:t>等粉料分别由专用罐车运输进</w:t>
            </w:r>
            <w:r>
              <w:rPr>
                <w:rFonts w:hint="eastAsia" w:ascii="宋体" w:hAnsi="宋体"/>
                <w:bCs/>
                <w:color w:val="auto"/>
                <w:sz w:val="24"/>
                <w:highlight w:val="none"/>
              </w:rPr>
              <w:t>厂</w:t>
            </w:r>
            <w:r>
              <w:rPr>
                <w:rFonts w:ascii="宋体" w:hAnsi="宋体"/>
                <w:bCs/>
                <w:color w:val="auto"/>
                <w:sz w:val="24"/>
                <w:highlight w:val="none"/>
              </w:rPr>
              <w:t>，通过罐车自带的管道以负压吸入</w:t>
            </w:r>
            <w:r>
              <w:rPr>
                <w:rFonts w:hint="eastAsia" w:ascii="宋体" w:hAnsi="宋体"/>
                <w:bCs/>
                <w:color w:val="auto"/>
                <w:sz w:val="24"/>
                <w:highlight w:val="none"/>
              </w:rPr>
              <w:t>筒仓</w:t>
            </w:r>
            <w:r>
              <w:rPr>
                <w:rFonts w:ascii="宋体" w:hAnsi="宋体"/>
                <w:bCs/>
                <w:color w:val="auto"/>
                <w:sz w:val="24"/>
                <w:highlight w:val="none"/>
              </w:rPr>
              <w:t>，整个输送过程全部在封闭的管道中完成。</w:t>
            </w:r>
          </w:p>
          <w:p w14:paraId="61C425FF">
            <w:pPr>
              <w:spacing w:line="360" w:lineRule="auto"/>
              <w:ind w:firstLine="480" w:firstLineChars="200"/>
              <w:rPr>
                <w:rFonts w:hint="eastAsia" w:eastAsia="宋体"/>
                <w:bCs/>
                <w:color w:val="auto"/>
                <w:sz w:val="24"/>
                <w:highlight w:val="none"/>
                <w:lang w:eastAsia="zh-CN"/>
              </w:rPr>
            </w:pPr>
            <w:r>
              <w:rPr>
                <w:rFonts w:ascii="宋体" w:hAnsi="宋体"/>
                <w:bCs/>
                <w:color w:val="auto"/>
                <w:sz w:val="24"/>
                <w:highlight w:val="none"/>
              </w:rPr>
              <w:t>（</w:t>
            </w:r>
            <w:r>
              <w:rPr>
                <w:bCs/>
                <w:color w:val="auto"/>
                <w:sz w:val="24"/>
                <w:highlight w:val="none"/>
              </w:rPr>
              <w:t>2</w:t>
            </w:r>
            <w:r>
              <w:rPr>
                <w:rFonts w:ascii="宋体" w:hAnsi="宋体"/>
                <w:bCs/>
                <w:color w:val="auto"/>
                <w:sz w:val="24"/>
                <w:highlight w:val="none"/>
              </w:rPr>
              <w:t>）配料工序</w:t>
            </w:r>
          </w:p>
          <w:p w14:paraId="0D58A82A">
            <w:pPr>
              <w:spacing w:line="360" w:lineRule="auto"/>
              <w:ind w:firstLine="480" w:firstLineChars="200"/>
              <w:rPr>
                <w:rFonts w:hint="eastAsia" w:eastAsia="宋体"/>
                <w:bCs/>
                <w:color w:val="auto"/>
                <w:sz w:val="24"/>
                <w:highlight w:val="none"/>
                <w:lang w:eastAsia="zh-CN"/>
              </w:rPr>
            </w:pPr>
            <w:r>
              <w:rPr>
                <w:rFonts w:ascii="宋体" w:hAnsi="宋体"/>
                <w:bCs/>
                <w:color w:val="auto"/>
                <w:sz w:val="24"/>
                <w:highlight w:val="none"/>
              </w:rPr>
              <w:t>砂子、石子由</w:t>
            </w:r>
            <w:r>
              <w:rPr>
                <w:rFonts w:hint="eastAsia" w:ascii="宋体" w:hAnsi="宋体"/>
                <w:bCs/>
                <w:color w:val="auto"/>
                <w:sz w:val="24"/>
                <w:highlight w:val="none"/>
                <w:lang w:val="en-US" w:eastAsia="zh-CN"/>
              </w:rPr>
              <w:t>装载机</w:t>
            </w:r>
            <w:r>
              <w:rPr>
                <w:rFonts w:ascii="宋体" w:hAnsi="宋体"/>
                <w:bCs/>
                <w:color w:val="auto"/>
                <w:sz w:val="24"/>
                <w:highlight w:val="none"/>
              </w:rPr>
              <w:t>从</w:t>
            </w:r>
            <w:r>
              <w:rPr>
                <w:rFonts w:hint="eastAsia" w:ascii="宋体" w:hAnsi="宋体"/>
                <w:bCs/>
                <w:color w:val="auto"/>
                <w:sz w:val="24"/>
                <w:highlight w:val="none"/>
              </w:rPr>
              <w:t>储料棚</w:t>
            </w:r>
            <w:r>
              <w:rPr>
                <w:rFonts w:ascii="宋体" w:hAnsi="宋体"/>
                <w:bCs/>
                <w:color w:val="auto"/>
                <w:sz w:val="24"/>
                <w:highlight w:val="none"/>
              </w:rPr>
              <w:t>转运至各骨料</w:t>
            </w:r>
            <w:r>
              <w:rPr>
                <w:rFonts w:hint="eastAsia" w:ascii="宋体" w:hAnsi="宋体"/>
                <w:bCs/>
                <w:color w:val="auto"/>
                <w:sz w:val="24"/>
                <w:highlight w:val="none"/>
                <w:lang w:val="en-US" w:eastAsia="zh-CN"/>
              </w:rPr>
              <w:t>配料站</w:t>
            </w:r>
            <w:r>
              <w:rPr>
                <w:rFonts w:ascii="宋体" w:hAnsi="宋体"/>
                <w:bCs/>
                <w:color w:val="auto"/>
                <w:sz w:val="24"/>
                <w:highlight w:val="none"/>
              </w:rPr>
              <w:t>，过渡仓下部安装有自动计量系统，骨料经过计量后由皮带输送泵输送到</w:t>
            </w:r>
            <w:r>
              <w:rPr>
                <w:rFonts w:hint="eastAsia" w:ascii="宋体" w:hAnsi="宋体"/>
                <w:bCs/>
                <w:color w:val="auto"/>
                <w:sz w:val="24"/>
                <w:highlight w:val="none"/>
                <w:lang w:eastAsia="zh-CN"/>
              </w:rPr>
              <w:t>搅拌机</w:t>
            </w:r>
            <w:r>
              <w:rPr>
                <w:rFonts w:ascii="宋体" w:hAnsi="宋体"/>
                <w:bCs/>
                <w:color w:val="auto"/>
                <w:sz w:val="24"/>
                <w:highlight w:val="none"/>
              </w:rPr>
              <w:t>内；水泥、粉煤灰</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石灰石矿粉、膨胀剂</w:t>
            </w:r>
            <w:r>
              <w:rPr>
                <w:rFonts w:ascii="宋体" w:hAnsi="宋体"/>
                <w:bCs/>
                <w:color w:val="auto"/>
                <w:sz w:val="24"/>
                <w:highlight w:val="none"/>
              </w:rPr>
              <w:t>等粉料由螺旋输送泵输送到粉料秤斗进行计量后输送入搅拌</w:t>
            </w:r>
            <w:r>
              <w:rPr>
                <w:rFonts w:hint="eastAsia" w:ascii="宋体" w:hAnsi="宋体"/>
                <w:bCs/>
                <w:color w:val="auto"/>
                <w:sz w:val="24"/>
                <w:highlight w:val="none"/>
                <w:lang w:val="en-US" w:eastAsia="zh-CN"/>
              </w:rPr>
              <w:t>机</w:t>
            </w:r>
            <w:r>
              <w:rPr>
                <w:rFonts w:ascii="宋体" w:hAnsi="宋体"/>
                <w:bCs/>
                <w:color w:val="auto"/>
                <w:sz w:val="24"/>
                <w:highlight w:val="none"/>
              </w:rPr>
              <w:t>；生产搅拌用水采用压力供水，由水秤斗计量后送入</w:t>
            </w:r>
            <w:r>
              <w:rPr>
                <w:rFonts w:hint="eastAsia" w:ascii="宋体" w:hAnsi="宋体"/>
                <w:bCs/>
                <w:color w:val="auto"/>
                <w:sz w:val="24"/>
                <w:highlight w:val="none"/>
                <w:lang w:eastAsia="zh-CN"/>
              </w:rPr>
              <w:t>搅拌机</w:t>
            </w:r>
            <w:r>
              <w:rPr>
                <w:rFonts w:ascii="宋体" w:hAnsi="宋体"/>
                <w:bCs/>
                <w:color w:val="auto"/>
                <w:sz w:val="24"/>
                <w:highlight w:val="none"/>
              </w:rPr>
              <w:t>进行强制配料。本项目配料过程采用电脑控制，以保证混凝土的质量。</w:t>
            </w:r>
          </w:p>
          <w:p w14:paraId="4A7F3831">
            <w:pPr>
              <w:spacing w:line="360" w:lineRule="auto"/>
              <w:ind w:firstLine="480" w:firstLineChars="200"/>
              <w:rPr>
                <w:rFonts w:hint="eastAsia" w:eastAsia="宋体"/>
                <w:bCs/>
                <w:color w:val="auto"/>
                <w:sz w:val="24"/>
                <w:highlight w:val="none"/>
                <w:lang w:eastAsia="zh-CN"/>
              </w:rPr>
            </w:pPr>
            <w:r>
              <w:rPr>
                <w:rFonts w:ascii="宋体" w:hAnsi="宋体"/>
                <w:bCs/>
                <w:color w:val="auto"/>
                <w:sz w:val="24"/>
                <w:highlight w:val="none"/>
              </w:rPr>
              <w:t>（</w:t>
            </w:r>
            <w:r>
              <w:rPr>
                <w:bCs/>
                <w:color w:val="auto"/>
                <w:sz w:val="24"/>
                <w:highlight w:val="none"/>
              </w:rPr>
              <w:t>3</w:t>
            </w:r>
            <w:r>
              <w:rPr>
                <w:rFonts w:ascii="宋体" w:hAnsi="宋体"/>
                <w:bCs/>
                <w:color w:val="auto"/>
                <w:sz w:val="24"/>
                <w:highlight w:val="none"/>
              </w:rPr>
              <w:t>）搅拌工序</w:t>
            </w:r>
          </w:p>
          <w:p w14:paraId="6A5BC100">
            <w:pPr>
              <w:spacing w:line="360" w:lineRule="auto"/>
              <w:ind w:firstLine="480" w:firstLineChars="200"/>
              <w:rPr>
                <w:rFonts w:ascii="宋体" w:hAnsi="宋体"/>
                <w:bCs/>
                <w:color w:val="auto"/>
                <w:sz w:val="24"/>
                <w:highlight w:val="none"/>
              </w:rPr>
            </w:pPr>
            <w:r>
              <w:rPr>
                <w:rFonts w:ascii="宋体" w:hAnsi="宋体"/>
                <w:bCs/>
                <w:color w:val="auto"/>
                <w:sz w:val="24"/>
                <w:highlight w:val="none"/>
              </w:rPr>
              <w:t>经过计量后的各种原料进入</w:t>
            </w:r>
            <w:r>
              <w:rPr>
                <w:rFonts w:hint="eastAsia" w:ascii="宋体" w:hAnsi="宋体"/>
                <w:bCs/>
                <w:color w:val="auto"/>
                <w:sz w:val="24"/>
                <w:highlight w:val="none"/>
                <w:lang w:eastAsia="zh-CN"/>
              </w:rPr>
              <w:t>搅拌机</w:t>
            </w:r>
            <w:r>
              <w:rPr>
                <w:rFonts w:ascii="宋体" w:hAnsi="宋体"/>
                <w:bCs/>
                <w:color w:val="auto"/>
                <w:sz w:val="24"/>
                <w:highlight w:val="none"/>
              </w:rPr>
              <w:t>中进行机械式强制搅拌，原料进入搅拌机时按设定的顺序进料，以减少进料时产生的粉尘。进料时产生的粉尘和搅拌时产生的粉尘通过引风机引入</w:t>
            </w:r>
            <w:r>
              <w:rPr>
                <w:rFonts w:hint="eastAsia" w:ascii="宋体" w:hAnsi="宋体"/>
                <w:bCs/>
                <w:color w:val="auto"/>
                <w:sz w:val="24"/>
                <w:highlight w:val="none"/>
              </w:rPr>
              <w:t>脉冲</w:t>
            </w:r>
            <w:r>
              <w:rPr>
                <w:rFonts w:ascii="宋体" w:hAnsi="宋体"/>
                <w:bCs/>
                <w:color w:val="auto"/>
                <w:sz w:val="24"/>
                <w:highlight w:val="none"/>
              </w:rPr>
              <w:t>除尘器处理后外排。本工艺配料、搅拌全部采用电脑自动控制，</w:t>
            </w:r>
            <w:r>
              <w:rPr>
                <w:rFonts w:hint="eastAsia" w:ascii="宋体" w:hAnsi="宋体"/>
                <w:bCs/>
                <w:color w:val="auto"/>
                <w:sz w:val="24"/>
                <w:highlight w:val="none"/>
                <w:lang w:val="en-US" w:eastAsia="zh-CN"/>
              </w:rPr>
              <w:t>可</w:t>
            </w:r>
            <w:r>
              <w:rPr>
                <w:rFonts w:ascii="宋体" w:hAnsi="宋体"/>
                <w:bCs/>
                <w:color w:val="auto"/>
                <w:sz w:val="24"/>
                <w:highlight w:val="none"/>
              </w:rPr>
              <w:t>以</w:t>
            </w:r>
            <w:r>
              <w:rPr>
                <w:rFonts w:hint="eastAsia" w:ascii="宋体" w:hAnsi="宋体"/>
                <w:bCs/>
                <w:color w:val="auto"/>
                <w:sz w:val="24"/>
                <w:highlight w:val="none"/>
                <w:lang w:val="en-US" w:eastAsia="zh-CN"/>
              </w:rPr>
              <w:t>有</w:t>
            </w:r>
            <w:r>
              <w:rPr>
                <w:rFonts w:ascii="宋体" w:hAnsi="宋体"/>
                <w:bCs/>
                <w:color w:val="auto"/>
                <w:sz w:val="24"/>
                <w:highlight w:val="none"/>
              </w:rPr>
              <w:t>效保证混凝土的质量。搅拌均匀后的成品混凝土直接卸入砼罐车外运至施工现场。</w:t>
            </w:r>
          </w:p>
          <w:p w14:paraId="5572FE0D">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项目主要工艺流程及产污位置图如下：</w:t>
            </w:r>
          </w:p>
          <w:p w14:paraId="5CDFBA41">
            <w:pPr>
              <w:spacing w:line="360" w:lineRule="auto"/>
              <w:jc w:val="center"/>
              <w:rPr>
                <w:rFonts w:ascii="宋体" w:hAnsi="宋体"/>
                <w:b/>
                <w:bCs/>
                <w:color w:val="auto"/>
                <w:sz w:val="24"/>
                <w:highlight w:val="none"/>
              </w:rPr>
            </w:pPr>
            <w:r>
              <w:rPr>
                <w:color w:val="auto"/>
                <w:highlight w:val="none"/>
              </w:rPr>
              <w:object>
                <v:shape id="_x0000_i1026" o:spt="75" type="#_x0000_t75" style="height:235.85pt;width:435.45pt;" o:ole="t" filled="f" o:preferrelative="t" stroked="f" coordsize="21600,21600">
                  <v:path/>
                  <v:fill on="f" focussize="0,0"/>
                  <v:stroke on="f"/>
                  <v:imagedata r:id="rId17" o:title=""/>
                  <o:lock v:ext="edit" aspectratio="f"/>
                  <w10:wrap type="none"/>
                  <w10:anchorlock/>
                </v:shape>
                <o:OLEObject Type="Embed" ProgID="Visio.Drawing.15" ShapeID="_x0000_i1026" DrawAspect="Content" ObjectID="_1468075726" r:id="rId16">
                  <o:LockedField>false</o:LockedField>
                </o:OLEObject>
              </w:object>
            </w:r>
            <w:r>
              <w:rPr>
                <w:rFonts w:ascii="宋体" w:hAnsi="宋体"/>
                <w:b/>
                <w:bCs/>
                <w:color w:val="auto"/>
                <w:sz w:val="24"/>
                <w:highlight w:val="none"/>
              </w:rPr>
              <w:t>图</w:t>
            </w:r>
            <w:r>
              <w:rPr>
                <w:b/>
                <w:bCs/>
                <w:color w:val="auto"/>
                <w:sz w:val="24"/>
                <w:highlight w:val="none"/>
              </w:rPr>
              <w:t>2-3</w:t>
            </w:r>
            <w:r>
              <w:rPr>
                <w:rFonts w:hint="eastAsia" w:ascii="宋体" w:hAnsi="宋体"/>
                <w:b/>
                <w:bCs/>
                <w:color w:val="auto"/>
                <w:sz w:val="24"/>
                <w:highlight w:val="none"/>
              </w:rPr>
              <w:t>工艺流程及产污位置图</w:t>
            </w:r>
          </w:p>
          <w:p w14:paraId="0618C053">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为保证原料及产品质量，厂区内对原料及产品进行质量检测，主要包括原料细度、稠度检测，产品强度检测等，检测合格的原料及产品方可使用。整个检测过程均不使用任何化学药品</w:t>
            </w:r>
            <w:r>
              <w:rPr>
                <w:rFonts w:hint="eastAsia" w:ascii="宋体" w:hAnsi="宋体"/>
                <w:bCs/>
                <w:color w:val="auto"/>
                <w:sz w:val="24"/>
                <w:highlight w:val="none"/>
              </w:rPr>
              <w:t>。</w:t>
            </w:r>
          </w:p>
          <w:p w14:paraId="5978DE08">
            <w:pPr>
              <w:pStyle w:val="14"/>
              <w:keepNext w:val="0"/>
              <w:keepLines w:val="0"/>
              <w:pageBreakBefore w:val="0"/>
              <w:kinsoku/>
              <w:wordWrap/>
              <w:overflowPunct/>
              <w:topLinePunct w:val="0"/>
              <w:autoSpaceDE/>
              <w:autoSpaceDN/>
              <w:bidi w:val="0"/>
              <w:adjustRightInd/>
              <w:spacing w:after="0" w:line="360" w:lineRule="auto"/>
              <w:ind w:left="0" w:leftChars="0" w:right="0" w:firstLine="482" w:firstLineChars="200"/>
              <w:textAlignment w:val="auto"/>
              <w:rPr>
                <w:rFonts w:hint="eastAsia" w:ascii="Times New Roman" w:hAnsi="Times New Roman" w:eastAsia="宋体" w:cs="Times New Roman"/>
                <w:b/>
                <w:bCs/>
                <w:color w:val="auto"/>
                <w:kern w:val="2"/>
                <w:sz w:val="24"/>
                <w:szCs w:val="24"/>
                <w:highlight w:val="none"/>
                <w:lang w:val="en-US" w:eastAsia="zh-CN" w:bidi="ar-SA"/>
              </w:rPr>
            </w:pPr>
            <w:r>
              <w:rPr>
                <w:rFonts w:hint="eastAsia" w:ascii="Times New Roman" w:hAnsi="Times New Roman" w:eastAsia="宋体" w:cs="Times New Roman"/>
                <w:b/>
                <w:bCs/>
                <w:color w:val="auto"/>
                <w:kern w:val="2"/>
                <w:sz w:val="24"/>
                <w:szCs w:val="24"/>
                <w:highlight w:val="none"/>
                <w:lang w:val="en-US" w:eastAsia="zh-CN" w:bidi="ar-SA"/>
              </w:rPr>
              <w:t>产污环节分析</w:t>
            </w:r>
          </w:p>
          <w:p w14:paraId="4846B0F3">
            <w:pPr>
              <w:pStyle w:val="10"/>
              <w:keepNext w:val="0"/>
              <w:keepLines w:val="0"/>
              <w:pageBreakBefore w:val="0"/>
              <w:kinsoku/>
              <w:wordWrap/>
              <w:overflowPunct/>
              <w:topLinePunct w:val="0"/>
              <w:autoSpaceDE/>
              <w:autoSpaceDN/>
              <w:bidi w:val="0"/>
              <w:adjustRightInd/>
              <w:spacing w:before="0" w:after="0" w:line="360" w:lineRule="auto"/>
              <w:ind w:left="0" w:leftChars="0" w:right="0" w:firstLine="482" w:firstLineChars="200"/>
              <w:textAlignment w:val="auto"/>
              <w:rPr>
                <w:rFonts w:hint="eastAsia" w:ascii="Times New Roman" w:hAnsi="Times New Roman" w:eastAsia="宋体" w:cs="Times New Roman"/>
                <w:b/>
                <w:bCs/>
                <w:color w:val="auto"/>
                <w:kern w:val="2"/>
                <w:sz w:val="24"/>
                <w:szCs w:val="22"/>
                <w:highlight w:val="none"/>
                <w:lang w:val="en-US" w:eastAsia="zh-CN" w:bidi="ar-SA"/>
              </w:rPr>
            </w:pPr>
            <w:r>
              <w:rPr>
                <w:rFonts w:hint="eastAsia" w:ascii="Times New Roman" w:hAnsi="Times New Roman" w:eastAsia="宋体" w:cs="Times New Roman"/>
                <w:b/>
                <w:bCs/>
                <w:color w:val="auto"/>
                <w:kern w:val="2"/>
                <w:sz w:val="24"/>
                <w:szCs w:val="22"/>
                <w:highlight w:val="none"/>
                <w:lang w:val="en-US" w:eastAsia="zh-CN" w:bidi="ar-SA"/>
              </w:rPr>
              <w:t>1、废气：</w:t>
            </w:r>
          </w:p>
          <w:p w14:paraId="7485963E">
            <w:pPr>
              <w:spacing w:line="360" w:lineRule="auto"/>
              <w:ind w:firstLine="472" w:firstLineChars="200"/>
              <w:rPr>
                <w:rFonts w:hint="default" w:ascii="Times New Roman" w:hAnsi="Times New Roman" w:eastAsia="宋体" w:cs="Times New Roman"/>
                <w:b w:val="0"/>
                <w:bCs w:val="0"/>
                <w:color w:val="auto"/>
                <w:sz w:val="24"/>
                <w:szCs w:val="24"/>
                <w:highlight w:val="none"/>
                <w:lang w:val="en-US" w:eastAsia="zh-CN"/>
              </w:rPr>
            </w:pPr>
            <w:r>
              <w:rPr>
                <w:color w:val="auto"/>
                <w:spacing w:val="-2"/>
                <w:sz w:val="24"/>
                <w:szCs w:val="24"/>
                <w:highlight w:val="none"/>
              </w:rPr>
              <w:t>本项目废气主要为</w:t>
            </w:r>
            <w:r>
              <w:rPr>
                <w:rFonts w:hint="default" w:ascii="Times New Roman" w:hAnsi="Times New Roman" w:cs="Times New Roman"/>
                <w:bCs/>
                <w:color w:val="auto"/>
                <w:sz w:val="24"/>
                <w:highlight w:val="none"/>
              </w:rPr>
              <w:t>砂石存储及</w:t>
            </w:r>
            <w:r>
              <w:rPr>
                <w:rFonts w:hint="eastAsia" w:ascii="Times New Roman" w:hAnsi="Times New Roman" w:cs="Times New Roman"/>
                <w:bCs/>
                <w:color w:val="auto"/>
                <w:sz w:val="24"/>
                <w:highlight w:val="none"/>
                <w:lang w:val="en-US" w:eastAsia="zh-CN"/>
              </w:rPr>
              <w:t>装卸</w:t>
            </w:r>
            <w:r>
              <w:rPr>
                <w:rFonts w:hint="default" w:ascii="Times New Roman" w:hAnsi="Times New Roman" w:cs="Times New Roman"/>
                <w:bCs/>
                <w:color w:val="auto"/>
                <w:sz w:val="24"/>
                <w:highlight w:val="none"/>
              </w:rPr>
              <w:t>粉尘</w:t>
            </w:r>
            <w:r>
              <w:rPr>
                <w:color w:val="auto"/>
                <w:spacing w:val="-2"/>
                <w:sz w:val="24"/>
                <w:szCs w:val="24"/>
                <w:highlight w:val="none"/>
              </w:rPr>
              <w:t>、</w:t>
            </w:r>
            <w:r>
              <w:rPr>
                <w:rFonts w:hint="default" w:ascii="Times New Roman" w:hAnsi="Times New Roman" w:cs="Times New Roman"/>
                <w:bCs/>
                <w:color w:val="auto"/>
                <w:sz w:val="24"/>
                <w:highlight w:val="none"/>
              </w:rPr>
              <w:t>砂石配料输送过程粉尘</w:t>
            </w:r>
            <w:r>
              <w:rPr>
                <w:color w:val="auto"/>
                <w:spacing w:val="-2"/>
                <w:sz w:val="24"/>
                <w:szCs w:val="24"/>
                <w:highlight w:val="none"/>
              </w:rPr>
              <w:t>、</w:t>
            </w:r>
            <w:r>
              <w:rPr>
                <w:rFonts w:hint="eastAsia" w:ascii="宋体" w:hAnsi="宋体"/>
                <w:bCs/>
                <w:color w:val="auto"/>
                <w:sz w:val="24"/>
                <w:highlight w:val="none"/>
              </w:rPr>
              <w:t>粉料</w:t>
            </w:r>
            <w:r>
              <w:rPr>
                <w:rFonts w:ascii="宋体" w:hAnsi="宋体" w:cs="宋体"/>
                <w:bCs/>
                <w:color w:val="auto"/>
                <w:sz w:val="24"/>
                <w:highlight w:val="none"/>
              </w:rPr>
              <w:t>筒仓呼吸孔</w:t>
            </w:r>
            <w:r>
              <w:rPr>
                <w:rFonts w:hint="eastAsia" w:ascii="宋体" w:hAnsi="宋体"/>
                <w:bCs/>
                <w:color w:val="auto"/>
                <w:sz w:val="24"/>
                <w:highlight w:val="none"/>
              </w:rPr>
              <w:t>粉尘</w:t>
            </w:r>
            <w:r>
              <w:rPr>
                <w:rFonts w:hint="eastAsia" w:ascii="宋体" w:hAnsi="宋体"/>
                <w:bCs/>
                <w:color w:val="auto"/>
                <w:sz w:val="24"/>
                <w:highlight w:val="none"/>
                <w:lang w:eastAsia="zh-CN"/>
              </w:rPr>
              <w:t>、</w:t>
            </w:r>
            <w:r>
              <w:rPr>
                <w:rFonts w:hint="default" w:ascii="Times New Roman" w:hAnsi="Times New Roman" w:cs="Times New Roman"/>
                <w:bCs/>
                <w:color w:val="auto"/>
                <w:sz w:val="24"/>
                <w:highlight w:val="none"/>
              </w:rPr>
              <w:t>搅拌机入料口粉尘</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运输车辆动力起尘</w:t>
            </w:r>
            <w:r>
              <w:rPr>
                <w:rFonts w:hint="eastAsia" w:cs="Times New Roman"/>
                <w:bCs/>
                <w:color w:val="auto"/>
                <w:sz w:val="24"/>
                <w:highlight w:val="none"/>
                <w:lang w:eastAsia="zh-CN"/>
              </w:rPr>
              <w:t>、</w:t>
            </w:r>
            <w:r>
              <w:rPr>
                <w:rFonts w:hint="eastAsia" w:cs="Times New Roman"/>
                <w:bCs/>
                <w:color w:val="auto"/>
                <w:sz w:val="24"/>
                <w:highlight w:val="none"/>
                <w:lang w:val="en-US" w:eastAsia="zh-CN"/>
              </w:rPr>
              <w:t>危废暂存间废气</w:t>
            </w:r>
            <w:r>
              <w:rPr>
                <w:color w:val="auto"/>
                <w:spacing w:val="-1"/>
                <w:sz w:val="24"/>
                <w:szCs w:val="24"/>
                <w:highlight w:val="none"/>
              </w:rPr>
              <w:t>。</w:t>
            </w:r>
          </w:p>
          <w:p w14:paraId="3AA1E6A1">
            <w:pPr>
              <w:pStyle w:val="10"/>
              <w:keepNext w:val="0"/>
              <w:keepLines w:val="0"/>
              <w:pageBreakBefore w:val="0"/>
              <w:kinsoku/>
              <w:wordWrap/>
              <w:overflowPunct/>
              <w:topLinePunct w:val="0"/>
              <w:bidi w:val="0"/>
              <w:adjustRightInd/>
              <w:spacing w:before="0" w:after="0" w:line="360" w:lineRule="auto"/>
              <w:ind w:firstLine="476" w:firstLineChars="200"/>
              <w:textAlignment w:val="auto"/>
              <w:rPr>
                <w:rFonts w:hint="default" w:ascii="Times New Roman" w:hAnsi="Times New Roman" w:eastAsia="宋体" w:cs="Times New Roman"/>
                <w:b w:val="0"/>
                <w:bCs w:val="0"/>
                <w:color w:val="auto"/>
                <w:sz w:val="24"/>
                <w:szCs w:val="24"/>
                <w:highlight w:val="none"/>
                <w:lang w:val="en-US" w:eastAsia="zh-CN"/>
              </w:rPr>
            </w:pPr>
            <w:r>
              <w:rPr>
                <w:color w:val="auto"/>
                <w:spacing w:val="-1"/>
                <w:sz w:val="24"/>
                <w:szCs w:val="24"/>
                <w:highlight w:val="none"/>
              </w:rPr>
              <w:t>①</w:t>
            </w:r>
            <w:r>
              <w:rPr>
                <w:rFonts w:hint="default" w:ascii="Times New Roman" w:hAnsi="Times New Roman" w:cs="Times New Roman"/>
                <w:bCs/>
                <w:color w:val="auto"/>
                <w:sz w:val="24"/>
                <w:highlight w:val="none"/>
              </w:rPr>
              <w:t>砂石存储及</w:t>
            </w:r>
            <w:r>
              <w:rPr>
                <w:rFonts w:hint="eastAsia" w:ascii="Times New Roman" w:hAnsi="Times New Roman" w:cs="Times New Roman"/>
                <w:bCs/>
                <w:color w:val="auto"/>
                <w:sz w:val="24"/>
                <w:highlight w:val="none"/>
                <w:lang w:val="en-US" w:eastAsia="zh-CN"/>
              </w:rPr>
              <w:t>装卸</w:t>
            </w:r>
            <w:r>
              <w:rPr>
                <w:rFonts w:hint="default" w:ascii="Times New Roman" w:hAnsi="Times New Roman" w:cs="Times New Roman"/>
                <w:bCs/>
                <w:color w:val="auto"/>
                <w:sz w:val="24"/>
                <w:highlight w:val="none"/>
              </w:rPr>
              <w:t>粉尘</w:t>
            </w:r>
            <w:r>
              <w:rPr>
                <w:color w:val="auto"/>
                <w:spacing w:val="-1"/>
                <w:sz w:val="24"/>
                <w:szCs w:val="24"/>
                <w:highlight w:val="none"/>
              </w:rPr>
              <w:t>（</w:t>
            </w:r>
            <w:r>
              <w:rPr>
                <w:rFonts w:ascii="Times New Roman" w:hAnsi="Times New Roman" w:eastAsia="Times New Roman" w:cs="Times New Roman"/>
                <w:color w:val="auto"/>
                <w:spacing w:val="-1"/>
                <w:sz w:val="24"/>
                <w:szCs w:val="24"/>
                <w:highlight w:val="none"/>
              </w:rPr>
              <w:t>G1</w:t>
            </w:r>
            <w:r>
              <w:rPr>
                <w:color w:val="auto"/>
                <w:spacing w:val="-1"/>
                <w:sz w:val="24"/>
                <w:szCs w:val="24"/>
                <w:highlight w:val="none"/>
              </w:rPr>
              <w:t>）</w:t>
            </w:r>
          </w:p>
          <w:p w14:paraId="6CC82287">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Cs/>
                <w:color w:val="auto"/>
                <w:sz w:val="24"/>
                <w:highlight w:val="none"/>
              </w:rPr>
              <w:t>本项目砂子和碎石堆放在封闭储料棚内，在砂石装卸过程</w:t>
            </w:r>
            <w:r>
              <w:rPr>
                <w:rFonts w:hint="eastAsia" w:ascii="Times New Roman" w:hAnsi="Times New Roman" w:cs="Times New Roman"/>
                <w:bCs/>
                <w:color w:val="auto"/>
                <w:sz w:val="24"/>
                <w:highlight w:val="none"/>
                <w:lang w:val="en-US" w:eastAsia="zh-CN"/>
              </w:rPr>
              <w:t>及贮存过</w:t>
            </w:r>
            <w:r>
              <w:rPr>
                <w:rFonts w:hint="eastAsia" w:cs="Times New Roman"/>
                <w:bCs/>
                <w:color w:val="auto"/>
                <w:sz w:val="24"/>
                <w:highlight w:val="none"/>
                <w:lang w:val="en-US" w:eastAsia="zh-CN"/>
              </w:rPr>
              <w:t>程中</w:t>
            </w:r>
            <w:r>
              <w:rPr>
                <w:rFonts w:hint="default" w:ascii="Times New Roman" w:hAnsi="Times New Roman" w:cs="Times New Roman"/>
                <w:bCs/>
                <w:color w:val="auto"/>
                <w:sz w:val="24"/>
                <w:highlight w:val="none"/>
              </w:rPr>
              <w:t>会产生粉尘。</w:t>
            </w:r>
          </w:p>
          <w:p w14:paraId="1C8DC118">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②</w:t>
            </w:r>
            <w:r>
              <w:rPr>
                <w:rFonts w:hint="eastAsia" w:ascii="宋体" w:hAnsi="宋体"/>
                <w:bCs/>
                <w:color w:val="auto"/>
                <w:sz w:val="24"/>
                <w:highlight w:val="none"/>
              </w:rPr>
              <w:t>粉料</w:t>
            </w:r>
            <w:r>
              <w:rPr>
                <w:rFonts w:ascii="宋体" w:hAnsi="宋体" w:cs="宋体"/>
                <w:bCs/>
                <w:color w:val="auto"/>
                <w:sz w:val="24"/>
                <w:highlight w:val="none"/>
              </w:rPr>
              <w:t>筒仓呼吸孔</w:t>
            </w:r>
            <w:r>
              <w:rPr>
                <w:rFonts w:hint="eastAsia" w:ascii="宋体" w:hAnsi="宋体"/>
                <w:bCs/>
                <w:color w:val="auto"/>
                <w:sz w:val="24"/>
                <w:highlight w:val="none"/>
              </w:rPr>
              <w:t>粉尘</w:t>
            </w:r>
            <w:r>
              <w:rPr>
                <w:rFonts w:hint="eastAsia" w:ascii="宋体" w:hAnsi="宋体"/>
                <w:bCs/>
                <w:color w:val="auto"/>
                <w:sz w:val="24"/>
                <w:highlight w:val="none"/>
                <w:lang w:eastAsia="zh-CN"/>
              </w:rPr>
              <w:t>（</w:t>
            </w:r>
            <w:r>
              <w:rPr>
                <w:rFonts w:ascii="Times New Roman" w:hAnsi="Times New Roman" w:eastAsia="Times New Roman" w:cs="Times New Roman"/>
                <w:color w:val="auto"/>
                <w:spacing w:val="-1"/>
                <w:sz w:val="24"/>
                <w:szCs w:val="24"/>
                <w:highlight w:val="none"/>
              </w:rPr>
              <w:t>G</w:t>
            </w:r>
            <w:r>
              <w:rPr>
                <w:rFonts w:hint="eastAsia" w:ascii="Times New Roman" w:hAnsi="Times New Roman" w:eastAsia="宋体" w:cs="Times New Roman"/>
                <w:color w:val="auto"/>
                <w:spacing w:val="-1"/>
                <w:sz w:val="24"/>
                <w:szCs w:val="24"/>
                <w:highlight w:val="none"/>
                <w:lang w:val="en-US" w:eastAsia="zh-CN"/>
              </w:rPr>
              <w:t>2</w:t>
            </w:r>
            <w:r>
              <w:rPr>
                <w:rFonts w:hint="eastAsia" w:ascii="宋体" w:hAnsi="宋体"/>
                <w:bCs/>
                <w:color w:val="auto"/>
                <w:sz w:val="24"/>
                <w:highlight w:val="none"/>
                <w:lang w:eastAsia="zh-CN"/>
              </w:rPr>
              <w:t>）</w:t>
            </w:r>
          </w:p>
          <w:p w14:paraId="00BF5311">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宋体" w:hAnsi="宋体"/>
                <w:bCs/>
                <w:color w:val="auto"/>
                <w:sz w:val="24"/>
                <w:highlight w:val="none"/>
              </w:rPr>
              <w:t>本</w:t>
            </w:r>
            <w:r>
              <w:rPr>
                <w:rFonts w:ascii="宋体" w:hAnsi="宋体" w:cs="宋体"/>
                <w:bCs/>
                <w:color w:val="auto"/>
                <w:sz w:val="24"/>
                <w:highlight w:val="none"/>
              </w:rPr>
              <w:t>项目所使用的水泥、粉煤灰</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石灰石矿粉</w:t>
            </w:r>
            <w:r>
              <w:rPr>
                <w:rFonts w:ascii="宋体" w:hAnsi="宋体" w:cs="宋体"/>
                <w:bCs/>
                <w:color w:val="auto"/>
                <w:sz w:val="24"/>
                <w:highlight w:val="none"/>
              </w:rPr>
              <w:t>等粉状原料由密封罐车运至</w:t>
            </w:r>
            <w:r>
              <w:rPr>
                <w:rFonts w:hint="eastAsia" w:ascii="宋体" w:hAnsi="宋体" w:cs="宋体"/>
                <w:bCs/>
                <w:color w:val="auto"/>
                <w:sz w:val="24"/>
                <w:highlight w:val="none"/>
              </w:rPr>
              <w:t>厂区</w:t>
            </w:r>
            <w:r>
              <w:rPr>
                <w:rFonts w:ascii="宋体" w:hAnsi="宋体" w:cs="宋体"/>
                <w:bCs/>
                <w:color w:val="auto"/>
                <w:sz w:val="24"/>
                <w:highlight w:val="none"/>
              </w:rPr>
              <w:t>内，正压</w:t>
            </w:r>
            <w:r>
              <w:rPr>
                <w:rFonts w:hint="eastAsia" w:ascii="宋体" w:hAnsi="宋体"/>
                <w:bCs/>
                <w:color w:val="auto"/>
                <w:sz w:val="24"/>
                <w:highlight w:val="none"/>
              </w:rPr>
              <w:t>送</w:t>
            </w:r>
            <w:r>
              <w:rPr>
                <w:rFonts w:ascii="宋体" w:hAnsi="宋体" w:cs="宋体"/>
                <w:bCs/>
                <w:color w:val="auto"/>
                <w:sz w:val="24"/>
                <w:highlight w:val="none"/>
              </w:rPr>
              <w:t>入相应原料</w:t>
            </w:r>
            <w:r>
              <w:rPr>
                <w:rFonts w:hint="eastAsia" w:ascii="宋体" w:hAnsi="宋体"/>
                <w:bCs/>
                <w:color w:val="auto"/>
                <w:sz w:val="24"/>
                <w:highlight w:val="none"/>
              </w:rPr>
              <w:t>筒</w:t>
            </w:r>
            <w:r>
              <w:rPr>
                <w:rFonts w:ascii="宋体" w:hAnsi="宋体" w:cs="宋体"/>
                <w:bCs/>
                <w:color w:val="auto"/>
                <w:sz w:val="24"/>
                <w:highlight w:val="none"/>
              </w:rPr>
              <w:t>仓内储存</w:t>
            </w:r>
            <w:r>
              <w:rPr>
                <w:rFonts w:hint="eastAsia" w:ascii="宋体" w:hAnsi="宋体"/>
                <w:bCs/>
                <w:color w:val="auto"/>
                <w:sz w:val="24"/>
                <w:highlight w:val="none"/>
              </w:rPr>
              <w:t>。在输送过程中，伴随着仓内压力的增加</w:t>
            </w:r>
            <w:r>
              <w:rPr>
                <w:rFonts w:ascii="宋体" w:hAnsi="宋体" w:cs="宋体"/>
                <w:bCs/>
                <w:color w:val="auto"/>
                <w:sz w:val="24"/>
                <w:highlight w:val="none"/>
              </w:rPr>
              <w:t>，</w:t>
            </w:r>
            <w:r>
              <w:rPr>
                <w:rFonts w:hint="eastAsia" w:ascii="宋体" w:hAnsi="宋体"/>
                <w:bCs/>
                <w:color w:val="auto"/>
                <w:sz w:val="24"/>
                <w:highlight w:val="none"/>
              </w:rPr>
              <w:t>压缩空气会通过仓顶呼吸口释放压力，此时</w:t>
            </w:r>
            <w:r>
              <w:rPr>
                <w:rFonts w:ascii="宋体" w:hAnsi="宋体" w:cs="宋体"/>
                <w:bCs/>
                <w:color w:val="auto"/>
                <w:sz w:val="24"/>
                <w:highlight w:val="none"/>
              </w:rPr>
              <w:t>会</w:t>
            </w:r>
            <w:r>
              <w:rPr>
                <w:rFonts w:hint="eastAsia" w:ascii="宋体" w:hAnsi="宋体"/>
                <w:bCs/>
                <w:color w:val="auto"/>
                <w:sz w:val="24"/>
                <w:highlight w:val="none"/>
              </w:rPr>
              <w:t>排放</w:t>
            </w:r>
            <w:r>
              <w:rPr>
                <w:rFonts w:ascii="宋体" w:hAnsi="宋体" w:cs="宋体"/>
                <w:bCs/>
                <w:color w:val="auto"/>
                <w:sz w:val="24"/>
                <w:highlight w:val="none"/>
              </w:rPr>
              <w:t>一定量的粉尘</w:t>
            </w:r>
            <w:r>
              <w:rPr>
                <w:rFonts w:hint="eastAsia" w:ascii="宋体" w:hAnsi="宋体"/>
                <w:bCs/>
                <w:color w:val="auto"/>
                <w:sz w:val="24"/>
                <w:highlight w:val="none"/>
              </w:rPr>
              <w:t>。</w:t>
            </w:r>
          </w:p>
          <w:p w14:paraId="5F954D28">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宋体" w:hAnsi="宋体"/>
                <w:bCs/>
                <w:color w:val="auto"/>
                <w:sz w:val="24"/>
                <w:highlight w:val="none"/>
                <w:lang w:val="en-US" w:eastAsia="zh-CN"/>
              </w:rPr>
              <w:t>③</w:t>
            </w:r>
            <w:r>
              <w:rPr>
                <w:rFonts w:hint="default" w:ascii="Times New Roman" w:hAnsi="Times New Roman" w:cs="Times New Roman"/>
                <w:bCs/>
                <w:color w:val="auto"/>
                <w:sz w:val="24"/>
                <w:highlight w:val="none"/>
              </w:rPr>
              <w:t>砂石配料输送过程粉尘</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G3</w:t>
            </w:r>
            <w:r>
              <w:rPr>
                <w:rFonts w:hint="eastAsia" w:ascii="Times New Roman" w:hAnsi="Times New Roman" w:cs="Times New Roman"/>
                <w:bCs/>
                <w:color w:val="auto"/>
                <w:sz w:val="24"/>
                <w:highlight w:val="none"/>
                <w:lang w:eastAsia="zh-CN"/>
              </w:rPr>
              <w:t>）</w:t>
            </w:r>
          </w:p>
          <w:p w14:paraId="15BD551D">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本项目砂石原料利用装载机由砂料棚、石料棚运至置于石料棚内的密闭上料仓，项目砂、石提升以密闭皮带输送方式完成，出料口密闭接入搅拌站。</w:t>
            </w:r>
          </w:p>
          <w:p w14:paraId="0CC73E27">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Cs/>
                <w:color w:val="auto"/>
                <w:sz w:val="24"/>
                <w:highlight w:val="none"/>
                <w:lang w:eastAsia="zh-CN"/>
              </w:rPr>
            </w:pPr>
            <w:r>
              <w:rPr>
                <w:rFonts w:hint="eastAsia" w:ascii="Times New Roman" w:hAnsi="Times New Roman" w:eastAsia="宋体" w:cs="Times New Roman"/>
                <w:b w:val="0"/>
                <w:bCs w:val="0"/>
                <w:color w:val="auto"/>
                <w:sz w:val="24"/>
                <w:szCs w:val="24"/>
                <w:highlight w:val="none"/>
                <w:lang w:val="en-US" w:eastAsia="zh-CN"/>
              </w:rPr>
              <w:t>④</w:t>
            </w:r>
            <w:r>
              <w:rPr>
                <w:rFonts w:hint="default" w:ascii="Times New Roman" w:hAnsi="Times New Roman" w:cs="Times New Roman"/>
                <w:bCs/>
                <w:color w:val="auto"/>
                <w:sz w:val="24"/>
                <w:highlight w:val="none"/>
              </w:rPr>
              <w:t>搅拌机入料口粉尘</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G4</w:t>
            </w:r>
            <w:r>
              <w:rPr>
                <w:rFonts w:hint="eastAsia" w:ascii="Times New Roman" w:hAnsi="Times New Roman" w:cs="Times New Roman"/>
                <w:bCs/>
                <w:color w:val="auto"/>
                <w:sz w:val="24"/>
                <w:highlight w:val="none"/>
                <w:lang w:eastAsia="zh-CN"/>
              </w:rPr>
              <w:t>）</w:t>
            </w:r>
          </w:p>
          <w:p w14:paraId="410E290E">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混凝土搅拌过程会产生少量粉尘，</w:t>
            </w:r>
            <w:r>
              <w:rPr>
                <w:rFonts w:hint="default" w:ascii="Times New Roman" w:hAnsi="Times New Roman" w:cs="Times New Roman"/>
                <w:bCs/>
                <w:color w:val="auto"/>
                <w:sz w:val="24"/>
                <w:highlight w:val="none"/>
              </w:rPr>
              <w:t>项目皮带输送机全封闭，搅拌主机采用钢结构厂房进行全封闭，皮带输送机和搅拌主机之间用帆布软连接</w:t>
            </w:r>
            <w:r>
              <w:rPr>
                <w:rFonts w:hint="eastAsia" w:ascii="Times New Roman" w:hAnsi="Times New Roman" w:cs="Times New Roman"/>
                <w:bCs/>
                <w:color w:val="auto"/>
                <w:sz w:val="24"/>
                <w:highlight w:val="none"/>
                <w:lang w:eastAsia="zh-CN"/>
              </w:rPr>
              <w:t>。</w:t>
            </w:r>
          </w:p>
          <w:p w14:paraId="0867374E">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⑤</w:t>
            </w:r>
            <w:r>
              <w:rPr>
                <w:rFonts w:hint="default" w:ascii="Times New Roman" w:hAnsi="Times New Roman" w:cs="Times New Roman"/>
                <w:bCs/>
                <w:color w:val="auto"/>
                <w:sz w:val="24"/>
                <w:highlight w:val="none"/>
              </w:rPr>
              <w:t>运输车辆动力起尘</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G5</w:t>
            </w:r>
            <w:r>
              <w:rPr>
                <w:rFonts w:hint="eastAsia" w:ascii="Times New Roman" w:hAnsi="Times New Roman" w:cs="Times New Roman"/>
                <w:bCs/>
                <w:color w:val="auto"/>
                <w:sz w:val="24"/>
                <w:highlight w:val="none"/>
                <w:lang w:eastAsia="zh-CN"/>
              </w:rPr>
              <w:t>）</w:t>
            </w:r>
          </w:p>
          <w:p w14:paraId="68A24032">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Cs/>
                <w:color w:val="auto"/>
                <w:sz w:val="24"/>
                <w:highlight w:val="none"/>
              </w:rPr>
              <w:t>本项目原辅料及产品运输采用汽运，因此在运输过程中会产生一定量的运输扬尘。</w:t>
            </w:r>
          </w:p>
          <w:p w14:paraId="71452D11">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⑥危废暂存间废气（G6）</w:t>
            </w:r>
          </w:p>
          <w:p w14:paraId="5B77731E">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color w:val="auto"/>
                <w:highlight w:val="none"/>
                <w:lang w:val="en-US" w:eastAsia="zh-CN"/>
              </w:rPr>
            </w:pPr>
            <w:r>
              <w:rPr>
                <w:rFonts w:hint="eastAsia" w:ascii="Times New Roman" w:hAnsi="Times New Roman" w:eastAsia="宋体" w:cs="Times New Roman"/>
                <w:bCs/>
                <w:color w:val="auto"/>
                <w:sz w:val="24"/>
                <w:highlight w:val="none"/>
                <w:lang w:val="en-US" w:eastAsia="zh-CN"/>
              </w:rPr>
              <w:t>本项目生产设备检修、维护时会产生的废矿物油及废油桶，在危废暂存间暂存时会产生少量挥发性有机物。</w:t>
            </w:r>
          </w:p>
          <w:p w14:paraId="08FDCA10">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2、废水</w:t>
            </w:r>
          </w:p>
          <w:p w14:paraId="262DEC96">
            <w:pPr>
              <w:adjustRightInd w:val="0"/>
              <w:snapToGrid w:val="0"/>
              <w:spacing w:line="360" w:lineRule="auto"/>
              <w:ind w:firstLine="480" w:firstLineChars="200"/>
              <w:jc w:val="left"/>
              <w:rPr>
                <w:rFonts w:hint="default" w:ascii="Times New Roman" w:hAnsi="Times New Roman" w:eastAsia="宋体"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本项目</w:t>
            </w:r>
            <w:r>
              <w:rPr>
                <w:rFonts w:hint="eastAsia" w:ascii="宋体" w:hAnsi="宋体"/>
                <w:bCs/>
                <w:color w:val="auto"/>
                <w:sz w:val="24"/>
                <w:highlight w:val="none"/>
              </w:rPr>
              <w:t>搅拌混合用水</w:t>
            </w:r>
            <w:r>
              <w:rPr>
                <w:rFonts w:ascii="宋体" w:hAnsi="宋体"/>
                <w:bCs/>
                <w:color w:val="auto"/>
                <w:sz w:val="24"/>
                <w:highlight w:val="none"/>
              </w:rPr>
              <w:t>全部进入产品，不外排</w:t>
            </w:r>
            <w:r>
              <w:rPr>
                <w:rFonts w:hint="eastAsia" w:ascii="宋体" w:hAnsi="宋体"/>
                <w:bCs/>
                <w:color w:val="auto"/>
                <w:sz w:val="24"/>
                <w:highlight w:val="none"/>
              </w:rPr>
              <w:t>；储料棚抑尘用</w:t>
            </w:r>
            <w:r>
              <w:rPr>
                <w:rFonts w:hint="eastAsia" w:ascii="宋体" w:hAnsi="宋体"/>
                <w:color w:val="auto"/>
                <w:sz w:val="24"/>
                <w:highlight w:val="none"/>
              </w:rPr>
              <w:t>水</w:t>
            </w:r>
            <w:r>
              <w:rPr>
                <w:rFonts w:hint="eastAsia" w:ascii="宋体" w:hAnsi="宋体"/>
                <w:color w:val="auto"/>
                <w:sz w:val="24"/>
                <w:highlight w:val="none"/>
                <w:lang w:eastAsia="zh-CN"/>
              </w:rPr>
              <w:t>、</w:t>
            </w:r>
            <w:r>
              <w:rPr>
                <w:rFonts w:hint="eastAsia" w:cs="Times New Roman"/>
                <w:bCs/>
                <w:color w:val="auto"/>
                <w:sz w:val="24"/>
                <w:highlight w:val="none"/>
                <w:lang w:val="en-US" w:eastAsia="zh-CN"/>
              </w:rPr>
              <w:t>厂区道路、工业广场抑尘用水</w:t>
            </w:r>
            <w:r>
              <w:rPr>
                <w:rFonts w:hint="eastAsia" w:ascii="宋体" w:hAnsi="宋体"/>
                <w:bCs/>
                <w:color w:val="auto"/>
                <w:sz w:val="24"/>
                <w:highlight w:val="none"/>
              </w:rPr>
              <w:t>全部自然蒸发，不外排</w:t>
            </w:r>
            <w:r>
              <w:rPr>
                <w:rFonts w:hint="eastAsia" w:ascii="宋体" w:hAnsi="宋体"/>
                <w:bCs/>
                <w:color w:val="auto"/>
                <w:sz w:val="24"/>
                <w:highlight w:val="none"/>
                <w:lang w:eastAsia="zh-CN"/>
              </w:rPr>
              <w:t>，</w:t>
            </w:r>
            <w:r>
              <w:rPr>
                <w:rFonts w:hint="default" w:ascii="Times New Roman" w:hAnsi="Times New Roman" w:cs="Times New Roman"/>
                <w:bCs/>
                <w:color w:val="auto"/>
                <w:sz w:val="24"/>
                <w:highlight w:val="none"/>
              </w:rPr>
              <w:t>运输车辆清洗废水</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搅拌罐</w:t>
            </w:r>
            <w:r>
              <w:rPr>
                <w:rFonts w:hint="default" w:ascii="Times New Roman" w:hAnsi="Times New Roman" w:cs="Times New Roman"/>
                <w:bCs/>
                <w:color w:val="auto"/>
                <w:sz w:val="24"/>
                <w:highlight w:val="none"/>
              </w:rPr>
              <w:t>清洗废水</w:t>
            </w:r>
            <w:r>
              <w:rPr>
                <w:rFonts w:hint="eastAsia" w:cs="Times New Roman"/>
                <w:bCs/>
                <w:color w:val="auto"/>
                <w:sz w:val="24"/>
                <w:highlight w:val="none"/>
                <w:lang w:eastAsia="zh-CN"/>
              </w:rPr>
              <w:t>、</w:t>
            </w:r>
            <w:r>
              <w:rPr>
                <w:rFonts w:hint="default" w:ascii="Times New Roman" w:hAnsi="Times New Roman" w:cs="Times New Roman"/>
                <w:bCs/>
                <w:color w:val="auto"/>
                <w:sz w:val="24"/>
                <w:highlight w:val="none"/>
              </w:rPr>
              <w:t>实验室废水</w:t>
            </w:r>
            <w:r>
              <w:rPr>
                <w:rFonts w:hint="eastAsia" w:cs="Times New Roman"/>
                <w:bCs/>
                <w:color w:val="auto"/>
                <w:sz w:val="24"/>
                <w:highlight w:val="none"/>
                <w:lang w:val="en-US" w:eastAsia="zh-CN"/>
              </w:rPr>
              <w:t>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不外排。因此本项目排水仅为生活污水。</w:t>
            </w:r>
          </w:p>
          <w:p w14:paraId="4F407485">
            <w:pPr>
              <w:adjustRightInd w:val="0"/>
              <w:snapToGrid w:val="0"/>
              <w:spacing w:line="360" w:lineRule="auto"/>
              <w:ind w:firstLine="480" w:firstLineChars="200"/>
              <w:jc w:val="left"/>
              <w:rPr>
                <w:rFonts w:hint="eastAsia" w:ascii="Times New Roman" w:hAnsi="Times New Roman" w:cs="Times New Roman"/>
                <w:bCs/>
                <w:color w:val="auto"/>
                <w:sz w:val="24"/>
                <w:highlight w:val="none"/>
                <w:lang w:eastAsia="zh-CN"/>
              </w:rPr>
            </w:pPr>
            <w:r>
              <w:rPr>
                <w:rFonts w:hint="default" w:ascii="Times New Roman" w:hAnsi="Times New Roman" w:cs="Times New Roman"/>
                <w:bCs/>
                <w:color w:val="auto"/>
                <w:sz w:val="24"/>
                <w:highlight w:val="none"/>
              </w:rPr>
              <w:t>①运输车辆清洗废水</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W</w:t>
            </w:r>
            <w:r>
              <w:rPr>
                <w:rFonts w:hint="eastAsia" w:ascii="Times New Roman" w:hAnsi="Times New Roman" w:cs="Times New Roman"/>
                <w:bCs/>
                <w:color w:val="auto"/>
                <w:sz w:val="24"/>
                <w:highlight w:val="none"/>
                <w:vertAlign w:val="subscript"/>
                <w:lang w:val="en-US" w:eastAsia="zh-CN"/>
              </w:rPr>
              <w:t>1</w:t>
            </w:r>
            <w:r>
              <w:rPr>
                <w:rFonts w:hint="eastAsia" w:ascii="Times New Roman" w:hAnsi="Times New Roman" w:cs="Times New Roman"/>
                <w:bCs/>
                <w:color w:val="auto"/>
                <w:sz w:val="24"/>
                <w:highlight w:val="none"/>
                <w:lang w:eastAsia="zh-CN"/>
              </w:rPr>
              <w:t>）</w:t>
            </w:r>
          </w:p>
          <w:p w14:paraId="348F78F7">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为了减少车辆沾染灰尘对外部环境造成污染，因此对出场车辆轮胎、</w:t>
            </w:r>
            <w:r>
              <w:rPr>
                <w:rFonts w:hint="eastAsia" w:cs="Times New Roman"/>
                <w:bCs/>
                <w:color w:val="auto"/>
                <w:sz w:val="24"/>
                <w:highlight w:val="none"/>
                <w:lang w:val="en-US" w:eastAsia="zh-CN"/>
              </w:rPr>
              <w:t>底盘</w:t>
            </w:r>
            <w:r>
              <w:rPr>
                <w:rFonts w:hint="eastAsia" w:ascii="Times New Roman" w:hAnsi="Times New Roman" w:cs="Times New Roman"/>
                <w:bCs/>
                <w:color w:val="auto"/>
                <w:sz w:val="24"/>
                <w:highlight w:val="none"/>
                <w:lang w:val="en-US" w:eastAsia="zh-CN"/>
              </w:rPr>
              <w:t>进行简单冲洗，冲洗过程会产生</w:t>
            </w:r>
            <w:r>
              <w:rPr>
                <w:rFonts w:hint="default" w:ascii="Times New Roman" w:hAnsi="Times New Roman" w:cs="Times New Roman"/>
                <w:bCs/>
                <w:color w:val="auto"/>
                <w:sz w:val="24"/>
                <w:highlight w:val="none"/>
              </w:rPr>
              <w:t>车辆清洗废水</w:t>
            </w:r>
            <w:r>
              <w:rPr>
                <w:rFonts w:hint="eastAsia" w:ascii="Times New Roman" w:hAnsi="Times New Roman" w:cs="Times New Roman"/>
                <w:bCs/>
                <w:color w:val="auto"/>
                <w:sz w:val="24"/>
                <w:highlight w:val="none"/>
                <w:lang w:val="en-US" w:eastAsia="zh-CN"/>
              </w:rPr>
              <w:t>。</w:t>
            </w:r>
          </w:p>
          <w:p w14:paraId="56C61A2F">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w:t>
            </w:r>
            <w:r>
              <w:rPr>
                <w:rFonts w:hint="eastAsia" w:cs="Times New Roman"/>
                <w:bCs/>
                <w:color w:val="auto"/>
                <w:sz w:val="24"/>
                <w:highlight w:val="none"/>
                <w:lang w:val="en-US" w:eastAsia="zh-CN"/>
              </w:rPr>
              <w:t>搅拌罐</w:t>
            </w:r>
            <w:r>
              <w:rPr>
                <w:rFonts w:hint="default" w:ascii="Times New Roman" w:hAnsi="Times New Roman" w:cs="Times New Roman"/>
                <w:bCs/>
                <w:color w:val="auto"/>
                <w:sz w:val="24"/>
                <w:highlight w:val="none"/>
              </w:rPr>
              <w:t>清洗废水</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W</w:t>
            </w:r>
            <w:r>
              <w:rPr>
                <w:rFonts w:hint="eastAsia" w:cs="Times New Roman"/>
                <w:bCs/>
                <w:color w:val="auto"/>
                <w:sz w:val="24"/>
                <w:highlight w:val="none"/>
                <w:vertAlign w:val="subscript"/>
                <w:lang w:val="en-US" w:eastAsia="zh-CN"/>
              </w:rPr>
              <w:t>2</w:t>
            </w:r>
            <w:r>
              <w:rPr>
                <w:rFonts w:hint="eastAsia" w:ascii="Times New Roman" w:hAnsi="Times New Roman" w:cs="Times New Roman"/>
                <w:bCs/>
                <w:color w:val="auto"/>
                <w:sz w:val="24"/>
                <w:highlight w:val="none"/>
                <w:lang w:eastAsia="zh-CN"/>
              </w:rPr>
              <w:t>）</w:t>
            </w:r>
          </w:p>
          <w:p w14:paraId="30BFCC55">
            <w:pPr>
              <w:adjustRightInd w:val="0"/>
              <w:snapToGrid w:val="0"/>
              <w:spacing w:line="360" w:lineRule="auto"/>
              <w:ind w:firstLine="480" w:firstLineChars="200"/>
              <w:jc w:val="left"/>
              <w:rPr>
                <w:rFonts w:hint="eastAsia"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为了延长搅拌罐使用寿命，搅拌楼内搅拌罐需定期清洗</w:t>
            </w:r>
            <w:r>
              <w:rPr>
                <w:rFonts w:hint="eastAsia" w:cs="Times New Roman"/>
                <w:bCs/>
                <w:color w:val="auto"/>
                <w:sz w:val="24"/>
                <w:highlight w:val="none"/>
                <w:lang w:val="en-US" w:eastAsia="zh-CN"/>
              </w:rPr>
              <w:t>，清洗过程中会产生搅拌罐</w:t>
            </w:r>
            <w:r>
              <w:rPr>
                <w:rFonts w:hint="default" w:ascii="Times New Roman" w:hAnsi="Times New Roman" w:cs="Times New Roman"/>
                <w:bCs/>
                <w:color w:val="auto"/>
                <w:sz w:val="24"/>
                <w:highlight w:val="none"/>
              </w:rPr>
              <w:t>清洗废水</w:t>
            </w:r>
            <w:r>
              <w:rPr>
                <w:rFonts w:hint="eastAsia" w:cs="Times New Roman"/>
                <w:bCs/>
                <w:color w:val="auto"/>
                <w:sz w:val="24"/>
                <w:highlight w:val="none"/>
                <w:lang w:eastAsia="zh-CN"/>
              </w:rPr>
              <w:t>。</w:t>
            </w:r>
          </w:p>
          <w:p w14:paraId="177CABC8">
            <w:pPr>
              <w:adjustRightInd w:val="0"/>
              <w:snapToGrid w:val="0"/>
              <w:spacing w:line="360" w:lineRule="auto"/>
              <w:ind w:firstLine="480" w:firstLineChars="200"/>
              <w:jc w:val="left"/>
              <w:rPr>
                <w:rFonts w:hint="eastAsia" w:ascii="Times New Roman" w:hAnsi="Times New Roman" w:cs="Times New Roman"/>
                <w:bCs/>
                <w:color w:val="auto"/>
                <w:sz w:val="24"/>
                <w:highlight w:val="none"/>
                <w:lang w:val="en-US" w:eastAsia="zh-CN"/>
              </w:rPr>
            </w:pPr>
            <w:r>
              <w:rPr>
                <w:rFonts w:hint="eastAsia" w:ascii="Times New Roman" w:hAnsi="Times New Roman" w:cs="Times New Roman"/>
                <w:bCs/>
                <w:color w:val="auto"/>
                <w:sz w:val="24"/>
                <w:highlight w:val="none"/>
                <w:lang w:val="en-US" w:eastAsia="zh-CN"/>
              </w:rPr>
              <w:t>③</w:t>
            </w:r>
            <w:r>
              <w:rPr>
                <w:rFonts w:hint="eastAsia" w:ascii="宋体" w:hAnsi="宋体" w:cs="宋体"/>
                <w:bCs/>
                <w:color w:val="auto"/>
                <w:sz w:val="24"/>
                <w:highlight w:val="none"/>
                <w:lang w:val="en-US" w:eastAsia="zh-CN"/>
              </w:rPr>
              <w:t>混凝土罐车清洗废水（</w:t>
            </w:r>
            <w:r>
              <w:rPr>
                <w:rFonts w:hint="eastAsia" w:ascii="Times New Roman" w:hAnsi="Times New Roman" w:cs="Times New Roman"/>
                <w:bCs/>
                <w:color w:val="auto"/>
                <w:sz w:val="24"/>
                <w:highlight w:val="none"/>
                <w:lang w:val="en-US" w:eastAsia="zh-CN"/>
              </w:rPr>
              <w:t>W</w:t>
            </w:r>
            <w:r>
              <w:rPr>
                <w:rFonts w:hint="eastAsia" w:cs="Times New Roman"/>
                <w:bCs/>
                <w:color w:val="auto"/>
                <w:sz w:val="24"/>
                <w:highlight w:val="none"/>
                <w:vertAlign w:val="subscript"/>
                <w:lang w:val="en-US" w:eastAsia="zh-CN"/>
              </w:rPr>
              <w:t>3</w:t>
            </w:r>
            <w:r>
              <w:rPr>
                <w:rFonts w:hint="eastAsia" w:ascii="宋体" w:hAnsi="宋体" w:cs="宋体"/>
                <w:bCs/>
                <w:color w:val="auto"/>
                <w:sz w:val="24"/>
                <w:highlight w:val="none"/>
                <w:lang w:val="en-US" w:eastAsia="zh-CN"/>
              </w:rPr>
              <w:t>）</w:t>
            </w:r>
          </w:p>
          <w:p w14:paraId="12FFE43B">
            <w:pPr>
              <w:adjustRightInd w:val="0"/>
              <w:snapToGrid w:val="0"/>
              <w:spacing w:line="360" w:lineRule="auto"/>
              <w:ind w:firstLine="480" w:firstLineChars="200"/>
              <w:jc w:val="left"/>
              <w:rPr>
                <w:rFonts w:hint="default" w:cs="Times New Roman"/>
                <w:bCs/>
                <w:color w:val="auto"/>
                <w:sz w:val="24"/>
                <w:highlight w:val="none"/>
                <w:lang w:val="en-US" w:eastAsia="zh-CN"/>
              </w:rPr>
            </w:pPr>
            <w:r>
              <w:rPr>
                <w:rFonts w:hint="default" w:cs="Times New Roman"/>
                <w:bCs/>
                <w:color w:val="auto"/>
                <w:sz w:val="24"/>
                <w:highlight w:val="none"/>
                <w:lang w:val="en-US" w:eastAsia="zh-CN"/>
              </w:rPr>
              <w:t>本项目混凝土运输车辆在装车前需对罐体进行清洗</w:t>
            </w:r>
            <w:r>
              <w:rPr>
                <w:rFonts w:hint="eastAsia" w:cs="Times New Roman"/>
                <w:bCs/>
                <w:color w:val="auto"/>
                <w:sz w:val="24"/>
                <w:highlight w:val="none"/>
                <w:lang w:val="en-US" w:eastAsia="zh-CN"/>
              </w:rPr>
              <w:t>，清洗过程会产生</w:t>
            </w:r>
            <w:r>
              <w:rPr>
                <w:rFonts w:hint="eastAsia" w:ascii="宋体" w:hAnsi="宋体" w:cs="宋体"/>
                <w:bCs/>
                <w:color w:val="auto"/>
                <w:sz w:val="24"/>
                <w:highlight w:val="none"/>
                <w:lang w:val="en-US" w:eastAsia="zh-CN"/>
              </w:rPr>
              <w:t>混凝土罐车清洗废水。</w:t>
            </w:r>
          </w:p>
          <w:p w14:paraId="58491E58">
            <w:pPr>
              <w:adjustRightInd w:val="0"/>
              <w:snapToGrid w:val="0"/>
              <w:spacing w:line="360" w:lineRule="auto"/>
              <w:ind w:firstLine="480" w:firstLineChars="200"/>
              <w:jc w:val="left"/>
              <w:rPr>
                <w:rFonts w:hint="eastAsia" w:ascii="Times New Roman" w:hAnsi="Times New Roman" w:cs="Times New Roman"/>
                <w:bCs/>
                <w:color w:val="auto"/>
                <w:sz w:val="24"/>
                <w:highlight w:val="none"/>
                <w:lang w:eastAsia="zh-CN"/>
              </w:rPr>
            </w:pPr>
            <w:r>
              <w:rPr>
                <w:rFonts w:hint="eastAsia" w:cs="Times New Roman"/>
                <w:bCs/>
                <w:color w:val="auto"/>
                <w:sz w:val="24"/>
                <w:highlight w:val="none"/>
                <w:lang w:val="en-US" w:eastAsia="zh-CN"/>
              </w:rPr>
              <w:t>④</w:t>
            </w:r>
            <w:r>
              <w:rPr>
                <w:rFonts w:hint="default" w:ascii="Times New Roman" w:hAnsi="Times New Roman" w:cs="Times New Roman"/>
                <w:bCs/>
                <w:color w:val="auto"/>
                <w:sz w:val="24"/>
                <w:highlight w:val="none"/>
              </w:rPr>
              <w:t>实验室废水</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W</w:t>
            </w:r>
            <w:r>
              <w:rPr>
                <w:rFonts w:hint="eastAsia" w:cs="Times New Roman"/>
                <w:bCs/>
                <w:color w:val="auto"/>
                <w:sz w:val="24"/>
                <w:highlight w:val="none"/>
                <w:vertAlign w:val="subscript"/>
                <w:lang w:val="en-US" w:eastAsia="zh-CN"/>
              </w:rPr>
              <w:t>4</w:t>
            </w:r>
            <w:r>
              <w:rPr>
                <w:rFonts w:hint="eastAsia" w:ascii="Times New Roman" w:hAnsi="Times New Roman" w:cs="Times New Roman"/>
                <w:bCs/>
                <w:color w:val="auto"/>
                <w:sz w:val="24"/>
                <w:highlight w:val="none"/>
                <w:lang w:eastAsia="zh-CN"/>
              </w:rPr>
              <w:t>）</w:t>
            </w:r>
          </w:p>
          <w:p w14:paraId="2E3579F4">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eastAsia" w:ascii="宋体" w:hAnsi="宋体"/>
                <w:bCs/>
                <w:color w:val="auto"/>
                <w:sz w:val="24"/>
                <w:highlight w:val="none"/>
              </w:rPr>
              <w:t>实验室</w:t>
            </w:r>
            <w:r>
              <w:rPr>
                <w:rFonts w:ascii="宋体" w:hAnsi="宋体" w:cs="宋体"/>
                <w:bCs/>
                <w:color w:val="auto"/>
                <w:sz w:val="24"/>
                <w:highlight w:val="none"/>
              </w:rPr>
              <w:t>用</w:t>
            </w:r>
            <w:r>
              <w:rPr>
                <w:rFonts w:hint="eastAsia" w:ascii="宋体" w:hAnsi="宋体"/>
                <w:bCs/>
                <w:color w:val="auto"/>
                <w:sz w:val="24"/>
                <w:highlight w:val="none"/>
              </w:rPr>
              <w:t>水主要是</w:t>
            </w:r>
            <w:r>
              <w:rPr>
                <w:rFonts w:ascii="宋体" w:hAnsi="宋体" w:cs="宋体"/>
                <w:bCs/>
                <w:color w:val="auto"/>
                <w:sz w:val="24"/>
                <w:highlight w:val="none"/>
              </w:rPr>
              <w:t>混凝土试件、水泥试体的标准养护及恒温恒湿试验，为物理实验，不需要化学试剂和化学药品</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检测后会产生少量实验室废水。</w:t>
            </w:r>
          </w:p>
          <w:p w14:paraId="3C0460EC">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Cs/>
                <w:color w:val="auto"/>
                <w:sz w:val="24"/>
                <w:highlight w:val="none"/>
              </w:rPr>
              <w:t>生活污水</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W</w:t>
            </w:r>
            <w:r>
              <w:rPr>
                <w:rFonts w:hint="eastAsia" w:cs="Times New Roman"/>
                <w:bCs/>
                <w:color w:val="auto"/>
                <w:sz w:val="24"/>
                <w:highlight w:val="none"/>
                <w:vertAlign w:val="subscript"/>
                <w:lang w:val="en-US" w:eastAsia="zh-CN"/>
              </w:rPr>
              <w:t>5</w:t>
            </w:r>
            <w:r>
              <w:rPr>
                <w:rFonts w:hint="eastAsia" w:ascii="Times New Roman" w:hAnsi="Times New Roman" w:cs="Times New Roman"/>
                <w:bCs/>
                <w:color w:val="auto"/>
                <w:sz w:val="24"/>
                <w:highlight w:val="none"/>
                <w:lang w:eastAsia="zh-CN"/>
              </w:rPr>
              <w:t>）</w:t>
            </w:r>
          </w:p>
          <w:p w14:paraId="69B0BB5F">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ascii="宋体" w:hAnsi="宋体"/>
                <w:bCs/>
                <w:color w:val="auto"/>
                <w:sz w:val="24"/>
                <w:highlight w:val="none"/>
              </w:rPr>
              <w:t>本项目劳动定员</w:t>
            </w:r>
            <w:r>
              <w:rPr>
                <w:rFonts w:hint="eastAsia"/>
                <w:bCs/>
                <w:color w:val="auto"/>
                <w:sz w:val="24"/>
                <w:highlight w:val="none"/>
                <w:lang w:val="en-US" w:eastAsia="zh-CN"/>
              </w:rPr>
              <w:t>20</w:t>
            </w:r>
            <w:r>
              <w:rPr>
                <w:rFonts w:ascii="宋体" w:hAnsi="宋体"/>
                <w:bCs/>
                <w:color w:val="auto"/>
                <w:sz w:val="24"/>
                <w:highlight w:val="none"/>
              </w:rPr>
              <w:t>人</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运营期办公、生活过程会产生生活污水。</w:t>
            </w:r>
          </w:p>
          <w:p w14:paraId="3F65FDEC">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3、噪声</w:t>
            </w:r>
          </w:p>
          <w:p w14:paraId="31F842F6">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ascii="宋体" w:hAnsi="宋体"/>
                <w:bCs/>
                <w:color w:val="auto"/>
                <w:sz w:val="24"/>
                <w:highlight w:val="none"/>
              </w:rPr>
              <w:t>噪声主要来源于搅拌机、装载机、物料传输装置</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泵与风机类设备</w:t>
            </w:r>
            <w:r>
              <w:rPr>
                <w:rFonts w:ascii="宋体" w:hAnsi="宋体"/>
                <w:bCs/>
                <w:color w:val="auto"/>
                <w:sz w:val="24"/>
                <w:highlight w:val="none"/>
              </w:rPr>
              <w:t>运转过程中</w:t>
            </w:r>
            <w:r>
              <w:rPr>
                <w:rFonts w:hint="eastAsia" w:ascii="宋体" w:hAnsi="宋体"/>
                <w:bCs/>
                <w:color w:val="auto"/>
                <w:sz w:val="24"/>
                <w:highlight w:val="none"/>
                <w:lang w:val="en-US" w:eastAsia="zh-CN"/>
              </w:rPr>
              <w:t>设备</w:t>
            </w:r>
            <w:r>
              <w:rPr>
                <w:rFonts w:ascii="宋体" w:hAnsi="宋体"/>
                <w:bCs/>
                <w:color w:val="auto"/>
                <w:sz w:val="24"/>
                <w:highlight w:val="none"/>
              </w:rPr>
              <w:t>产生的噪声。</w:t>
            </w:r>
          </w:p>
          <w:p w14:paraId="4AB641A2">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4、固体废物</w:t>
            </w:r>
          </w:p>
          <w:p w14:paraId="404A4343">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本项目运营期产生的固体废物主要为</w:t>
            </w:r>
            <w:r>
              <w:rPr>
                <w:rFonts w:hint="default" w:ascii="Times New Roman" w:hAnsi="Times New Roman" w:cs="Times New Roman"/>
                <w:color w:val="auto"/>
                <w:sz w:val="24"/>
                <w:highlight w:val="none"/>
              </w:rPr>
              <w:t>布袋除尘器收集的除尘灰、</w:t>
            </w:r>
            <w:r>
              <w:rPr>
                <w:rFonts w:hint="eastAsia" w:cs="Times New Roman"/>
                <w:color w:val="auto"/>
                <w:sz w:val="24"/>
                <w:highlight w:val="none"/>
                <w:lang w:val="en-US" w:eastAsia="zh-CN"/>
              </w:rPr>
              <w:t>废布袋、</w:t>
            </w:r>
            <w:r>
              <w:rPr>
                <w:rFonts w:hint="default" w:ascii="Times New Roman" w:hAnsi="Times New Roman" w:cs="Times New Roman"/>
                <w:color w:val="auto"/>
                <w:sz w:val="24"/>
                <w:highlight w:val="none"/>
              </w:rPr>
              <w:t>沉淀池沉渣、实验室混凝土块及遗散混凝土、生活垃圾</w:t>
            </w:r>
            <w:r>
              <w:rPr>
                <w:rFonts w:hint="eastAsia" w:cs="Times New Roman"/>
                <w:color w:val="auto"/>
                <w:sz w:val="24"/>
                <w:highlight w:val="none"/>
                <w:lang w:eastAsia="zh-CN"/>
              </w:rPr>
              <w:t>、废矿物油及废油桶、含油废抹布、废手套</w:t>
            </w:r>
            <w:r>
              <w:rPr>
                <w:rFonts w:hint="default" w:ascii="Times New Roman" w:hAnsi="Times New Roman" w:cs="Times New Roman"/>
                <w:color w:val="auto"/>
                <w:sz w:val="24"/>
                <w:highlight w:val="none"/>
              </w:rPr>
              <w:t>等</w:t>
            </w:r>
            <w:r>
              <w:rPr>
                <w:rFonts w:hint="eastAsia" w:ascii="Times New Roman" w:hAnsi="Times New Roman" w:cs="Times New Roman"/>
                <w:color w:val="auto"/>
                <w:sz w:val="24"/>
                <w:highlight w:val="none"/>
                <w:lang w:eastAsia="zh-CN"/>
              </w:rPr>
              <w:t>。</w:t>
            </w:r>
          </w:p>
          <w:p w14:paraId="6110C0EF">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val="en-US" w:eastAsia="zh-CN"/>
              </w:rPr>
              <w:t>①</w:t>
            </w:r>
            <w:r>
              <w:rPr>
                <w:rFonts w:hint="default" w:ascii="Times New Roman" w:hAnsi="Times New Roman" w:cs="Times New Roman"/>
                <w:color w:val="auto"/>
                <w:sz w:val="24"/>
                <w:highlight w:val="none"/>
              </w:rPr>
              <w:t>布袋除尘器收集的除尘灰</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S</w:t>
            </w:r>
            <w:r>
              <w:rPr>
                <w:rFonts w:hint="eastAsia" w:ascii="Times New Roman" w:hAnsi="Times New Roman" w:cs="Times New Roman"/>
                <w:color w:val="auto"/>
                <w:sz w:val="24"/>
                <w:highlight w:val="none"/>
                <w:vertAlign w:val="subscript"/>
                <w:lang w:val="en-US" w:eastAsia="zh-CN"/>
              </w:rPr>
              <w:t>1</w:t>
            </w:r>
            <w:r>
              <w:rPr>
                <w:rFonts w:hint="eastAsia" w:ascii="Times New Roman" w:hAnsi="Times New Roman" w:cs="Times New Roman"/>
                <w:color w:val="auto"/>
                <w:sz w:val="24"/>
                <w:highlight w:val="none"/>
                <w:lang w:eastAsia="zh-CN"/>
              </w:rPr>
              <w:t>）</w:t>
            </w:r>
          </w:p>
          <w:p w14:paraId="3CF7D65A">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本项目布袋除尘器工作时拦截的粉尘直接回落至筒仓内，布袋除尘器布袋内收集有除尘灰，除尘灰主要为生产原料，直接回用于生产。</w:t>
            </w:r>
          </w:p>
          <w:p w14:paraId="6EF938EC">
            <w:pPr>
              <w:spacing w:line="360" w:lineRule="auto"/>
              <w:ind w:firstLine="480" w:firstLineChars="200"/>
              <w:rPr>
                <w:rFonts w:hint="default"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②</w:t>
            </w:r>
            <w:r>
              <w:rPr>
                <w:rFonts w:hint="eastAsia" w:cs="Times New Roman"/>
                <w:color w:val="auto"/>
                <w:sz w:val="24"/>
                <w:highlight w:val="none"/>
                <w:lang w:val="en-US" w:eastAsia="zh-CN"/>
              </w:rPr>
              <w:t>废布袋（S</w:t>
            </w:r>
            <w:r>
              <w:rPr>
                <w:rFonts w:hint="eastAsia" w:cs="Times New Roman"/>
                <w:color w:val="auto"/>
                <w:sz w:val="24"/>
                <w:highlight w:val="none"/>
                <w:vertAlign w:val="subscript"/>
                <w:lang w:val="en-US" w:eastAsia="zh-CN"/>
              </w:rPr>
              <w:t>2</w:t>
            </w:r>
            <w:r>
              <w:rPr>
                <w:rFonts w:hint="eastAsia" w:cs="Times New Roman"/>
                <w:color w:val="auto"/>
                <w:sz w:val="24"/>
                <w:highlight w:val="none"/>
                <w:lang w:val="en-US" w:eastAsia="zh-CN"/>
              </w:rPr>
              <w:t>）</w:t>
            </w:r>
          </w:p>
          <w:p w14:paraId="37F4F8A6">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布袋除尘器定期更换下来的废布袋。</w:t>
            </w:r>
          </w:p>
          <w:p w14:paraId="1D02CDF6">
            <w:pPr>
              <w:spacing w:line="360" w:lineRule="auto"/>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③</w:t>
            </w:r>
            <w:r>
              <w:rPr>
                <w:rFonts w:hint="default" w:ascii="Times New Roman" w:hAnsi="Times New Roman" w:cs="Times New Roman"/>
                <w:color w:val="auto"/>
                <w:sz w:val="24"/>
                <w:highlight w:val="none"/>
              </w:rPr>
              <w:t>沉淀池沉渣</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S</w:t>
            </w:r>
            <w:r>
              <w:rPr>
                <w:rFonts w:hint="eastAsia" w:cs="Times New Roman"/>
                <w:color w:val="auto"/>
                <w:sz w:val="24"/>
                <w:highlight w:val="none"/>
                <w:vertAlign w:val="subscript"/>
                <w:lang w:val="en-US" w:eastAsia="zh-CN"/>
              </w:rPr>
              <w:t>3</w:t>
            </w:r>
            <w:r>
              <w:rPr>
                <w:rFonts w:hint="eastAsia" w:ascii="Times New Roman" w:hAnsi="Times New Roman" w:cs="Times New Roman"/>
                <w:color w:val="auto"/>
                <w:sz w:val="24"/>
                <w:highlight w:val="none"/>
                <w:lang w:eastAsia="zh-CN"/>
              </w:rPr>
              <w:t>）</w:t>
            </w:r>
          </w:p>
          <w:p w14:paraId="333228BB">
            <w:pPr>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沉淀池收集的运输车辆清洗、</w:t>
            </w:r>
            <w:r>
              <w:rPr>
                <w:rFonts w:hint="eastAsia" w:cs="Times New Roman"/>
                <w:color w:val="auto"/>
                <w:sz w:val="24"/>
                <w:highlight w:val="none"/>
                <w:lang w:val="en-US" w:eastAsia="zh-CN"/>
              </w:rPr>
              <w:t>搅拌罐清洗、</w:t>
            </w:r>
            <w:r>
              <w:rPr>
                <w:rFonts w:hint="default" w:ascii="Times New Roman" w:hAnsi="Times New Roman" w:cs="Times New Roman"/>
                <w:color w:val="auto"/>
                <w:sz w:val="24"/>
                <w:highlight w:val="none"/>
              </w:rPr>
              <w:t>实验室等生产废水中含有大量的泥沙及混凝土</w:t>
            </w:r>
            <w:r>
              <w:rPr>
                <w:rFonts w:hint="eastAsia" w:cs="Times New Roman"/>
                <w:color w:val="auto"/>
                <w:sz w:val="24"/>
                <w:highlight w:val="none"/>
                <w:lang w:eastAsia="zh-CN"/>
              </w:rPr>
              <w:t>。</w:t>
            </w:r>
          </w:p>
          <w:p w14:paraId="0D393A73">
            <w:pPr>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④</w:t>
            </w:r>
            <w:r>
              <w:rPr>
                <w:rFonts w:hint="default" w:ascii="Times New Roman" w:hAnsi="Times New Roman" w:cs="Times New Roman"/>
                <w:color w:val="auto"/>
                <w:sz w:val="24"/>
                <w:highlight w:val="none"/>
              </w:rPr>
              <w:t>实验室混凝土块及遗散混凝土</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S</w:t>
            </w:r>
            <w:r>
              <w:rPr>
                <w:rFonts w:hint="eastAsia" w:cs="Times New Roman"/>
                <w:color w:val="auto"/>
                <w:sz w:val="24"/>
                <w:highlight w:val="none"/>
                <w:vertAlign w:val="subscript"/>
                <w:lang w:val="en-US" w:eastAsia="zh-CN"/>
              </w:rPr>
              <w:t>4</w:t>
            </w:r>
            <w:r>
              <w:rPr>
                <w:rFonts w:hint="eastAsia" w:ascii="Times New Roman" w:hAnsi="Times New Roman" w:cs="Times New Roman"/>
                <w:color w:val="auto"/>
                <w:sz w:val="24"/>
                <w:highlight w:val="none"/>
                <w:lang w:eastAsia="zh-CN"/>
              </w:rPr>
              <w:t>）</w:t>
            </w:r>
          </w:p>
          <w:p w14:paraId="4E458B0B">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实验室混凝土块、逸散混凝土集中收集，暂存于石料棚一般固废暂存区，定期运至周边固废填埋场处理</w:t>
            </w:r>
            <w:r>
              <w:rPr>
                <w:rFonts w:hint="eastAsia" w:cs="Times New Roman"/>
                <w:color w:val="auto"/>
                <w:sz w:val="24"/>
                <w:highlight w:val="none"/>
                <w:lang w:val="en-US" w:eastAsia="zh-CN"/>
              </w:rPr>
              <w:t>。</w:t>
            </w:r>
          </w:p>
          <w:p w14:paraId="3E8246B4">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color w:val="auto"/>
                <w:sz w:val="24"/>
                <w:highlight w:val="none"/>
                <w:lang w:val="en-US" w:eastAsia="zh-CN"/>
              </w:rPr>
              <w:t>⑤</w:t>
            </w:r>
            <w:r>
              <w:rPr>
                <w:rFonts w:hint="default" w:ascii="Times New Roman" w:hAnsi="Times New Roman" w:cs="Times New Roman"/>
                <w:color w:val="auto"/>
                <w:sz w:val="24"/>
                <w:highlight w:val="none"/>
              </w:rPr>
              <w:t>生活垃圾</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S</w:t>
            </w:r>
            <w:r>
              <w:rPr>
                <w:rFonts w:hint="eastAsia" w:cs="Times New Roman"/>
                <w:color w:val="auto"/>
                <w:sz w:val="24"/>
                <w:highlight w:val="none"/>
                <w:vertAlign w:val="subscript"/>
                <w:lang w:val="en-US" w:eastAsia="zh-CN"/>
              </w:rPr>
              <w:t>5</w:t>
            </w:r>
            <w:r>
              <w:rPr>
                <w:rFonts w:hint="eastAsia" w:ascii="Times New Roman" w:hAnsi="Times New Roman" w:cs="Times New Roman"/>
                <w:color w:val="auto"/>
                <w:sz w:val="24"/>
                <w:highlight w:val="none"/>
                <w:lang w:eastAsia="zh-CN"/>
              </w:rPr>
              <w:t>）</w:t>
            </w:r>
          </w:p>
          <w:p w14:paraId="729D1550">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宋体" w:hAnsi="宋体"/>
                <w:bCs/>
                <w:color w:val="auto"/>
                <w:sz w:val="24"/>
                <w:highlight w:val="none"/>
                <w:lang w:val="en-US" w:eastAsia="zh-CN"/>
              </w:rPr>
            </w:pPr>
            <w:r>
              <w:rPr>
                <w:rFonts w:ascii="宋体" w:hAnsi="宋体"/>
                <w:bCs/>
                <w:color w:val="auto"/>
                <w:sz w:val="24"/>
                <w:highlight w:val="none"/>
              </w:rPr>
              <w:t>本项目劳动定员</w:t>
            </w:r>
            <w:r>
              <w:rPr>
                <w:rFonts w:hint="eastAsia"/>
                <w:bCs/>
                <w:color w:val="auto"/>
                <w:sz w:val="24"/>
                <w:highlight w:val="none"/>
                <w:lang w:val="en-US" w:eastAsia="zh-CN"/>
              </w:rPr>
              <w:t>20</w:t>
            </w:r>
            <w:r>
              <w:rPr>
                <w:rFonts w:ascii="宋体" w:hAnsi="宋体"/>
                <w:bCs/>
                <w:color w:val="auto"/>
                <w:sz w:val="24"/>
                <w:highlight w:val="none"/>
              </w:rPr>
              <w:t>人</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运营期办公、生活过程会产生生活垃圾。</w:t>
            </w:r>
          </w:p>
          <w:p w14:paraId="5E1584FB">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⑥废矿物油、废油桶（</w:t>
            </w:r>
            <w:r>
              <w:rPr>
                <w:rFonts w:hint="eastAsia" w:cs="Times New Roman"/>
                <w:color w:val="auto"/>
                <w:sz w:val="24"/>
                <w:highlight w:val="none"/>
                <w:lang w:val="en-US" w:eastAsia="zh-CN"/>
              </w:rPr>
              <w:t>S</w:t>
            </w:r>
            <w:r>
              <w:rPr>
                <w:rFonts w:hint="eastAsia" w:ascii="Times New Roman" w:hAnsi="Times New Roman" w:eastAsia="宋体" w:cs="Times New Roman"/>
                <w:color w:val="auto"/>
                <w:sz w:val="24"/>
                <w:highlight w:val="none"/>
                <w:vertAlign w:val="subscript"/>
                <w:lang w:val="en-US" w:eastAsia="zh-CN"/>
              </w:rPr>
              <w:t>6</w:t>
            </w:r>
            <w:r>
              <w:rPr>
                <w:rFonts w:hint="eastAsia" w:ascii="Times New Roman" w:hAnsi="Times New Roman" w:eastAsia="宋体" w:cs="Times New Roman"/>
                <w:color w:val="auto"/>
                <w:sz w:val="24"/>
                <w:highlight w:val="none"/>
                <w:lang w:val="en-US" w:eastAsia="zh-CN"/>
              </w:rPr>
              <w:t>）</w:t>
            </w:r>
          </w:p>
          <w:p w14:paraId="1ADCB409">
            <w:pPr>
              <w:pStyle w:val="10"/>
              <w:keepNext w:val="0"/>
              <w:keepLines w:val="0"/>
              <w:pageBreakBefore w:val="0"/>
              <w:kinsoku/>
              <w:wordWrap/>
              <w:overflowPunct/>
              <w:topLinePunct w:val="0"/>
              <w:bidi w:val="0"/>
              <w:adjustRightInd/>
              <w:spacing w:before="0" w:after="0"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本项目生产设备检修、维护时会产生的废矿物油及废油桶，暂存于危废暂存间内，定期交由具有危险废物处理资质的公司处理。</w:t>
            </w:r>
          </w:p>
          <w:p w14:paraId="330D4C4C">
            <w:pPr>
              <w:ind w:firstLine="420"/>
              <w:jc w:val="center"/>
              <w:rPr>
                <w:rFonts w:hint="eastAsia" w:ascii="Times New Roman" w:hAnsi="Times New Roman"/>
                <w:b/>
                <w:color w:val="auto"/>
                <w:sz w:val="24"/>
                <w:highlight w:val="none"/>
              </w:rPr>
            </w:pPr>
            <w:r>
              <w:rPr>
                <w:rFonts w:hint="eastAsia" w:ascii="Times New Roman" w:hAnsi="Times New Roman"/>
                <w:b/>
                <w:color w:val="auto"/>
                <w:sz w:val="24"/>
                <w:highlight w:val="none"/>
              </w:rPr>
              <w:t>表</w:t>
            </w:r>
            <w:r>
              <w:rPr>
                <w:rFonts w:hint="eastAsia" w:ascii="Times New Roman" w:hAnsi="Times New Roman"/>
                <w:b/>
                <w:color w:val="auto"/>
                <w:sz w:val="24"/>
                <w:highlight w:val="none"/>
                <w:lang w:val="en-US" w:eastAsia="zh-CN"/>
              </w:rPr>
              <w:t>2-7</w:t>
            </w:r>
            <w:r>
              <w:rPr>
                <w:rFonts w:hint="eastAsia" w:ascii="Times New Roman" w:hAnsi="Times New Roman"/>
                <w:b/>
                <w:color w:val="auto"/>
                <w:sz w:val="24"/>
                <w:highlight w:val="none"/>
              </w:rPr>
              <w:t>本项目产污情况一览表</w:t>
            </w:r>
          </w:p>
          <w:tbl>
            <w:tblPr>
              <w:tblStyle w:val="22"/>
              <w:tblW w:w="4998" w:type="pct"/>
              <w:tblInd w:w="0" w:type="dxa"/>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518"/>
              <w:gridCol w:w="969"/>
              <w:gridCol w:w="3570"/>
              <w:gridCol w:w="2547"/>
            </w:tblGrid>
            <w:tr w14:paraId="3BA7724D">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c>
                <w:tcPr>
                  <w:tcW w:w="882" w:type="pct"/>
                  <w:noWrap w:val="0"/>
                  <w:vAlign w:val="center"/>
                </w:tcPr>
                <w:p w14:paraId="50BF2D8B">
                  <w:pPr>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污染类别</w:t>
                  </w:r>
                </w:p>
              </w:tc>
              <w:tc>
                <w:tcPr>
                  <w:tcW w:w="563" w:type="pct"/>
                  <w:noWrap w:val="0"/>
                  <w:vAlign w:val="center"/>
                </w:tcPr>
                <w:p w14:paraId="19AE7A84">
                  <w:pPr>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编号</w:t>
                  </w:r>
                </w:p>
              </w:tc>
              <w:tc>
                <w:tcPr>
                  <w:tcW w:w="2074" w:type="pct"/>
                  <w:noWrap w:val="0"/>
                  <w:vAlign w:val="center"/>
                </w:tcPr>
                <w:p w14:paraId="1962E1C3">
                  <w:pPr>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污染源</w:t>
                  </w:r>
                </w:p>
              </w:tc>
              <w:tc>
                <w:tcPr>
                  <w:tcW w:w="1480" w:type="pct"/>
                  <w:noWrap w:val="0"/>
                  <w:vAlign w:val="center"/>
                </w:tcPr>
                <w:p w14:paraId="45D6532A">
                  <w:pPr>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主要污染物</w:t>
                  </w:r>
                </w:p>
              </w:tc>
            </w:tr>
            <w:tr w14:paraId="1EFF55DC">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restart"/>
                  <w:noWrap w:val="0"/>
                  <w:vAlign w:val="center"/>
                </w:tcPr>
                <w:p w14:paraId="64C26560">
                  <w:pPr>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废气</w:t>
                  </w:r>
                </w:p>
              </w:tc>
              <w:tc>
                <w:tcPr>
                  <w:tcW w:w="563" w:type="pct"/>
                  <w:noWrap w:val="0"/>
                  <w:vAlign w:val="center"/>
                </w:tcPr>
                <w:p w14:paraId="2630BA32">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w:t>
                  </w:r>
                  <w:r>
                    <w:rPr>
                      <w:rFonts w:hint="eastAsia" w:ascii="Times New Roman" w:hAnsi="Times New Roman" w:eastAsia="宋体"/>
                      <w:color w:val="auto"/>
                      <w:sz w:val="21"/>
                      <w:szCs w:val="21"/>
                      <w:highlight w:val="none"/>
                      <w:vertAlign w:val="subscript"/>
                      <w:lang w:val="en-US" w:eastAsia="zh-CN"/>
                    </w:rPr>
                    <w:t>1</w:t>
                  </w:r>
                </w:p>
              </w:tc>
              <w:tc>
                <w:tcPr>
                  <w:tcW w:w="2074" w:type="pct"/>
                  <w:noWrap w:val="0"/>
                  <w:vAlign w:val="top"/>
                </w:tcPr>
                <w:p w14:paraId="77DDF143">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砂石存储及装卸粉尘</w:t>
                  </w:r>
                </w:p>
              </w:tc>
              <w:tc>
                <w:tcPr>
                  <w:tcW w:w="1480" w:type="pct"/>
                  <w:vMerge w:val="restart"/>
                  <w:noWrap w:val="0"/>
                  <w:vAlign w:val="center"/>
                </w:tcPr>
                <w:p w14:paraId="15872BC6">
                  <w:pPr>
                    <w:jc w:val="center"/>
                    <w:rPr>
                      <w:rFonts w:hint="default" w:ascii="Times New Roman" w:hAnsi="Times New Roman" w:eastAsia="宋体"/>
                      <w:color w:val="auto"/>
                      <w:sz w:val="21"/>
                      <w:szCs w:val="21"/>
                      <w:highlight w:val="none"/>
                      <w:lang w:val="en-US" w:eastAsia="zh-CN"/>
                    </w:rPr>
                  </w:pPr>
                  <w:r>
                    <w:rPr>
                      <w:color w:val="auto"/>
                      <w:spacing w:val="7"/>
                      <w:highlight w:val="none"/>
                    </w:rPr>
                    <w:t>颗粒物</w:t>
                  </w:r>
                </w:p>
              </w:tc>
            </w:tr>
            <w:tr w14:paraId="28EEC245">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7288D994">
                  <w:pPr>
                    <w:jc w:val="center"/>
                    <w:rPr>
                      <w:rFonts w:hint="eastAsia" w:ascii="Times New Roman" w:hAnsi="Times New Roman"/>
                      <w:color w:val="auto"/>
                      <w:sz w:val="21"/>
                      <w:szCs w:val="21"/>
                      <w:highlight w:val="none"/>
                    </w:rPr>
                  </w:pPr>
                </w:p>
              </w:tc>
              <w:tc>
                <w:tcPr>
                  <w:tcW w:w="563" w:type="pct"/>
                  <w:noWrap w:val="0"/>
                  <w:vAlign w:val="center"/>
                </w:tcPr>
                <w:p w14:paraId="6DFF5DFF">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w:t>
                  </w:r>
                  <w:r>
                    <w:rPr>
                      <w:rFonts w:hint="eastAsia" w:ascii="Times New Roman" w:hAnsi="Times New Roman" w:eastAsia="宋体"/>
                      <w:color w:val="auto"/>
                      <w:sz w:val="21"/>
                      <w:szCs w:val="21"/>
                      <w:highlight w:val="none"/>
                      <w:vertAlign w:val="subscript"/>
                      <w:lang w:val="en-US" w:eastAsia="zh-CN"/>
                    </w:rPr>
                    <w:t>2</w:t>
                  </w:r>
                </w:p>
              </w:tc>
              <w:tc>
                <w:tcPr>
                  <w:tcW w:w="2074" w:type="pct"/>
                  <w:noWrap w:val="0"/>
                  <w:vAlign w:val="top"/>
                </w:tcPr>
                <w:p w14:paraId="5BA35953">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粉料筒仓呼吸孔粉尘</w:t>
                  </w:r>
                </w:p>
              </w:tc>
              <w:tc>
                <w:tcPr>
                  <w:tcW w:w="1480" w:type="pct"/>
                  <w:vMerge w:val="continue"/>
                  <w:noWrap w:val="0"/>
                  <w:vAlign w:val="center"/>
                </w:tcPr>
                <w:p w14:paraId="74AF337A">
                  <w:pPr>
                    <w:jc w:val="center"/>
                    <w:rPr>
                      <w:rFonts w:hint="default" w:ascii="Times New Roman" w:hAnsi="Times New Roman" w:eastAsia="宋体"/>
                      <w:color w:val="auto"/>
                      <w:sz w:val="21"/>
                      <w:szCs w:val="21"/>
                      <w:highlight w:val="none"/>
                      <w:lang w:val="en-US" w:eastAsia="zh-CN"/>
                    </w:rPr>
                  </w:pPr>
                </w:p>
              </w:tc>
            </w:tr>
            <w:tr w14:paraId="14291B96">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580E985C">
                  <w:pPr>
                    <w:jc w:val="center"/>
                    <w:rPr>
                      <w:rFonts w:hint="eastAsia" w:ascii="Times New Roman" w:hAnsi="Times New Roman"/>
                      <w:color w:val="auto"/>
                      <w:sz w:val="21"/>
                      <w:szCs w:val="21"/>
                      <w:highlight w:val="none"/>
                    </w:rPr>
                  </w:pPr>
                </w:p>
              </w:tc>
              <w:tc>
                <w:tcPr>
                  <w:tcW w:w="563" w:type="pct"/>
                  <w:noWrap w:val="0"/>
                  <w:vAlign w:val="center"/>
                </w:tcPr>
                <w:p w14:paraId="6EFDFADB">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w:t>
                  </w:r>
                  <w:r>
                    <w:rPr>
                      <w:rFonts w:hint="eastAsia" w:ascii="Times New Roman" w:hAnsi="Times New Roman" w:eastAsia="宋体"/>
                      <w:color w:val="auto"/>
                      <w:sz w:val="21"/>
                      <w:szCs w:val="21"/>
                      <w:highlight w:val="none"/>
                      <w:vertAlign w:val="subscript"/>
                      <w:lang w:val="en-US" w:eastAsia="zh-CN"/>
                    </w:rPr>
                    <w:t>3</w:t>
                  </w:r>
                </w:p>
              </w:tc>
              <w:tc>
                <w:tcPr>
                  <w:tcW w:w="2074" w:type="pct"/>
                  <w:noWrap w:val="0"/>
                  <w:vAlign w:val="top"/>
                </w:tcPr>
                <w:p w14:paraId="656C26BF">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砂石配料输送过程粉尘</w:t>
                  </w:r>
                </w:p>
              </w:tc>
              <w:tc>
                <w:tcPr>
                  <w:tcW w:w="1480" w:type="pct"/>
                  <w:vMerge w:val="continue"/>
                  <w:noWrap w:val="0"/>
                  <w:vAlign w:val="center"/>
                </w:tcPr>
                <w:p w14:paraId="39D4A0B3">
                  <w:pPr>
                    <w:jc w:val="center"/>
                    <w:rPr>
                      <w:rFonts w:hint="default" w:ascii="Times New Roman" w:hAnsi="Times New Roman" w:eastAsia="宋体"/>
                      <w:color w:val="auto"/>
                      <w:sz w:val="21"/>
                      <w:szCs w:val="21"/>
                      <w:highlight w:val="none"/>
                      <w:lang w:val="en-US" w:eastAsia="zh-CN"/>
                    </w:rPr>
                  </w:pPr>
                </w:p>
              </w:tc>
            </w:tr>
            <w:tr w14:paraId="174ABD23">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257170D5">
                  <w:pPr>
                    <w:jc w:val="center"/>
                    <w:rPr>
                      <w:rFonts w:hint="eastAsia" w:ascii="Times New Roman" w:hAnsi="Times New Roman"/>
                      <w:color w:val="auto"/>
                      <w:sz w:val="21"/>
                      <w:szCs w:val="21"/>
                      <w:highlight w:val="none"/>
                    </w:rPr>
                  </w:pPr>
                </w:p>
              </w:tc>
              <w:tc>
                <w:tcPr>
                  <w:tcW w:w="563" w:type="pct"/>
                  <w:noWrap w:val="0"/>
                  <w:vAlign w:val="center"/>
                </w:tcPr>
                <w:p w14:paraId="12FADFC6">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w:t>
                  </w:r>
                  <w:r>
                    <w:rPr>
                      <w:rFonts w:hint="eastAsia" w:ascii="Times New Roman" w:hAnsi="Times New Roman" w:eastAsia="宋体"/>
                      <w:color w:val="auto"/>
                      <w:sz w:val="21"/>
                      <w:szCs w:val="21"/>
                      <w:highlight w:val="none"/>
                      <w:vertAlign w:val="subscript"/>
                      <w:lang w:val="en-US" w:eastAsia="zh-CN"/>
                    </w:rPr>
                    <w:t>4</w:t>
                  </w:r>
                </w:p>
              </w:tc>
              <w:tc>
                <w:tcPr>
                  <w:tcW w:w="2074" w:type="pct"/>
                  <w:noWrap w:val="0"/>
                  <w:vAlign w:val="top"/>
                </w:tcPr>
                <w:p w14:paraId="76924004">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搅拌机入料口粉尘</w:t>
                  </w:r>
                </w:p>
              </w:tc>
              <w:tc>
                <w:tcPr>
                  <w:tcW w:w="1480" w:type="pct"/>
                  <w:vMerge w:val="continue"/>
                  <w:noWrap w:val="0"/>
                  <w:vAlign w:val="center"/>
                </w:tcPr>
                <w:p w14:paraId="27230D88">
                  <w:pPr>
                    <w:jc w:val="center"/>
                    <w:rPr>
                      <w:rFonts w:hint="default" w:ascii="Times New Roman" w:hAnsi="Times New Roman" w:eastAsia="宋体"/>
                      <w:color w:val="auto"/>
                      <w:sz w:val="21"/>
                      <w:szCs w:val="21"/>
                      <w:highlight w:val="none"/>
                      <w:lang w:val="en-US" w:eastAsia="zh-CN"/>
                    </w:rPr>
                  </w:pPr>
                </w:p>
              </w:tc>
            </w:tr>
            <w:tr w14:paraId="21E83F67">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195F8562">
                  <w:pPr>
                    <w:jc w:val="center"/>
                    <w:rPr>
                      <w:rFonts w:hint="eastAsia" w:ascii="Times New Roman" w:hAnsi="Times New Roman"/>
                      <w:color w:val="auto"/>
                      <w:sz w:val="21"/>
                      <w:szCs w:val="21"/>
                      <w:highlight w:val="none"/>
                    </w:rPr>
                  </w:pPr>
                </w:p>
              </w:tc>
              <w:tc>
                <w:tcPr>
                  <w:tcW w:w="563" w:type="pct"/>
                  <w:noWrap w:val="0"/>
                  <w:vAlign w:val="center"/>
                </w:tcPr>
                <w:p w14:paraId="46DCB6FB">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G</w:t>
                  </w:r>
                  <w:r>
                    <w:rPr>
                      <w:rFonts w:hint="eastAsia" w:ascii="Times New Roman" w:hAnsi="Times New Roman" w:eastAsia="宋体"/>
                      <w:color w:val="auto"/>
                      <w:sz w:val="21"/>
                      <w:szCs w:val="21"/>
                      <w:highlight w:val="none"/>
                      <w:vertAlign w:val="subscript"/>
                      <w:lang w:val="en-US" w:eastAsia="zh-CN"/>
                    </w:rPr>
                    <w:t>5</w:t>
                  </w:r>
                </w:p>
              </w:tc>
              <w:tc>
                <w:tcPr>
                  <w:tcW w:w="2074" w:type="pct"/>
                  <w:noWrap w:val="0"/>
                  <w:vAlign w:val="top"/>
                </w:tcPr>
                <w:p w14:paraId="48BEEDD3">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运输车辆动力起尘</w:t>
                  </w:r>
                </w:p>
              </w:tc>
              <w:tc>
                <w:tcPr>
                  <w:tcW w:w="1480" w:type="pct"/>
                  <w:vMerge w:val="continue"/>
                  <w:noWrap w:val="0"/>
                  <w:vAlign w:val="center"/>
                </w:tcPr>
                <w:p w14:paraId="6DB67069">
                  <w:pPr>
                    <w:jc w:val="center"/>
                    <w:rPr>
                      <w:rFonts w:hint="default" w:ascii="Times New Roman" w:hAnsi="Times New Roman" w:eastAsia="宋体"/>
                      <w:color w:val="auto"/>
                      <w:sz w:val="21"/>
                      <w:szCs w:val="21"/>
                      <w:highlight w:val="none"/>
                      <w:lang w:val="en-US" w:eastAsia="zh-CN"/>
                    </w:rPr>
                  </w:pPr>
                </w:p>
              </w:tc>
            </w:tr>
            <w:tr w14:paraId="4D35AE16">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186B4403">
                  <w:pPr>
                    <w:jc w:val="center"/>
                    <w:rPr>
                      <w:rFonts w:hint="eastAsia" w:ascii="Times New Roman" w:hAnsi="Times New Roman"/>
                      <w:color w:val="auto"/>
                      <w:sz w:val="21"/>
                      <w:szCs w:val="21"/>
                      <w:highlight w:val="none"/>
                    </w:rPr>
                  </w:pPr>
                </w:p>
              </w:tc>
              <w:tc>
                <w:tcPr>
                  <w:tcW w:w="563" w:type="pct"/>
                  <w:noWrap w:val="0"/>
                  <w:vAlign w:val="center"/>
                </w:tcPr>
                <w:p w14:paraId="40A69314">
                  <w:pPr>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G</w:t>
                  </w:r>
                  <w:r>
                    <w:rPr>
                      <w:rFonts w:hint="eastAsia"/>
                      <w:color w:val="auto"/>
                      <w:sz w:val="21"/>
                      <w:szCs w:val="21"/>
                      <w:highlight w:val="none"/>
                      <w:vertAlign w:val="subscript"/>
                      <w:lang w:val="en-US" w:eastAsia="zh-CN"/>
                    </w:rPr>
                    <w:t>6</w:t>
                  </w:r>
                </w:p>
              </w:tc>
              <w:tc>
                <w:tcPr>
                  <w:tcW w:w="2074" w:type="pct"/>
                  <w:noWrap w:val="0"/>
                  <w:vAlign w:val="top"/>
                </w:tcPr>
                <w:p w14:paraId="4B3AAFB8">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危废暂存间废气</w:t>
                  </w:r>
                </w:p>
              </w:tc>
              <w:tc>
                <w:tcPr>
                  <w:tcW w:w="1480" w:type="pct"/>
                  <w:noWrap w:val="0"/>
                  <w:vAlign w:val="center"/>
                </w:tcPr>
                <w:p w14:paraId="7E0C078D">
                  <w:pPr>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挥发性有机物</w:t>
                  </w:r>
                </w:p>
              </w:tc>
            </w:tr>
            <w:tr w14:paraId="1078E97C">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restart"/>
                  <w:noWrap w:val="0"/>
                  <w:vAlign w:val="center"/>
                </w:tcPr>
                <w:p w14:paraId="15CF8EE3">
                  <w:pPr>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废水</w:t>
                  </w:r>
                </w:p>
              </w:tc>
              <w:tc>
                <w:tcPr>
                  <w:tcW w:w="563" w:type="pct"/>
                  <w:noWrap w:val="0"/>
                  <w:vAlign w:val="center"/>
                </w:tcPr>
                <w:p w14:paraId="4D7ECA7B">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w:t>
                  </w:r>
                  <w:r>
                    <w:rPr>
                      <w:rFonts w:hint="eastAsia" w:ascii="Times New Roman" w:hAnsi="Times New Roman" w:eastAsia="宋体"/>
                      <w:color w:val="auto"/>
                      <w:sz w:val="21"/>
                      <w:szCs w:val="21"/>
                      <w:highlight w:val="none"/>
                      <w:vertAlign w:val="subscript"/>
                      <w:lang w:val="en-US" w:eastAsia="zh-CN"/>
                    </w:rPr>
                    <w:t>1</w:t>
                  </w:r>
                </w:p>
              </w:tc>
              <w:tc>
                <w:tcPr>
                  <w:tcW w:w="2074" w:type="pct"/>
                  <w:noWrap w:val="0"/>
                  <w:vAlign w:val="top"/>
                </w:tcPr>
                <w:p w14:paraId="21A8C079">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运输车辆清洗废水</w:t>
                  </w:r>
                </w:p>
              </w:tc>
              <w:tc>
                <w:tcPr>
                  <w:tcW w:w="1480" w:type="pct"/>
                  <w:vMerge w:val="restart"/>
                  <w:noWrap w:val="0"/>
                  <w:vAlign w:val="center"/>
                </w:tcPr>
                <w:p w14:paraId="531F0C07">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SS</w:t>
                  </w:r>
                </w:p>
              </w:tc>
            </w:tr>
            <w:tr w14:paraId="019F46C9">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192818B4">
                  <w:pPr>
                    <w:jc w:val="center"/>
                    <w:rPr>
                      <w:rFonts w:hint="eastAsia" w:ascii="Times New Roman" w:hAnsi="Times New Roman"/>
                      <w:color w:val="auto"/>
                      <w:sz w:val="21"/>
                      <w:szCs w:val="21"/>
                      <w:highlight w:val="none"/>
                      <w:lang w:val="en-US" w:eastAsia="zh-CN"/>
                    </w:rPr>
                  </w:pPr>
                </w:p>
              </w:tc>
              <w:tc>
                <w:tcPr>
                  <w:tcW w:w="563" w:type="pct"/>
                  <w:noWrap w:val="0"/>
                  <w:vAlign w:val="center"/>
                </w:tcPr>
                <w:p w14:paraId="169E9C9C">
                  <w:pPr>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W</w:t>
                  </w:r>
                  <w:r>
                    <w:rPr>
                      <w:rFonts w:hint="eastAsia"/>
                      <w:color w:val="auto"/>
                      <w:sz w:val="21"/>
                      <w:szCs w:val="21"/>
                      <w:highlight w:val="none"/>
                      <w:vertAlign w:val="subscript"/>
                      <w:lang w:val="en-US" w:eastAsia="zh-CN"/>
                    </w:rPr>
                    <w:t>2</w:t>
                  </w:r>
                </w:p>
              </w:tc>
              <w:tc>
                <w:tcPr>
                  <w:tcW w:w="2074" w:type="pct"/>
                  <w:noWrap w:val="0"/>
                  <w:vAlign w:val="top"/>
                </w:tcPr>
                <w:p w14:paraId="54799D1D">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搅拌罐清洗废水</w:t>
                  </w:r>
                </w:p>
              </w:tc>
              <w:tc>
                <w:tcPr>
                  <w:tcW w:w="1480" w:type="pct"/>
                  <w:vMerge w:val="continue"/>
                  <w:noWrap w:val="0"/>
                  <w:vAlign w:val="center"/>
                </w:tcPr>
                <w:p w14:paraId="288DADBA">
                  <w:pPr>
                    <w:jc w:val="center"/>
                    <w:rPr>
                      <w:rFonts w:hint="eastAsia" w:ascii="Times New Roman" w:hAnsi="Times New Roman" w:eastAsia="宋体"/>
                      <w:color w:val="auto"/>
                      <w:sz w:val="21"/>
                      <w:szCs w:val="21"/>
                      <w:highlight w:val="none"/>
                      <w:lang w:val="en-US" w:eastAsia="zh-CN"/>
                    </w:rPr>
                  </w:pPr>
                </w:p>
              </w:tc>
            </w:tr>
            <w:tr w14:paraId="12CB1596">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1C79CF26">
                  <w:pPr>
                    <w:jc w:val="center"/>
                    <w:rPr>
                      <w:rFonts w:hint="eastAsia" w:ascii="Times New Roman" w:hAnsi="Times New Roman"/>
                      <w:color w:val="auto"/>
                      <w:sz w:val="21"/>
                      <w:szCs w:val="21"/>
                      <w:highlight w:val="none"/>
                      <w:lang w:val="en-US" w:eastAsia="zh-CN"/>
                    </w:rPr>
                  </w:pPr>
                </w:p>
              </w:tc>
              <w:tc>
                <w:tcPr>
                  <w:tcW w:w="563" w:type="pct"/>
                  <w:noWrap w:val="0"/>
                  <w:vAlign w:val="center"/>
                </w:tcPr>
                <w:p w14:paraId="2B9625B6">
                  <w:pPr>
                    <w:jc w:val="center"/>
                    <w:rPr>
                      <w:rFonts w:hint="default"/>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w:t>
                  </w:r>
                  <w:r>
                    <w:rPr>
                      <w:rFonts w:hint="eastAsia"/>
                      <w:color w:val="auto"/>
                      <w:sz w:val="21"/>
                      <w:szCs w:val="21"/>
                      <w:highlight w:val="none"/>
                      <w:vertAlign w:val="subscript"/>
                      <w:lang w:val="en-US" w:eastAsia="zh-CN"/>
                    </w:rPr>
                    <w:t>3</w:t>
                  </w:r>
                </w:p>
              </w:tc>
              <w:tc>
                <w:tcPr>
                  <w:tcW w:w="2074" w:type="pct"/>
                  <w:noWrap w:val="0"/>
                  <w:vAlign w:val="top"/>
                </w:tcPr>
                <w:p w14:paraId="595E4C93">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混凝土罐车清洗废水</w:t>
                  </w:r>
                </w:p>
              </w:tc>
              <w:tc>
                <w:tcPr>
                  <w:tcW w:w="1480" w:type="pct"/>
                  <w:vMerge w:val="continue"/>
                  <w:noWrap w:val="0"/>
                  <w:vAlign w:val="center"/>
                </w:tcPr>
                <w:p w14:paraId="1E0A728C">
                  <w:pPr>
                    <w:jc w:val="center"/>
                    <w:rPr>
                      <w:rFonts w:hint="eastAsia" w:ascii="Times New Roman" w:hAnsi="Times New Roman" w:eastAsia="宋体"/>
                      <w:color w:val="auto"/>
                      <w:sz w:val="21"/>
                      <w:szCs w:val="21"/>
                      <w:highlight w:val="none"/>
                      <w:lang w:val="en-US" w:eastAsia="zh-CN"/>
                    </w:rPr>
                  </w:pPr>
                </w:p>
              </w:tc>
            </w:tr>
            <w:tr w14:paraId="61EBEAD5">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39FDD2AF">
                  <w:pPr>
                    <w:jc w:val="center"/>
                    <w:rPr>
                      <w:rFonts w:hint="eastAsia" w:ascii="Times New Roman" w:hAnsi="Times New Roman"/>
                      <w:color w:val="auto"/>
                      <w:sz w:val="21"/>
                      <w:szCs w:val="21"/>
                      <w:highlight w:val="none"/>
                      <w:lang w:val="en-US" w:eastAsia="zh-CN"/>
                    </w:rPr>
                  </w:pPr>
                </w:p>
              </w:tc>
              <w:tc>
                <w:tcPr>
                  <w:tcW w:w="563" w:type="pct"/>
                  <w:noWrap w:val="0"/>
                  <w:vAlign w:val="center"/>
                </w:tcPr>
                <w:p w14:paraId="257D6E37">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w:t>
                  </w:r>
                  <w:r>
                    <w:rPr>
                      <w:rFonts w:hint="eastAsia"/>
                      <w:color w:val="auto"/>
                      <w:sz w:val="21"/>
                      <w:szCs w:val="21"/>
                      <w:highlight w:val="none"/>
                      <w:vertAlign w:val="subscript"/>
                      <w:lang w:val="en-US" w:eastAsia="zh-CN"/>
                    </w:rPr>
                    <w:t>4</w:t>
                  </w:r>
                </w:p>
              </w:tc>
              <w:tc>
                <w:tcPr>
                  <w:tcW w:w="2074" w:type="pct"/>
                  <w:noWrap w:val="0"/>
                  <w:vAlign w:val="top"/>
                </w:tcPr>
                <w:p w14:paraId="6EA1BCBC">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实验室废水</w:t>
                  </w:r>
                </w:p>
              </w:tc>
              <w:tc>
                <w:tcPr>
                  <w:tcW w:w="1480" w:type="pct"/>
                  <w:vMerge w:val="continue"/>
                  <w:noWrap w:val="0"/>
                  <w:vAlign w:val="center"/>
                </w:tcPr>
                <w:p w14:paraId="1BC43ED2">
                  <w:pPr>
                    <w:jc w:val="center"/>
                    <w:rPr>
                      <w:rFonts w:hint="default" w:ascii="Times New Roman" w:hAnsi="Times New Roman" w:eastAsia="宋体"/>
                      <w:color w:val="auto"/>
                      <w:sz w:val="21"/>
                      <w:szCs w:val="21"/>
                      <w:highlight w:val="none"/>
                      <w:lang w:val="en-US" w:eastAsia="zh-CN"/>
                    </w:rPr>
                  </w:pPr>
                </w:p>
              </w:tc>
            </w:tr>
            <w:tr w14:paraId="3A853AEB">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470F1748">
                  <w:pPr>
                    <w:jc w:val="center"/>
                    <w:rPr>
                      <w:rFonts w:hint="eastAsia" w:ascii="Times New Roman" w:hAnsi="Times New Roman"/>
                      <w:color w:val="auto"/>
                      <w:sz w:val="21"/>
                      <w:szCs w:val="21"/>
                      <w:highlight w:val="none"/>
                      <w:lang w:val="en-US" w:eastAsia="zh-CN"/>
                    </w:rPr>
                  </w:pPr>
                </w:p>
              </w:tc>
              <w:tc>
                <w:tcPr>
                  <w:tcW w:w="563" w:type="pct"/>
                  <w:noWrap w:val="0"/>
                  <w:vAlign w:val="center"/>
                </w:tcPr>
                <w:p w14:paraId="04388F27">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W</w:t>
                  </w:r>
                  <w:r>
                    <w:rPr>
                      <w:rFonts w:hint="eastAsia"/>
                      <w:color w:val="auto"/>
                      <w:sz w:val="21"/>
                      <w:szCs w:val="21"/>
                      <w:highlight w:val="none"/>
                      <w:vertAlign w:val="subscript"/>
                      <w:lang w:val="en-US" w:eastAsia="zh-CN"/>
                    </w:rPr>
                    <w:t>5</w:t>
                  </w:r>
                </w:p>
              </w:tc>
              <w:tc>
                <w:tcPr>
                  <w:tcW w:w="2074" w:type="pct"/>
                  <w:noWrap w:val="0"/>
                  <w:vAlign w:val="center"/>
                </w:tcPr>
                <w:p w14:paraId="328F8FE1">
                  <w:pPr>
                    <w:pStyle w:val="73"/>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生活污水</w:t>
                  </w:r>
                </w:p>
              </w:tc>
              <w:tc>
                <w:tcPr>
                  <w:tcW w:w="1480" w:type="pct"/>
                  <w:noWrap w:val="0"/>
                  <w:vAlign w:val="center"/>
                </w:tcPr>
                <w:p w14:paraId="70D83D4F">
                  <w:pPr>
                    <w:jc w:val="center"/>
                    <w:rPr>
                      <w:rFonts w:hint="default" w:ascii="Times New Roman" w:hAnsi="Times New Roman" w:eastAsia="宋体"/>
                      <w:color w:val="auto"/>
                      <w:sz w:val="21"/>
                      <w:szCs w:val="21"/>
                      <w:highlight w:val="none"/>
                      <w:lang w:val="en-US" w:eastAsia="zh-CN"/>
                    </w:rPr>
                  </w:pPr>
                  <w:r>
                    <w:rPr>
                      <w:rFonts w:hint="eastAsia"/>
                      <w:color w:val="auto"/>
                      <w:highlight w:val="none"/>
                      <w:lang w:val="en-US" w:eastAsia="zh-CN"/>
                    </w:rPr>
                    <w:t>CODcr、BOD</w:t>
                  </w:r>
                  <w:r>
                    <w:rPr>
                      <w:rFonts w:hint="eastAsia"/>
                      <w:color w:val="auto"/>
                      <w:highlight w:val="none"/>
                      <w:vertAlign w:val="subscript"/>
                      <w:lang w:val="en-US" w:eastAsia="zh-CN"/>
                    </w:rPr>
                    <w:t>5</w:t>
                  </w:r>
                  <w:r>
                    <w:rPr>
                      <w:rFonts w:hint="eastAsia"/>
                      <w:color w:val="auto"/>
                      <w:highlight w:val="none"/>
                      <w:vertAlign w:val="baseline"/>
                      <w:lang w:val="en-US" w:eastAsia="zh-CN"/>
                    </w:rPr>
                    <w:t>、</w:t>
                  </w:r>
                  <w:r>
                    <w:rPr>
                      <w:rFonts w:hint="eastAsia"/>
                      <w:color w:val="auto"/>
                      <w:highlight w:val="none"/>
                      <w:lang w:val="en-US" w:eastAsia="zh-CN"/>
                    </w:rPr>
                    <w:t>NH</w:t>
                  </w:r>
                  <w:r>
                    <w:rPr>
                      <w:rFonts w:hint="eastAsia"/>
                      <w:color w:val="auto"/>
                      <w:highlight w:val="none"/>
                      <w:vertAlign w:val="subscript"/>
                      <w:lang w:val="en-US" w:eastAsia="zh-CN"/>
                    </w:rPr>
                    <w:t>3</w:t>
                  </w:r>
                  <w:r>
                    <w:rPr>
                      <w:rFonts w:hint="eastAsia"/>
                      <w:color w:val="auto"/>
                      <w:highlight w:val="none"/>
                      <w:lang w:val="en-US" w:eastAsia="zh-CN"/>
                    </w:rPr>
                    <w:t>-N、SS</w:t>
                  </w:r>
                </w:p>
              </w:tc>
            </w:tr>
            <w:tr w14:paraId="468AF3AD">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noWrap w:val="0"/>
                  <w:vAlign w:val="center"/>
                </w:tcPr>
                <w:p w14:paraId="5B885F56">
                  <w:pPr>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噪声</w:t>
                  </w:r>
                </w:p>
              </w:tc>
              <w:tc>
                <w:tcPr>
                  <w:tcW w:w="563" w:type="pct"/>
                  <w:noWrap w:val="0"/>
                  <w:vAlign w:val="center"/>
                </w:tcPr>
                <w:p w14:paraId="1997DFD2">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N</w:t>
                  </w:r>
                </w:p>
              </w:tc>
              <w:tc>
                <w:tcPr>
                  <w:tcW w:w="2074" w:type="pct"/>
                  <w:noWrap w:val="0"/>
                  <w:vAlign w:val="center"/>
                </w:tcPr>
                <w:p w14:paraId="6E52639C">
                  <w:pPr>
                    <w:jc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搅拌机、装载机、物料传输装置、泵与风机类设备</w:t>
                  </w:r>
                </w:p>
              </w:tc>
              <w:tc>
                <w:tcPr>
                  <w:tcW w:w="1480" w:type="pct"/>
                  <w:noWrap w:val="0"/>
                  <w:vAlign w:val="center"/>
                </w:tcPr>
                <w:p w14:paraId="325CE498">
                  <w:pPr>
                    <w:jc w:val="center"/>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等效连续A声级</w:t>
                  </w:r>
                </w:p>
              </w:tc>
            </w:tr>
            <w:tr w14:paraId="01105C09">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51" w:hRule="atLeast"/>
              </w:trPr>
              <w:tc>
                <w:tcPr>
                  <w:tcW w:w="882" w:type="pct"/>
                  <w:vMerge w:val="restart"/>
                  <w:noWrap w:val="0"/>
                  <w:vAlign w:val="center"/>
                </w:tcPr>
                <w:p w14:paraId="73835B06">
                  <w:pPr>
                    <w:jc w:val="center"/>
                    <w:rPr>
                      <w:rFonts w:hint="eastAsia"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固体</w:t>
                  </w:r>
                </w:p>
                <w:p w14:paraId="50B5543D">
                  <w:pPr>
                    <w:jc w:val="center"/>
                    <w:rPr>
                      <w:rFonts w:hint="default" w:ascii="Times New Roman" w:hAnsi="Times New Roman"/>
                      <w:color w:val="auto"/>
                      <w:sz w:val="21"/>
                      <w:szCs w:val="21"/>
                      <w:highlight w:val="none"/>
                      <w:lang w:val="en-US" w:eastAsia="zh-CN"/>
                    </w:rPr>
                  </w:pPr>
                  <w:r>
                    <w:rPr>
                      <w:rFonts w:hint="eastAsia" w:ascii="Times New Roman" w:hAnsi="Times New Roman"/>
                      <w:color w:val="auto"/>
                      <w:sz w:val="21"/>
                      <w:szCs w:val="21"/>
                      <w:highlight w:val="none"/>
                      <w:lang w:val="en-US" w:eastAsia="zh-CN"/>
                    </w:rPr>
                    <w:t>废物</w:t>
                  </w:r>
                </w:p>
              </w:tc>
              <w:tc>
                <w:tcPr>
                  <w:tcW w:w="563" w:type="pct"/>
                  <w:noWrap w:val="0"/>
                  <w:vAlign w:val="center"/>
                </w:tcPr>
                <w:p w14:paraId="1562DEEE">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w:t>
                  </w:r>
                  <w:r>
                    <w:rPr>
                      <w:rFonts w:hint="eastAsia" w:ascii="Times New Roman" w:hAnsi="Times New Roman" w:eastAsia="宋体"/>
                      <w:color w:val="auto"/>
                      <w:sz w:val="21"/>
                      <w:szCs w:val="21"/>
                      <w:highlight w:val="none"/>
                      <w:vertAlign w:val="subscript"/>
                      <w:lang w:val="en-US" w:eastAsia="zh-CN"/>
                    </w:rPr>
                    <w:t>1</w:t>
                  </w:r>
                </w:p>
              </w:tc>
              <w:tc>
                <w:tcPr>
                  <w:tcW w:w="3554" w:type="pct"/>
                  <w:gridSpan w:val="2"/>
                  <w:noWrap w:val="0"/>
                  <w:vAlign w:val="center"/>
                </w:tcPr>
                <w:p w14:paraId="74814B99">
                  <w:pPr>
                    <w:jc w:val="center"/>
                    <w:rPr>
                      <w:rFonts w:hint="eastAsia" w:ascii="Times New Roman" w:hAnsi="Times New Roman" w:eastAsia="宋体"/>
                      <w:color w:val="auto"/>
                      <w:sz w:val="21"/>
                      <w:szCs w:val="21"/>
                      <w:highlight w:val="none"/>
                      <w:lang w:val="en-US" w:eastAsia="zh-CN"/>
                    </w:rPr>
                  </w:pPr>
                  <w:r>
                    <w:rPr>
                      <w:rFonts w:hint="default" w:ascii="Times New Roman" w:hAnsi="Times New Roman" w:cs="Times New Roman"/>
                      <w:color w:val="auto"/>
                      <w:sz w:val="21"/>
                      <w:szCs w:val="21"/>
                      <w:highlight w:val="none"/>
                    </w:rPr>
                    <w:t>布袋除尘器收集的除尘灰</w:t>
                  </w:r>
                </w:p>
              </w:tc>
            </w:tr>
            <w:tr w14:paraId="3BE22ECB">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51" w:hRule="atLeast"/>
              </w:trPr>
              <w:tc>
                <w:tcPr>
                  <w:tcW w:w="882" w:type="pct"/>
                  <w:vMerge w:val="continue"/>
                  <w:noWrap w:val="0"/>
                  <w:vAlign w:val="center"/>
                </w:tcPr>
                <w:p w14:paraId="665D8E02">
                  <w:pPr>
                    <w:jc w:val="center"/>
                    <w:rPr>
                      <w:rFonts w:hint="eastAsia" w:ascii="Times New Roman" w:hAnsi="Times New Roman"/>
                      <w:color w:val="auto"/>
                      <w:sz w:val="21"/>
                      <w:szCs w:val="21"/>
                      <w:highlight w:val="none"/>
                      <w:lang w:val="en-US" w:eastAsia="zh-CN"/>
                    </w:rPr>
                  </w:pPr>
                </w:p>
              </w:tc>
              <w:tc>
                <w:tcPr>
                  <w:tcW w:w="563" w:type="pct"/>
                  <w:noWrap w:val="0"/>
                  <w:vAlign w:val="center"/>
                </w:tcPr>
                <w:p w14:paraId="7E72854D">
                  <w:pPr>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S</w:t>
                  </w:r>
                  <w:r>
                    <w:rPr>
                      <w:rFonts w:hint="eastAsia"/>
                      <w:color w:val="auto"/>
                      <w:sz w:val="21"/>
                      <w:szCs w:val="21"/>
                      <w:highlight w:val="none"/>
                      <w:vertAlign w:val="subscript"/>
                      <w:lang w:val="en-US" w:eastAsia="zh-CN"/>
                    </w:rPr>
                    <w:t>2</w:t>
                  </w:r>
                </w:p>
              </w:tc>
              <w:tc>
                <w:tcPr>
                  <w:tcW w:w="3554" w:type="pct"/>
                  <w:gridSpan w:val="2"/>
                  <w:noWrap w:val="0"/>
                  <w:vAlign w:val="center"/>
                </w:tcPr>
                <w:p w14:paraId="33204CB8">
                  <w:pPr>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废布袋</w:t>
                  </w:r>
                </w:p>
              </w:tc>
            </w:tr>
            <w:tr w14:paraId="0B4B4E4C">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65CF5E2A">
                  <w:pPr>
                    <w:jc w:val="center"/>
                    <w:rPr>
                      <w:rFonts w:hint="eastAsia" w:ascii="Times New Roman" w:hAnsi="Times New Roman"/>
                      <w:color w:val="auto"/>
                      <w:sz w:val="21"/>
                      <w:szCs w:val="21"/>
                      <w:highlight w:val="none"/>
                      <w:lang w:val="en-US" w:eastAsia="zh-CN"/>
                    </w:rPr>
                  </w:pPr>
                </w:p>
              </w:tc>
              <w:tc>
                <w:tcPr>
                  <w:tcW w:w="563" w:type="pct"/>
                  <w:noWrap w:val="0"/>
                  <w:vAlign w:val="center"/>
                </w:tcPr>
                <w:p w14:paraId="2B468D6B">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w:t>
                  </w:r>
                  <w:r>
                    <w:rPr>
                      <w:rFonts w:hint="eastAsia"/>
                      <w:color w:val="auto"/>
                      <w:sz w:val="21"/>
                      <w:szCs w:val="21"/>
                      <w:highlight w:val="none"/>
                      <w:vertAlign w:val="subscript"/>
                      <w:lang w:val="en-US" w:eastAsia="zh-CN"/>
                    </w:rPr>
                    <w:t>3</w:t>
                  </w:r>
                </w:p>
              </w:tc>
              <w:tc>
                <w:tcPr>
                  <w:tcW w:w="3554" w:type="pct"/>
                  <w:gridSpan w:val="2"/>
                  <w:noWrap w:val="0"/>
                  <w:vAlign w:val="center"/>
                </w:tcPr>
                <w:p w14:paraId="561DE530">
                  <w:pPr>
                    <w:jc w:val="center"/>
                    <w:rPr>
                      <w:rFonts w:hint="eastAsia" w:ascii="Times New Roman" w:hAnsi="Times New Roman" w:eastAsia="宋体"/>
                      <w:color w:val="auto"/>
                      <w:sz w:val="21"/>
                      <w:szCs w:val="21"/>
                      <w:highlight w:val="none"/>
                      <w:lang w:val="en-US" w:eastAsia="zh-CN"/>
                    </w:rPr>
                  </w:pPr>
                  <w:r>
                    <w:rPr>
                      <w:rFonts w:hint="default" w:ascii="Times New Roman" w:hAnsi="Times New Roman" w:cs="Times New Roman"/>
                      <w:color w:val="auto"/>
                      <w:sz w:val="21"/>
                      <w:szCs w:val="21"/>
                      <w:highlight w:val="none"/>
                    </w:rPr>
                    <w:t>沉淀池沉渣</w:t>
                  </w:r>
                </w:p>
              </w:tc>
            </w:tr>
            <w:tr w14:paraId="1120A89E">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6EA8FD7B">
                  <w:pPr>
                    <w:jc w:val="center"/>
                    <w:rPr>
                      <w:rFonts w:hint="eastAsia" w:ascii="Times New Roman" w:hAnsi="Times New Roman"/>
                      <w:color w:val="auto"/>
                      <w:sz w:val="21"/>
                      <w:szCs w:val="21"/>
                      <w:highlight w:val="none"/>
                      <w:lang w:val="en-US" w:eastAsia="zh-CN"/>
                    </w:rPr>
                  </w:pPr>
                </w:p>
              </w:tc>
              <w:tc>
                <w:tcPr>
                  <w:tcW w:w="563" w:type="pct"/>
                  <w:noWrap w:val="0"/>
                  <w:vAlign w:val="center"/>
                </w:tcPr>
                <w:p w14:paraId="6BF10883">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w:t>
                  </w:r>
                  <w:r>
                    <w:rPr>
                      <w:rFonts w:hint="eastAsia"/>
                      <w:color w:val="auto"/>
                      <w:sz w:val="21"/>
                      <w:szCs w:val="21"/>
                      <w:highlight w:val="none"/>
                      <w:vertAlign w:val="subscript"/>
                      <w:lang w:val="en-US" w:eastAsia="zh-CN"/>
                    </w:rPr>
                    <w:t>4</w:t>
                  </w:r>
                </w:p>
              </w:tc>
              <w:tc>
                <w:tcPr>
                  <w:tcW w:w="3554" w:type="pct"/>
                  <w:gridSpan w:val="2"/>
                  <w:noWrap w:val="0"/>
                  <w:vAlign w:val="center"/>
                </w:tcPr>
                <w:p w14:paraId="76A50AD9">
                  <w:pPr>
                    <w:jc w:val="center"/>
                    <w:rPr>
                      <w:rFonts w:hint="eastAsia"/>
                      <w:color w:val="auto"/>
                      <w:spacing w:val="8"/>
                      <w:sz w:val="21"/>
                      <w:szCs w:val="21"/>
                      <w:highlight w:val="none"/>
                      <w:lang w:eastAsia="zh-CN"/>
                    </w:rPr>
                  </w:pPr>
                  <w:r>
                    <w:rPr>
                      <w:rFonts w:hint="default" w:ascii="Times New Roman" w:hAnsi="Times New Roman" w:cs="Times New Roman"/>
                      <w:color w:val="auto"/>
                      <w:sz w:val="21"/>
                      <w:szCs w:val="21"/>
                      <w:highlight w:val="none"/>
                    </w:rPr>
                    <w:t>实验室混凝土块及遗散混凝土</w:t>
                  </w:r>
                </w:p>
              </w:tc>
            </w:tr>
            <w:tr w14:paraId="7DF37557">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571BFB91">
                  <w:pPr>
                    <w:jc w:val="center"/>
                    <w:rPr>
                      <w:rFonts w:hint="eastAsia" w:ascii="Times New Roman" w:hAnsi="Times New Roman"/>
                      <w:color w:val="auto"/>
                      <w:sz w:val="21"/>
                      <w:szCs w:val="21"/>
                      <w:highlight w:val="none"/>
                      <w:lang w:val="en-US" w:eastAsia="zh-CN"/>
                    </w:rPr>
                  </w:pPr>
                </w:p>
              </w:tc>
              <w:tc>
                <w:tcPr>
                  <w:tcW w:w="563" w:type="pct"/>
                  <w:noWrap w:val="0"/>
                  <w:vAlign w:val="center"/>
                </w:tcPr>
                <w:p w14:paraId="6314E963">
                  <w:pPr>
                    <w:jc w:val="center"/>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S</w:t>
                  </w:r>
                  <w:r>
                    <w:rPr>
                      <w:rFonts w:hint="eastAsia"/>
                      <w:color w:val="auto"/>
                      <w:sz w:val="21"/>
                      <w:szCs w:val="21"/>
                      <w:highlight w:val="none"/>
                      <w:vertAlign w:val="subscript"/>
                      <w:lang w:val="en-US" w:eastAsia="zh-CN"/>
                    </w:rPr>
                    <w:t>5</w:t>
                  </w:r>
                </w:p>
              </w:tc>
              <w:tc>
                <w:tcPr>
                  <w:tcW w:w="3554" w:type="pct"/>
                  <w:gridSpan w:val="2"/>
                  <w:noWrap w:val="0"/>
                  <w:vAlign w:val="center"/>
                </w:tcPr>
                <w:p w14:paraId="34497D7B">
                  <w:pPr>
                    <w:jc w:val="center"/>
                    <w:rPr>
                      <w:rFonts w:hint="eastAsia"/>
                      <w:color w:val="auto"/>
                      <w:spacing w:val="8"/>
                      <w:sz w:val="21"/>
                      <w:szCs w:val="21"/>
                      <w:highlight w:val="none"/>
                      <w:lang w:eastAsia="zh-CN"/>
                    </w:rPr>
                  </w:pPr>
                  <w:r>
                    <w:rPr>
                      <w:rFonts w:hint="default" w:ascii="Times New Roman" w:hAnsi="Times New Roman" w:cs="Times New Roman"/>
                      <w:color w:val="auto"/>
                      <w:sz w:val="21"/>
                      <w:szCs w:val="21"/>
                      <w:highlight w:val="none"/>
                    </w:rPr>
                    <w:t>生活垃圾</w:t>
                  </w:r>
                </w:p>
              </w:tc>
            </w:tr>
            <w:tr w14:paraId="15475C96">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49" w:hRule="atLeast"/>
              </w:trPr>
              <w:tc>
                <w:tcPr>
                  <w:tcW w:w="882" w:type="pct"/>
                  <w:vMerge w:val="continue"/>
                  <w:noWrap w:val="0"/>
                  <w:vAlign w:val="center"/>
                </w:tcPr>
                <w:p w14:paraId="33DC62BE">
                  <w:pPr>
                    <w:jc w:val="center"/>
                    <w:rPr>
                      <w:rFonts w:hint="eastAsia" w:ascii="Times New Roman" w:hAnsi="Times New Roman"/>
                      <w:color w:val="auto"/>
                      <w:sz w:val="21"/>
                      <w:szCs w:val="21"/>
                      <w:highlight w:val="none"/>
                      <w:lang w:val="en-US" w:eastAsia="zh-CN"/>
                    </w:rPr>
                  </w:pPr>
                </w:p>
              </w:tc>
              <w:tc>
                <w:tcPr>
                  <w:tcW w:w="563" w:type="pct"/>
                  <w:noWrap w:val="0"/>
                  <w:vAlign w:val="center"/>
                </w:tcPr>
                <w:p w14:paraId="79B0D0BB">
                  <w:pPr>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S</w:t>
                  </w:r>
                  <w:r>
                    <w:rPr>
                      <w:rFonts w:hint="eastAsia"/>
                      <w:color w:val="auto"/>
                      <w:sz w:val="21"/>
                      <w:szCs w:val="21"/>
                      <w:highlight w:val="none"/>
                      <w:vertAlign w:val="subscript"/>
                      <w:lang w:val="en-US" w:eastAsia="zh-CN"/>
                    </w:rPr>
                    <w:t>6</w:t>
                  </w:r>
                </w:p>
              </w:tc>
              <w:tc>
                <w:tcPr>
                  <w:tcW w:w="3554" w:type="pct"/>
                  <w:gridSpan w:val="2"/>
                  <w:noWrap w:val="0"/>
                  <w:vAlign w:val="center"/>
                </w:tcPr>
                <w:p w14:paraId="3C10CFA6">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废矿物油、废油桶</w:t>
                  </w:r>
                </w:p>
              </w:tc>
            </w:tr>
            <w:tr w14:paraId="284C5981">
              <w:tblPrEx>
                <w:tblBorders>
                  <w:top w:val="single" w:color="auto" w:sz="12" w:space="0"/>
                  <w:left w:val="dotted" w:color="auto" w:sz="4" w:space="0"/>
                  <w:bottom w:val="single" w:color="auto" w:sz="12"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90" w:hRule="atLeast"/>
              </w:trPr>
              <w:tc>
                <w:tcPr>
                  <w:tcW w:w="882" w:type="pct"/>
                  <w:vMerge w:val="continue"/>
                  <w:noWrap w:val="0"/>
                  <w:vAlign w:val="center"/>
                </w:tcPr>
                <w:p w14:paraId="2941960D">
                  <w:pPr>
                    <w:jc w:val="center"/>
                    <w:rPr>
                      <w:rFonts w:hint="eastAsia" w:ascii="Times New Roman" w:hAnsi="Times New Roman"/>
                      <w:color w:val="auto"/>
                      <w:sz w:val="21"/>
                      <w:szCs w:val="21"/>
                      <w:highlight w:val="none"/>
                      <w:lang w:val="en-US" w:eastAsia="zh-CN"/>
                    </w:rPr>
                  </w:pPr>
                </w:p>
              </w:tc>
              <w:tc>
                <w:tcPr>
                  <w:tcW w:w="563" w:type="pct"/>
                  <w:noWrap w:val="0"/>
                  <w:vAlign w:val="center"/>
                </w:tcPr>
                <w:p w14:paraId="44C50710">
                  <w:pPr>
                    <w:jc w:val="center"/>
                    <w:rPr>
                      <w:rFonts w:hint="eastAsia"/>
                      <w:color w:val="auto"/>
                      <w:sz w:val="21"/>
                      <w:szCs w:val="21"/>
                      <w:highlight w:val="none"/>
                      <w:lang w:val="en-US" w:eastAsia="zh-CN"/>
                    </w:rPr>
                  </w:pPr>
                  <w:r>
                    <w:rPr>
                      <w:rFonts w:hint="eastAsia"/>
                      <w:color w:val="auto"/>
                      <w:sz w:val="21"/>
                      <w:szCs w:val="21"/>
                      <w:highlight w:val="yellow"/>
                      <w:lang w:val="en-US" w:eastAsia="zh-CN"/>
                    </w:rPr>
                    <w:t>S</w:t>
                  </w:r>
                  <w:r>
                    <w:rPr>
                      <w:rFonts w:hint="eastAsia"/>
                      <w:color w:val="auto"/>
                      <w:sz w:val="21"/>
                      <w:szCs w:val="21"/>
                      <w:highlight w:val="yellow"/>
                      <w:vertAlign w:val="subscript"/>
                      <w:lang w:val="en-US" w:eastAsia="zh-CN"/>
                    </w:rPr>
                    <w:t>7</w:t>
                  </w:r>
                </w:p>
              </w:tc>
              <w:tc>
                <w:tcPr>
                  <w:tcW w:w="3554" w:type="pct"/>
                  <w:gridSpan w:val="2"/>
                  <w:noWrap w:val="0"/>
                  <w:vAlign w:val="center"/>
                </w:tcPr>
                <w:p w14:paraId="76BB8FD7">
                  <w:pPr>
                    <w:jc w:val="center"/>
                    <w:rPr>
                      <w:rFonts w:hint="default" w:ascii="Times New Roman" w:hAnsi="Times New Roman" w:cs="Times New Roman"/>
                      <w:color w:val="auto"/>
                      <w:sz w:val="21"/>
                      <w:szCs w:val="21"/>
                      <w:highlight w:val="none"/>
                    </w:rPr>
                  </w:pPr>
                  <w:r>
                    <w:rPr>
                      <w:rFonts w:hint="eastAsia" w:cs="Times New Roman"/>
                      <w:color w:val="auto"/>
                      <w:kern w:val="0"/>
                      <w:highlight w:val="yellow"/>
                      <w:lang w:val="en-US" w:eastAsia="zh-CN"/>
                    </w:rPr>
                    <w:t>含油废手套、废抹布</w:t>
                  </w:r>
                </w:p>
              </w:tc>
            </w:tr>
          </w:tbl>
          <w:p w14:paraId="3DF78ADD">
            <w:pPr>
              <w:spacing w:line="360" w:lineRule="auto"/>
              <w:ind w:firstLine="480" w:firstLineChars="200"/>
              <w:rPr>
                <w:rFonts w:hint="default" w:ascii="宋体" w:hAnsi="宋体" w:eastAsia="宋体"/>
                <w:bCs/>
                <w:color w:val="auto"/>
                <w:sz w:val="24"/>
                <w:highlight w:val="none"/>
                <w:lang w:val="en-US" w:eastAsia="zh-CN"/>
              </w:rPr>
            </w:pPr>
          </w:p>
        </w:tc>
      </w:tr>
      <w:tr w14:paraId="23BD3C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3" w:type="dxa"/>
            <w:noWrap w:val="0"/>
            <w:vAlign w:val="center"/>
          </w:tcPr>
          <w:p w14:paraId="1A69C17D">
            <w:pPr>
              <w:pStyle w:val="19"/>
              <w:adjustRightInd w:val="0"/>
              <w:snapToGrid w:val="0"/>
              <w:spacing w:before="0" w:beforeAutospacing="0" w:after="0" w:afterAutospacing="0"/>
              <w:jc w:val="center"/>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与项目有关的原有环境污染问题</w:t>
            </w:r>
          </w:p>
        </w:tc>
        <w:tc>
          <w:tcPr>
            <w:tcW w:w="8161" w:type="dxa"/>
            <w:noWrap w:val="0"/>
            <w:vAlign w:val="center"/>
          </w:tcPr>
          <w:p w14:paraId="7B000C7C">
            <w:pPr>
              <w:spacing w:line="360" w:lineRule="auto"/>
              <w:jc w:val="center"/>
              <w:rPr>
                <w:rFonts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本项目为新建项目，无与项目有关的原有环境问题。</w:t>
            </w:r>
          </w:p>
        </w:tc>
      </w:tr>
    </w:tbl>
    <w:p w14:paraId="7FB51987">
      <w:pPr>
        <w:pStyle w:val="19"/>
        <w:jc w:val="center"/>
        <w:rPr>
          <w:rFonts w:ascii="黑体" w:hAnsi="黑体" w:eastAsia="黑体"/>
          <w:snapToGrid w:val="0"/>
          <w:color w:val="auto"/>
          <w:sz w:val="36"/>
          <w:szCs w:val="36"/>
          <w:highlight w:val="none"/>
        </w:rPr>
        <w:sectPr>
          <w:footerReference r:id="rId5" w:type="default"/>
          <w:pgSz w:w="11906" w:h="16838"/>
          <w:pgMar w:top="1418" w:right="1418" w:bottom="1418" w:left="1418" w:header="851" w:footer="851" w:gutter="0"/>
          <w:pgBorders>
            <w:top w:val="none" w:sz="0" w:space="0"/>
            <w:left w:val="none" w:sz="0" w:space="0"/>
            <w:bottom w:val="none" w:sz="0" w:space="0"/>
            <w:right w:val="none" w:sz="0" w:space="0"/>
          </w:pgBorders>
          <w:cols w:space="720" w:num="1"/>
          <w:docGrid w:linePitch="312" w:charSpace="0"/>
        </w:sectPr>
      </w:pPr>
    </w:p>
    <w:p w14:paraId="08B818E8">
      <w:pPr>
        <w:pStyle w:val="19"/>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三、区域环境质量现状、环境保护目标及评价标准</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8190"/>
      </w:tblGrid>
      <w:tr w14:paraId="321651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00" w:type="dxa"/>
            <w:noWrap w:val="0"/>
            <w:vAlign w:val="center"/>
          </w:tcPr>
          <w:p w14:paraId="72489D07">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区域</w:t>
            </w:r>
          </w:p>
          <w:p w14:paraId="1014C1DC">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环境</w:t>
            </w:r>
          </w:p>
          <w:p w14:paraId="27C68412">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质量</w:t>
            </w:r>
          </w:p>
          <w:p w14:paraId="25A993F4">
            <w:pPr>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现状</w:t>
            </w:r>
          </w:p>
        </w:tc>
        <w:tc>
          <w:tcPr>
            <w:tcW w:w="8190" w:type="dxa"/>
            <w:noWrap w:val="0"/>
            <w:vAlign w:val="center"/>
          </w:tcPr>
          <w:p w14:paraId="667BEDDA">
            <w:pPr>
              <w:pStyle w:val="66"/>
              <w:keepNext w:val="0"/>
              <w:keepLines w:val="0"/>
              <w:pageBreakBefore w:val="0"/>
              <w:widowControl/>
              <w:kinsoku/>
              <w:wordWrap/>
              <w:overflowPunct/>
              <w:topLinePunct w:val="0"/>
              <w:autoSpaceDE/>
              <w:autoSpaceDN/>
              <w:bidi w:val="0"/>
              <w:adjustRightInd/>
              <w:snapToGrid/>
              <w:textAlignment w:val="auto"/>
              <w:rPr>
                <w:color w:val="auto"/>
                <w:highlight w:val="none"/>
              </w:rPr>
            </w:pPr>
            <w:bookmarkStart w:id="3" w:name="_Hlk58509771"/>
            <w:bookmarkStart w:id="4" w:name="_Hlk531787569"/>
            <w:r>
              <w:rPr>
                <w:color w:val="auto"/>
                <w:highlight w:val="none"/>
              </w:rPr>
              <w:t>一、环境空气质量现状</w:t>
            </w:r>
          </w:p>
          <w:p w14:paraId="47BDED13">
            <w:pPr>
              <w:wordWrap w:val="0"/>
              <w:spacing w:line="360" w:lineRule="auto"/>
              <w:ind w:firstLine="482"/>
              <w:rPr>
                <w:color w:val="auto"/>
                <w:sz w:val="24"/>
                <w:highlight w:val="none"/>
              </w:rPr>
            </w:pPr>
            <w:bookmarkStart w:id="5" w:name="_Hlk39759730"/>
            <w:r>
              <w:rPr>
                <w:rFonts w:hint="eastAsia"/>
                <w:color w:val="auto"/>
                <w:sz w:val="24"/>
                <w:highlight w:val="none"/>
              </w:rPr>
              <w:t>（1）达标区判定</w:t>
            </w:r>
          </w:p>
          <w:p w14:paraId="3CDACB5D">
            <w:pPr>
              <w:wordWrap w:val="0"/>
              <w:spacing w:line="360" w:lineRule="auto"/>
              <w:ind w:firstLine="482"/>
              <w:rPr>
                <w:rFonts w:hint="default" w:ascii="Times New Roman" w:hAnsi="Times New Roman" w:cs="Times New Roman"/>
                <w:color w:val="auto"/>
                <w:sz w:val="24"/>
                <w:highlight w:val="none"/>
              </w:rPr>
            </w:pPr>
            <w:r>
              <w:rPr>
                <w:rFonts w:hint="eastAsia" w:cs="Times New Roman"/>
                <w:color w:val="auto"/>
                <w:sz w:val="24"/>
                <w:highlight w:val="none"/>
                <w:lang w:val="en-US" w:eastAsia="zh-CN"/>
              </w:rPr>
              <w:t>本项目位于鄂尔多斯市伊金霍洛旗，</w:t>
            </w:r>
            <w:r>
              <w:rPr>
                <w:rFonts w:hint="default" w:ascii="Times New Roman" w:hAnsi="Times New Roman" w:cs="Times New Roman"/>
                <w:color w:val="auto"/>
                <w:sz w:val="24"/>
                <w:highlight w:val="none"/>
              </w:rPr>
              <w:t>2026年6月内蒙古自治区生态环境厅发布了《2025年内蒙古自治区生态环境状况公报》，报告指出“2025年，全区环境空气六项污染物年均浓度均达标。”因此，本项目位于环境空气质量达标区。</w:t>
            </w:r>
          </w:p>
          <w:bookmarkEnd w:id="3"/>
          <w:bookmarkEnd w:id="4"/>
          <w:bookmarkEnd w:id="5"/>
          <w:p w14:paraId="6EFF3191">
            <w:pPr>
              <w:keepNext/>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本项目大气特征监测因子TSP引用《</w:t>
            </w:r>
            <w:r>
              <w:rPr>
                <w:rFonts w:hint="eastAsia"/>
                <w:color w:val="auto"/>
                <w:spacing w:val="-4"/>
                <w:sz w:val="24"/>
                <w:highlight w:val="none"/>
                <w:lang w:val="en-US" w:eastAsia="zh-CN"/>
              </w:rPr>
              <w:t>内蒙古聚鑫源工贸有限责任公司物料生产加工及成料堆场项目环境影响报告表</w:t>
            </w:r>
            <w:r>
              <w:rPr>
                <w:rFonts w:hint="default" w:ascii="Times New Roman" w:hAnsi="Times New Roman" w:eastAsia="宋体" w:cs="Times New Roman"/>
                <w:color w:val="auto"/>
                <w:sz w:val="24"/>
                <w:szCs w:val="24"/>
                <w:highlight w:val="none"/>
              </w:rPr>
              <w:t>》中</w:t>
            </w:r>
            <w:r>
              <w:rPr>
                <w:rFonts w:hint="eastAsia" w:ascii="Times New Roman" w:hAnsi="Times New Roman" w:eastAsia="宋体" w:cs="Times New Roman"/>
                <w:color w:val="auto"/>
                <w:kern w:val="0"/>
                <w:sz w:val="24"/>
                <w:highlight w:val="none"/>
                <w:lang w:val="en-US" w:eastAsia="zh-CN"/>
              </w:rPr>
              <w:t>内蒙古腾烽环境检测有限公司</w:t>
            </w:r>
            <w:r>
              <w:rPr>
                <w:rFonts w:hint="default" w:ascii="Times New Roman" w:hAnsi="Times New Roman" w:eastAsia="宋体" w:cs="Times New Roman"/>
                <w:color w:val="auto"/>
                <w:sz w:val="24"/>
                <w:szCs w:val="24"/>
                <w:highlight w:val="none"/>
              </w:rPr>
              <w:t>监测数据，采样时间为</w:t>
            </w:r>
            <w:r>
              <w:rPr>
                <w:rFonts w:hint="default" w:ascii="Times New Roman" w:hAnsi="Times New Roman" w:cs="Times New Roman"/>
                <w:color w:val="auto"/>
                <w:kern w:val="0"/>
                <w:sz w:val="24"/>
                <w:highlight w:val="none"/>
              </w:rPr>
              <w:t>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9</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25</w:t>
            </w:r>
            <w:r>
              <w:rPr>
                <w:rFonts w:hint="default" w:ascii="Times New Roman" w:hAnsi="Times New Roman" w:cs="Times New Roman"/>
                <w:color w:val="auto"/>
                <w:kern w:val="0"/>
                <w:sz w:val="24"/>
                <w:highlight w:val="none"/>
              </w:rPr>
              <w:t>日至202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cs="Times New Roman"/>
                <w:color w:val="auto"/>
                <w:kern w:val="0"/>
                <w:sz w:val="24"/>
                <w:highlight w:val="none"/>
                <w:lang w:val="en-US" w:eastAsia="zh-CN"/>
              </w:rPr>
              <w:t>9</w:t>
            </w:r>
            <w:r>
              <w:rPr>
                <w:rFonts w:hint="default" w:ascii="Times New Roman" w:hAnsi="Times New Roman" w:cs="Times New Roman"/>
                <w:color w:val="auto"/>
                <w:kern w:val="0"/>
                <w:sz w:val="24"/>
                <w:highlight w:val="none"/>
              </w:rPr>
              <w:t>月</w:t>
            </w:r>
            <w:r>
              <w:rPr>
                <w:rFonts w:hint="eastAsia" w:cs="Times New Roman"/>
                <w:color w:val="auto"/>
                <w:kern w:val="0"/>
                <w:sz w:val="24"/>
                <w:highlight w:val="none"/>
                <w:lang w:val="en-US" w:eastAsia="zh-CN"/>
              </w:rPr>
              <w:t>27</w:t>
            </w:r>
            <w:r>
              <w:rPr>
                <w:rFonts w:hint="default" w:ascii="Times New Roman" w:hAnsi="Times New Roman" w:cs="Times New Roman"/>
                <w:color w:val="auto"/>
                <w:kern w:val="0"/>
                <w:sz w:val="24"/>
                <w:highlight w:val="none"/>
              </w:rPr>
              <w:t>日</w:t>
            </w:r>
            <w:r>
              <w:rPr>
                <w:rFonts w:hint="default" w:ascii="Times New Roman" w:hAnsi="Times New Roman" w:eastAsia="宋体" w:cs="Times New Roman"/>
                <w:color w:val="auto"/>
                <w:sz w:val="24"/>
                <w:szCs w:val="24"/>
                <w:highlight w:val="none"/>
              </w:rPr>
              <w:t>，连续</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天监测，距离本项目</w:t>
            </w:r>
            <w:r>
              <w:rPr>
                <w:rFonts w:hint="eastAsia" w:ascii="Times New Roman" w:hAnsi="Times New Roman" w:eastAsia="宋体" w:cs="Times New Roman"/>
                <w:color w:val="auto"/>
                <w:sz w:val="24"/>
                <w:szCs w:val="24"/>
                <w:highlight w:val="none"/>
                <w:lang w:val="en-US" w:eastAsia="zh-CN"/>
              </w:rPr>
              <w:t>168</w:t>
            </w:r>
            <w:r>
              <w:rPr>
                <w:rFonts w:hint="default" w:ascii="Times New Roman" w:hAnsi="Times New Roman" w:eastAsia="宋体" w:cs="Times New Roman"/>
                <w:color w:val="auto"/>
                <w:sz w:val="24"/>
                <w:szCs w:val="24"/>
                <w:highlight w:val="none"/>
              </w:rPr>
              <w:t>m，监测点位、监测时间及频次均符合《环境影响评价技术导则大气环境》（HJ2.2-2018）中环境空气质量现状调查与评价的要求。</w:t>
            </w:r>
          </w:p>
          <w:p w14:paraId="5F513AAA">
            <w:pPr>
              <w:pStyle w:val="82"/>
              <w:bidi w:val="0"/>
              <w:rPr>
                <w:rFonts w:hint="default"/>
                <w:color w:val="auto"/>
                <w:highlight w:val="none"/>
              </w:rPr>
            </w:pPr>
            <w:r>
              <w:rPr>
                <w:rFonts w:hint="default"/>
                <w:color w:val="auto"/>
                <w:highlight w:val="none"/>
              </w:rPr>
              <w:t>表3-</w:t>
            </w:r>
            <w:r>
              <w:rPr>
                <w:rFonts w:hint="default"/>
                <w:color w:val="auto"/>
                <w:highlight w:val="none"/>
                <w:lang w:val="en-US" w:eastAsia="zh-CN"/>
              </w:rPr>
              <w:t>1</w:t>
            </w:r>
            <w:r>
              <w:rPr>
                <w:rFonts w:hint="default"/>
                <w:color w:val="auto"/>
                <w:highlight w:val="none"/>
              </w:rPr>
              <w:t>项目补充监测污染物环境空气质量现状评价结果一览表</w:t>
            </w:r>
          </w:p>
          <w:tbl>
            <w:tblPr>
              <w:tblStyle w:val="22"/>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55"/>
              <w:gridCol w:w="1583"/>
              <w:gridCol w:w="915"/>
              <w:gridCol w:w="1095"/>
              <w:gridCol w:w="690"/>
              <w:gridCol w:w="1219"/>
              <w:gridCol w:w="911"/>
            </w:tblGrid>
            <w:tr w14:paraId="6ED40D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86" w:hRule="atLeast"/>
                <w:jc w:val="center"/>
              </w:trPr>
              <w:tc>
                <w:tcPr>
                  <w:tcW w:w="978" w:type="pct"/>
                  <w:noWrap w:val="0"/>
                  <w:vAlign w:val="center"/>
                </w:tcPr>
                <w:p w14:paraId="6365AF81">
                  <w:pPr>
                    <w:pStyle w:val="83"/>
                    <w:bidi w:val="0"/>
                    <w:rPr>
                      <w:rFonts w:hint="default"/>
                      <w:b/>
                      <w:bCs/>
                      <w:color w:val="auto"/>
                      <w:highlight w:val="none"/>
                      <w:lang w:val="en-US" w:eastAsia="zh-CN"/>
                    </w:rPr>
                  </w:pPr>
                  <w:r>
                    <w:rPr>
                      <w:rFonts w:hint="eastAsia"/>
                      <w:b/>
                      <w:bCs/>
                      <w:color w:val="auto"/>
                      <w:highlight w:val="none"/>
                      <w:lang w:val="en-US" w:eastAsia="zh-CN"/>
                    </w:rPr>
                    <w:t>监测点位</w:t>
                  </w:r>
                </w:p>
              </w:tc>
              <w:tc>
                <w:tcPr>
                  <w:tcW w:w="977" w:type="pct"/>
                  <w:noWrap w:val="0"/>
                  <w:vAlign w:val="center"/>
                </w:tcPr>
                <w:p w14:paraId="7EEE8A5D">
                  <w:pPr>
                    <w:pStyle w:val="83"/>
                    <w:bidi w:val="0"/>
                    <w:rPr>
                      <w:b/>
                      <w:bCs/>
                      <w:color w:val="auto"/>
                      <w:highlight w:val="none"/>
                    </w:rPr>
                  </w:pPr>
                  <w:r>
                    <w:rPr>
                      <w:b/>
                      <w:bCs/>
                      <w:color w:val="auto"/>
                      <w:highlight w:val="none"/>
                    </w:rPr>
                    <w:t>监测点坐标</w:t>
                  </w:r>
                </w:p>
              </w:tc>
              <w:tc>
                <w:tcPr>
                  <w:tcW w:w="577" w:type="pct"/>
                  <w:noWrap w:val="0"/>
                  <w:vAlign w:val="center"/>
                </w:tcPr>
                <w:p w14:paraId="473E6BAD">
                  <w:pPr>
                    <w:pStyle w:val="83"/>
                    <w:bidi w:val="0"/>
                    <w:rPr>
                      <w:b/>
                      <w:bCs/>
                      <w:color w:val="auto"/>
                      <w:highlight w:val="none"/>
                    </w:rPr>
                  </w:pPr>
                  <w:r>
                    <w:rPr>
                      <w:b/>
                      <w:bCs/>
                      <w:color w:val="auto"/>
                      <w:highlight w:val="none"/>
                    </w:rPr>
                    <w:t>污染物</w:t>
                  </w:r>
                </w:p>
              </w:tc>
              <w:tc>
                <w:tcPr>
                  <w:tcW w:w="1126" w:type="pct"/>
                  <w:gridSpan w:val="2"/>
                  <w:noWrap w:val="0"/>
                  <w:vAlign w:val="center"/>
                </w:tcPr>
                <w:p w14:paraId="3464B256">
                  <w:pPr>
                    <w:pStyle w:val="83"/>
                    <w:bidi w:val="0"/>
                    <w:rPr>
                      <w:rFonts w:hint="default"/>
                      <w:b/>
                      <w:bCs/>
                      <w:color w:val="auto"/>
                      <w:highlight w:val="none"/>
                      <w:lang w:val="en-US" w:eastAsia="zh-CN"/>
                    </w:rPr>
                  </w:pPr>
                  <w:r>
                    <w:rPr>
                      <w:rFonts w:hint="eastAsia"/>
                      <w:b/>
                      <w:bCs/>
                      <w:color w:val="auto"/>
                      <w:highlight w:val="none"/>
                      <w:lang w:val="en-US" w:eastAsia="zh-CN"/>
                    </w:rPr>
                    <w:t>日均值测定结果（m</w:t>
                  </w:r>
                  <w:r>
                    <w:rPr>
                      <w:rFonts w:hint="default"/>
                      <w:b/>
                      <w:bCs/>
                      <w:color w:val="auto"/>
                      <w:highlight w:val="none"/>
                    </w:rPr>
                    <w:t>g/m</w:t>
                  </w:r>
                  <w:r>
                    <w:rPr>
                      <w:rFonts w:hint="default"/>
                      <w:b/>
                      <w:bCs/>
                      <w:color w:val="auto"/>
                      <w:highlight w:val="none"/>
                      <w:vertAlign w:val="superscript"/>
                    </w:rPr>
                    <w:t>3</w:t>
                  </w:r>
                  <w:r>
                    <w:rPr>
                      <w:rFonts w:hint="eastAsia"/>
                      <w:b/>
                      <w:bCs/>
                      <w:color w:val="auto"/>
                      <w:highlight w:val="none"/>
                      <w:lang w:val="en-US" w:eastAsia="zh-CN"/>
                    </w:rPr>
                    <w:t>）</w:t>
                  </w:r>
                </w:p>
              </w:tc>
              <w:tc>
                <w:tcPr>
                  <w:tcW w:w="764" w:type="pct"/>
                  <w:noWrap w:val="0"/>
                  <w:vAlign w:val="center"/>
                </w:tcPr>
                <w:p w14:paraId="6F110D30">
                  <w:pPr>
                    <w:pStyle w:val="83"/>
                    <w:bidi w:val="0"/>
                    <w:rPr>
                      <w:b/>
                      <w:bCs/>
                      <w:color w:val="auto"/>
                      <w:highlight w:val="none"/>
                    </w:rPr>
                  </w:pPr>
                  <w:r>
                    <w:rPr>
                      <w:b/>
                      <w:bCs/>
                      <w:color w:val="auto"/>
                      <w:highlight w:val="none"/>
                    </w:rPr>
                    <w:t>评价标准（</w:t>
                  </w:r>
                  <w:r>
                    <w:rPr>
                      <w:rFonts w:hint="eastAsia"/>
                      <w:b/>
                      <w:bCs/>
                      <w:color w:val="auto"/>
                      <w:highlight w:val="none"/>
                      <w:lang w:val="en-US" w:eastAsia="zh-CN"/>
                    </w:rPr>
                    <w:t>m</w:t>
                  </w:r>
                  <w:r>
                    <w:rPr>
                      <w:b/>
                      <w:bCs/>
                      <w:color w:val="auto"/>
                      <w:highlight w:val="none"/>
                    </w:rPr>
                    <w:t>g/m</w:t>
                  </w:r>
                  <w:r>
                    <w:rPr>
                      <w:b/>
                      <w:bCs/>
                      <w:color w:val="auto"/>
                      <w:highlight w:val="none"/>
                      <w:vertAlign w:val="superscript"/>
                    </w:rPr>
                    <w:t>3</w:t>
                  </w:r>
                  <w:r>
                    <w:rPr>
                      <w:b/>
                      <w:bCs/>
                      <w:color w:val="auto"/>
                      <w:highlight w:val="none"/>
                    </w:rPr>
                    <w:t>）</w:t>
                  </w:r>
                </w:p>
              </w:tc>
              <w:tc>
                <w:tcPr>
                  <w:tcW w:w="574" w:type="pct"/>
                  <w:noWrap w:val="0"/>
                  <w:vAlign w:val="center"/>
                </w:tcPr>
                <w:p w14:paraId="2D2CE7A4">
                  <w:pPr>
                    <w:pStyle w:val="83"/>
                    <w:bidi w:val="0"/>
                    <w:rPr>
                      <w:b/>
                      <w:bCs/>
                      <w:color w:val="auto"/>
                      <w:highlight w:val="none"/>
                    </w:rPr>
                  </w:pPr>
                  <w:r>
                    <w:rPr>
                      <w:b/>
                      <w:bCs/>
                      <w:color w:val="auto"/>
                      <w:highlight w:val="none"/>
                    </w:rPr>
                    <w:t>最大浓度占标率/%</w:t>
                  </w:r>
                </w:p>
              </w:tc>
            </w:tr>
            <w:tr w14:paraId="376A286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978" w:type="pct"/>
                  <w:vMerge w:val="restart"/>
                  <w:noWrap w:val="0"/>
                  <w:vAlign w:val="center"/>
                </w:tcPr>
                <w:p w14:paraId="75ED9A6E">
                  <w:pPr>
                    <w:pStyle w:val="83"/>
                    <w:bidi w:val="0"/>
                    <w:rPr>
                      <w:rFonts w:hint="default"/>
                      <w:color w:val="auto"/>
                      <w:highlight w:val="none"/>
                      <w:lang w:val="en-US" w:eastAsia="zh-CN"/>
                    </w:rPr>
                  </w:pPr>
                  <w:r>
                    <w:rPr>
                      <w:rFonts w:hint="eastAsia"/>
                      <w:color w:val="auto"/>
                      <w:highlight w:val="none"/>
                      <w:lang w:val="en-US" w:eastAsia="zh-CN"/>
                    </w:rPr>
                    <w:t>内蒙古聚鑫源工贸有限责任公司物料生产加工及成料堆场项目区</w:t>
                  </w:r>
                </w:p>
              </w:tc>
              <w:tc>
                <w:tcPr>
                  <w:tcW w:w="977" w:type="pct"/>
                  <w:vMerge w:val="restart"/>
                  <w:noWrap w:val="0"/>
                  <w:vAlign w:val="center"/>
                </w:tcPr>
                <w:p w14:paraId="68FC2EFA">
                  <w:pPr>
                    <w:pStyle w:val="83"/>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E</w:t>
                  </w:r>
                  <w:r>
                    <w:rPr>
                      <w:rFonts w:hint="default" w:ascii="Times New Roman" w:hAnsi="Times New Roman" w:cs="Times New Roman"/>
                      <w:color w:val="auto"/>
                      <w:highlight w:val="none"/>
                      <w:lang w:val="en-US" w:eastAsia="zh-CN"/>
                    </w:rPr>
                    <w:t>109°36′3.884″</w:t>
                  </w:r>
                </w:p>
                <w:p w14:paraId="6E386161">
                  <w:pPr>
                    <w:pStyle w:val="83"/>
                    <w:bidi w:val="0"/>
                    <w:rPr>
                      <w:rFonts w:hint="eastAsia"/>
                      <w:color w:val="auto"/>
                      <w:highlight w:val="none"/>
                      <w:lang w:val="en-US" w:eastAsia="zh-CN"/>
                    </w:rPr>
                  </w:pPr>
                  <w:r>
                    <w:rPr>
                      <w:rFonts w:hint="eastAsia" w:ascii="Times New Roman" w:hAnsi="Times New Roman" w:cs="Times New Roman"/>
                      <w:color w:val="auto"/>
                      <w:highlight w:val="none"/>
                      <w:lang w:val="en-US" w:eastAsia="zh-CN"/>
                    </w:rPr>
                    <w:t>N</w:t>
                  </w:r>
                  <w:r>
                    <w:rPr>
                      <w:rFonts w:hint="default" w:ascii="Times New Roman" w:hAnsi="Times New Roman" w:cs="Times New Roman"/>
                      <w:color w:val="auto"/>
                      <w:highlight w:val="none"/>
                      <w:lang w:val="en-US" w:eastAsia="zh-CN"/>
                    </w:rPr>
                    <w:t>39°28′51.660″</w:t>
                  </w:r>
                </w:p>
              </w:tc>
              <w:tc>
                <w:tcPr>
                  <w:tcW w:w="577" w:type="pct"/>
                  <w:vMerge w:val="restart"/>
                  <w:noWrap w:val="0"/>
                  <w:vAlign w:val="center"/>
                </w:tcPr>
                <w:p w14:paraId="1023F32C">
                  <w:pPr>
                    <w:pStyle w:val="83"/>
                    <w:bidi w:val="0"/>
                    <w:rPr>
                      <w:rFonts w:hint="eastAsia"/>
                      <w:color w:val="auto"/>
                      <w:highlight w:val="none"/>
                      <w:lang w:val="en-US" w:eastAsia="zh-CN"/>
                    </w:rPr>
                  </w:pPr>
                  <w:r>
                    <w:rPr>
                      <w:rFonts w:hint="eastAsia"/>
                      <w:color w:val="auto"/>
                      <w:highlight w:val="none"/>
                      <w:lang w:val="en-US" w:eastAsia="zh-CN"/>
                    </w:rPr>
                    <w:t>TSP</w:t>
                  </w:r>
                </w:p>
              </w:tc>
              <w:tc>
                <w:tcPr>
                  <w:tcW w:w="690" w:type="pct"/>
                  <w:noWrap w:val="0"/>
                  <w:vAlign w:val="center"/>
                </w:tcPr>
                <w:p w14:paraId="5CEA02D0">
                  <w:pPr>
                    <w:pStyle w:val="83"/>
                    <w:bidi w:val="0"/>
                    <w:rPr>
                      <w:rFonts w:hint="default"/>
                      <w:color w:val="auto"/>
                      <w:highlight w:val="none"/>
                      <w:lang w:val="en-US" w:eastAsia="zh-CN"/>
                    </w:rPr>
                  </w:pPr>
                  <w:r>
                    <w:rPr>
                      <w:rFonts w:hint="eastAsia"/>
                      <w:color w:val="auto"/>
                      <w:highlight w:val="none"/>
                      <w:lang w:val="en-US" w:eastAsia="zh-CN"/>
                    </w:rPr>
                    <w:t>2024.9.25</w:t>
                  </w:r>
                </w:p>
              </w:tc>
              <w:tc>
                <w:tcPr>
                  <w:tcW w:w="436" w:type="pct"/>
                  <w:noWrap w:val="0"/>
                  <w:vAlign w:val="center"/>
                </w:tcPr>
                <w:p w14:paraId="6D494865">
                  <w:pPr>
                    <w:pStyle w:val="83"/>
                    <w:bidi w:val="0"/>
                    <w:rPr>
                      <w:rFonts w:hint="default"/>
                      <w:color w:val="auto"/>
                      <w:highlight w:val="none"/>
                      <w:lang w:val="en-US" w:eastAsia="zh-CN"/>
                    </w:rPr>
                  </w:pPr>
                  <w:r>
                    <w:rPr>
                      <w:rFonts w:hint="eastAsia"/>
                      <w:color w:val="auto"/>
                      <w:highlight w:val="none"/>
                      <w:lang w:val="en-US" w:eastAsia="zh-CN"/>
                    </w:rPr>
                    <w:t>138</w:t>
                  </w:r>
                </w:p>
              </w:tc>
              <w:tc>
                <w:tcPr>
                  <w:tcW w:w="764" w:type="pct"/>
                  <w:vMerge w:val="restart"/>
                  <w:noWrap w:val="0"/>
                  <w:vAlign w:val="center"/>
                </w:tcPr>
                <w:p w14:paraId="14F77C22">
                  <w:pPr>
                    <w:pStyle w:val="83"/>
                    <w:bidi w:val="0"/>
                    <w:rPr>
                      <w:rFonts w:hint="eastAsia"/>
                      <w:color w:val="auto"/>
                      <w:highlight w:val="none"/>
                      <w:lang w:val="en-US" w:eastAsia="zh-CN"/>
                    </w:rPr>
                  </w:pPr>
                  <w:r>
                    <w:rPr>
                      <w:rFonts w:hint="eastAsia"/>
                      <w:color w:val="auto"/>
                      <w:highlight w:val="none"/>
                      <w:lang w:val="en-US" w:eastAsia="zh-CN"/>
                    </w:rPr>
                    <w:t>300</w:t>
                  </w:r>
                </w:p>
              </w:tc>
              <w:tc>
                <w:tcPr>
                  <w:tcW w:w="574" w:type="pct"/>
                  <w:vMerge w:val="restart"/>
                  <w:noWrap w:val="0"/>
                  <w:vAlign w:val="center"/>
                </w:tcPr>
                <w:p w14:paraId="565F1ABF">
                  <w:pPr>
                    <w:pStyle w:val="83"/>
                    <w:bidi w:val="0"/>
                    <w:rPr>
                      <w:rFonts w:hint="default"/>
                      <w:color w:val="auto"/>
                      <w:highlight w:val="none"/>
                      <w:lang w:val="en-US" w:eastAsia="zh-CN"/>
                    </w:rPr>
                  </w:pPr>
                  <w:r>
                    <w:rPr>
                      <w:rFonts w:hint="eastAsia"/>
                      <w:color w:val="auto"/>
                      <w:highlight w:val="none"/>
                      <w:lang w:val="en-US" w:eastAsia="zh-CN"/>
                    </w:rPr>
                    <w:t>56.33%</w:t>
                  </w:r>
                </w:p>
              </w:tc>
            </w:tr>
            <w:tr w14:paraId="4F723A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978" w:type="pct"/>
                  <w:vMerge w:val="continue"/>
                  <w:noWrap w:val="0"/>
                  <w:vAlign w:val="center"/>
                </w:tcPr>
                <w:p w14:paraId="46CDD186">
                  <w:pPr>
                    <w:pStyle w:val="83"/>
                    <w:bidi w:val="0"/>
                    <w:rPr>
                      <w:color w:val="auto"/>
                      <w:highlight w:val="none"/>
                    </w:rPr>
                  </w:pPr>
                </w:p>
              </w:tc>
              <w:tc>
                <w:tcPr>
                  <w:tcW w:w="977" w:type="pct"/>
                  <w:vMerge w:val="continue"/>
                  <w:noWrap w:val="0"/>
                  <w:vAlign w:val="center"/>
                </w:tcPr>
                <w:p w14:paraId="2E4651E7">
                  <w:pPr>
                    <w:pStyle w:val="83"/>
                    <w:bidi w:val="0"/>
                    <w:rPr>
                      <w:color w:val="auto"/>
                      <w:highlight w:val="none"/>
                    </w:rPr>
                  </w:pPr>
                </w:p>
              </w:tc>
              <w:tc>
                <w:tcPr>
                  <w:tcW w:w="577" w:type="pct"/>
                  <w:vMerge w:val="continue"/>
                  <w:noWrap w:val="0"/>
                  <w:vAlign w:val="center"/>
                </w:tcPr>
                <w:p w14:paraId="2112A007">
                  <w:pPr>
                    <w:pStyle w:val="83"/>
                    <w:bidi w:val="0"/>
                    <w:rPr>
                      <w:color w:val="auto"/>
                      <w:highlight w:val="none"/>
                    </w:rPr>
                  </w:pPr>
                </w:p>
              </w:tc>
              <w:tc>
                <w:tcPr>
                  <w:tcW w:w="690" w:type="pct"/>
                  <w:noWrap w:val="0"/>
                  <w:vAlign w:val="center"/>
                </w:tcPr>
                <w:p w14:paraId="60683032">
                  <w:pPr>
                    <w:pStyle w:val="83"/>
                    <w:bidi w:val="0"/>
                    <w:rPr>
                      <w:rFonts w:hint="default"/>
                      <w:color w:val="auto"/>
                      <w:highlight w:val="none"/>
                      <w:lang w:val="en-US" w:eastAsia="zh-CN"/>
                    </w:rPr>
                  </w:pPr>
                  <w:r>
                    <w:rPr>
                      <w:rFonts w:hint="eastAsia"/>
                      <w:color w:val="auto"/>
                      <w:highlight w:val="none"/>
                      <w:lang w:val="en-US" w:eastAsia="zh-CN"/>
                    </w:rPr>
                    <w:t>2024.9.26</w:t>
                  </w:r>
                </w:p>
              </w:tc>
              <w:tc>
                <w:tcPr>
                  <w:tcW w:w="436" w:type="pct"/>
                  <w:noWrap w:val="0"/>
                  <w:vAlign w:val="center"/>
                </w:tcPr>
                <w:p w14:paraId="72DE26D0">
                  <w:pPr>
                    <w:pStyle w:val="83"/>
                    <w:bidi w:val="0"/>
                    <w:rPr>
                      <w:rFonts w:hint="default"/>
                      <w:color w:val="auto"/>
                      <w:highlight w:val="none"/>
                      <w:lang w:val="en-US" w:eastAsia="zh-CN"/>
                    </w:rPr>
                  </w:pPr>
                  <w:r>
                    <w:rPr>
                      <w:rFonts w:hint="eastAsia"/>
                      <w:color w:val="auto"/>
                      <w:highlight w:val="none"/>
                      <w:lang w:val="en-US" w:eastAsia="zh-CN"/>
                    </w:rPr>
                    <w:t>169</w:t>
                  </w:r>
                </w:p>
              </w:tc>
              <w:tc>
                <w:tcPr>
                  <w:tcW w:w="764" w:type="pct"/>
                  <w:vMerge w:val="continue"/>
                  <w:noWrap w:val="0"/>
                  <w:vAlign w:val="center"/>
                </w:tcPr>
                <w:p w14:paraId="62E4C55E">
                  <w:pPr>
                    <w:pStyle w:val="83"/>
                    <w:bidi w:val="0"/>
                    <w:rPr>
                      <w:rFonts w:hint="eastAsia"/>
                      <w:color w:val="auto"/>
                      <w:highlight w:val="none"/>
                      <w:lang w:val="en-US" w:eastAsia="zh-CN"/>
                    </w:rPr>
                  </w:pPr>
                </w:p>
              </w:tc>
              <w:tc>
                <w:tcPr>
                  <w:tcW w:w="574" w:type="pct"/>
                  <w:vMerge w:val="continue"/>
                  <w:noWrap w:val="0"/>
                  <w:vAlign w:val="center"/>
                </w:tcPr>
                <w:p w14:paraId="094001A1">
                  <w:pPr>
                    <w:pStyle w:val="83"/>
                    <w:bidi w:val="0"/>
                    <w:rPr>
                      <w:rFonts w:hint="eastAsia"/>
                      <w:color w:val="auto"/>
                      <w:highlight w:val="none"/>
                      <w:lang w:val="en-US" w:eastAsia="zh-CN"/>
                    </w:rPr>
                  </w:pPr>
                </w:p>
              </w:tc>
            </w:tr>
            <w:tr w14:paraId="082345F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978" w:type="pct"/>
                  <w:vMerge w:val="continue"/>
                  <w:noWrap w:val="0"/>
                  <w:vAlign w:val="center"/>
                </w:tcPr>
                <w:p w14:paraId="7F377D7E">
                  <w:pPr>
                    <w:pStyle w:val="83"/>
                    <w:bidi w:val="0"/>
                    <w:rPr>
                      <w:rFonts w:hint="eastAsia"/>
                      <w:color w:val="auto"/>
                      <w:highlight w:val="none"/>
                      <w:lang w:val="en-US" w:eastAsia="zh-CN"/>
                    </w:rPr>
                  </w:pPr>
                </w:p>
              </w:tc>
              <w:tc>
                <w:tcPr>
                  <w:tcW w:w="977" w:type="pct"/>
                  <w:vMerge w:val="continue"/>
                  <w:noWrap w:val="0"/>
                  <w:vAlign w:val="center"/>
                </w:tcPr>
                <w:p w14:paraId="519BF321">
                  <w:pPr>
                    <w:pStyle w:val="83"/>
                    <w:bidi w:val="0"/>
                    <w:rPr>
                      <w:rFonts w:hint="eastAsia"/>
                      <w:color w:val="auto"/>
                      <w:highlight w:val="none"/>
                      <w:lang w:val="en-US" w:eastAsia="zh-CN"/>
                    </w:rPr>
                  </w:pPr>
                </w:p>
              </w:tc>
              <w:tc>
                <w:tcPr>
                  <w:tcW w:w="577" w:type="pct"/>
                  <w:vMerge w:val="continue"/>
                  <w:noWrap w:val="0"/>
                  <w:vAlign w:val="center"/>
                </w:tcPr>
                <w:p w14:paraId="09805C53">
                  <w:pPr>
                    <w:pStyle w:val="83"/>
                    <w:bidi w:val="0"/>
                    <w:rPr>
                      <w:rFonts w:hint="eastAsia"/>
                      <w:color w:val="auto"/>
                      <w:highlight w:val="none"/>
                      <w:lang w:val="en-US" w:eastAsia="zh-CN"/>
                    </w:rPr>
                  </w:pPr>
                </w:p>
              </w:tc>
              <w:tc>
                <w:tcPr>
                  <w:tcW w:w="690" w:type="pct"/>
                  <w:noWrap w:val="0"/>
                  <w:vAlign w:val="center"/>
                </w:tcPr>
                <w:p w14:paraId="32E9A8B9">
                  <w:pPr>
                    <w:pStyle w:val="83"/>
                    <w:bidi w:val="0"/>
                    <w:rPr>
                      <w:rFonts w:hint="default"/>
                      <w:color w:val="auto"/>
                      <w:highlight w:val="none"/>
                      <w:lang w:val="en-US" w:eastAsia="zh-CN"/>
                    </w:rPr>
                  </w:pPr>
                  <w:r>
                    <w:rPr>
                      <w:rFonts w:hint="eastAsia"/>
                      <w:color w:val="auto"/>
                      <w:highlight w:val="none"/>
                      <w:lang w:val="en-US" w:eastAsia="zh-CN"/>
                    </w:rPr>
                    <w:t>2024.9.27</w:t>
                  </w:r>
                </w:p>
              </w:tc>
              <w:tc>
                <w:tcPr>
                  <w:tcW w:w="436" w:type="pct"/>
                  <w:noWrap w:val="0"/>
                  <w:vAlign w:val="center"/>
                </w:tcPr>
                <w:p w14:paraId="25B4FDDC">
                  <w:pPr>
                    <w:pStyle w:val="83"/>
                    <w:bidi w:val="0"/>
                    <w:rPr>
                      <w:rFonts w:hint="default"/>
                      <w:color w:val="auto"/>
                      <w:highlight w:val="none"/>
                      <w:lang w:val="en-US" w:eastAsia="zh-CN"/>
                    </w:rPr>
                  </w:pPr>
                  <w:r>
                    <w:rPr>
                      <w:rFonts w:hint="eastAsia"/>
                      <w:color w:val="auto"/>
                      <w:highlight w:val="none"/>
                      <w:lang w:val="en-US" w:eastAsia="zh-CN"/>
                    </w:rPr>
                    <w:t>162</w:t>
                  </w:r>
                </w:p>
              </w:tc>
              <w:tc>
                <w:tcPr>
                  <w:tcW w:w="764" w:type="pct"/>
                  <w:vMerge w:val="continue"/>
                  <w:noWrap w:val="0"/>
                  <w:vAlign w:val="center"/>
                </w:tcPr>
                <w:p w14:paraId="674E7EF8">
                  <w:pPr>
                    <w:pStyle w:val="83"/>
                    <w:bidi w:val="0"/>
                    <w:rPr>
                      <w:rFonts w:hint="eastAsia"/>
                      <w:color w:val="auto"/>
                      <w:highlight w:val="none"/>
                      <w:lang w:val="en-US" w:eastAsia="zh-CN"/>
                    </w:rPr>
                  </w:pPr>
                </w:p>
              </w:tc>
              <w:tc>
                <w:tcPr>
                  <w:tcW w:w="574" w:type="pct"/>
                  <w:vMerge w:val="continue"/>
                  <w:noWrap w:val="0"/>
                  <w:vAlign w:val="center"/>
                </w:tcPr>
                <w:p w14:paraId="476BFB55">
                  <w:pPr>
                    <w:pStyle w:val="83"/>
                    <w:bidi w:val="0"/>
                    <w:rPr>
                      <w:rFonts w:hint="eastAsia"/>
                      <w:color w:val="auto"/>
                      <w:highlight w:val="none"/>
                      <w:lang w:val="en-US" w:eastAsia="zh-CN"/>
                    </w:rPr>
                  </w:pPr>
                </w:p>
              </w:tc>
            </w:tr>
          </w:tbl>
          <w:p w14:paraId="0E42C2A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由上表可以看出，监测</w:t>
            </w:r>
            <w:r>
              <w:rPr>
                <w:rFonts w:hint="default" w:ascii="Times New Roman" w:hAnsi="Times New Roman" w:eastAsia="宋体" w:cs="Times New Roman"/>
                <w:color w:val="auto"/>
                <w:sz w:val="24"/>
                <w:szCs w:val="24"/>
                <w:highlight w:val="none"/>
                <w:lang w:val="en-US" w:eastAsia="zh-CN"/>
              </w:rPr>
              <w:t>引用数据</w:t>
            </w:r>
            <w:r>
              <w:rPr>
                <w:rFonts w:hint="default" w:ascii="Times New Roman" w:hAnsi="Times New Roman" w:eastAsia="宋体" w:cs="Times New Roman"/>
                <w:color w:val="auto"/>
                <w:sz w:val="24"/>
                <w:szCs w:val="24"/>
                <w:highlight w:val="none"/>
              </w:rPr>
              <w:t>TSP满足《环境空气环境质量》</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GB3095-</w:t>
            </w:r>
            <w:r>
              <w:rPr>
                <w:rFonts w:hint="eastAsia" w:ascii="Times New Roman" w:hAnsi="Times New Roman" w:eastAsia="宋体" w:cs="Times New Roman"/>
                <w:color w:val="auto"/>
                <w:sz w:val="24"/>
                <w:szCs w:val="24"/>
                <w:highlight w:val="none"/>
                <w:lang w:val="en-US" w:eastAsia="zh-CN"/>
              </w:rPr>
              <w:t>2026</w:t>
            </w:r>
            <w:r>
              <w:rPr>
                <w:rFonts w:hint="eastAsia"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表1</w:t>
            </w:r>
            <w:r>
              <w:rPr>
                <w:rFonts w:hint="default" w:ascii="Times New Roman" w:hAnsi="Times New Roman" w:eastAsia="宋体" w:cs="Times New Roman"/>
                <w:color w:val="auto"/>
                <w:sz w:val="24"/>
                <w:szCs w:val="24"/>
                <w:highlight w:val="none"/>
              </w:rPr>
              <w:t>二级标准</w:t>
            </w:r>
            <w:r>
              <w:rPr>
                <w:rFonts w:hint="eastAsia" w:ascii="Times New Roman" w:hAnsi="Times New Roman" w:eastAsia="宋体" w:cs="Times New Roman"/>
                <w:color w:val="auto"/>
                <w:sz w:val="24"/>
                <w:szCs w:val="24"/>
                <w:highlight w:val="none"/>
                <w:lang w:val="en-US" w:eastAsia="zh-CN"/>
              </w:rPr>
              <w:t>要求</w:t>
            </w:r>
            <w:r>
              <w:rPr>
                <w:rFonts w:hint="default" w:ascii="Times New Roman" w:hAnsi="Times New Roman" w:eastAsia="宋体" w:cs="Times New Roman"/>
                <w:color w:val="auto"/>
                <w:sz w:val="24"/>
                <w:szCs w:val="24"/>
                <w:highlight w:val="none"/>
              </w:rPr>
              <w:t>。</w:t>
            </w:r>
          </w:p>
          <w:p w14:paraId="5D7E660B">
            <w:pPr>
              <w:pStyle w:val="66"/>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二、声环境质量现状</w:t>
            </w:r>
          </w:p>
          <w:p w14:paraId="0975D2FC">
            <w:pPr>
              <w:pStyle w:val="10"/>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val="0"/>
                <w:bCs w:val="0"/>
                <w:color w:val="auto"/>
                <w:kern w:val="2"/>
                <w:sz w:val="24"/>
                <w:szCs w:val="24"/>
                <w:highlight w:val="none"/>
                <w:lang w:val="en-US" w:eastAsia="zh-CN" w:bidi="ar-SA"/>
              </w:rPr>
              <w:t>本项目位于</w:t>
            </w:r>
            <w:r>
              <w:rPr>
                <w:rFonts w:hint="default" w:ascii="Times New Roman" w:hAnsi="Times New Roman" w:cs="Times New Roman"/>
                <w:color w:val="auto"/>
                <w:sz w:val="24"/>
                <w:highlight w:val="none"/>
              </w:rPr>
              <w:t>伊金霍洛旗伊金霍洛镇壕赖村5社商砼园区23号地块</w:t>
            </w:r>
            <w:r>
              <w:rPr>
                <w:rFonts w:hint="eastAsia" w:ascii="Times New Roman" w:hAnsi="Times New Roman" w:eastAsia="宋体" w:cs="Times New Roman"/>
                <w:b w:val="0"/>
                <w:bCs w:val="0"/>
                <w:color w:val="auto"/>
                <w:kern w:val="2"/>
                <w:sz w:val="24"/>
                <w:szCs w:val="24"/>
                <w:highlight w:val="none"/>
                <w:lang w:val="en-US" w:eastAsia="zh-CN" w:bidi="ar-SA"/>
              </w:rPr>
              <w:t>。根据《建设项目环境影响报告表编制技术指南（污染影响类）》，本项目厂界周边50米范围内不存在声环境保护目标，无需开展声环境质量现状监测并评价达标情况。</w:t>
            </w:r>
          </w:p>
          <w:p w14:paraId="489BFD29">
            <w:pPr>
              <w:pStyle w:val="66"/>
              <w:keepNext w:val="0"/>
              <w:keepLines w:val="0"/>
              <w:pageBreakBefore w:val="0"/>
              <w:widowControl/>
              <w:kinsoku/>
              <w:wordWrap/>
              <w:overflowPunct/>
              <w:topLinePunct w:val="0"/>
              <w:autoSpaceDE/>
              <w:autoSpaceDN/>
              <w:bidi w:val="0"/>
              <w:adjustRightInd/>
              <w:snapToGrid/>
              <w:textAlignment w:val="auto"/>
              <w:rPr>
                <w:rFonts w:hint="eastAsia"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w:t>
            </w:r>
            <w:r>
              <w:rPr>
                <w:rFonts w:hint="eastAsia" w:ascii="Times New Roman" w:hAnsi="Times New Roman" w:eastAsia="宋体" w:cs="Times New Roman"/>
                <w:color w:val="auto"/>
                <w:highlight w:val="none"/>
              </w:rPr>
              <w:t>地下水环境、土壤环境现状监测与评价</w:t>
            </w:r>
          </w:p>
          <w:p w14:paraId="1D81B3F7">
            <w:pPr>
              <w:tabs>
                <w:tab w:val="left" w:pos="0"/>
              </w:tabs>
              <w:adjustRightInd w:val="0"/>
              <w:snapToGri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根据《建设项目环境影响报告表编制技术指南》（污染影响类）（试行），原则上不开展地下水、土壤环境质量现状调查。</w:t>
            </w:r>
          </w:p>
          <w:p w14:paraId="251F786A">
            <w:pPr>
              <w:tabs>
                <w:tab w:val="left" w:pos="0"/>
              </w:tabs>
              <w:adjustRightInd w:val="0"/>
              <w:snapToGrid w:val="0"/>
              <w:spacing w:line="360" w:lineRule="auto"/>
              <w:ind w:firstLine="480" w:firstLineChars="200"/>
              <w:rPr>
                <w:rFonts w:hint="eastAsia" w:ascii="宋体" w:hAnsi="宋体"/>
                <w:bCs/>
                <w:color w:val="auto"/>
                <w:sz w:val="24"/>
                <w:highlight w:val="none"/>
              </w:rPr>
            </w:pPr>
            <w:r>
              <w:rPr>
                <w:rFonts w:hint="default" w:ascii="Times New Roman" w:hAnsi="Times New Roman" w:eastAsia="宋体" w:cs="Times New Roman"/>
                <w:color w:val="auto"/>
                <w:sz w:val="24"/>
                <w:highlight w:val="none"/>
                <w:lang w:val="en-US" w:eastAsia="zh-CN"/>
              </w:rPr>
              <w:t>项目产生的生产废水经沉淀池沉淀后，循环使用，不外排；生活污水由化粪池收集后</w:t>
            </w:r>
            <w:r>
              <w:rPr>
                <w:rFonts w:hint="default" w:ascii="Times New Roman" w:hAnsi="Times New Roman" w:eastAsia="宋体" w:cs="Times New Roman"/>
                <w:color w:val="auto"/>
                <w:sz w:val="24"/>
                <w:highlight w:val="none"/>
              </w:rPr>
              <w:t>清运至伊金霍洛镇污水处理厂处理</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yellow"/>
                <w:lang w:val="en-US" w:eastAsia="zh-CN"/>
              </w:rPr>
              <w:t>本</w:t>
            </w:r>
            <w:r>
              <w:rPr>
                <w:rFonts w:hint="default" w:ascii="Times New Roman" w:hAnsi="Times New Roman" w:eastAsia="宋体" w:cs="Times New Roman"/>
                <w:color w:val="auto"/>
                <w:sz w:val="24"/>
                <w:highlight w:val="yellow"/>
                <w:lang w:eastAsia="zh-CN"/>
              </w:rPr>
              <w:t>项目厂区</w:t>
            </w:r>
            <w:r>
              <w:rPr>
                <w:rFonts w:hint="eastAsia" w:cs="Times New Roman"/>
                <w:color w:val="auto"/>
                <w:sz w:val="24"/>
                <w:highlight w:val="yellow"/>
                <w:lang w:val="en-US" w:eastAsia="zh-CN"/>
              </w:rPr>
              <w:t>地面</w:t>
            </w:r>
            <w:r>
              <w:rPr>
                <w:rFonts w:hint="default" w:ascii="Times New Roman" w:hAnsi="Times New Roman" w:eastAsia="宋体" w:cs="Times New Roman"/>
                <w:color w:val="auto"/>
                <w:sz w:val="24"/>
                <w:highlight w:val="yellow"/>
                <w:lang w:eastAsia="zh-CN"/>
              </w:rPr>
              <w:t>、</w:t>
            </w:r>
            <w:r>
              <w:rPr>
                <w:rFonts w:hint="eastAsia" w:cs="Times New Roman"/>
                <w:color w:val="auto"/>
                <w:sz w:val="24"/>
                <w:highlight w:val="yellow"/>
                <w:lang w:val="en-US" w:eastAsia="zh-CN"/>
              </w:rPr>
              <w:t>化粪池、</w:t>
            </w:r>
            <w:r>
              <w:rPr>
                <w:rFonts w:hint="default" w:ascii="Times New Roman" w:hAnsi="Times New Roman" w:eastAsia="宋体" w:cs="Times New Roman"/>
                <w:color w:val="auto"/>
                <w:sz w:val="24"/>
                <w:highlight w:val="yellow"/>
                <w:lang w:val="en-US" w:eastAsia="zh-CN"/>
              </w:rPr>
              <w:t>沉淀池以及外加剂储罐间进行硬化</w:t>
            </w:r>
            <w:r>
              <w:rPr>
                <w:rFonts w:hint="default" w:ascii="Times New Roman" w:hAnsi="Times New Roman" w:eastAsia="宋体" w:cs="Times New Roman"/>
                <w:color w:val="auto"/>
                <w:sz w:val="24"/>
                <w:highlight w:val="yellow"/>
                <w:lang w:eastAsia="zh-CN"/>
              </w:rPr>
              <w:t>和防渗处理，</w:t>
            </w:r>
            <w:r>
              <w:rPr>
                <w:rFonts w:hint="default" w:ascii="Times New Roman" w:hAnsi="Times New Roman" w:eastAsia="宋体" w:cs="Times New Roman"/>
                <w:color w:val="auto"/>
                <w:sz w:val="24"/>
                <w:highlight w:val="yellow"/>
                <w:lang w:val="en-US" w:eastAsia="zh-CN"/>
              </w:rPr>
              <w:t>不会对土壤和地下水产生污染，因此，本次未开展土壤环境质量现状调查。</w:t>
            </w:r>
          </w:p>
        </w:tc>
      </w:tr>
      <w:tr w14:paraId="032F23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98" w:hRule="atLeast"/>
          <w:jc w:val="center"/>
        </w:trPr>
        <w:tc>
          <w:tcPr>
            <w:tcW w:w="800" w:type="dxa"/>
            <w:noWrap w:val="0"/>
            <w:vAlign w:val="center"/>
          </w:tcPr>
          <w:p w14:paraId="64420571">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环境</w:t>
            </w:r>
          </w:p>
          <w:p w14:paraId="0CEB3673">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保护</w:t>
            </w:r>
          </w:p>
          <w:p w14:paraId="657A2E2B">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目标</w:t>
            </w:r>
          </w:p>
        </w:tc>
        <w:tc>
          <w:tcPr>
            <w:tcW w:w="8190" w:type="dxa"/>
            <w:noWrap w:val="0"/>
            <w:vAlign w:val="center"/>
          </w:tcPr>
          <w:p w14:paraId="3E7CDC5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本项目位于伊金霍洛旗伊金霍洛镇壕赖村5社商砼园区23号地块</w:t>
            </w:r>
            <w:r>
              <w:rPr>
                <w:rFonts w:hint="default" w:ascii="Times New Roman" w:hAnsi="Times New Roman" w:eastAsia="宋体" w:cs="Times New Roman"/>
                <w:color w:val="auto"/>
                <w:sz w:val="24"/>
                <w:highlight w:val="none"/>
              </w:rPr>
              <w:t>，项目中心地理坐标为</w:t>
            </w:r>
            <w:r>
              <w:rPr>
                <w:rFonts w:hint="default" w:ascii="Times New Roman" w:hAnsi="Times New Roman" w:cs="Times New Roman"/>
                <w:color w:val="auto"/>
                <w:sz w:val="24"/>
                <w:highlight w:val="none"/>
              </w:rPr>
              <w:t>E</w:t>
            </w:r>
            <w:r>
              <w:rPr>
                <w:rFonts w:hint="default" w:ascii="Times New Roman" w:hAnsi="Times New Roman" w:eastAsia="宋体" w:cs="Times New Roman"/>
                <w:b w:val="0"/>
                <w:bCs w:val="0"/>
                <w:color w:val="auto"/>
                <w:sz w:val="24"/>
                <w:szCs w:val="24"/>
                <w:highlight w:val="none"/>
                <w:lang w:val="en-US" w:eastAsia="zh-CN"/>
              </w:rPr>
              <w:t>10</w:t>
            </w:r>
            <w:r>
              <w:rPr>
                <w:rFonts w:hint="eastAsia" w:cs="Times New Roman"/>
                <w:b w:val="0"/>
                <w:bCs w:val="0"/>
                <w:color w:val="auto"/>
                <w:sz w:val="24"/>
                <w:szCs w:val="24"/>
                <w:highlight w:val="none"/>
                <w:lang w:val="en-US" w:eastAsia="zh-CN"/>
              </w:rPr>
              <w:t>9</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35</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54.471</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color w:val="auto"/>
                <w:sz w:val="24"/>
                <w:highlight w:val="none"/>
              </w:rPr>
              <w:t>，N</w:t>
            </w:r>
            <w:r>
              <w:rPr>
                <w:rFonts w:hint="default" w:ascii="Times New Roman" w:hAnsi="Times New Roman" w:eastAsia="宋体" w:cs="Times New Roman"/>
                <w:b w:val="0"/>
                <w:bCs w:val="0"/>
                <w:color w:val="auto"/>
                <w:sz w:val="24"/>
                <w:szCs w:val="24"/>
                <w:highlight w:val="none"/>
                <w:lang w:val="en-US" w:eastAsia="zh-CN"/>
              </w:rPr>
              <w:t>39°2</w:t>
            </w:r>
            <w:r>
              <w:rPr>
                <w:rFonts w:hint="eastAsia"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57.406</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color w:val="auto"/>
                <w:sz w:val="24"/>
                <w:highlight w:val="none"/>
                <w:lang w:val="en-US" w:eastAsia="zh-CN"/>
              </w:rPr>
              <w:t>。</w:t>
            </w:r>
            <w:r>
              <w:rPr>
                <w:rFonts w:hint="default" w:ascii="Times New Roman" w:hAnsi="Times New Roman" w:cs="Times New Roman"/>
                <w:color w:val="auto"/>
                <w:sz w:val="24"/>
                <w:highlight w:val="none"/>
              </w:rPr>
              <w:t>经现场调查，本项目厂界外500m范围内无自然保护区、风景名胜区、文化区和农村地区人群较集中的区域等大气环境保护目标</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50m范围内无居民区等声环境保护目标，500m范围内无矿泉水、温泉等特殊地下水资源</w:t>
            </w:r>
            <w:r>
              <w:rPr>
                <w:rFonts w:hint="eastAsia" w:cs="Times New Roman"/>
                <w:color w:val="auto"/>
                <w:sz w:val="24"/>
                <w:highlight w:val="none"/>
                <w:lang w:eastAsia="zh-CN"/>
              </w:rPr>
              <w:t>，</w:t>
            </w:r>
            <w:r>
              <w:rPr>
                <w:rFonts w:hint="eastAsia" w:cs="Times New Roman"/>
                <w:color w:val="auto"/>
                <w:sz w:val="24"/>
                <w:highlight w:val="none"/>
                <w:lang w:val="en-US" w:eastAsia="zh-CN"/>
              </w:rPr>
              <w:t>厂界东120m处有</w:t>
            </w:r>
            <w:r>
              <w:rPr>
                <w:rFonts w:hint="default" w:ascii="Times New Roman" w:hAnsi="Times New Roman" w:cs="Times New Roman"/>
                <w:color w:val="auto"/>
                <w:sz w:val="24"/>
                <w:highlight w:val="none"/>
              </w:rPr>
              <w:t>。</w:t>
            </w:r>
          </w:p>
          <w:p w14:paraId="0F84B4F5">
            <w:pPr>
              <w:pStyle w:val="82"/>
              <w:bidi w:val="0"/>
              <w:rPr>
                <w:color w:val="auto"/>
                <w:highlight w:val="none"/>
              </w:rPr>
            </w:pPr>
            <w:r>
              <w:rPr>
                <w:color w:val="auto"/>
                <w:highlight w:val="none"/>
              </w:rPr>
              <w:t>表3-</w:t>
            </w:r>
            <w:r>
              <w:rPr>
                <w:rFonts w:hint="eastAsia"/>
                <w:color w:val="auto"/>
                <w:highlight w:val="none"/>
                <w:lang w:val="en-US" w:eastAsia="zh-CN"/>
              </w:rPr>
              <w:t>4</w:t>
            </w:r>
            <w:r>
              <w:rPr>
                <w:color w:val="auto"/>
                <w:highlight w:val="none"/>
              </w:rPr>
              <w:t>项目环境保护目标及保护级别表</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677"/>
              <w:gridCol w:w="934"/>
              <w:gridCol w:w="1715"/>
              <w:gridCol w:w="490"/>
              <w:gridCol w:w="885"/>
              <w:gridCol w:w="595"/>
              <w:gridCol w:w="628"/>
              <w:gridCol w:w="2050"/>
            </w:tblGrid>
            <w:tr w14:paraId="6B6904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vMerge w:val="restart"/>
                  <w:tcBorders>
                    <w:tl2br w:val="nil"/>
                    <w:tr2bl w:val="nil"/>
                  </w:tcBorders>
                  <w:noWrap w:val="0"/>
                  <w:vAlign w:val="center"/>
                </w:tcPr>
                <w:p w14:paraId="777C624A">
                  <w:pPr>
                    <w:pStyle w:val="83"/>
                    <w:bidi w:val="0"/>
                    <w:rPr>
                      <w:b/>
                      <w:bCs/>
                      <w:color w:val="auto"/>
                      <w:highlight w:val="none"/>
                    </w:rPr>
                  </w:pPr>
                  <w:r>
                    <w:rPr>
                      <w:b/>
                      <w:bCs/>
                      <w:color w:val="auto"/>
                      <w:highlight w:val="none"/>
                    </w:rPr>
                    <w:t>环境要素</w:t>
                  </w:r>
                </w:p>
              </w:tc>
              <w:tc>
                <w:tcPr>
                  <w:tcW w:w="1037" w:type="dxa"/>
                  <w:vMerge w:val="restart"/>
                  <w:tcBorders>
                    <w:tl2br w:val="nil"/>
                    <w:tr2bl w:val="nil"/>
                  </w:tcBorders>
                  <w:noWrap w:val="0"/>
                  <w:tcMar>
                    <w:left w:w="28" w:type="dxa"/>
                    <w:right w:w="28" w:type="dxa"/>
                  </w:tcMar>
                  <w:vAlign w:val="center"/>
                </w:tcPr>
                <w:p w14:paraId="3E250F0A">
                  <w:pPr>
                    <w:pStyle w:val="83"/>
                    <w:bidi w:val="0"/>
                    <w:rPr>
                      <w:b/>
                      <w:bCs/>
                      <w:color w:val="auto"/>
                      <w:highlight w:val="none"/>
                    </w:rPr>
                  </w:pPr>
                  <w:r>
                    <w:rPr>
                      <w:b/>
                      <w:bCs/>
                      <w:color w:val="auto"/>
                      <w:highlight w:val="none"/>
                    </w:rPr>
                    <w:t>保护目标</w:t>
                  </w:r>
                </w:p>
              </w:tc>
              <w:tc>
                <w:tcPr>
                  <w:tcW w:w="4025" w:type="dxa"/>
                  <w:gridSpan w:val="5"/>
                  <w:tcBorders>
                    <w:tl2br w:val="nil"/>
                    <w:tr2bl w:val="nil"/>
                  </w:tcBorders>
                  <w:noWrap w:val="0"/>
                  <w:tcMar>
                    <w:left w:w="28" w:type="dxa"/>
                    <w:right w:w="28" w:type="dxa"/>
                  </w:tcMar>
                  <w:vAlign w:val="center"/>
                </w:tcPr>
                <w:p w14:paraId="7853C4C8">
                  <w:pPr>
                    <w:pStyle w:val="83"/>
                    <w:bidi w:val="0"/>
                    <w:rPr>
                      <w:b/>
                      <w:bCs/>
                      <w:color w:val="auto"/>
                      <w:highlight w:val="none"/>
                    </w:rPr>
                  </w:pPr>
                  <w:r>
                    <w:rPr>
                      <w:b/>
                      <w:bCs/>
                      <w:color w:val="auto"/>
                      <w:highlight w:val="none"/>
                    </w:rPr>
                    <w:t>保护对象</w:t>
                  </w:r>
                </w:p>
              </w:tc>
              <w:tc>
                <w:tcPr>
                  <w:tcW w:w="2062" w:type="dxa"/>
                  <w:vMerge w:val="restart"/>
                  <w:tcBorders>
                    <w:tl2br w:val="nil"/>
                    <w:tr2bl w:val="nil"/>
                  </w:tcBorders>
                  <w:noWrap w:val="0"/>
                  <w:tcMar>
                    <w:left w:w="28" w:type="dxa"/>
                    <w:right w:w="28" w:type="dxa"/>
                  </w:tcMar>
                  <w:vAlign w:val="center"/>
                </w:tcPr>
                <w:p w14:paraId="20AE368F">
                  <w:pPr>
                    <w:pStyle w:val="83"/>
                    <w:bidi w:val="0"/>
                    <w:rPr>
                      <w:b/>
                      <w:bCs/>
                      <w:color w:val="auto"/>
                      <w:highlight w:val="none"/>
                    </w:rPr>
                  </w:pPr>
                  <w:r>
                    <w:rPr>
                      <w:b/>
                      <w:bCs/>
                      <w:color w:val="auto"/>
                      <w:highlight w:val="none"/>
                    </w:rPr>
                    <w:t>保护级别</w:t>
                  </w:r>
                </w:p>
              </w:tc>
            </w:tr>
            <w:tr w14:paraId="3C1692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vMerge w:val="continue"/>
                  <w:tcBorders>
                    <w:tl2br w:val="nil"/>
                    <w:tr2bl w:val="nil"/>
                  </w:tcBorders>
                  <w:noWrap w:val="0"/>
                  <w:vAlign w:val="center"/>
                </w:tcPr>
                <w:p w14:paraId="6C55A926">
                  <w:pPr>
                    <w:pStyle w:val="83"/>
                    <w:bidi w:val="0"/>
                    <w:rPr>
                      <w:color w:val="auto"/>
                      <w:highlight w:val="none"/>
                    </w:rPr>
                  </w:pPr>
                </w:p>
              </w:tc>
              <w:tc>
                <w:tcPr>
                  <w:tcW w:w="1037" w:type="dxa"/>
                  <w:vMerge w:val="continue"/>
                  <w:tcBorders>
                    <w:tl2br w:val="nil"/>
                    <w:tr2bl w:val="nil"/>
                  </w:tcBorders>
                  <w:noWrap w:val="0"/>
                  <w:tcMar>
                    <w:left w:w="28" w:type="dxa"/>
                    <w:right w:w="28" w:type="dxa"/>
                  </w:tcMar>
                  <w:vAlign w:val="center"/>
                </w:tcPr>
                <w:p w14:paraId="5D90EE0D">
                  <w:pPr>
                    <w:pStyle w:val="83"/>
                    <w:bidi w:val="0"/>
                    <w:rPr>
                      <w:color w:val="auto"/>
                      <w:highlight w:val="none"/>
                    </w:rPr>
                  </w:pPr>
                </w:p>
              </w:tc>
              <w:tc>
                <w:tcPr>
                  <w:tcW w:w="1268" w:type="dxa"/>
                  <w:tcBorders>
                    <w:tl2br w:val="nil"/>
                    <w:tr2bl w:val="nil"/>
                  </w:tcBorders>
                  <w:noWrap w:val="0"/>
                  <w:tcMar>
                    <w:left w:w="28" w:type="dxa"/>
                    <w:right w:w="28" w:type="dxa"/>
                  </w:tcMar>
                  <w:vAlign w:val="center"/>
                </w:tcPr>
                <w:p w14:paraId="517F186B">
                  <w:pPr>
                    <w:pStyle w:val="83"/>
                    <w:bidi w:val="0"/>
                    <w:rPr>
                      <w:b/>
                      <w:bCs/>
                      <w:color w:val="auto"/>
                      <w:highlight w:val="none"/>
                    </w:rPr>
                  </w:pPr>
                  <w:r>
                    <w:rPr>
                      <w:b/>
                      <w:bCs/>
                      <w:color w:val="auto"/>
                      <w:highlight w:val="none"/>
                    </w:rPr>
                    <w:t>坐标</w:t>
                  </w:r>
                </w:p>
              </w:tc>
              <w:tc>
                <w:tcPr>
                  <w:tcW w:w="524" w:type="dxa"/>
                  <w:tcBorders>
                    <w:tl2br w:val="nil"/>
                    <w:tr2bl w:val="nil"/>
                  </w:tcBorders>
                  <w:noWrap w:val="0"/>
                  <w:tcMar>
                    <w:left w:w="28" w:type="dxa"/>
                    <w:right w:w="28" w:type="dxa"/>
                  </w:tcMar>
                  <w:vAlign w:val="center"/>
                </w:tcPr>
                <w:p w14:paraId="45453DAF">
                  <w:pPr>
                    <w:pStyle w:val="83"/>
                    <w:bidi w:val="0"/>
                    <w:rPr>
                      <w:b/>
                      <w:bCs/>
                      <w:color w:val="auto"/>
                      <w:highlight w:val="none"/>
                    </w:rPr>
                  </w:pPr>
                  <w:r>
                    <w:rPr>
                      <w:b/>
                      <w:bCs/>
                      <w:color w:val="auto"/>
                      <w:highlight w:val="none"/>
                    </w:rPr>
                    <w:t>方位</w:t>
                  </w:r>
                </w:p>
              </w:tc>
              <w:tc>
                <w:tcPr>
                  <w:tcW w:w="921" w:type="dxa"/>
                  <w:tcBorders>
                    <w:tl2br w:val="nil"/>
                    <w:tr2bl w:val="nil"/>
                  </w:tcBorders>
                  <w:noWrap w:val="0"/>
                  <w:tcMar>
                    <w:left w:w="28" w:type="dxa"/>
                    <w:right w:w="28" w:type="dxa"/>
                  </w:tcMar>
                  <w:vAlign w:val="center"/>
                </w:tcPr>
                <w:p w14:paraId="7B08D2BE">
                  <w:pPr>
                    <w:pStyle w:val="83"/>
                    <w:bidi w:val="0"/>
                    <w:rPr>
                      <w:b/>
                      <w:bCs/>
                      <w:color w:val="auto"/>
                      <w:highlight w:val="none"/>
                    </w:rPr>
                  </w:pPr>
                  <w:r>
                    <w:rPr>
                      <w:b/>
                      <w:bCs/>
                      <w:color w:val="auto"/>
                      <w:highlight w:val="none"/>
                    </w:rPr>
                    <w:t>距离</w:t>
                  </w:r>
                  <w:r>
                    <w:rPr>
                      <w:rFonts w:hint="eastAsia"/>
                      <w:b/>
                      <w:bCs/>
                      <w:color w:val="auto"/>
                      <w:highlight w:val="none"/>
                      <w:lang w:eastAsia="zh-CN"/>
                    </w:rPr>
                    <w:t>（</w:t>
                  </w:r>
                  <w:r>
                    <w:rPr>
                      <w:b/>
                      <w:bCs/>
                      <w:color w:val="auto"/>
                      <w:highlight w:val="none"/>
                    </w:rPr>
                    <w:t>m</w:t>
                  </w:r>
                  <w:r>
                    <w:rPr>
                      <w:rFonts w:hint="eastAsia"/>
                      <w:b/>
                      <w:bCs/>
                      <w:color w:val="auto"/>
                      <w:highlight w:val="none"/>
                      <w:lang w:eastAsia="zh-CN"/>
                    </w:rPr>
                    <w:t>）</w:t>
                  </w:r>
                </w:p>
              </w:tc>
              <w:tc>
                <w:tcPr>
                  <w:tcW w:w="637" w:type="dxa"/>
                  <w:tcBorders>
                    <w:tl2br w:val="nil"/>
                    <w:tr2bl w:val="nil"/>
                  </w:tcBorders>
                  <w:noWrap w:val="0"/>
                  <w:vAlign w:val="center"/>
                </w:tcPr>
                <w:p w14:paraId="46FACD76">
                  <w:pPr>
                    <w:pStyle w:val="83"/>
                    <w:bidi w:val="0"/>
                    <w:rPr>
                      <w:b/>
                      <w:bCs/>
                      <w:color w:val="auto"/>
                      <w:highlight w:val="none"/>
                    </w:rPr>
                  </w:pPr>
                  <w:r>
                    <w:rPr>
                      <w:b/>
                      <w:bCs/>
                      <w:color w:val="auto"/>
                      <w:highlight w:val="none"/>
                    </w:rPr>
                    <w:t>户数</w:t>
                  </w:r>
                </w:p>
              </w:tc>
              <w:tc>
                <w:tcPr>
                  <w:tcW w:w="675" w:type="dxa"/>
                  <w:tcBorders>
                    <w:tl2br w:val="nil"/>
                    <w:tr2bl w:val="nil"/>
                  </w:tcBorders>
                  <w:noWrap w:val="0"/>
                  <w:vAlign w:val="center"/>
                </w:tcPr>
                <w:p w14:paraId="4C7547CD">
                  <w:pPr>
                    <w:pStyle w:val="83"/>
                    <w:bidi w:val="0"/>
                    <w:rPr>
                      <w:b/>
                      <w:bCs/>
                      <w:color w:val="auto"/>
                      <w:highlight w:val="none"/>
                    </w:rPr>
                  </w:pPr>
                  <w:r>
                    <w:rPr>
                      <w:b/>
                      <w:bCs/>
                      <w:color w:val="auto"/>
                      <w:highlight w:val="none"/>
                    </w:rPr>
                    <w:t>人数</w:t>
                  </w:r>
                </w:p>
              </w:tc>
              <w:tc>
                <w:tcPr>
                  <w:tcW w:w="2062" w:type="dxa"/>
                  <w:vMerge w:val="continue"/>
                  <w:tcBorders>
                    <w:tl2br w:val="nil"/>
                    <w:tr2bl w:val="nil"/>
                  </w:tcBorders>
                  <w:noWrap w:val="0"/>
                  <w:tcMar>
                    <w:left w:w="28" w:type="dxa"/>
                    <w:right w:w="28" w:type="dxa"/>
                  </w:tcMar>
                  <w:vAlign w:val="center"/>
                </w:tcPr>
                <w:p w14:paraId="4D9733CE">
                  <w:pPr>
                    <w:pStyle w:val="83"/>
                    <w:bidi w:val="0"/>
                    <w:rPr>
                      <w:color w:val="auto"/>
                      <w:highlight w:val="none"/>
                    </w:rPr>
                  </w:pPr>
                </w:p>
              </w:tc>
            </w:tr>
            <w:tr w14:paraId="14BA2C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vMerge w:val="restart"/>
                  <w:tcBorders>
                    <w:tl2br w:val="nil"/>
                    <w:tr2bl w:val="nil"/>
                  </w:tcBorders>
                  <w:noWrap w:val="0"/>
                  <w:vAlign w:val="center"/>
                </w:tcPr>
                <w:p w14:paraId="0A45DA14">
                  <w:pPr>
                    <w:pStyle w:val="83"/>
                    <w:bidi w:val="0"/>
                    <w:rPr>
                      <w:color w:val="auto"/>
                      <w:highlight w:val="none"/>
                    </w:rPr>
                  </w:pPr>
                  <w:r>
                    <w:rPr>
                      <w:color w:val="auto"/>
                      <w:highlight w:val="none"/>
                    </w:rPr>
                    <w:t>环境</w:t>
                  </w:r>
                </w:p>
                <w:p w14:paraId="54F54864">
                  <w:pPr>
                    <w:pStyle w:val="83"/>
                    <w:bidi w:val="0"/>
                    <w:rPr>
                      <w:color w:val="auto"/>
                      <w:highlight w:val="none"/>
                    </w:rPr>
                  </w:pPr>
                  <w:r>
                    <w:rPr>
                      <w:color w:val="auto"/>
                      <w:highlight w:val="none"/>
                    </w:rPr>
                    <w:t>空气</w:t>
                  </w:r>
                </w:p>
              </w:tc>
              <w:tc>
                <w:tcPr>
                  <w:tcW w:w="1037" w:type="dxa"/>
                  <w:tcBorders>
                    <w:tl2br w:val="nil"/>
                    <w:tr2bl w:val="nil"/>
                  </w:tcBorders>
                  <w:noWrap w:val="0"/>
                  <w:tcMar>
                    <w:left w:w="28" w:type="dxa"/>
                    <w:right w:w="28" w:type="dxa"/>
                  </w:tcMar>
                  <w:vAlign w:val="center"/>
                </w:tcPr>
                <w:p w14:paraId="5ACB550C">
                  <w:pPr>
                    <w:pStyle w:val="83"/>
                    <w:bidi w:val="0"/>
                    <w:rPr>
                      <w:color w:val="auto"/>
                      <w:highlight w:val="none"/>
                    </w:rPr>
                  </w:pPr>
                  <w:r>
                    <w:rPr>
                      <w:rFonts w:hint="eastAsia"/>
                      <w:color w:val="auto"/>
                      <w:highlight w:val="none"/>
                      <w:lang w:val="en-US" w:eastAsia="zh-CN"/>
                    </w:rPr>
                    <w:t>壕赖村居民1</w:t>
                  </w:r>
                </w:p>
              </w:tc>
              <w:tc>
                <w:tcPr>
                  <w:tcW w:w="1268" w:type="dxa"/>
                  <w:tcBorders>
                    <w:tl2br w:val="nil"/>
                    <w:tr2bl w:val="nil"/>
                  </w:tcBorders>
                  <w:noWrap w:val="0"/>
                  <w:tcMar>
                    <w:left w:w="28" w:type="dxa"/>
                    <w:right w:w="28" w:type="dxa"/>
                  </w:tcMar>
                  <w:vAlign w:val="center"/>
                </w:tcPr>
                <w:p w14:paraId="2CC25DD7">
                  <w:pPr>
                    <w:pStyle w:val="8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E109°35′48.35800″</w:t>
                  </w:r>
                </w:p>
                <w:p w14:paraId="22D190C7">
                  <w:pPr>
                    <w:pStyle w:val="83"/>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N39°28′39.58667″</w:t>
                  </w:r>
                </w:p>
              </w:tc>
              <w:tc>
                <w:tcPr>
                  <w:tcW w:w="524" w:type="dxa"/>
                  <w:tcBorders>
                    <w:tl2br w:val="nil"/>
                    <w:tr2bl w:val="nil"/>
                  </w:tcBorders>
                  <w:noWrap w:val="0"/>
                  <w:tcMar>
                    <w:left w:w="28" w:type="dxa"/>
                    <w:right w:w="28" w:type="dxa"/>
                  </w:tcMar>
                  <w:vAlign w:val="center"/>
                </w:tcPr>
                <w:p w14:paraId="1698A223">
                  <w:pPr>
                    <w:pStyle w:val="83"/>
                    <w:bidi w:val="0"/>
                    <w:rPr>
                      <w:rFonts w:hint="default"/>
                      <w:color w:val="auto"/>
                      <w:highlight w:val="none"/>
                      <w:lang w:val="en-US" w:eastAsia="zh-CN"/>
                    </w:rPr>
                  </w:pPr>
                  <w:r>
                    <w:rPr>
                      <w:rFonts w:hint="eastAsia"/>
                      <w:color w:val="auto"/>
                      <w:highlight w:val="none"/>
                      <w:lang w:val="en-US" w:eastAsia="zh-CN"/>
                    </w:rPr>
                    <w:t>N</w:t>
                  </w:r>
                </w:p>
              </w:tc>
              <w:tc>
                <w:tcPr>
                  <w:tcW w:w="921" w:type="dxa"/>
                  <w:tcBorders>
                    <w:tl2br w:val="nil"/>
                    <w:tr2bl w:val="nil"/>
                  </w:tcBorders>
                  <w:noWrap w:val="0"/>
                  <w:tcMar>
                    <w:left w:w="28" w:type="dxa"/>
                    <w:right w:w="28" w:type="dxa"/>
                  </w:tcMar>
                  <w:vAlign w:val="center"/>
                </w:tcPr>
                <w:p w14:paraId="132F20BD">
                  <w:pPr>
                    <w:pStyle w:val="83"/>
                    <w:bidi w:val="0"/>
                    <w:rPr>
                      <w:rFonts w:hint="default"/>
                      <w:color w:val="auto"/>
                      <w:highlight w:val="none"/>
                      <w:lang w:val="en-US" w:eastAsia="zh-CN"/>
                    </w:rPr>
                  </w:pPr>
                  <w:r>
                    <w:rPr>
                      <w:rFonts w:hint="eastAsia"/>
                      <w:color w:val="auto"/>
                      <w:highlight w:val="none"/>
                      <w:lang w:val="en-US" w:eastAsia="zh-CN"/>
                    </w:rPr>
                    <w:t>477</w:t>
                  </w:r>
                </w:p>
              </w:tc>
              <w:tc>
                <w:tcPr>
                  <w:tcW w:w="637" w:type="dxa"/>
                  <w:tcBorders>
                    <w:tl2br w:val="nil"/>
                    <w:tr2bl w:val="nil"/>
                  </w:tcBorders>
                  <w:noWrap w:val="0"/>
                  <w:vAlign w:val="center"/>
                </w:tcPr>
                <w:p w14:paraId="416B1030">
                  <w:pPr>
                    <w:pStyle w:val="83"/>
                    <w:bidi w:val="0"/>
                    <w:rPr>
                      <w:rFonts w:hint="eastAsia"/>
                      <w:color w:val="auto"/>
                      <w:highlight w:val="none"/>
                      <w:lang w:eastAsia="zh-CN"/>
                    </w:rPr>
                  </w:pPr>
                  <w:r>
                    <w:rPr>
                      <w:rFonts w:hint="eastAsia"/>
                      <w:color w:val="auto"/>
                      <w:highlight w:val="none"/>
                      <w:lang w:val="en-US" w:eastAsia="zh-CN"/>
                    </w:rPr>
                    <w:t>1</w:t>
                  </w:r>
                </w:p>
              </w:tc>
              <w:tc>
                <w:tcPr>
                  <w:tcW w:w="675" w:type="dxa"/>
                  <w:tcBorders>
                    <w:tl2br w:val="nil"/>
                    <w:tr2bl w:val="nil"/>
                  </w:tcBorders>
                  <w:noWrap w:val="0"/>
                  <w:vAlign w:val="center"/>
                </w:tcPr>
                <w:p w14:paraId="0F243719">
                  <w:pPr>
                    <w:pStyle w:val="83"/>
                    <w:bidi w:val="0"/>
                    <w:rPr>
                      <w:rFonts w:hint="eastAsia" w:eastAsia="宋体"/>
                      <w:color w:val="auto"/>
                      <w:highlight w:val="none"/>
                      <w:lang w:val="en-US" w:eastAsia="zh-CN"/>
                    </w:rPr>
                  </w:pPr>
                  <w:r>
                    <w:rPr>
                      <w:rFonts w:hint="eastAsia"/>
                      <w:color w:val="auto"/>
                      <w:highlight w:val="none"/>
                      <w:lang w:val="en-US" w:eastAsia="zh-CN"/>
                    </w:rPr>
                    <w:t>3</w:t>
                  </w:r>
                </w:p>
              </w:tc>
              <w:tc>
                <w:tcPr>
                  <w:tcW w:w="2062" w:type="dxa"/>
                  <w:vMerge w:val="restart"/>
                  <w:tcBorders>
                    <w:tl2br w:val="nil"/>
                    <w:tr2bl w:val="nil"/>
                  </w:tcBorders>
                  <w:noWrap w:val="0"/>
                  <w:tcMar>
                    <w:left w:w="28" w:type="dxa"/>
                    <w:right w:w="28" w:type="dxa"/>
                  </w:tcMar>
                  <w:vAlign w:val="center"/>
                </w:tcPr>
                <w:p w14:paraId="424BA8B0">
                  <w:pPr>
                    <w:pStyle w:val="83"/>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《环境空气质量标准》</w:t>
                  </w:r>
                </w:p>
                <w:p w14:paraId="7F7B1356">
                  <w:pPr>
                    <w:pStyle w:val="83"/>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（GB3095-</w:t>
                  </w:r>
                  <w:r>
                    <w:rPr>
                      <w:rFonts w:hint="eastAsia" w:ascii="Times New Roman" w:hAnsi="Times New Roman" w:eastAsia="宋体" w:cs="Times New Roman"/>
                      <w:color w:val="auto"/>
                      <w:highlight w:val="none"/>
                      <w:lang w:val="en-US" w:eastAsia="zh-CN"/>
                    </w:rPr>
                    <w:t>2026</w:t>
                  </w:r>
                  <w:r>
                    <w:rPr>
                      <w:rFonts w:hint="default" w:ascii="Times New Roman" w:hAnsi="Times New Roman" w:eastAsia="宋体" w:cs="Times New Roman"/>
                      <w:color w:val="auto"/>
                      <w:highlight w:val="none"/>
                    </w:rPr>
                    <w:t>）二级标准</w:t>
                  </w:r>
                </w:p>
              </w:tc>
            </w:tr>
            <w:tr w14:paraId="3ED19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vMerge w:val="continue"/>
                  <w:tcBorders>
                    <w:tl2br w:val="nil"/>
                    <w:tr2bl w:val="nil"/>
                  </w:tcBorders>
                  <w:noWrap w:val="0"/>
                  <w:vAlign w:val="center"/>
                </w:tcPr>
                <w:p w14:paraId="766FC00B">
                  <w:pPr>
                    <w:pStyle w:val="83"/>
                    <w:bidi w:val="0"/>
                    <w:rPr>
                      <w:color w:val="auto"/>
                      <w:highlight w:val="none"/>
                    </w:rPr>
                  </w:pPr>
                </w:p>
              </w:tc>
              <w:tc>
                <w:tcPr>
                  <w:tcW w:w="1037" w:type="dxa"/>
                  <w:tcBorders>
                    <w:tl2br w:val="nil"/>
                    <w:tr2bl w:val="nil"/>
                  </w:tcBorders>
                  <w:noWrap w:val="0"/>
                  <w:tcMar>
                    <w:left w:w="28" w:type="dxa"/>
                    <w:right w:w="28" w:type="dxa"/>
                  </w:tcMar>
                  <w:vAlign w:val="center"/>
                </w:tcPr>
                <w:p w14:paraId="067004A3">
                  <w:pPr>
                    <w:pStyle w:val="83"/>
                    <w:bidi w:val="0"/>
                    <w:rPr>
                      <w:color w:val="auto"/>
                      <w:highlight w:val="none"/>
                    </w:rPr>
                  </w:pPr>
                  <w:r>
                    <w:rPr>
                      <w:rFonts w:hint="eastAsia"/>
                      <w:color w:val="auto"/>
                      <w:highlight w:val="none"/>
                      <w:lang w:val="en-US" w:eastAsia="zh-CN"/>
                    </w:rPr>
                    <w:t>壕赖村居民2</w:t>
                  </w:r>
                </w:p>
              </w:tc>
              <w:tc>
                <w:tcPr>
                  <w:tcW w:w="1268" w:type="dxa"/>
                  <w:tcBorders>
                    <w:tl2br w:val="nil"/>
                    <w:tr2bl w:val="nil"/>
                  </w:tcBorders>
                  <w:noWrap w:val="0"/>
                  <w:tcMar>
                    <w:left w:w="28" w:type="dxa"/>
                    <w:right w:w="28" w:type="dxa"/>
                  </w:tcMar>
                  <w:vAlign w:val="center"/>
                </w:tcPr>
                <w:p w14:paraId="6EC3B668">
                  <w:pPr>
                    <w:pStyle w:val="83"/>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w:t>
                  </w:r>
                  <w:r>
                    <w:rPr>
                      <w:rFonts w:hint="default" w:ascii="Times New Roman" w:hAnsi="Times New Roman" w:cs="Times New Roman"/>
                      <w:color w:val="auto"/>
                      <w:highlight w:val="none"/>
                    </w:rPr>
                    <w:t>109°36′12.16958″</w:t>
                  </w:r>
                </w:p>
                <w:p w14:paraId="4A2A41AC">
                  <w:pPr>
                    <w:pStyle w:val="83"/>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N</w:t>
                  </w:r>
                  <w:r>
                    <w:rPr>
                      <w:rFonts w:hint="default" w:ascii="Times New Roman" w:hAnsi="Times New Roman" w:cs="Times New Roman"/>
                      <w:color w:val="auto"/>
                      <w:highlight w:val="none"/>
                    </w:rPr>
                    <w:t>39°28′48.99239″</w:t>
                  </w:r>
                </w:p>
              </w:tc>
              <w:tc>
                <w:tcPr>
                  <w:tcW w:w="524" w:type="dxa"/>
                  <w:tcBorders>
                    <w:tl2br w:val="nil"/>
                    <w:tr2bl w:val="nil"/>
                  </w:tcBorders>
                  <w:noWrap w:val="0"/>
                  <w:tcMar>
                    <w:left w:w="28" w:type="dxa"/>
                    <w:right w:w="28" w:type="dxa"/>
                  </w:tcMar>
                  <w:vAlign w:val="center"/>
                </w:tcPr>
                <w:p w14:paraId="6C412379">
                  <w:pPr>
                    <w:pStyle w:val="83"/>
                    <w:bidi w:val="0"/>
                    <w:rPr>
                      <w:rFonts w:hint="default"/>
                      <w:color w:val="auto"/>
                      <w:highlight w:val="none"/>
                      <w:lang w:val="en-US" w:eastAsia="zh-CN"/>
                    </w:rPr>
                  </w:pPr>
                  <w:r>
                    <w:rPr>
                      <w:rFonts w:hint="eastAsia"/>
                      <w:color w:val="auto"/>
                      <w:highlight w:val="none"/>
                      <w:lang w:val="en-US" w:eastAsia="zh-CN"/>
                    </w:rPr>
                    <w:t>S</w:t>
                  </w:r>
                </w:p>
              </w:tc>
              <w:tc>
                <w:tcPr>
                  <w:tcW w:w="921" w:type="dxa"/>
                  <w:tcBorders>
                    <w:tl2br w:val="nil"/>
                    <w:tr2bl w:val="nil"/>
                  </w:tcBorders>
                  <w:noWrap w:val="0"/>
                  <w:tcMar>
                    <w:left w:w="28" w:type="dxa"/>
                    <w:right w:w="28" w:type="dxa"/>
                  </w:tcMar>
                  <w:vAlign w:val="center"/>
                </w:tcPr>
                <w:p w14:paraId="7E7C79A4">
                  <w:pPr>
                    <w:pStyle w:val="83"/>
                    <w:bidi w:val="0"/>
                    <w:rPr>
                      <w:rFonts w:hint="default"/>
                      <w:color w:val="auto"/>
                      <w:highlight w:val="none"/>
                      <w:lang w:val="en-US" w:eastAsia="zh-CN"/>
                    </w:rPr>
                  </w:pPr>
                  <w:r>
                    <w:rPr>
                      <w:rFonts w:hint="eastAsia"/>
                      <w:color w:val="auto"/>
                      <w:highlight w:val="none"/>
                      <w:lang w:val="en-US" w:eastAsia="zh-CN"/>
                    </w:rPr>
                    <w:t>393</w:t>
                  </w:r>
                </w:p>
              </w:tc>
              <w:tc>
                <w:tcPr>
                  <w:tcW w:w="637" w:type="dxa"/>
                  <w:tcBorders>
                    <w:tl2br w:val="nil"/>
                    <w:tr2bl w:val="nil"/>
                  </w:tcBorders>
                  <w:noWrap w:val="0"/>
                  <w:vAlign w:val="center"/>
                </w:tcPr>
                <w:p w14:paraId="431FD472">
                  <w:pPr>
                    <w:pStyle w:val="83"/>
                    <w:bidi w:val="0"/>
                    <w:rPr>
                      <w:rFonts w:hint="eastAsia"/>
                      <w:color w:val="auto"/>
                      <w:highlight w:val="none"/>
                      <w:lang w:val="en-US" w:eastAsia="zh-CN"/>
                    </w:rPr>
                  </w:pPr>
                  <w:r>
                    <w:rPr>
                      <w:rFonts w:hint="eastAsia"/>
                      <w:color w:val="auto"/>
                      <w:highlight w:val="none"/>
                      <w:lang w:val="en-US" w:eastAsia="zh-CN"/>
                    </w:rPr>
                    <w:t>9</w:t>
                  </w:r>
                </w:p>
              </w:tc>
              <w:tc>
                <w:tcPr>
                  <w:tcW w:w="675" w:type="dxa"/>
                  <w:tcBorders>
                    <w:tl2br w:val="nil"/>
                    <w:tr2bl w:val="nil"/>
                  </w:tcBorders>
                  <w:noWrap w:val="0"/>
                  <w:vAlign w:val="center"/>
                </w:tcPr>
                <w:p w14:paraId="59C5A27D">
                  <w:pPr>
                    <w:pStyle w:val="83"/>
                    <w:bidi w:val="0"/>
                    <w:rPr>
                      <w:rFonts w:hint="eastAsia"/>
                      <w:color w:val="auto"/>
                      <w:highlight w:val="none"/>
                      <w:lang w:val="en-US" w:eastAsia="zh-CN"/>
                    </w:rPr>
                  </w:pPr>
                  <w:r>
                    <w:rPr>
                      <w:color w:val="auto"/>
                      <w:highlight w:val="none"/>
                    </w:rPr>
                    <w:t>2</w:t>
                  </w:r>
                  <w:r>
                    <w:rPr>
                      <w:rFonts w:hint="eastAsia"/>
                      <w:color w:val="auto"/>
                      <w:highlight w:val="none"/>
                      <w:lang w:val="en-US" w:eastAsia="zh-CN"/>
                    </w:rPr>
                    <w:t>8</w:t>
                  </w:r>
                </w:p>
              </w:tc>
              <w:tc>
                <w:tcPr>
                  <w:tcW w:w="2062" w:type="dxa"/>
                  <w:vMerge w:val="continue"/>
                  <w:tcBorders>
                    <w:tl2br w:val="nil"/>
                    <w:tr2bl w:val="nil"/>
                  </w:tcBorders>
                  <w:noWrap w:val="0"/>
                  <w:tcMar>
                    <w:left w:w="28" w:type="dxa"/>
                    <w:right w:w="28" w:type="dxa"/>
                  </w:tcMar>
                  <w:vAlign w:val="center"/>
                </w:tcPr>
                <w:p w14:paraId="3A3A4785">
                  <w:pPr>
                    <w:pStyle w:val="83"/>
                    <w:bidi w:val="0"/>
                    <w:rPr>
                      <w:rFonts w:ascii="Times New Roman" w:hAnsi="Times New Roman" w:eastAsia="宋体" w:cs="Times New Roman"/>
                      <w:color w:val="auto"/>
                      <w:highlight w:val="none"/>
                    </w:rPr>
                  </w:pPr>
                </w:p>
              </w:tc>
            </w:tr>
            <w:tr w14:paraId="346FE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tcBorders>
                    <w:tl2br w:val="nil"/>
                    <w:tr2bl w:val="nil"/>
                  </w:tcBorders>
                  <w:noWrap w:val="0"/>
                  <w:vAlign w:val="center"/>
                </w:tcPr>
                <w:p w14:paraId="70FF9B25">
                  <w:pPr>
                    <w:pStyle w:val="83"/>
                    <w:bidi w:val="0"/>
                    <w:rPr>
                      <w:color w:val="auto"/>
                      <w:highlight w:val="none"/>
                    </w:rPr>
                  </w:pPr>
                  <w:r>
                    <w:rPr>
                      <w:color w:val="auto"/>
                      <w:highlight w:val="none"/>
                    </w:rPr>
                    <w:t>地下水</w:t>
                  </w:r>
                </w:p>
              </w:tc>
              <w:tc>
                <w:tcPr>
                  <w:tcW w:w="1037" w:type="dxa"/>
                  <w:tcBorders>
                    <w:tl2br w:val="nil"/>
                    <w:tr2bl w:val="nil"/>
                  </w:tcBorders>
                  <w:noWrap w:val="0"/>
                  <w:tcMar>
                    <w:left w:w="28" w:type="dxa"/>
                    <w:right w:w="28" w:type="dxa"/>
                  </w:tcMar>
                  <w:vAlign w:val="center"/>
                </w:tcPr>
                <w:p w14:paraId="45A515BC">
                  <w:pPr>
                    <w:pStyle w:val="83"/>
                    <w:bidi w:val="0"/>
                    <w:rPr>
                      <w:color w:val="auto"/>
                      <w:highlight w:val="none"/>
                    </w:rPr>
                  </w:pPr>
                  <w:r>
                    <w:rPr>
                      <w:rFonts w:hint="default"/>
                      <w:color w:val="auto"/>
                      <w:highlight w:val="none"/>
                      <w:lang w:val="en-US" w:eastAsia="zh-CN"/>
                    </w:rPr>
                    <w:t>甘珠庙水源地11号水井</w:t>
                  </w:r>
                </w:p>
              </w:tc>
              <w:tc>
                <w:tcPr>
                  <w:tcW w:w="4025" w:type="dxa"/>
                  <w:gridSpan w:val="5"/>
                  <w:tcBorders>
                    <w:tl2br w:val="nil"/>
                    <w:tr2bl w:val="nil"/>
                  </w:tcBorders>
                  <w:noWrap w:val="0"/>
                  <w:tcMar>
                    <w:left w:w="28" w:type="dxa"/>
                    <w:right w:w="28" w:type="dxa"/>
                  </w:tcMar>
                  <w:vAlign w:val="center"/>
                </w:tcPr>
                <w:p w14:paraId="55DBED38">
                  <w:pPr>
                    <w:pStyle w:val="83"/>
                    <w:bidi w:val="0"/>
                    <w:rPr>
                      <w:color w:val="auto"/>
                      <w:highlight w:val="none"/>
                    </w:rPr>
                  </w:pPr>
                  <w:r>
                    <w:rPr>
                      <w:color w:val="auto"/>
                      <w:highlight w:val="none"/>
                    </w:rPr>
                    <w:t>项目厂区</w:t>
                  </w:r>
                  <w:r>
                    <w:rPr>
                      <w:rFonts w:hint="eastAsia"/>
                      <w:color w:val="auto"/>
                      <w:highlight w:val="none"/>
                      <w:lang w:val="en-US" w:eastAsia="zh-CN"/>
                    </w:rPr>
                    <w:t>西南</w:t>
                  </w:r>
                  <w:r>
                    <w:rPr>
                      <w:color w:val="auto"/>
                      <w:highlight w:val="none"/>
                    </w:rPr>
                    <w:t>侧</w:t>
                  </w:r>
                  <w:r>
                    <w:rPr>
                      <w:rFonts w:hint="eastAsia"/>
                      <w:color w:val="auto"/>
                      <w:highlight w:val="none"/>
                      <w:lang w:val="en-US" w:eastAsia="zh-CN"/>
                    </w:rPr>
                    <w:t>57</w:t>
                  </w:r>
                  <w:r>
                    <w:rPr>
                      <w:color w:val="auto"/>
                      <w:highlight w:val="none"/>
                    </w:rPr>
                    <w:t>m处</w:t>
                  </w:r>
                  <w:r>
                    <w:rPr>
                      <w:rFonts w:hint="default"/>
                      <w:color w:val="auto"/>
                      <w:highlight w:val="none"/>
                      <w:lang w:val="en-US" w:eastAsia="zh-CN"/>
                    </w:rPr>
                    <w:t>甘珠庙水源地11号水井</w:t>
                  </w:r>
                </w:p>
              </w:tc>
              <w:tc>
                <w:tcPr>
                  <w:tcW w:w="2062" w:type="dxa"/>
                  <w:tcBorders>
                    <w:tl2br w:val="nil"/>
                    <w:tr2bl w:val="nil"/>
                  </w:tcBorders>
                  <w:noWrap w:val="0"/>
                  <w:tcMar>
                    <w:left w:w="28" w:type="dxa"/>
                    <w:right w:w="28" w:type="dxa"/>
                  </w:tcMar>
                  <w:vAlign w:val="center"/>
                </w:tcPr>
                <w:p w14:paraId="0B77C8BC">
                  <w:pPr>
                    <w:pStyle w:val="83"/>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《地下水质量标准》（GB/T14848-2017）</w:t>
                  </w:r>
                  <w:r>
                    <w:rPr>
                      <w:rFonts w:hint="eastAsia" w:ascii="Times New Roman" w:hAnsi="Times New Roman" w:eastAsia="宋体" w:cs="Times New Roman"/>
                      <w:color w:val="auto"/>
                      <w:highlight w:val="none"/>
                    </w:rPr>
                    <w:t>Ⅲ</w:t>
                  </w:r>
                  <w:r>
                    <w:rPr>
                      <w:rFonts w:ascii="Times New Roman" w:hAnsi="Times New Roman" w:eastAsia="宋体" w:cs="Times New Roman"/>
                      <w:color w:val="auto"/>
                      <w:highlight w:val="none"/>
                    </w:rPr>
                    <w:t>类标准</w:t>
                  </w:r>
                </w:p>
              </w:tc>
            </w:tr>
            <w:tr w14:paraId="2B7A5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731" w:type="dxa"/>
                  <w:tcBorders>
                    <w:tl2br w:val="nil"/>
                    <w:tr2bl w:val="nil"/>
                  </w:tcBorders>
                  <w:noWrap w:val="0"/>
                  <w:vAlign w:val="center"/>
                </w:tcPr>
                <w:p w14:paraId="2A11A729">
                  <w:pPr>
                    <w:pStyle w:val="83"/>
                    <w:bidi w:val="0"/>
                    <w:rPr>
                      <w:color w:val="auto"/>
                      <w:highlight w:val="none"/>
                    </w:rPr>
                  </w:pPr>
                  <w:r>
                    <w:rPr>
                      <w:color w:val="auto"/>
                      <w:highlight w:val="none"/>
                    </w:rPr>
                    <w:t>声环境</w:t>
                  </w:r>
                </w:p>
              </w:tc>
              <w:tc>
                <w:tcPr>
                  <w:tcW w:w="5062" w:type="dxa"/>
                  <w:gridSpan w:val="6"/>
                  <w:tcBorders>
                    <w:tl2br w:val="nil"/>
                    <w:tr2bl w:val="nil"/>
                  </w:tcBorders>
                  <w:noWrap w:val="0"/>
                  <w:tcMar>
                    <w:left w:w="28" w:type="dxa"/>
                    <w:right w:w="28" w:type="dxa"/>
                  </w:tcMar>
                  <w:vAlign w:val="center"/>
                </w:tcPr>
                <w:p w14:paraId="58234657">
                  <w:pPr>
                    <w:pStyle w:val="83"/>
                    <w:bidi w:val="0"/>
                    <w:rPr>
                      <w:color w:val="auto"/>
                      <w:highlight w:val="none"/>
                    </w:rPr>
                  </w:pPr>
                  <w:r>
                    <w:rPr>
                      <w:color w:val="auto"/>
                      <w:highlight w:val="none"/>
                    </w:rPr>
                    <w:t>厂界外50m范围内无环境保护目标</w:t>
                  </w:r>
                </w:p>
              </w:tc>
              <w:tc>
                <w:tcPr>
                  <w:tcW w:w="2062" w:type="dxa"/>
                  <w:tcBorders>
                    <w:tl2br w:val="nil"/>
                    <w:tr2bl w:val="nil"/>
                  </w:tcBorders>
                  <w:noWrap w:val="0"/>
                  <w:tcMar>
                    <w:left w:w="28" w:type="dxa"/>
                    <w:right w:w="28" w:type="dxa"/>
                  </w:tcMar>
                  <w:vAlign w:val="center"/>
                </w:tcPr>
                <w:p w14:paraId="12B91548">
                  <w:pPr>
                    <w:pStyle w:val="83"/>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《声环境质量标准》（GB3096-2008）2类标准</w:t>
                  </w:r>
                </w:p>
              </w:tc>
            </w:tr>
          </w:tbl>
          <w:p w14:paraId="594E0220">
            <w:pPr>
              <w:keepNext w:val="0"/>
              <w:keepLines w:val="0"/>
              <w:pageBreakBefore w:val="0"/>
              <w:widowControl w:val="0"/>
              <w:kinsoku/>
              <w:wordWrap/>
              <w:overflowPunct/>
              <w:topLinePunct w:val="0"/>
              <w:autoSpaceDE/>
              <w:autoSpaceDN/>
              <w:bidi w:val="0"/>
              <w:adjustRightInd/>
              <w:snapToGrid/>
              <w:spacing w:line="360" w:lineRule="auto"/>
              <w:ind w:right="102" w:firstLine="482" w:firstLineChars="200"/>
              <w:textAlignment w:val="auto"/>
              <w:rPr>
                <w:rFonts w:hint="eastAsia"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bCs/>
                <w:color w:val="auto"/>
                <w:sz w:val="24"/>
                <w:highlight w:val="none"/>
              </w:rPr>
              <w:t>伊金霍洛旗甘珠庙水源地</w:t>
            </w:r>
            <w:r>
              <w:rPr>
                <w:rFonts w:hint="eastAsia" w:ascii="Times New Roman" w:hAnsi="Times New Roman" w:eastAsia="宋体" w:cs="Times New Roman"/>
                <w:b/>
                <w:bCs/>
                <w:color w:val="auto"/>
                <w:sz w:val="24"/>
                <w:highlight w:val="none"/>
                <w:lang w:eastAsia="zh-CN"/>
              </w:rPr>
              <w:t>：</w:t>
            </w:r>
          </w:p>
          <w:p w14:paraId="6E1281CA">
            <w:pPr>
              <w:spacing w:line="360" w:lineRule="auto"/>
              <w:ind w:right="102"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甘珠庙水源地属于阿镇城镇供水主要水源之一，是由旗自来水公司于2007年开始建设。水源地位于内蒙古自治区鄂尔多斯市伊金霍洛旗伊金霍洛镇，西起公尼召河，东至甘珠日庙河；南起根皮庙，北至车家渠；面积约217km</w:t>
            </w:r>
            <w:r>
              <w:rPr>
                <w:rFonts w:hint="default" w:ascii="Times New Roman" w:hAnsi="Times New Roman" w:eastAsia="宋体" w:cs="Times New Roman"/>
                <w:color w:val="auto"/>
                <w:sz w:val="24"/>
                <w:highlight w:val="none"/>
                <w:vertAlign w:val="superscript"/>
              </w:rPr>
              <w:t>2</w:t>
            </w:r>
            <w:r>
              <w:rPr>
                <w:rFonts w:hint="default" w:ascii="Times New Roman" w:hAnsi="Times New Roman" w:eastAsia="宋体" w:cs="Times New Roman"/>
                <w:color w:val="auto"/>
                <w:sz w:val="24"/>
                <w:highlight w:val="none"/>
              </w:rPr>
              <w:t>，其地理坐标为：东经109°35'00.5"～109°44'19.8"，北纬39°22'47.3"～39°32'13.8</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382454BC">
            <w:pPr>
              <w:spacing w:line="360" w:lineRule="auto"/>
              <w:ind w:right="102"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按照《鄂尔多斯市伊金霍洛旗甘珠庙集中式饮用水水源地保护划定方案》，水源地总面积为217.76平方公里，涉及伊金霍洛镇6个村24个社（涉及水源井34眼）和阿镇车家渠村（涉及水源井1眼），共计水源井35眼。目前，该处水源地运行供水井33眼、未运行2眼。该水源地批复年取水量为503.7万立方米，年平均取水量为300万立方米。</w:t>
            </w:r>
          </w:p>
          <w:p w14:paraId="7BA39A75">
            <w:pPr>
              <w:spacing w:line="360" w:lineRule="auto"/>
              <w:ind w:right="102"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水源地位于鄂尔多斯盆地东缘西倾平缓似水平状的台阶区，地下水的补给来源主要是大气降水的入渗补给，其次为西侧及西南侧地下水的侧向补给。水源地内最具供水意义的是下部厚度巨大的浅层承压水，由白垩系下统志丹群碎屑岩类第三、四岩段和第二岩段两个含水岩组组成一个统一的含水综合体，且没有稳定的区域隔水层，该含水综合体厚度121.49～211.86m，平均171.84m，水位埋深6.83～58.57m，抽水试验单井涌水量264.21～864.34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/d，水质良好，矿化度＜1g/L。</w:t>
            </w:r>
          </w:p>
          <w:p w14:paraId="4E6DE313">
            <w:pPr>
              <w:spacing w:line="360" w:lineRule="auto"/>
              <w:ind w:firstLine="480" w:firstLineChars="200"/>
              <w:rPr>
                <w:rFonts w:ascii="宋体" w:hAnsi="宋体" w:cs="宋体"/>
                <w:color w:val="auto"/>
                <w:kern w:val="0"/>
                <w:sz w:val="24"/>
                <w:highlight w:val="none"/>
              </w:rPr>
            </w:pPr>
            <w:r>
              <w:rPr>
                <w:rFonts w:hint="default" w:ascii="Times New Roman" w:hAnsi="Times New Roman" w:eastAsia="宋体" w:cs="Times New Roman"/>
                <w:b w:val="0"/>
                <w:color w:val="auto"/>
                <w:kern w:val="2"/>
                <w:sz w:val="24"/>
                <w:szCs w:val="24"/>
                <w:highlight w:val="none"/>
                <w:lang w:val="en-US" w:eastAsia="zh-CN" w:bidi="ar-SA"/>
              </w:rPr>
              <w:t>本项目周边分布有甘珠庙水源地11号水源井，水源井中心坐标为</w:t>
            </w:r>
            <w:r>
              <w:rPr>
                <w:rFonts w:hint="eastAsia" w:ascii="Times New Roman" w:hAnsi="Times New Roman" w:eastAsia="宋体" w:cs="Times New Roman"/>
                <w:b w:val="0"/>
                <w:color w:val="auto"/>
                <w:kern w:val="2"/>
                <w:sz w:val="24"/>
                <w:szCs w:val="24"/>
                <w:highlight w:val="none"/>
                <w:lang w:val="en-US" w:eastAsia="zh-CN" w:bidi="ar-SA"/>
              </w:rPr>
              <w:t>E</w:t>
            </w:r>
            <w:r>
              <w:rPr>
                <w:rFonts w:hint="default" w:ascii="Times New Roman" w:hAnsi="Times New Roman" w:eastAsia="宋体" w:cs="Times New Roman"/>
                <w:b w:val="0"/>
                <w:color w:val="auto"/>
                <w:kern w:val="2"/>
                <w:sz w:val="24"/>
                <w:szCs w:val="24"/>
                <w:highlight w:val="none"/>
                <w:lang w:val="en-US" w:eastAsia="zh-CN" w:bidi="ar-SA"/>
              </w:rPr>
              <w:t>109°36′1.281″，</w:t>
            </w:r>
            <w:r>
              <w:rPr>
                <w:rFonts w:hint="eastAsia" w:ascii="Times New Roman" w:hAnsi="Times New Roman" w:eastAsia="宋体" w:cs="Times New Roman"/>
                <w:b w:val="0"/>
                <w:color w:val="auto"/>
                <w:kern w:val="2"/>
                <w:sz w:val="24"/>
                <w:szCs w:val="24"/>
                <w:highlight w:val="none"/>
                <w:lang w:val="en-US" w:eastAsia="zh-CN" w:bidi="ar-SA"/>
              </w:rPr>
              <w:t>N</w:t>
            </w:r>
            <w:r>
              <w:rPr>
                <w:rFonts w:hint="default" w:ascii="Times New Roman" w:hAnsi="Times New Roman" w:eastAsia="宋体" w:cs="Times New Roman"/>
                <w:b w:val="0"/>
                <w:color w:val="auto"/>
                <w:kern w:val="2"/>
                <w:sz w:val="24"/>
                <w:szCs w:val="24"/>
                <w:highlight w:val="none"/>
                <w:lang w:val="en-US" w:eastAsia="zh-CN" w:bidi="ar-SA"/>
              </w:rPr>
              <w:t>39°29′0.506″，以该水源井为圆心，50m为半径的外切线所形成的正方形区域为一级保护区。本项目位于甘珠庙水源地11号水井西南侧，本项目厂界距离水源井约为</w:t>
            </w:r>
            <w:r>
              <w:rPr>
                <w:rFonts w:hint="eastAsia" w:ascii="Times New Roman" w:hAnsi="Times New Roman" w:eastAsia="宋体" w:cs="Times New Roman"/>
                <w:b w:val="0"/>
                <w:color w:val="auto"/>
                <w:kern w:val="2"/>
                <w:sz w:val="24"/>
                <w:szCs w:val="24"/>
                <w:highlight w:val="none"/>
                <w:lang w:val="en-US" w:eastAsia="zh-CN" w:bidi="ar-SA"/>
              </w:rPr>
              <w:t>57</w:t>
            </w:r>
            <w:r>
              <w:rPr>
                <w:rFonts w:hint="default" w:ascii="Times New Roman" w:hAnsi="Times New Roman" w:eastAsia="宋体" w:cs="Times New Roman"/>
                <w:b w:val="0"/>
                <w:color w:val="auto"/>
                <w:kern w:val="2"/>
                <w:sz w:val="24"/>
                <w:szCs w:val="24"/>
                <w:highlight w:val="none"/>
                <w:lang w:val="en-US" w:eastAsia="zh-CN" w:bidi="ar-SA"/>
              </w:rPr>
              <w:t>m，</w:t>
            </w:r>
            <w:r>
              <w:rPr>
                <w:rFonts w:hint="default" w:ascii="Times New Roman" w:hAnsi="Times New Roman" w:eastAsia="宋体" w:cs="Times New Roman"/>
                <w:b w:val="0"/>
                <w:color w:val="auto"/>
                <w:kern w:val="2"/>
                <w:sz w:val="24"/>
                <w:szCs w:val="24"/>
                <w:highlight w:val="yellow"/>
                <w:lang w:val="en-US" w:eastAsia="zh-CN" w:bidi="ar-SA"/>
              </w:rPr>
              <w:t>本项目厂区地面硬化，沉淀池、化粪池进行防渗处理，</w:t>
            </w:r>
            <w:r>
              <w:rPr>
                <w:rFonts w:hint="eastAsia" w:cs="Times New Roman"/>
                <w:b w:val="0"/>
                <w:color w:val="auto"/>
                <w:kern w:val="2"/>
                <w:sz w:val="24"/>
                <w:szCs w:val="24"/>
                <w:highlight w:val="yellow"/>
                <w:lang w:val="en-US" w:eastAsia="zh-CN" w:bidi="ar-SA"/>
              </w:rPr>
              <w:t>采用150mm厚的C30P6抗渗混凝土进行防渗，满足</w:t>
            </w:r>
            <w:r>
              <w:rPr>
                <w:rFonts w:hint="default" w:ascii="Times New Roman" w:hAnsi="Times New Roman" w:eastAsia="宋体" w:cs="Times New Roman"/>
                <w:b w:val="0"/>
                <w:color w:val="auto"/>
                <w:kern w:val="2"/>
                <w:sz w:val="24"/>
                <w:szCs w:val="24"/>
                <w:highlight w:val="yellow"/>
                <w:lang w:val="en-US" w:eastAsia="zh-CN" w:bidi="ar-SA"/>
              </w:rPr>
              <w:t>等效黏土防渗层Mb≥1.5m，渗透系数≤1.0×10</w:t>
            </w:r>
            <w:r>
              <w:rPr>
                <w:rFonts w:hint="default" w:ascii="Times New Roman" w:hAnsi="Times New Roman" w:eastAsia="宋体" w:cs="Times New Roman"/>
                <w:b w:val="0"/>
                <w:color w:val="auto"/>
                <w:kern w:val="2"/>
                <w:sz w:val="24"/>
                <w:szCs w:val="24"/>
                <w:highlight w:val="yellow"/>
                <w:vertAlign w:val="superscript"/>
                <w:lang w:val="en-US" w:eastAsia="zh-CN" w:bidi="ar-SA"/>
              </w:rPr>
              <w:t>-7</w:t>
            </w:r>
            <w:r>
              <w:rPr>
                <w:rFonts w:hint="default" w:ascii="Times New Roman" w:hAnsi="Times New Roman" w:eastAsia="宋体" w:cs="Times New Roman"/>
                <w:b w:val="0"/>
                <w:color w:val="auto"/>
                <w:kern w:val="2"/>
                <w:sz w:val="24"/>
                <w:szCs w:val="24"/>
                <w:highlight w:val="yellow"/>
                <w:lang w:val="en-US" w:eastAsia="zh-CN" w:bidi="ar-SA"/>
              </w:rPr>
              <w:t>cm/s。对地下水环境影响较小</w:t>
            </w:r>
            <w:r>
              <w:rPr>
                <w:rFonts w:hint="eastAsia" w:ascii="Times New Roman" w:hAnsi="Times New Roman" w:eastAsia="宋体" w:cs="Times New Roman"/>
                <w:b w:val="0"/>
                <w:color w:val="auto"/>
                <w:kern w:val="2"/>
                <w:sz w:val="24"/>
                <w:szCs w:val="24"/>
                <w:highlight w:val="yellow"/>
                <w:lang w:val="en-US" w:eastAsia="zh-CN" w:bidi="ar-SA"/>
              </w:rPr>
              <w:t>。</w:t>
            </w:r>
          </w:p>
        </w:tc>
      </w:tr>
      <w:tr w14:paraId="5D7A5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800" w:type="dxa"/>
            <w:noWrap w:val="0"/>
            <w:vAlign w:val="center"/>
          </w:tcPr>
          <w:p w14:paraId="3A327BEC">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污染</w:t>
            </w:r>
          </w:p>
          <w:p w14:paraId="6C1E62D1">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物排</w:t>
            </w:r>
          </w:p>
          <w:p w14:paraId="132B218D">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放控</w:t>
            </w:r>
          </w:p>
          <w:p w14:paraId="2CE4177A">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制标</w:t>
            </w:r>
          </w:p>
          <w:p w14:paraId="42138B15">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准</w:t>
            </w:r>
          </w:p>
        </w:tc>
        <w:tc>
          <w:tcPr>
            <w:tcW w:w="8190" w:type="dxa"/>
            <w:noWrap w:val="0"/>
            <w:vAlign w:val="center"/>
          </w:tcPr>
          <w:p w14:paraId="54C79954">
            <w:pPr>
              <w:spacing w:line="360" w:lineRule="auto"/>
              <w:ind w:firstLine="482" w:firstLineChars="200"/>
              <w:rPr>
                <w:b/>
                <w:color w:val="auto"/>
                <w:kern w:val="0"/>
                <w:sz w:val="24"/>
                <w:highlight w:val="none"/>
              </w:rPr>
            </w:pPr>
            <w:r>
              <w:rPr>
                <w:b/>
                <w:color w:val="auto"/>
                <w:kern w:val="0"/>
                <w:sz w:val="24"/>
                <w:highlight w:val="none"/>
              </w:rPr>
              <w:t>1</w:t>
            </w:r>
            <w:r>
              <w:rPr>
                <w:rFonts w:hint="eastAsia" w:ascii="宋体" w:hAnsi="宋体"/>
                <w:b/>
                <w:color w:val="auto"/>
                <w:kern w:val="0"/>
                <w:sz w:val="24"/>
                <w:highlight w:val="none"/>
                <w:lang w:eastAsia="zh-CN"/>
              </w:rPr>
              <w:t>、</w:t>
            </w:r>
            <w:r>
              <w:rPr>
                <w:rFonts w:ascii="宋体" w:hAnsi="宋体"/>
                <w:b/>
                <w:color w:val="auto"/>
                <w:kern w:val="0"/>
                <w:sz w:val="24"/>
                <w:highlight w:val="none"/>
              </w:rPr>
              <w:t>大气污染物排放标准</w:t>
            </w:r>
          </w:p>
          <w:p w14:paraId="23D79C2B">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施工期无组织颗粒物排放执行《大气污染物综合排放标准》</w:t>
            </w:r>
            <w:r>
              <w:rPr>
                <w:rFonts w:hint="default" w:ascii="Times New Roman" w:hAnsi="Times New Roman" w:eastAsia="宋体" w:cs="Times New Roman"/>
                <w:color w:val="auto"/>
                <w:sz w:val="24"/>
                <w:highlight w:val="none"/>
                <w:lang w:val="en-US" w:eastAsia="zh-CN"/>
              </w:rPr>
              <w:t>（GB16297</w:t>
            </w:r>
          </w:p>
          <w:p w14:paraId="0D04A388">
            <w:pPr>
              <w:spacing w:line="360" w:lineRule="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-1996）中新污染源大气污染物排放限值要求。</w:t>
            </w:r>
          </w:p>
          <w:p w14:paraId="12B113AE">
            <w:pPr>
              <w:pStyle w:val="10"/>
              <w:snapToGrid/>
              <w:spacing w:before="0" w:after="0" w:line="240" w:lineRule="auto"/>
              <w:ind w:right="0"/>
              <w:jc w:val="center"/>
              <w:rPr>
                <w:rFonts w:hint="default" w:ascii="Times New Roman" w:hAnsi="Times New Roman" w:eastAsia="宋体" w:cs="Times New Roman"/>
                <w:b/>
                <w:bCs/>
                <w:color w:val="auto"/>
                <w:sz w:val="24"/>
                <w:szCs w:val="24"/>
                <w:highlight w:val="none"/>
                <w:lang w:val="en-US" w:eastAsia="zh-CN"/>
              </w:rPr>
            </w:pPr>
            <w:r>
              <w:rPr>
                <w:rFonts w:ascii="Times New Roman" w:hAnsi="Times New Roman" w:eastAsia="宋体" w:cs="Times New Roman"/>
                <w:b/>
                <w:bCs/>
                <w:color w:val="auto"/>
                <w:sz w:val="24"/>
                <w:szCs w:val="24"/>
                <w:highlight w:val="none"/>
              </w:rPr>
              <w:t>表</w:t>
            </w:r>
            <w:r>
              <w:rPr>
                <w:rFonts w:hint="eastAsia" w:ascii="Times New Roman" w:hAnsi="Times New Roman" w:eastAsia="宋体" w:cs="Times New Roman"/>
                <w:b/>
                <w:bCs/>
                <w:color w:val="auto"/>
                <w:sz w:val="24"/>
                <w:szCs w:val="24"/>
                <w:highlight w:val="none"/>
                <w:lang w:val="en-US" w:eastAsia="zh-CN"/>
              </w:rPr>
              <w:t>3-</w:t>
            </w:r>
            <w:r>
              <w:rPr>
                <w:rFonts w:hint="eastAsia" w:cs="Times New Roman"/>
                <w:b/>
                <w:bCs/>
                <w:color w:val="auto"/>
                <w:sz w:val="24"/>
                <w:szCs w:val="24"/>
                <w:highlight w:val="none"/>
                <w:lang w:val="en-US" w:eastAsia="zh-CN"/>
              </w:rPr>
              <w:t>4施工期无组织排放标准</w:t>
            </w:r>
          </w:p>
          <w:tbl>
            <w:tblPr>
              <w:tblStyle w:val="69"/>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351"/>
              <w:gridCol w:w="2862"/>
              <w:gridCol w:w="2754"/>
            </w:tblGrid>
            <w:tr w14:paraId="36C1C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jc w:val="center"/>
              </w:trPr>
              <w:tc>
                <w:tcPr>
                  <w:tcW w:w="1475" w:type="pct"/>
                  <w:vMerge w:val="restart"/>
                  <w:tcBorders>
                    <w:left w:val="nil"/>
                    <w:bottom w:val="nil"/>
                  </w:tcBorders>
                  <w:noWrap w:val="0"/>
                  <w:vAlign w:val="center"/>
                </w:tcPr>
                <w:p w14:paraId="2F82E4B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污染物</w:t>
                  </w:r>
                </w:p>
              </w:tc>
              <w:tc>
                <w:tcPr>
                  <w:tcW w:w="3524" w:type="pct"/>
                  <w:gridSpan w:val="2"/>
                  <w:tcBorders>
                    <w:right w:val="nil"/>
                  </w:tcBorders>
                  <w:noWrap w:val="0"/>
                  <w:vAlign w:val="center"/>
                </w:tcPr>
                <w:p w14:paraId="7660B595">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无组织排放监控浓度限值</w:t>
                  </w:r>
                </w:p>
              </w:tc>
            </w:tr>
            <w:tr w14:paraId="21302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 w:hRule="atLeast"/>
                <w:jc w:val="center"/>
              </w:trPr>
              <w:tc>
                <w:tcPr>
                  <w:tcW w:w="1475" w:type="pct"/>
                  <w:vMerge w:val="continue"/>
                  <w:tcBorders>
                    <w:top w:val="nil"/>
                    <w:left w:val="nil"/>
                  </w:tcBorders>
                  <w:noWrap w:val="0"/>
                  <w:vAlign w:val="center"/>
                </w:tcPr>
                <w:p w14:paraId="6F003914">
                  <w:pPr>
                    <w:jc w:val="center"/>
                    <w:rPr>
                      <w:rFonts w:hint="eastAsia" w:ascii="Times New Roman" w:hAnsi="Times New Roman" w:eastAsia="宋体" w:cs="Times New Roman"/>
                      <w:color w:val="auto"/>
                      <w:szCs w:val="21"/>
                      <w:highlight w:val="none"/>
                      <w:lang w:val="en-US" w:eastAsia="zh-CN"/>
                    </w:rPr>
                  </w:pPr>
                </w:p>
              </w:tc>
              <w:tc>
                <w:tcPr>
                  <w:tcW w:w="1796" w:type="pct"/>
                  <w:noWrap w:val="0"/>
                  <w:vAlign w:val="center"/>
                </w:tcPr>
                <w:p w14:paraId="2DA0472C">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监控点</w:t>
                  </w:r>
                </w:p>
              </w:tc>
              <w:tc>
                <w:tcPr>
                  <w:tcW w:w="1727" w:type="pct"/>
                  <w:tcBorders>
                    <w:right w:val="nil"/>
                  </w:tcBorders>
                  <w:noWrap w:val="0"/>
                  <w:vAlign w:val="center"/>
                </w:tcPr>
                <w:p w14:paraId="5714E732">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浓度mg/m</w:t>
                  </w:r>
                  <w:r>
                    <w:rPr>
                      <w:rFonts w:hint="eastAsia" w:ascii="Times New Roman" w:hAnsi="Times New Roman" w:eastAsia="宋体" w:cs="Times New Roman"/>
                      <w:color w:val="auto"/>
                      <w:szCs w:val="21"/>
                      <w:highlight w:val="none"/>
                      <w:vertAlign w:val="superscript"/>
                      <w:lang w:val="en-US" w:eastAsia="zh-CN"/>
                    </w:rPr>
                    <w:t>3</w:t>
                  </w:r>
                </w:p>
              </w:tc>
            </w:tr>
            <w:tr w14:paraId="21D91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1475" w:type="pct"/>
                  <w:tcBorders>
                    <w:left w:val="nil"/>
                  </w:tcBorders>
                  <w:noWrap w:val="0"/>
                  <w:vAlign w:val="center"/>
                </w:tcPr>
                <w:p w14:paraId="4FA8BDA0">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颗粒物</w:t>
                  </w:r>
                </w:p>
              </w:tc>
              <w:tc>
                <w:tcPr>
                  <w:tcW w:w="1796" w:type="pct"/>
                  <w:noWrap w:val="0"/>
                  <w:vAlign w:val="center"/>
                </w:tcPr>
                <w:p w14:paraId="09937454">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厂界外最高点浓度</w:t>
                  </w:r>
                </w:p>
              </w:tc>
              <w:tc>
                <w:tcPr>
                  <w:tcW w:w="1727" w:type="pct"/>
                  <w:tcBorders>
                    <w:right w:val="nil"/>
                  </w:tcBorders>
                  <w:noWrap w:val="0"/>
                  <w:vAlign w:val="center"/>
                </w:tcPr>
                <w:p w14:paraId="1EF93F89">
                  <w:pPr>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1.0</w:t>
                  </w:r>
                </w:p>
              </w:tc>
            </w:tr>
          </w:tbl>
          <w:p w14:paraId="18EB96EB">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line="360" w:lineRule="auto"/>
              <w:ind w:firstLine="480" w:firstLineChars="200"/>
              <w:textAlignment w:val="auto"/>
              <w:outlineLvl w:val="9"/>
              <w:rPr>
                <w:rFonts w:ascii="宋体" w:hAnsi="宋体"/>
                <w:color w:val="auto"/>
                <w:kern w:val="0"/>
                <w:sz w:val="24"/>
                <w:highlight w:val="none"/>
              </w:rPr>
            </w:pPr>
            <w:r>
              <w:rPr>
                <w:rFonts w:hint="eastAsia" w:ascii="宋体" w:hAnsi="宋体"/>
                <w:color w:val="auto"/>
                <w:kern w:val="0"/>
                <w:sz w:val="24"/>
                <w:highlight w:val="none"/>
              </w:rPr>
              <w:t>运营期</w:t>
            </w:r>
            <w:r>
              <w:rPr>
                <w:rFonts w:hint="eastAsia" w:ascii="宋体" w:hAnsi="宋体"/>
                <w:color w:val="auto"/>
                <w:kern w:val="0"/>
                <w:sz w:val="24"/>
                <w:highlight w:val="none"/>
                <w:lang w:val="en-US" w:eastAsia="zh-CN"/>
              </w:rPr>
              <w:t>筒仓颗粒物</w:t>
            </w:r>
            <w:r>
              <w:rPr>
                <w:rFonts w:ascii="宋体" w:hAnsi="宋体"/>
                <w:color w:val="auto"/>
                <w:kern w:val="0"/>
                <w:sz w:val="24"/>
                <w:highlight w:val="none"/>
              </w:rPr>
              <w:t>排放执行《水泥工业大气污染物排放标准》（</w:t>
            </w:r>
            <w:r>
              <w:rPr>
                <w:color w:val="auto"/>
                <w:kern w:val="0"/>
                <w:sz w:val="24"/>
                <w:highlight w:val="none"/>
              </w:rPr>
              <w:t>GB4915-2013</w:t>
            </w:r>
            <w:r>
              <w:rPr>
                <w:rFonts w:ascii="宋体" w:hAnsi="宋体"/>
                <w:color w:val="auto"/>
                <w:kern w:val="0"/>
                <w:sz w:val="24"/>
                <w:highlight w:val="none"/>
              </w:rPr>
              <w:t>）</w:t>
            </w:r>
            <w:r>
              <w:rPr>
                <w:rFonts w:hint="eastAsia" w:ascii="宋体" w:hAnsi="宋体"/>
                <w:color w:val="auto"/>
                <w:kern w:val="0"/>
                <w:sz w:val="24"/>
                <w:highlight w:val="none"/>
                <w:lang w:val="en-US" w:eastAsia="zh-CN"/>
              </w:rPr>
              <w:t>表</w:t>
            </w:r>
            <w:r>
              <w:rPr>
                <w:rFonts w:hint="default" w:ascii="Times New Roman" w:hAnsi="Times New Roman" w:cs="Times New Roman"/>
                <w:color w:val="auto"/>
                <w:kern w:val="0"/>
                <w:sz w:val="24"/>
                <w:highlight w:val="none"/>
                <w:lang w:val="en-US" w:eastAsia="zh-CN"/>
              </w:rPr>
              <w:t>2</w:t>
            </w:r>
            <w:r>
              <w:rPr>
                <w:rFonts w:hint="eastAsia" w:ascii="宋体" w:hAnsi="宋体"/>
                <w:color w:val="auto"/>
                <w:kern w:val="0"/>
                <w:sz w:val="24"/>
                <w:highlight w:val="none"/>
                <w:lang w:val="en-US" w:eastAsia="zh-CN"/>
              </w:rPr>
              <w:t>排放限值，厂界无组织颗粒物执行</w:t>
            </w:r>
            <w:r>
              <w:rPr>
                <w:rFonts w:ascii="宋体" w:hAnsi="宋体"/>
                <w:color w:val="auto"/>
                <w:kern w:val="0"/>
                <w:sz w:val="24"/>
                <w:highlight w:val="none"/>
              </w:rPr>
              <w:t>《水泥工业大气污染物排放标准》（</w:t>
            </w:r>
            <w:r>
              <w:rPr>
                <w:color w:val="auto"/>
                <w:kern w:val="0"/>
                <w:sz w:val="24"/>
                <w:highlight w:val="none"/>
              </w:rPr>
              <w:t>GB4915-2013</w:t>
            </w:r>
            <w:r>
              <w:rPr>
                <w:rFonts w:ascii="宋体" w:hAnsi="宋体"/>
                <w:color w:val="auto"/>
                <w:kern w:val="0"/>
                <w:sz w:val="24"/>
                <w:highlight w:val="none"/>
              </w:rPr>
              <w:t>）</w:t>
            </w:r>
            <w:r>
              <w:rPr>
                <w:rFonts w:hint="eastAsia" w:ascii="宋体" w:hAnsi="宋体"/>
                <w:color w:val="auto"/>
                <w:kern w:val="0"/>
                <w:sz w:val="24"/>
                <w:highlight w:val="none"/>
                <w:lang w:val="en-US" w:eastAsia="zh-CN"/>
              </w:rPr>
              <w:t>表</w:t>
            </w:r>
            <w:r>
              <w:rPr>
                <w:rFonts w:hint="default" w:ascii="Times New Roman" w:hAnsi="Times New Roman" w:cs="Times New Roman"/>
                <w:color w:val="auto"/>
                <w:kern w:val="0"/>
                <w:sz w:val="24"/>
                <w:highlight w:val="none"/>
                <w:lang w:val="en-US" w:eastAsia="zh-CN"/>
              </w:rPr>
              <w:t>3</w:t>
            </w:r>
            <w:r>
              <w:rPr>
                <w:rFonts w:hint="eastAsia" w:ascii="Times New Roman" w:hAnsi="Times New Roman" w:cs="Times New Roman"/>
                <w:color w:val="auto"/>
                <w:kern w:val="0"/>
                <w:sz w:val="24"/>
                <w:highlight w:val="none"/>
                <w:lang w:val="en-US" w:eastAsia="zh-CN"/>
              </w:rPr>
              <w:t>无组织排放限值</w:t>
            </w:r>
            <w:r>
              <w:rPr>
                <w:rFonts w:ascii="宋体" w:hAnsi="宋体"/>
                <w:color w:val="auto"/>
                <w:kern w:val="0"/>
                <w:sz w:val="24"/>
                <w:highlight w:val="none"/>
              </w:rPr>
              <w:t>，</w:t>
            </w:r>
            <w:r>
              <w:rPr>
                <w:rFonts w:hint="eastAsia" w:ascii="Times New Roman" w:hAnsi="Times New Roman" w:eastAsia="宋体" w:cs="Times New Roman"/>
                <w:color w:val="auto"/>
                <w:sz w:val="24"/>
                <w:szCs w:val="24"/>
                <w:highlight w:val="none"/>
                <w:lang w:val="en-US" w:eastAsia="zh-CN"/>
              </w:rPr>
              <w:t>厂界非甲烷总烃排放执行</w:t>
            </w:r>
            <w:r>
              <w:rPr>
                <w:rFonts w:hint="default" w:ascii="Times New Roman" w:hAnsi="Times New Roman" w:eastAsia="宋体" w:cs="Times New Roman"/>
                <w:color w:val="auto"/>
                <w:sz w:val="24"/>
                <w:szCs w:val="24"/>
                <w:highlight w:val="none"/>
              </w:rPr>
              <w:t>《大气污染物综合排放标准》（GB16297-1996）</w:t>
            </w:r>
            <w:r>
              <w:rPr>
                <w:rFonts w:hint="default" w:ascii="Times New Roman" w:hAnsi="Times New Roman" w:eastAsia="宋体" w:cs="Times New Roman"/>
                <w:color w:val="auto"/>
                <w:sz w:val="24"/>
                <w:szCs w:val="24"/>
                <w:highlight w:val="none"/>
                <w:lang w:val="en-US" w:eastAsia="zh-CN"/>
              </w:rPr>
              <w:t>表2</w:t>
            </w:r>
            <w:r>
              <w:rPr>
                <w:rFonts w:hint="eastAsia" w:ascii="Times New Roman" w:hAnsi="Times New Roman" w:eastAsia="宋体" w:cs="Times New Roman"/>
                <w:color w:val="auto"/>
                <w:sz w:val="24"/>
                <w:szCs w:val="24"/>
                <w:highlight w:val="none"/>
                <w:lang w:val="en-US" w:eastAsia="zh-CN"/>
              </w:rPr>
              <w:t>无组织标准限值，厂区内无组织非甲烷总烃排放执行《挥发性有机物无组织排放控制标准》（GB37822-2019）表A.1规定的排放限值</w:t>
            </w:r>
            <w:r>
              <w:rPr>
                <w:rFonts w:hint="default" w:ascii="Times New Roman" w:hAnsi="Times New Roman" w:eastAsia="宋体" w:cs="Times New Roman"/>
                <w:color w:val="auto"/>
                <w:sz w:val="24"/>
                <w:szCs w:val="24"/>
                <w:highlight w:val="none"/>
                <w:lang w:val="en-US" w:eastAsia="zh-CN"/>
              </w:rPr>
              <w:t>。</w:t>
            </w:r>
            <w:r>
              <w:rPr>
                <w:rFonts w:ascii="宋体" w:hAnsi="宋体"/>
                <w:color w:val="auto"/>
                <w:kern w:val="0"/>
                <w:sz w:val="24"/>
                <w:highlight w:val="none"/>
              </w:rPr>
              <w:t>具体标准</w:t>
            </w:r>
            <w:r>
              <w:rPr>
                <w:rFonts w:hint="eastAsia" w:ascii="宋体" w:hAnsi="宋体"/>
                <w:color w:val="auto"/>
                <w:kern w:val="0"/>
                <w:sz w:val="24"/>
                <w:highlight w:val="none"/>
              </w:rPr>
              <w:t>如下</w:t>
            </w:r>
            <w:r>
              <w:rPr>
                <w:rFonts w:ascii="宋体" w:hAnsi="宋体"/>
                <w:color w:val="auto"/>
                <w:kern w:val="0"/>
                <w:sz w:val="24"/>
                <w:highlight w:val="none"/>
              </w:rPr>
              <w:t>。</w:t>
            </w:r>
          </w:p>
          <w:p w14:paraId="710AB343">
            <w:pPr>
              <w:spacing w:line="240" w:lineRule="atLeast"/>
              <w:jc w:val="center"/>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5运营期</w:t>
            </w:r>
            <w:r>
              <w:rPr>
                <w:rFonts w:hint="eastAsia" w:ascii="Times New Roman" w:hAnsi="Times New Roman" w:eastAsia="宋体" w:cs="Times New Roman"/>
                <w:b/>
                <w:bCs/>
                <w:color w:val="auto"/>
                <w:sz w:val="24"/>
                <w:szCs w:val="24"/>
                <w:highlight w:val="none"/>
                <w:lang w:val="en-US" w:eastAsia="zh-CN"/>
              </w:rPr>
              <w:t>颗粒物有组织排放限值</w:t>
            </w:r>
          </w:p>
          <w:tbl>
            <w:tblPr>
              <w:tblStyle w:val="22"/>
              <w:tblW w:w="0" w:type="auto"/>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1687"/>
              <w:gridCol w:w="1740"/>
              <w:gridCol w:w="3545"/>
            </w:tblGrid>
            <w:tr w14:paraId="522F419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trPr>
              <w:tc>
                <w:tcPr>
                  <w:tcW w:w="992" w:type="dxa"/>
                  <w:tcBorders>
                    <w:tl2br w:val="nil"/>
                    <w:tr2bl w:val="nil"/>
                  </w:tcBorders>
                  <w:noWrap w:val="0"/>
                  <w:vAlign w:val="center"/>
                </w:tcPr>
                <w:p w14:paraId="1B16AC04">
                  <w:pPr>
                    <w:jc w:val="center"/>
                    <w:rPr>
                      <w:bCs/>
                      <w:color w:val="auto"/>
                      <w:highlight w:val="none"/>
                    </w:rPr>
                  </w:pPr>
                  <w:r>
                    <w:rPr>
                      <w:rFonts w:ascii="宋体" w:hAnsi="宋体"/>
                      <w:bCs/>
                      <w:color w:val="auto"/>
                      <w:highlight w:val="none"/>
                    </w:rPr>
                    <w:t>污染物项目</w:t>
                  </w:r>
                </w:p>
              </w:tc>
              <w:tc>
                <w:tcPr>
                  <w:tcW w:w="1687" w:type="dxa"/>
                  <w:tcBorders>
                    <w:tl2br w:val="nil"/>
                    <w:tr2bl w:val="nil"/>
                  </w:tcBorders>
                  <w:noWrap w:val="0"/>
                  <w:vAlign w:val="center"/>
                </w:tcPr>
                <w:p w14:paraId="5A1155C5">
                  <w:pPr>
                    <w:jc w:val="center"/>
                    <w:rPr>
                      <w:rFonts w:hint="eastAsia" w:eastAsia="宋体"/>
                      <w:bCs/>
                      <w:color w:val="auto"/>
                      <w:highlight w:val="none"/>
                      <w:lang w:val="en-US" w:eastAsia="zh-CN"/>
                    </w:rPr>
                  </w:pPr>
                  <w:r>
                    <w:rPr>
                      <w:rFonts w:hint="eastAsia"/>
                      <w:bCs/>
                      <w:color w:val="auto"/>
                      <w:highlight w:val="none"/>
                      <w:lang w:val="en-US" w:eastAsia="zh-CN"/>
                    </w:rPr>
                    <w:t>排放源</w:t>
                  </w:r>
                </w:p>
              </w:tc>
              <w:tc>
                <w:tcPr>
                  <w:tcW w:w="1740" w:type="dxa"/>
                  <w:tcBorders>
                    <w:tl2br w:val="nil"/>
                    <w:tr2bl w:val="nil"/>
                  </w:tcBorders>
                  <w:noWrap w:val="0"/>
                  <w:vAlign w:val="center"/>
                </w:tcPr>
                <w:p w14:paraId="1B6B5577">
                  <w:pPr>
                    <w:jc w:val="center"/>
                    <w:rPr>
                      <w:bCs/>
                      <w:color w:val="auto"/>
                      <w:highlight w:val="none"/>
                    </w:rPr>
                  </w:pPr>
                  <w:r>
                    <w:rPr>
                      <w:rFonts w:hint="eastAsia"/>
                      <w:bCs/>
                      <w:color w:val="auto"/>
                      <w:highlight w:val="none"/>
                    </w:rPr>
                    <w:t>有组织排放限值</w:t>
                  </w:r>
                </w:p>
              </w:tc>
              <w:tc>
                <w:tcPr>
                  <w:tcW w:w="3545" w:type="dxa"/>
                  <w:tcBorders>
                    <w:tl2br w:val="nil"/>
                    <w:tr2bl w:val="nil"/>
                  </w:tcBorders>
                  <w:noWrap w:val="0"/>
                  <w:vAlign w:val="center"/>
                </w:tcPr>
                <w:p w14:paraId="0ED4EFF3">
                  <w:pPr>
                    <w:jc w:val="center"/>
                    <w:rPr>
                      <w:rFonts w:hint="eastAsia" w:eastAsia="宋体"/>
                      <w:bCs/>
                      <w:color w:val="auto"/>
                      <w:highlight w:val="none"/>
                      <w:lang w:val="en-US" w:eastAsia="zh-CN"/>
                    </w:rPr>
                  </w:pPr>
                  <w:r>
                    <w:rPr>
                      <w:rFonts w:hint="eastAsia"/>
                      <w:bCs/>
                      <w:color w:val="auto"/>
                      <w:highlight w:val="none"/>
                      <w:lang w:val="en-US" w:eastAsia="zh-CN"/>
                    </w:rPr>
                    <w:t>执行标准</w:t>
                  </w:r>
                </w:p>
              </w:tc>
            </w:tr>
            <w:tr w14:paraId="72A3902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92" w:type="dxa"/>
                  <w:tcBorders>
                    <w:tl2br w:val="nil"/>
                    <w:tr2bl w:val="nil"/>
                  </w:tcBorders>
                  <w:noWrap w:val="0"/>
                  <w:vAlign w:val="center"/>
                </w:tcPr>
                <w:p w14:paraId="7DBE4FFE">
                  <w:pPr>
                    <w:jc w:val="center"/>
                    <w:rPr>
                      <w:color w:val="auto"/>
                      <w:highlight w:val="none"/>
                    </w:rPr>
                  </w:pPr>
                  <w:r>
                    <w:rPr>
                      <w:rFonts w:ascii="宋体" w:hAnsi="宋体"/>
                      <w:color w:val="auto"/>
                      <w:highlight w:val="none"/>
                    </w:rPr>
                    <w:t>颗粒物</w:t>
                  </w:r>
                </w:p>
              </w:tc>
              <w:tc>
                <w:tcPr>
                  <w:tcW w:w="1687" w:type="dxa"/>
                  <w:tcBorders>
                    <w:tl2br w:val="nil"/>
                    <w:tr2bl w:val="nil"/>
                  </w:tcBorders>
                  <w:noWrap w:val="0"/>
                  <w:vAlign w:val="center"/>
                </w:tcPr>
                <w:p w14:paraId="7DD842DC">
                  <w:pPr>
                    <w:jc w:val="center"/>
                    <w:rPr>
                      <w:rFonts w:hint="default" w:eastAsia="宋体"/>
                      <w:color w:val="auto"/>
                      <w:highlight w:val="none"/>
                      <w:lang w:val="en-US" w:eastAsia="zh-CN"/>
                    </w:rPr>
                  </w:pPr>
                  <w:r>
                    <w:rPr>
                      <w:rFonts w:hint="eastAsia"/>
                      <w:color w:val="auto"/>
                      <w:highlight w:val="none"/>
                      <w:lang w:val="en-US" w:eastAsia="zh-CN"/>
                    </w:rPr>
                    <w:t>筒仓</w:t>
                  </w:r>
                </w:p>
              </w:tc>
              <w:tc>
                <w:tcPr>
                  <w:tcW w:w="1740" w:type="dxa"/>
                  <w:tcBorders>
                    <w:tl2br w:val="nil"/>
                    <w:tr2bl w:val="nil"/>
                  </w:tcBorders>
                  <w:noWrap w:val="0"/>
                  <w:vAlign w:val="center"/>
                </w:tcPr>
                <w:p w14:paraId="2D64B231">
                  <w:pPr>
                    <w:jc w:val="center"/>
                    <w:rPr>
                      <w:color w:val="auto"/>
                      <w:highlight w:val="none"/>
                    </w:rPr>
                  </w:pPr>
                  <w:r>
                    <w:rPr>
                      <w:rFonts w:hint="eastAsia"/>
                      <w:color w:val="auto"/>
                      <w:highlight w:val="none"/>
                      <w:lang w:val="en-US" w:eastAsia="zh-CN"/>
                    </w:rPr>
                    <w:t>2</w:t>
                  </w:r>
                  <w:r>
                    <w:rPr>
                      <w:rFonts w:hint="eastAsia" w:eastAsia="宋体"/>
                      <w:color w:val="auto"/>
                      <w:highlight w:val="none"/>
                      <w:lang w:val="en-US" w:eastAsia="zh-CN"/>
                    </w:rPr>
                    <w:t>0</w:t>
                  </w:r>
                  <w:r>
                    <w:rPr>
                      <w:rFonts w:hint="eastAsia" w:ascii="Times New Roman" w:hAnsi="Times New Roman" w:eastAsia="宋体" w:cs="Times New Roman"/>
                      <w:color w:val="auto"/>
                      <w:szCs w:val="21"/>
                      <w:highlight w:val="none"/>
                      <w:lang w:val="en-US" w:eastAsia="zh-CN"/>
                    </w:rPr>
                    <w:t>mg/m</w:t>
                  </w:r>
                  <w:r>
                    <w:rPr>
                      <w:rFonts w:hint="eastAsia" w:ascii="Times New Roman" w:hAnsi="Times New Roman" w:eastAsia="宋体" w:cs="Times New Roman"/>
                      <w:color w:val="auto"/>
                      <w:szCs w:val="21"/>
                      <w:highlight w:val="none"/>
                      <w:vertAlign w:val="superscript"/>
                      <w:lang w:val="en-US" w:eastAsia="zh-CN"/>
                    </w:rPr>
                    <w:t>3</w:t>
                  </w:r>
                </w:p>
              </w:tc>
              <w:tc>
                <w:tcPr>
                  <w:tcW w:w="3545" w:type="dxa"/>
                  <w:tcBorders>
                    <w:tl2br w:val="nil"/>
                    <w:tr2bl w:val="nil"/>
                  </w:tcBorders>
                  <w:noWrap w:val="0"/>
                  <w:vAlign w:val="center"/>
                </w:tcPr>
                <w:p w14:paraId="341F3B16">
                  <w:pPr>
                    <w:jc w:val="center"/>
                    <w:rPr>
                      <w:rFonts w:hint="eastAsia" w:eastAsia="宋体"/>
                      <w:color w:val="auto"/>
                      <w:highlight w:val="none"/>
                      <w:lang w:val="en-US" w:eastAsia="zh-CN"/>
                    </w:rPr>
                  </w:pPr>
                  <w:r>
                    <w:rPr>
                      <w:rFonts w:hint="eastAsia" w:eastAsia="宋体"/>
                      <w:color w:val="auto"/>
                      <w:highlight w:val="none"/>
                      <w:lang w:val="en-US" w:eastAsia="zh-CN"/>
                    </w:rPr>
                    <w:t>《水泥工业大气污染物排放标准》（GB4915-2013）表2排放限值</w:t>
                  </w:r>
                </w:p>
              </w:tc>
            </w:tr>
          </w:tbl>
          <w:p w14:paraId="54AF64CF">
            <w:pPr>
              <w:spacing w:line="240" w:lineRule="atLeast"/>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6运营期</w:t>
            </w:r>
            <w:r>
              <w:rPr>
                <w:rFonts w:hint="eastAsia" w:ascii="Times New Roman" w:hAnsi="Times New Roman" w:eastAsia="宋体" w:cs="Times New Roman"/>
                <w:b/>
                <w:bCs/>
                <w:color w:val="auto"/>
                <w:sz w:val="24"/>
                <w:szCs w:val="24"/>
                <w:highlight w:val="none"/>
                <w:lang w:val="en-US" w:eastAsia="zh-CN"/>
              </w:rPr>
              <w:t>颗粒物</w:t>
            </w:r>
            <w:r>
              <w:rPr>
                <w:rFonts w:hint="eastAsia" w:cs="Times New Roman"/>
                <w:b/>
                <w:bCs/>
                <w:color w:val="auto"/>
                <w:sz w:val="24"/>
                <w:szCs w:val="24"/>
                <w:highlight w:val="none"/>
                <w:lang w:val="en-US" w:eastAsia="zh-CN"/>
              </w:rPr>
              <w:t>无组织排放</w:t>
            </w:r>
            <w:r>
              <w:rPr>
                <w:rFonts w:hint="eastAsia" w:ascii="Times New Roman" w:hAnsi="Times New Roman" w:eastAsia="宋体" w:cs="Times New Roman"/>
                <w:b/>
                <w:bCs/>
                <w:color w:val="auto"/>
                <w:sz w:val="24"/>
                <w:szCs w:val="24"/>
                <w:highlight w:val="none"/>
                <w:lang w:val="en-US" w:eastAsia="zh-CN"/>
              </w:rPr>
              <w:t>限值</w:t>
            </w:r>
          </w:p>
          <w:tbl>
            <w:tblPr>
              <w:tblStyle w:val="22"/>
              <w:tblW w:w="4998"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037"/>
              <w:gridCol w:w="2202"/>
              <w:gridCol w:w="2001"/>
              <w:gridCol w:w="2001"/>
            </w:tblGrid>
            <w:tr w14:paraId="1F9EE716">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trPr>
              <w:tc>
                <w:tcPr>
                  <w:tcW w:w="479" w:type="pct"/>
                  <w:tcBorders>
                    <w:tl2br w:val="nil"/>
                    <w:tr2bl w:val="nil"/>
                  </w:tcBorders>
                  <w:noWrap w:val="0"/>
                  <w:vAlign w:val="center"/>
                </w:tcPr>
                <w:p w14:paraId="25F8A9FB">
                  <w:pPr>
                    <w:jc w:val="center"/>
                    <w:rPr>
                      <w:bCs/>
                      <w:color w:val="auto"/>
                      <w:highlight w:val="none"/>
                    </w:rPr>
                  </w:pPr>
                  <w:r>
                    <w:rPr>
                      <w:rFonts w:ascii="宋体" w:hAnsi="宋体"/>
                      <w:bCs/>
                      <w:color w:val="auto"/>
                      <w:highlight w:val="none"/>
                    </w:rPr>
                    <w:t>污染物项目</w:t>
                  </w:r>
                </w:p>
              </w:tc>
              <w:tc>
                <w:tcPr>
                  <w:tcW w:w="543" w:type="pct"/>
                  <w:tcBorders>
                    <w:tl2br w:val="nil"/>
                    <w:tr2bl w:val="nil"/>
                  </w:tcBorders>
                  <w:noWrap w:val="0"/>
                  <w:vAlign w:val="center"/>
                </w:tcPr>
                <w:p w14:paraId="7B513181">
                  <w:pPr>
                    <w:jc w:val="center"/>
                    <w:rPr>
                      <w:bCs/>
                      <w:color w:val="auto"/>
                      <w:highlight w:val="none"/>
                    </w:rPr>
                  </w:pPr>
                  <w:r>
                    <w:rPr>
                      <w:rFonts w:hint="eastAsia" w:ascii="宋体" w:hAnsi="宋体"/>
                      <w:bCs/>
                      <w:color w:val="auto"/>
                      <w:highlight w:val="none"/>
                      <w:lang w:val="en-US" w:eastAsia="zh-CN"/>
                    </w:rPr>
                    <w:t>无组织排放</w:t>
                  </w:r>
                  <w:r>
                    <w:rPr>
                      <w:rFonts w:ascii="宋体" w:hAnsi="宋体"/>
                      <w:bCs/>
                      <w:color w:val="auto"/>
                      <w:highlight w:val="none"/>
                    </w:rPr>
                    <w:t>限值</w:t>
                  </w:r>
                </w:p>
              </w:tc>
              <w:tc>
                <w:tcPr>
                  <w:tcW w:w="1409" w:type="pct"/>
                  <w:tcBorders>
                    <w:tl2br w:val="nil"/>
                    <w:tr2bl w:val="nil"/>
                  </w:tcBorders>
                  <w:noWrap w:val="0"/>
                  <w:vAlign w:val="center"/>
                </w:tcPr>
                <w:p w14:paraId="182BBE52">
                  <w:pPr>
                    <w:jc w:val="center"/>
                    <w:rPr>
                      <w:rFonts w:hint="default" w:eastAsia="宋体"/>
                      <w:bCs/>
                      <w:color w:val="auto"/>
                      <w:highlight w:val="none"/>
                      <w:lang w:val="en-US" w:eastAsia="zh-CN"/>
                    </w:rPr>
                  </w:pPr>
                  <w:r>
                    <w:rPr>
                      <w:rFonts w:hint="eastAsia"/>
                      <w:bCs/>
                      <w:color w:val="auto"/>
                      <w:highlight w:val="none"/>
                      <w:lang w:val="en-US" w:eastAsia="zh-CN"/>
                    </w:rPr>
                    <w:t>限值含义</w:t>
                  </w:r>
                </w:p>
              </w:tc>
              <w:tc>
                <w:tcPr>
                  <w:tcW w:w="1283" w:type="pct"/>
                  <w:tcBorders>
                    <w:tl2br w:val="nil"/>
                    <w:tr2bl w:val="nil"/>
                  </w:tcBorders>
                  <w:noWrap w:val="0"/>
                  <w:vAlign w:val="center"/>
                </w:tcPr>
                <w:p w14:paraId="0F531436">
                  <w:pPr>
                    <w:jc w:val="center"/>
                    <w:rPr>
                      <w:rFonts w:hint="default"/>
                      <w:bCs/>
                      <w:color w:val="auto"/>
                      <w:highlight w:val="none"/>
                      <w:lang w:val="en-US" w:eastAsia="zh-CN"/>
                    </w:rPr>
                  </w:pPr>
                  <w:r>
                    <w:rPr>
                      <w:rFonts w:hint="eastAsia"/>
                      <w:bCs/>
                      <w:color w:val="auto"/>
                      <w:highlight w:val="none"/>
                      <w:lang w:val="en-US" w:eastAsia="zh-CN"/>
                    </w:rPr>
                    <w:t>无组织排放监控位置</w:t>
                  </w:r>
                </w:p>
              </w:tc>
              <w:tc>
                <w:tcPr>
                  <w:tcW w:w="1283" w:type="pct"/>
                  <w:tcBorders>
                    <w:tl2br w:val="nil"/>
                    <w:tr2bl w:val="nil"/>
                  </w:tcBorders>
                  <w:noWrap w:val="0"/>
                  <w:vAlign w:val="center"/>
                </w:tcPr>
                <w:p w14:paraId="1FD8649D">
                  <w:pPr>
                    <w:jc w:val="center"/>
                    <w:rPr>
                      <w:rFonts w:hint="eastAsia"/>
                      <w:bCs/>
                      <w:color w:val="auto"/>
                      <w:highlight w:val="none"/>
                      <w:lang w:val="en-US" w:eastAsia="zh-CN"/>
                    </w:rPr>
                  </w:pPr>
                  <w:r>
                    <w:rPr>
                      <w:rFonts w:hint="eastAsia"/>
                      <w:bCs/>
                      <w:color w:val="auto"/>
                      <w:highlight w:val="none"/>
                      <w:lang w:val="en-US" w:eastAsia="zh-CN"/>
                    </w:rPr>
                    <w:t>执行标准</w:t>
                  </w:r>
                </w:p>
              </w:tc>
            </w:tr>
            <w:tr w14:paraId="13A70D8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479" w:type="pct"/>
                  <w:tcBorders>
                    <w:tl2br w:val="nil"/>
                    <w:tr2bl w:val="nil"/>
                  </w:tcBorders>
                  <w:noWrap w:val="0"/>
                  <w:vAlign w:val="center"/>
                </w:tcPr>
                <w:p w14:paraId="23307C92">
                  <w:pPr>
                    <w:jc w:val="center"/>
                    <w:rPr>
                      <w:color w:val="auto"/>
                      <w:highlight w:val="none"/>
                    </w:rPr>
                  </w:pPr>
                  <w:r>
                    <w:rPr>
                      <w:rFonts w:ascii="宋体" w:hAnsi="宋体"/>
                      <w:color w:val="auto"/>
                      <w:highlight w:val="none"/>
                    </w:rPr>
                    <w:t>颗粒物</w:t>
                  </w:r>
                </w:p>
              </w:tc>
              <w:tc>
                <w:tcPr>
                  <w:tcW w:w="543" w:type="pct"/>
                  <w:tcBorders>
                    <w:tl2br w:val="nil"/>
                    <w:tr2bl w:val="nil"/>
                  </w:tcBorders>
                  <w:noWrap w:val="0"/>
                  <w:vAlign w:val="center"/>
                </w:tcPr>
                <w:p w14:paraId="60B5EB4F">
                  <w:pPr>
                    <w:jc w:val="center"/>
                    <w:rPr>
                      <w:color w:val="auto"/>
                      <w:highlight w:val="none"/>
                    </w:rPr>
                  </w:pPr>
                  <w:r>
                    <w:rPr>
                      <w:rFonts w:hint="eastAsia"/>
                      <w:color w:val="auto"/>
                      <w:highlight w:val="none"/>
                    </w:rPr>
                    <w:t>0.5</w:t>
                  </w:r>
                  <w:r>
                    <w:rPr>
                      <w:rFonts w:hint="eastAsia" w:ascii="Times New Roman" w:hAnsi="Times New Roman" w:eastAsia="宋体" w:cs="Times New Roman"/>
                      <w:color w:val="auto"/>
                      <w:szCs w:val="21"/>
                      <w:highlight w:val="none"/>
                      <w:lang w:val="en-US" w:eastAsia="zh-CN"/>
                    </w:rPr>
                    <w:t>mg/m</w:t>
                  </w:r>
                  <w:r>
                    <w:rPr>
                      <w:rFonts w:hint="eastAsia" w:ascii="Times New Roman" w:hAnsi="Times New Roman" w:eastAsia="宋体" w:cs="Times New Roman"/>
                      <w:color w:val="auto"/>
                      <w:szCs w:val="21"/>
                      <w:highlight w:val="none"/>
                      <w:vertAlign w:val="superscript"/>
                      <w:lang w:val="en-US" w:eastAsia="zh-CN"/>
                    </w:rPr>
                    <w:t>3</w:t>
                  </w:r>
                </w:p>
              </w:tc>
              <w:tc>
                <w:tcPr>
                  <w:tcW w:w="1409" w:type="pct"/>
                  <w:tcBorders>
                    <w:tl2br w:val="nil"/>
                    <w:tr2bl w:val="nil"/>
                  </w:tcBorders>
                  <w:noWrap w:val="0"/>
                  <w:vAlign w:val="center"/>
                </w:tcPr>
                <w:p w14:paraId="7C9537AC">
                  <w:pPr>
                    <w:jc w:val="center"/>
                    <w:rPr>
                      <w:color w:val="auto"/>
                      <w:highlight w:val="none"/>
                    </w:rPr>
                  </w:pPr>
                  <w:r>
                    <w:rPr>
                      <w:rFonts w:hint="eastAsia"/>
                      <w:color w:val="auto"/>
                      <w:highlight w:val="none"/>
                    </w:rPr>
                    <w:t>监控点与参照点总悬浮颗粒物（TSP）1小时浓度值的差值</w:t>
                  </w:r>
                </w:p>
              </w:tc>
              <w:tc>
                <w:tcPr>
                  <w:tcW w:w="1283" w:type="pct"/>
                  <w:tcBorders>
                    <w:tl2br w:val="nil"/>
                    <w:tr2bl w:val="nil"/>
                  </w:tcBorders>
                  <w:noWrap w:val="0"/>
                  <w:vAlign w:val="center"/>
                </w:tcPr>
                <w:p w14:paraId="7592C00E">
                  <w:pPr>
                    <w:jc w:val="center"/>
                    <w:rPr>
                      <w:rFonts w:hint="eastAsia"/>
                      <w:color w:val="auto"/>
                      <w:highlight w:val="none"/>
                    </w:rPr>
                  </w:pPr>
                  <w:r>
                    <w:rPr>
                      <w:rFonts w:hint="eastAsia"/>
                      <w:color w:val="auto"/>
                      <w:highlight w:val="none"/>
                    </w:rPr>
                    <w:t>厂界外20m处上风向设参照点，下风向设监控点</w:t>
                  </w:r>
                </w:p>
              </w:tc>
              <w:tc>
                <w:tcPr>
                  <w:tcW w:w="1283" w:type="pct"/>
                  <w:tcBorders>
                    <w:tl2br w:val="nil"/>
                    <w:tr2bl w:val="nil"/>
                  </w:tcBorders>
                  <w:noWrap w:val="0"/>
                  <w:vAlign w:val="center"/>
                </w:tcPr>
                <w:p w14:paraId="6C634027">
                  <w:pPr>
                    <w:jc w:val="center"/>
                    <w:rPr>
                      <w:rFonts w:hint="eastAsia"/>
                      <w:color w:val="auto"/>
                      <w:highlight w:val="none"/>
                    </w:rPr>
                  </w:pPr>
                  <w:r>
                    <w:rPr>
                      <w:rFonts w:hint="eastAsia"/>
                      <w:color w:val="auto"/>
                      <w:highlight w:val="none"/>
                    </w:rPr>
                    <w:t>《水泥工业大气污染物排放标准》（GB4915-2013）表3无组织排放限值</w:t>
                  </w:r>
                </w:p>
              </w:tc>
            </w:tr>
          </w:tbl>
          <w:p w14:paraId="1B5A53CD">
            <w:pPr>
              <w:spacing w:line="240" w:lineRule="atLeast"/>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表3-</w:t>
            </w: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厂区内VOCs无组织排放限值</w:t>
            </w:r>
          </w:p>
          <w:tbl>
            <w:tblPr>
              <w:tblStyle w:val="22"/>
              <w:tblW w:w="4998" w:type="pct"/>
              <w:jc w:val="center"/>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0"/>
              <w:gridCol w:w="1257"/>
              <w:gridCol w:w="2846"/>
              <w:gridCol w:w="2388"/>
            </w:tblGrid>
            <w:tr w14:paraId="158C415B">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23" w:type="pct"/>
                  <w:tcBorders>
                    <w:tl2br w:val="nil"/>
                    <w:tr2bl w:val="nil"/>
                  </w:tcBorders>
                  <w:noWrap w:val="0"/>
                  <w:vAlign w:val="center"/>
                </w:tcPr>
                <w:p w14:paraId="1E777071">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污染物项目</w:t>
                  </w:r>
                </w:p>
              </w:tc>
              <w:tc>
                <w:tcPr>
                  <w:tcW w:w="789" w:type="pct"/>
                  <w:tcBorders>
                    <w:tl2br w:val="nil"/>
                    <w:tr2bl w:val="nil"/>
                  </w:tcBorders>
                  <w:noWrap w:val="0"/>
                  <w:vAlign w:val="center"/>
                </w:tcPr>
                <w:p w14:paraId="318C793B">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排放限值</w:t>
                  </w:r>
                </w:p>
              </w:tc>
              <w:tc>
                <w:tcPr>
                  <w:tcW w:w="1787" w:type="pct"/>
                  <w:tcBorders>
                    <w:tl2br w:val="nil"/>
                    <w:tr2bl w:val="nil"/>
                  </w:tcBorders>
                  <w:noWrap w:val="0"/>
                  <w:vAlign w:val="center"/>
                </w:tcPr>
                <w:p w14:paraId="61F96C29">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限值含义</w:t>
                  </w:r>
                </w:p>
              </w:tc>
              <w:tc>
                <w:tcPr>
                  <w:tcW w:w="1499" w:type="pct"/>
                  <w:tcBorders>
                    <w:tl2br w:val="nil"/>
                    <w:tr2bl w:val="nil"/>
                  </w:tcBorders>
                  <w:noWrap w:val="0"/>
                  <w:vAlign w:val="center"/>
                </w:tcPr>
                <w:p w14:paraId="0E8F3F02">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无组织排放监控位置</w:t>
                  </w:r>
                </w:p>
              </w:tc>
            </w:tr>
            <w:tr w14:paraId="55C899C8">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923" w:type="pct"/>
                  <w:vMerge w:val="restart"/>
                  <w:tcBorders>
                    <w:tl2br w:val="nil"/>
                    <w:tr2bl w:val="nil"/>
                  </w:tcBorders>
                  <w:noWrap w:val="0"/>
                  <w:vAlign w:val="center"/>
                </w:tcPr>
                <w:p w14:paraId="5D549C5A">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NMHC</w:t>
                  </w:r>
                </w:p>
              </w:tc>
              <w:tc>
                <w:tcPr>
                  <w:tcW w:w="789" w:type="pct"/>
                  <w:tcBorders>
                    <w:tl2br w:val="nil"/>
                    <w:tr2bl w:val="nil"/>
                  </w:tcBorders>
                  <w:noWrap w:val="0"/>
                  <w:vAlign w:val="center"/>
                </w:tcPr>
                <w:p w14:paraId="5EF788D0">
                  <w:pPr>
                    <w:snapToGrid w:val="0"/>
                    <w:spacing w:line="240" w:lineRule="auto"/>
                    <w:ind w:firstLine="0" w:firstLineChars="0"/>
                    <w:jc w:val="center"/>
                    <w:rPr>
                      <w:rFonts w:hint="eastAsia" w:ascii="Times New Roman" w:hAnsi="Times New Roman" w:eastAsia="宋体" w:cs="Times New Roman"/>
                      <w:b w:val="0"/>
                      <w:bCs w:val="0"/>
                      <w:color w:val="auto"/>
                      <w:sz w:val="21"/>
                      <w:szCs w:val="21"/>
                      <w:highlight w:val="none"/>
                    </w:rPr>
                  </w:pPr>
                  <w:r>
                    <w:rPr>
                      <w:rFonts w:hint="eastAsia" w:cs="Times New Roman"/>
                      <w:b w:val="0"/>
                      <w:bCs w:val="0"/>
                      <w:color w:val="auto"/>
                      <w:sz w:val="21"/>
                      <w:szCs w:val="21"/>
                      <w:highlight w:val="none"/>
                      <w:lang w:val="en-US" w:eastAsia="zh-CN"/>
                    </w:rPr>
                    <w:t>10</w:t>
                  </w:r>
                  <w:r>
                    <w:rPr>
                      <w:rFonts w:hint="default" w:ascii="Times New Roman" w:hAnsi="Times New Roman" w:eastAsia="宋体" w:cs="Times New Roman"/>
                      <w:b w:val="0"/>
                      <w:bCs w:val="0"/>
                      <w:color w:val="auto"/>
                      <w:sz w:val="24"/>
                      <w:szCs w:val="24"/>
                      <w:highlight w:val="none"/>
                      <w:lang w:val="en-US" w:eastAsia="zh-CN"/>
                    </w:rPr>
                    <w:t>mg/m</w:t>
                  </w:r>
                  <w:r>
                    <w:rPr>
                      <w:rFonts w:hint="default" w:ascii="Times New Roman" w:hAnsi="Times New Roman" w:eastAsia="宋体" w:cs="Times New Roman"/>
                      <w:b w:val="0"/>
                      <w:bCs w:val="0"/>
                      <w:color w:val="auto"/>
                      <w:sz w:val="24"/>
                      <w:szCs w:val="24"/>
                      <w:highlight w:val="none"/>
                      <w:vertAlign w:val="superscript"/>
                      <w:lang w:val="en-US" w:eastAsia="zh-CN"/>
                    </w:rPr>
                    <w:t>3</w:t>
                  </w:r>
                </w:p>
              </w:tc>
              <w:tc>
                <w:tcPr>
                  <w:tcW w:w="1787" w:type="pct"/>
                  <w:tcBorders>
                    <w:tl2br w:val="nil"/>
                    <w:tr2bl w:val="nil"/>
                  </w:tcBorders>
                  <w:noWrap w:val="0"/>
                  <w:vAlign w:val="center"/>
                </w:tcPr>
                <w:p w14:paraId="1982D99E">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监控点处1h平均浓度值</w:t>
                  </w:r>
                </w:p>
              </w:tc>
              <w:tc>
                <w:tcPr>
                  <w:tcW w:w="1499" w:type="pct"/>
                  <w:vMerge w:val="restart"/>
                  <w:tcBorders>
                    <w:tl2br w:val="nil"/>
                    <w:tr2bl w:val="nil"/>
                  </w:tcBorders>
                  <w:noWrap w:val="0"/>
                  <w:vAlign w:val="center"/>
                </w:tcPr>
                <w:p w14:paraId="3A54F357">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在厂房外设置监控点</w:t>
                  </w:r>
                </w:p>
              </w:tc>
            </w:tr>
            <w:tr w14:paraId="2515B71B">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pct"/>
                  <w:vMerge w:val="continue"/>
                  <w:tcBorders>
                    <w:tl2br w:val="nil"/>
                    <w:tr2bl w:val="nil"/>
                  </w:tcBorders>
                  <w:noWrap w:val="0"/>
                  <w:vAlign w:val="center"/>
                </w:tcPr>
                <w:p w14:paraId="5BCFF55E">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p>
              </w:tc>
              <w:tc>
                <w:tcPr>
                  <w:tcW w:w="789" w:type="pct"/>
                  <w:tcBorders>
                    <w:tl2br w:val="nil"/>
                    <w:tr2bl w:val="nil"/>
                  </w:tcBorders>
                  <w:noWrap w:val="0"/>
                  <w:vAlign w:val="center"/>
                </w:tcPr>
                <w:p w14:paraId="45E43B4D">
                  <w:pPr>
                    <w:snapToGrid w:val="0"/>
                    <w:spacing w:line="240" w:lineRule="auto"/>
                    <w:ind w:firstLine="0" w:firstLineChars="0"/>
                    <w:jc w:val="center"/>
                    <w:rPr>
                      <w:rFonts w:hint="eastAsia" w:ascii="Times New Roman" w:hAnsi="Times New Roman" w:eastAsia="宋体" w:cs="Times New Roman"/>
                      <w:b w:val="0"/>
                      <w:bCs w:val="0"/>
                      <w:color w:val="auto"/>
                      <w:sz w:val="21"/>
                      <w:szCs w:val="21"/>
                      <w:highlight w:val="none"/>
                    </w:rPr>
                  </w:pPr>
                  <w:r>
                    <w:rPr>
                      <w:rFonts w:hint="eastAsia" w:cs="Times New Roman"/>
                      <w:b w:val="0"/>
                      <w:bCs w:val="0"/>
                      <w:color w:val="auto"/>
                      <w:sz w:val="21"/>
                      <w:szCs w:val="21"/>
                      <w:highlight w:val="none"/>
                      <w:lang w:val="en-US" w:eastAsia="zh-CN"/>
                    </w:rPr>
                    <w:t>30</w:t>
                  </w:r>
                  <w:r>
                    <w:rPr>
                      <w:rFonts w:hint="default" w:ascii="Times New Roman" w:hAnsi="Times New Roman" w:eastAsia="宋体" w:cs="Times New Roman"/>
                      <w:b w:val="0"/>
                      <w:bCs w:val="0"/>
                      <w:color w:val="auto"/>
                      <w:sz w:val="24"/>
                      <w:szCs w:val="24"/>
                      <w:highlight w:val="none"/>
                      <w:lang w:val="en-US" w:eastAsia="zh-CN"/>
                    </w:rPr>
                    <w:t>mg/m</w:t>
                  </w:r>
                  <w:r>
                    <w:rPr>
                      <w:rFonts w:hint="default" w:ascii="Times New Roman" w:hAnsi="Times New Roman" w:eastAsia="宋体" w:cs="Times New Roman"/>
                      <w:b w:val="0"/>
                      <w:bCs w:val="0"/>
                      <w:color w:val="auto"/>
                      <w:sz w:val="24"/>
                      <w:szCs w:val="24"/>
                      <w:highlight w:val="none"/>
                      <w:vertAlign w:val="superscript"/>
                      <w:lang w:val="en-US" w:eastAsia="zh-CN"/>
                    </w:rPr>
                    <w:t>3</w:t>
                  </w:r>
                </w:p>
              </w:tc>
              <w:tc>
                <w:tcPr>
                  <w:tcW w:w="1787" w:type="pct"/>
                  <w:tcBorders>
                    <w:tl2br w:val="nil"/>
                    <w:tr2bl w:val="nil"/>
                  </w:tcBorders>
                  <w:noWrap w:val="0"/>
                  <w:vAlign w:val="center"/>
                </w:tcPr>
                <w:p w14:paraId="72CCAEF8">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监控点处任意一次浓度值</w:t>
                  </w:r>
                </w:p>
              </w:tc>
              <w:tc>
                <w:tcPr>
                  <w:tcW w:w="1499" w:type="pct"/>
                  <w:vMerge w:val="continue"/>
                  <w:tcBorders>
                    <w:tl2br w:val="nil"/>
                    <w:tr2bl w:val="nil"/>
                  </w:tcBorders>
                  <w:noWrap w:val="0"/>
                  <w:vAlign w:val="top"/>
                </w:tcPr>
                <w:p w14:paraId="0D990670">
                  <w:pPr>
                    <w:snapToGrid w:val="0"/>
                    <w:spacing w:line="240" w:lineRule="auto"/>
                    <w:ind w:firstLine="0" w:firstLineChars="0"/>
                    <w:jc w:val="center"/>
                    <w:rPr>
                      <w:rFonts w:hint="eastAsia" w:ascii="Times New Roman" w:hAnsi="Times New Roman" w:eastAsia="宋体" w:cs="Times New Roman"/>
                      <w:color w:val="auto"/>
                      <w:sz w:val="21"/>
                      <w:szCs w:val="21"/>
                      <w:highlight w:val="none"/>
                    </w:rPr>
                  </w:pPr>
                </w:p>
              </w:tc>
            </w:tr>
          </w:tbl>
          <w:p w14:paraId="574B5DBA">
            <w:pPr>
              <w:adjustRightInd w:val="0"/>
              <w:snapToGrid w:val="0"/>
              <w:spacing w:line="360" w:lineRule="auto"/>
              <w:ind w:firstLine="482" w:firstLineChars="200"/>
              <w:rPr>
                <w:b/>
                <w:color w:val="auto"/>
                <w:kern w:val="0"/>
                <w:sz w:val="24"/>
                <w:highlight w:val="none"/>
              </w:rPr>
            </w:pPr>
            <w:r>
              <w:rPr>
                <w:rFonts w:hint="eastAsia"/>
                <w:b/>
                <w:color w:val="auto"/>
                <w:kern w:val="0"/>
                <w:sz w:val="24"/>
                <w:highlight w:val="none"/>
              </w:rPr>
              <w:t>2</w:t>
            </w:r>
            <w:r>
              <w:rPr>
                <w:rFonts w:hint="eastAsia" w:ascii="宋体" w:hAnsi="宋体"/>
                <w:b/>
                <w:color w:val="auto"/>
                <w:kern w:val="0"/>
                <w:sz w:val="24"/>
                <w:highlight w:val="none"/>
                <w:lang w:eastAsia="zh-CN"/>
              </w:rPr>
              <w:t>、</w:t>
            </w:r>
            <w:r>
              <w:rPr>
                <w:rFonts w:hint="eastAsia" w:ascii="宋体" w:hAnsi="宋体"/>
                <w:b/>
                <w:color w:val="auto"/>
                <w:kern w:val="0"/>
                <w:sz w:val="24"/>
                <w:highlight w:val="none"/>
              </w:rPr>
              <w:t>水</w:t>
            </w:r>
            <w:r>
              <w:rPr>
                <w:rFonts w:ascii="宋体" w:hAnsi="宋体"/>
                <w:b/>
                <w:color w:val="auto"/>
                <w:kern w:val="0"/>
                <w:sz w:val="24"/>
                <w:highlight w:val="none"/>
              </w:rPr>
              <w:t>污染物排放标准</w:t>
            </w:r>
          </w:p>
          <w:p w14:paraId="41B7D75C">
            <w:pPr>
              <w:adjustRightInd w:val="0"/>
              <w:snapToGrid w:val="0"/>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本项目无生产废水外排。搅拌混合用水进入产品，料棚抑尘用水</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绿化用水</w:t>
            </w:r>
            <w:r>
              <w:rPr>
                <w:rFonts w:hint="eastAsia" w:ascii="宋体" w:hAnsi="宋体"/>
                <w:color w:val="auto"/>
                <w:sz w:val="24"/>
                <w:highlight w:val="none"/>
              </w:rPr>
              <w:t>自然蒸发，实验室废水、搅拌机清洗废水、运输车辆清洗废水经沉淀后回用于混凝土生产。</w:t>
            </w:r>
          </w:p>
          <w:p w14:paraId="075184F0">
            <w:pPr>
              <w:adjustRightInd w:val="0"/>
              <w:snapToGrid w:val="0"/>
              <w:spacing w:line="360" w:lineRule="auto"/>
              <w:ind w:firstLine="480" w:firstLineChars="200"/>
              <w:rPr>
                <w:rFonts w:hint="eastAsia" w:ascii="Times New Roman" w:hAnsi="Times New Roman" w:eastAsia="宋体" w:cs="Times New Roman"/>
                <w:b w:val="0"/>
                <w:bCs w:val="0"/>
                <w:color w:val="auto"/>
                <w:sz w:val="24"/>
                <w:highlight w:val="none"/>
                <w:lang w:eastAsia="zh-CN"/>
              </w:rPr>
            </w:pPr>
            <w:r>
              <w:rPr>
                <w:rFonts w:hint="eastAsia" w:ascii="宋体" w:hAnsi="宋体"/>
                <w:color w:val="auto"/>
                <w:sz w:val="24"/>
                <w:highlight w:val="none"/>
              </w:rPr>
              <w:t>生活污水化粪池预处理后定期拉运至</w:t>
            </w:r>
            <w:r>
              <w:rPr>
                <w:rFonts w:hint="eastAsia" w:ascii="宋体" w:hAnsi="宋体"/>
                <w:color w:val="auto"/>
                <w:sz w:val="24"/>
                <w:highlight w:val="yellow"/>
                <w:lang w:eastAsia="zh-CN"/>
              </w:rPr>
              <w:t>阿镇污水处理厂处理</w:t>
            </w:r>
            <w:r>
              <w:rPr>
                <w:rFonts w:hint="eastAsia" w:ascii="宋体" w:hAnsi="宋体"/>
                <w:color w:val="auto"/>
                <w:sz w:val="24"/>
                <w:highlight w:val="none"/>
              </w:rPr>
              <w:t>。</w:t>
            </w:r>
            <w:r>
              <w:rPr>
                <w:color w:val="auto"/>
                <w:sz w:val="24"/>
                <w:highlight w:val="none"/>
              </w:rPr>
              <w:t>废水排放满足《污水综合排放标准》（GB8978-1996）三级标准</w:t>
            </w:r>
            <w:r>
              <w:rPr>
                <w:rFonts w:hint="eastAsia" w:ascii="Times New Roman" w:hAnsi="Times New Roman" w:eastAsia="宋体" w:cs="Times New Roman"/>
                <w:b w:val="0"/>
                <w:bCs w:val="0"/>
                <w:color w:val="auto"/>
                <w:sz w:val="24"/>
                <w:highlight w:val="none"/>
                <w:lang w:eastAsia="zh-CN"/>
              </w:rPr>
              <w:t>。</w:t>
            </w:r>
          </w:p>
          <w:p w14:paraId="2BFC9897">
            <w:pPr>
              <w:pStyle w:val="9"/>
              <w:keepLines/>
              <w:jc w:val="center"/>
              <w:rPr>
                <w:rFonts w:hint="eastAsia"/>
                <w:b/>
                <w:bCs/>
                <w:color w:val="auto"/>
                <w:kern w:val="2"/>
                <w:szCs w:val="24"/>
                <w:highlight w:val="none"/>
              </w:rPr>
            </w:pPr>
            <w:r>
              <w:rPr>
                <w:rFonts w:hint="eastAsia"/>
                <w:b/>
                <w:bCs/>
                <w:color w:val="auto"/>
                <w:kern w:val="2"/>
                <w:szCs w:val="24"/>
                <w:highlight w:val="none"/>
              </w:rPr>
              <w:t>表3-</w:t>
            </w:r>
            <w:r>
              <w:rPr>
                <w:rFonts w:hint="eastAsia"/>
                <w:b/>
                <w:bCs/>
                <w:color w:val="auto"/>
                <w:kern w:val="2"/>
                <w:szCs w:val="24"/>
                <w:highlight w:val="none"/>
                <w:lang w:val="en-US" w:eastAsia="zh-CN"/>
              </w:rPr>
              <w:t>8</w:t>
            </w:r>
            <w:r>
              <w:rPr>
                <w:rFonts w:hint="eastAsia"/>
                <w:b/>
                <w:bCs/>
                <w:color w:val="auto"/>
                <w:kern w:val="2"/>
                <w:szCs w:val="24"/>
                <w:highlight w:val="none"/>
              </w:rPr>
              <w:t>水污染物排放标准</w:t>
            </w:r>
          </w:p>
          <w:tbl>
            <w:tblPr>
              <w:tblStyle w:val="22"/>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986"/>
              <w:gridCol w:w="3986"/>
            </w:tblGrid>
            <w:tr w14:paraId="21541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3B34E96C">
                  <w:pPr>
                    <w:jc w:val="center"/>
                    <w:rPr>
                      <w:rFonts w:hint="eastAsia"/>
                      <w:b/>
                      <w:bCs/>
                      <w:color w:val="auto"/>
                      <w:sz w:val="24"/>
                      <w:highlight w:val="none"/>
                    </w:rPr>
                  </w:pPr>
                  <w:r>
                    <w:rPr>
                      <w:rFonts w:hint="eastAsia"/>
                      <w:color w:val="auto"/>
                      <w:highlight w:val="none"/>
                    </w:rPr>
                    <w:t>污染物</w:t>
                  </w:r>
                </w:p>
              </w:tc>
              <w:tc>
                <w:tcPr>
                  <w:tcW w:w="2500" w:type="pct"/>
                  <w:noWrap w:val="0"/>
                  <w:vAlign w:val="center"/>
                </w:tcPr>
                <w:p w14:paraId="78105D25">
                  <w:pPr>
                    <w:jc w:val="center"/>
                    <w:rPr>
                      <w:rFonts w:hint="eastAsia" w:eastAsia="宋体"/>
                      <w:b/>
                      <w:bCs/>
                      <w:color w:val="auto"/>
                      <w:sz w:val="24"/>
                      <w:highlight w:val="none"/>
                      <w:lang w:eastAsia="zh-CN"/>
                    </w:rPr>
                  </w:pPr>
                  <w:r>
                    <w:rPr>
                      <w:color w:val="auto"/>
                      <w:highlight w:val="none"/>
                    </w:rPr>
                    <w:t>标准值</w:t>
                  </w:r>
                  <w:r>
                    <w:rPr>
                      <w:rFonts w:hint="eastAsia"/>
                      <w:color w:val="auto"/>
                      <w:highlight w:val="none"/>
                      <w:lang w:eastAsia="zh-CN"/>
                    </w:rPr>
                    <w:t>（</w:t>
                  </w:r>
                  <w:r>
                    <w:rPr>
                      <w:rFonts w:hint="eastAsia"/>
                      <w:b/>
                      <w:bCs/>
                      <w:color w:val="auto"/>
                      <w:kern w:val="2"/>
                      <w:szCs w:val="24"/>
                      <w:highlight w:val="none"/>
                    </w:rPr>
                    <w:t>mg/L</w:t>
                  </w:r>
                  <w:r>
                    <w:rPr>
                      <w:rFonts w:hint="eastAsia"/>
                      <w:color w:val="auto"/>
                      <w:highlight w:val="none"/>
                      <w:lang w:eastAsia="zh-CN"/>
                    </w:rPr>
                    <w:t>）</w:t>
                  </w:r>
                </w:p>
              </w:tc>
            </w:tr>
            <w:tr w14:paraId="14C8B3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27AA705C">
                  <w:pPr>
                    <w:jc w:val="center"/>
                    <w:rPr>
                      <w:rFonts w:hint="eastAsia"/>
                      <w:b/>
                      <w:bCs/>
                      <w:color w:val="auto"/>
                      <w:sz w:val="24"/>
                      <w:highlight w:val="none"/>
                    </w:rPr>
                  </w:pPr>
                  <w:r>
                    <w:rPr>
                      <w:color w:val="auto"/>
                      <w:highlight w:val="none"/>
                    </w:rPr>
                    <w:t>COD</w:t>
                  </w:r>
                </w:p>
              </w:tc>
              <w:tc>
                <w:tcPr>
                  <w:tcW w:w="2500" w:type="pct"/>
                  <w:noWrap w:val="0"/>
                  <w:vAlign w:val="center"/>
                </w:tcPr>
                <w:p w14:paraId="0715AF7D">
                  <w:pPr>
                    <w:jc w:val="center"/>
                    <w:rPr>
                      <w:rFonts w:hint="eastAsia"/>
                      <w:b/>
                      <w:bCs/>
                      <w:color w:val="auto"/>
                      <w:sz w:val="24"/>
                      <w:highlight w:val="none"/>
                    </w:rPr>
                  </w:pPr>
                  <w:r>
                    <w:rPr>
                      <w:color w:val="auto"/>
                      <w:highlight w:val="none"/>
                    </w:rPr>
                    <w:t>≤500</w:t>
                  </w:r>
                </w:p>
              </w:tc>
            </w:tr>
            <w:tr w14:paraId="2B7D2C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055541A5">
                  <w:pPr>
                    <w:jc w:val="center"/>
                    <w:rPr>
                      <w:rFonts w:hint="eastAsia"/>
                      <w:b/>
                      <w:bCs/>
                      <w:color w:val="auto"/>
                      <w:sz w:val="24"/>
                      <w:highlight w:val="none"/>
                    </w:rPr>
                  </w:pPr>
                  <w:r>
                    <w:rPr>
                      <w:color w:val="auto"/>
                      <w:highlight w:val="none"/>
                    </w:rPr>
                    <w:t>氨氮</w:t>
                  </w:r>
                </w:p>
              </w:tc>
              <w:tc>
                <w:tcPr>
                  <w:tcW w:w="2500" w:type="pct"/>
                  <w:noWrap w:val="0"/>
                  <w:vAlign w:val="center"/>
                </w:tcPr>
                <w:p w14:paraId="56A39711">
                  <w:pPr>
                    <w:jc w:val="center"/>
                    <w:rPr>
                      <w:rFonts w:hint="eastAsia"/>
                      <w:b/>
                      <w:bCs/>
                      <w:color w:val="auto"/>
                      <w:sz w:val="24"/>
                      <w:highlight w:val="none"/>
                    </w:rPr>
                  </w:pPr>
                  <w:r>
                    <w:rPr>
                      <w:color w:val="auto"/>
                      <w:highlight w:val="none"/>
                    </w:rPr>
                    <w:t>--</w:t>
                  </w:r>
                </w:p>
              </w:tc>
            </w:tr>
            <w:tr w14:paraId="584F9C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402A697A">
                  <w:pPr>
                    <w:jc w:val="center"/>
                    <w:rPr>
                      <w:rFonts w:hint="eastAsia"/>
                      <w:b/>
                      <w:bCs/>
                      <w:color w:val="auto"/>
                      <w:sz w:val="24"/>
                      <w:highlight w:val="none"/>
                    </w:rPr>
                  </w:pPr>
                  <w:r>
                    <w:rPr>
                      <w:color w:val="auto"/>
                      <w:highlight w:val="none"/>
                    </w:rPr>
                    <w:t>SS</w:t>
                  </w:r>
                </w:p>
              </w:tc>
              <w:tc>
                <w:tcPr>
                  <w:tcW w:w="2500" w:type="pct"/>
                  <w:noWrap w:val="0"/>
                  <w:vAlign w:val="center"/>
                </w:tcPr>
                <w:p w14:paraId="7A809076">
                  <w:pPr>
                    <w:jc w:val="center"/>
                    <w:rPr>
                      <w:rFonts w:hint="eastAsia"/>
                      <w:b/>
                      <w:bCs/>
                      <w:color w:val="auto"/>
                      <w:sz w:val="24"/>
                      <w:highlight w:val="none"/>
                    </w:rPr>
                  </w:pPr>
                  <w:r>
                    <w:rPr>
                      <w:color w:val="auto"/>
                      <w:highlight w:val="none"/>
                    </w:rPr>
                    <w:t>≤400</w:t>
                  </w:r>
                </w:p>
              </w:tc>
            </w:tr>
            <w:tr w14:paraId="6FD67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69D84C68">
                  <w:pPr>
                    <w:jc w:val="center"/>
                    <w:rPr>
                      <w:rFonts w:hint="eastAsia"/>
                      <w:b/>
                      <w:bCs/>
                      <w:color w:val="auto"/>
                      <w:sz w:val="24"/>
                      <w:highlight w:val="none"/>
                    </w:rPr>
                  </w:pPr>
                  <w:r>
                    <w:rPr>
                      <w:color w:val="auto"/>
                      <w:highlight w:val="none"/>
                    </w:rPr>
                    <w:t>BOD</w:t>
                  </w:r>
                  <w:r>
                    <w:rPr>
                      <w:color w:val="auto"/>
                      <w:highlight w:val="none"/>
                      <w:vertAlign w:val="subscript"/>
                    </w:rPr>
                    <w:t>5</w:t>
                  </w:r>
                </w:p>
              </w:tc>
              <w:tc>
                <w:tcPr>
                  <w:tcW w:w="2500" w:type="pct"/>
                  <w:noWrap w:val="0"/>
                  <w:vAlign w:val="center"/>
                </w:tcPr>
                <w:p w14:paraId="21292986">
                  <w:pPr>
                    <w:jc w:val="center"/>
                    <w:rPr>
                      <w:rFonts w:hint="eastAsia"/>
                      <w:b/>
                      <w:bCs/>
                      <w:color w:val="auto"/>
                      <w:sz w:val="24"/>
                      <w:highlight w:val="none"/>
                    </w:rPr>
                  </w:pPr>
                  <w:r>
                    <w:rPr>
                      <w:color w:val="auto"/>
                      <w:highlight w:val="none"/>
                    </w:rPr>
                    <w:t>≤300</w:t>
                  </w:r>
                </w:p>
              </w:tc>
            </w:tr>
            <w:tr w14:paraId="76AC3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noWrap w:val="0"/>
                  <w:vAlign w:val="center"/>
                </w:tcPr>
                <w:p w14:paraId="4E52ECEB">
                  <w:pPr>
                    <w:jc w:val="center"/>
                    <w:rPr>
                      <w:rFonts w:hint="eastAsia"/>
                      <w:b/>
                      <w:bCs/>
                      <w:color w:val="auto"/>
                      <w:sz w:val="24"/>
                      <w:highlight w:val="none"/>
                    </w:rPr>
                  </w:pPr>
                  <w:r>
                    <w:rPr>
                      <w:color w:val="auto"/>
                      <w:highlight w:val="none"/>
                    </w:rPr>
                    <w:t>pH</w:t>
                  </w:r>
                </w:p>
              </w:tc>
              <w:tc>
                <w:tcPr>
                  <w:tcW w:w="2500" w:type="pct"/>
                  <w:noWrap w:val="0"/>
                  <w:vAlign w:val="center"/>
                </w:tcPr>
                <w:p w14:paraId="61906206">
                  <w:pPr>
                    <w:jc w:val="center"/>
                    <w:rPr>
                      <w:rFonts w:hint="eastAsia"/>
                      <w:b/>
                      <w:bCs/>
                      <w:color w:val="auto"/>
                      <w:sz w:val="24"/>
                      <w:highlight w:val="none"/>
                    </w:rPr>
                  </w:pPr>
                  <w:r>
                    <w:rPr>
                      <w:color w:val="auto"/>
                      <w:highlight w:val="none"/>
                    </w:rPr>
                    <w:t>6～9</w:t>
                  </w:r>
                  <w:r>
                    <w:rPr>
                      <w:rFonts w:hint="eastAsia"/>
                      <w:color w:val="auto"/>
                      <w:highlight w:val="none"/>
                    </w:rPr>
                    <w:t>（无量纲）</w:t>
                  </w:r>
                </w:p>
              </w:tc>
            </w:tr>
          </w:tbl>
          <w:p w14:paraId="591E521E">
            <w:pPr>
              <w:spacing w:line="360" w:lineRule="auto"/>
              <w:ind w:firstLine="482" w:firstLineChars="200"/>
              <w:rPr>
                <w:rFonts w:ascii="宋体" w:hAnsi="宋体"/>
                <w:b/>
                <w:color w:val="auto"/>
                <w:sz w:val="24"/>
                <w:highlight w:val="none"/>
              </w:rPr>
            </w:pPr>
            <w:r>
              <w:rPr>
                <w:b/>
                <w:color w:val="auto"/>
                <w:sz w:val="24"/>
                <w:highlight w:val="none"/>
              </w:rPr>
              <w:t>3</w:t>
            </w:r>
            <w:r>
              <w:rPr>
                <w:rFonts w:hint="eastAsia" w:ascii="宋体" w:hAnsi="宋体"/>
                <w:b/>
                <w:color w:val="auto"/>
                <w:sz w:val="24"/>
                <w:highlight w:val="none"/>
                <w:lang w:eastAsia="zh-CN"/>
              </w:rPr>
              <w:t>、</w:t>
            </w:r>
            <w:r>
              <w:rPr>
                <w:rFonts w:ascii="宋体" w:hAnsi="宋体"/>
                <w:b/>
                <w:color w:val="auto"/>
                <w:sz w:val="24"/>
                <w:highlight w:val="none"/>
              </w:rPr>
              <w:t>噪声排放标准</w:t>
            </w:r>
          </w:p>
          <w:p w14:paraId="0058A94E">
            <w:pPr>
              <w:spacing w:line="360" w:lineRule="auto"/>
              <w:ind w:firstLine="480" w:firstLineChars="200"/>
              <w:rPr>
                <w:color w:val="auto"/>
                <w:szCs w:val="21"/>
                <w:highlight w:val="none"/>
              </w:rPr>
            </w:pPr>
            <w:r>
              <w:rPr>
                <w:rFonts w:ascii="宋体" w:hAnsi="宋体"/>
                <w:color w:val="auto"/>
                <w:sz w:val="24"/>
                <w:highlight w:val="none"/>
              </w:rPr>
              <w:t>项目施工期噪声排放执行</w:t>
            </w:r>
            <w:r>
              <w:rPr>
                <w:rFonts w:hint="eastAsia" w:ascii="宋体" w:hAnsi="宋体"/>
                <w:color w:val="auto"/>
                <w:sz w:val="24"/>
                <w:highlight w:val="yellow"/>
                <w:lang w:eastAsia="zh-CN"/>
              </w:rPr>
              <w:t>《建筑施工噪声</w:t>
            </w:r>
            <w:r>
              <w:rPr>
                <w:rFonts w:hint="default" w:ascii="Times New Roman" w:hAnsi="Times New Roman" w:cs="Times New Roman"/>
                <w:color w:val="auto"/>
                <w:sz w:val="24"/>
                <w:highlight w:val="yellow"/>
                <w:lang w:eastAsia="zh-CN"/>
              </w:rPr>
              <w:t>排放标准》（GB12523-2025）</w:t>
            </w:r>
            <w:r>
              <w:rPr>
                <w:rFonts w:hint="default" w:ascii="Times New Roman" w:hAnsi="Times New Roman" w:cs="Times New Roman"/>
                <w:color w:val="auto"/>
                <w:sz w:val="24"/>
                <w:highlight w:val="yellow"/>
              </w:rPr>
              <w:t>中标准</w:t>
            </w:r>
            <w:r>
              <w:rPr>
                <w:rFonts w:ascii="宋体" w:hAnsi="宋体"/>
                <w:color w:val="auto"/>
                <w:sz w:val="24"/>
                <w:highlight w:val="none"/>
              </w:rPr>
              <w:t>；运营期噪声排放执行《工业企业厂界环境噪声排放标准》（</w:t>
            </w:r>
            <w:r>
              <w:rPr>
                <w:color w:val="auto"/>
                <w:sz w:val="24"/>
                <w:highlight w:val="none"/>
              </w:rPr>
              <w:t>GB12348-2008</w:t>
            </w:r>
            <w:r>
              <w:rPr>
                <w:rFonts w:ascii="宋体" w:hAnsi="宋体"/>
                <w:color w:val="auto"/>
                <w:sz w:val="24"/>
                <w:highlight w:val="none"/>
              </w:rPr>
              <w:t>）中的</w:t>
            </w:r>
            <w:r>
              <w:rPr>
                <w:rFonts w:hint="eastAsia"/>
                <w:color w:val="auto"/>
                <w:sz w:val="24"/>
                <w:highlight w:val="none"/>
                <w:lang w:val="en-US" w:eastAsia="zh-CN"/>
              </w:rPr>
              <w:t>2</w:t>
            </w:r>
            <w:r>
              <w:rPr>
                <w:rFonts w:ascii="宋体" w:hAnsi="宋体"/>
                <w:color w:val="auto"/>
                <w:sz w:val="24"/>
                <w:highlight w:val="none"/>
              </w:rPr>
              <w:t>类声环境功能区标准。</w:t>
            </w:r>
          </w:p>
          <w:p w14:paraId="6875C51C">
            <w:pPr>
              <w:jc w:val="center"/>
              <w:rPr>
                <w:rFonts w:hint="eastAsia"/>
                <w:b/>
                <w:color w:val="auto"/>
                <w:sz w:val="24"/>
                <w:highlight w:val="none"/>
              </w:rPr>
            </w:pPr>
            <w:r>
              <w:rPr>
                <w:rFonts w:hint="eastAsia" w:ascii="宋体" w:hAnsi="宋体"/>
                <w:b/>
                <w:color w:val="auto"/>
                <w:sz w:val="24"/>
                <w:highlight w:val="none"/>
              </w:rPr>
              <w:t>表</w:t>
            </w:r>
            <w:r>
              <w:rPr>
                <w:b/>
                <w:color w:val="auto"/>
                <w:sz w:val="24"/>
                <w:highlight w:val="none"/>
              </w:rPr>
              <w:t>3-</w:t>
            </w:r>
            <w:r>
              <w:rPr>
                <w:rFonts w:hint="eastAsia"/>
                <w:b/>
                <w:color w:val="auto"/>
                <w:sz w:val="24"/>
                <w:highlight w:val="none"/>
                <w:lang w:val="en-US" w:eastAsia="zh-CN"/>
              </w:rPr>
              <w:t>10</w:t>
            </w:r>
            <w:r>
              <w:rPr>
                <w:rFonts w:ascii="宋体" w:hAnsi="宋体"/>
                <w:b/>
                <w:color w:val="auto"/>
                <w:sz w:val="24"/>
                <w:highlight w:val="none"/>
              </w:rPr>
              <w:t>建筑施工场界环境噪声排放标准</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761"/>
              <w:gridCol w:w="2762"/>
              <w:gridCol w:w="2448"/>
            </w:tblGrid>
            <w:tr w14:paraId="3C4273E9">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32" w:type="pct"/>
                  <w:tcBorders>
                    <w:tl2br w:val="nil"/>
                    <w:tr2bl w:val="nil"/>
                  </w:tcBorders>
                  <w:noWrap w:val="0"/>
                  <w:vAlign w:val="center"/>
                </w:tcPr>
                <w:p w14:paraId="3795C35F">
                  <w:pPr>
                    <w:adjustRightInd w:val="0"/>
                    <w:snapToGrid w:val="0"/>
                    <w:jc w:val="center"/>
                    <w:rPr>
                      <w:rFonts w:hint="eastAsia" w:ascii="宋体" w:hAnsi="宋体" w:eastAsia="宋体"/>
                      <w:color w:val="auto"/>
                      <w:highlight w:val="none"/>
                      <w:lang w:val="en-US" w:eastAsia="zh-CN"/>
                    </w:rPr>
                  </w:pPr>
                  <w:r>
                    <w:rPr>
                      <w:rFonts w:hint="eastAsia" w:ascii="宋体" w:hAnsi="宋体"/>
                      <w:color w:val="auto"/>
                      <w:highlight w:val="none"/>
                      <w:lang w:val="en-US" w:eastAsia="zh-CN"/>
                    </w:rPr>
                    <w:t>时段</w:t>
                  </w:r>
                </w:p>
              </w:tc>
              <w:tc>
                <w:tcPr>
                  <w:tcW w:w="1732" w:type="pct"/>
                  <w:tcBorders>
                    <w:tl2br w:val="nil"/>
                    <w:tr2bl w:val="nil"/>
                  </w:tcBorders>
                  <w:noWrap w:val="0"/>
                  <w:vAlign w:val="center"/>
                </w:tcPr>
                <w:p w14:paraId="3AE7B625">
                  <w:pPr>
                    <w:adjustRightInd w:val="0"/>
                    <w:snapToGrid w:val="0"/>
                    <w:jc w:val="center"/>
                    <w:rPr>
                      <w:color w:val="auto"/>
                      <w:highlight w:val="none"/>
                    </w:rPr>
                  </w:pPr>
                  <w:r>
                    <w:rPr>
                      <w:rFonts w:ascii="宋体" w:hAnsi="宋体"/>
                      <w:color w:val="auto"/>
                      <w:highlight w:val="none"/>
                    </w:rPr>
                    <w:t>昼间</w:t>
                  </w:r>
                </w:p>
              </w:tc>
              <w:tc>
                <w:tcPr>
                  <w:tcW w:w="1535" w:type="pct"/>
                  <w:tcBorders>
                    <w:tl2br w:val="nil"/>
                    <w:tr2bl w:val="nil"/>
                  </w:tcBorders>
                  <w:noWrap w:val="0"/>
                  <w:vAlign w:val="center"/>
                </w:tcPr>
                <w:p w14:paraId="6961A265">
                  <w:pPr>
                    <w:adjustRightInd w:val="0"/>
                    <w:snapToGrid w:val="0"/>
                    <w:jc w:val="center"/>
                    <w:rPr>
                      <w:rFonts w:hint="eastAsia" w:eastAsia="宋体"/>
                      <w:color w:val="auto"/>
                      <w:highlight w:val="none"/>
                      <w:lang w:val="en-US" w:eastAsia="zh-CN"/>
                    </w:rPr>
                  </w:pPr>
                  <w:r>
                    <w:rPr>
                      <w:rFonts w:ascii="宋体" w:hAnsi="宋体"/>
                      <w:color w:val="auto"/>
                      <w:highlight w:val="none"/>
                    </w:rPr>
                    <w:t>夜</w:t>
                  </w:r>
                  <w:r>
                    <w:rPr>
                      <w:rFonts w:hint="eastAsia" w:ascii="宋体" w:hAnsi="宋体"/>
                      <w:color w:val="auto"/>
                      <w:highlight w:val="none"/>
                      <w:lang w:val="en-US" w:eastAsia="zh-CN"/>
                    </w:rPr>
                    <w:t>间</w:t>
                  </w:r>
                </w:p>
              </w:tc>
            </w:tr>
            <w:tr w14:paraId="7C8A66D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32" w:type="pct"/>
                  <w:tcBorders>
                    <w:tl2br w:val="nil"/>
                    <w:tr2bl w:val="nil"/>
                  </w:tcBorders>
                  <w:noWrap w:val="0"/>
                  <w:vAlign w:val="center"/>
                </w:tcPr>
                <w:p w14:paraId="615168D7">
                  <w:pPr>
                    <w:adjustRightInd w:val="0"/>
                    <w:snapToGrid w:val="0"/>
                    <w:jc w:val="center"/>
                    <w:rPr>
                      <w:rFonts w:hint="eastAsia" w:eastAsia="宋体"/>
                      <w:color w:val="auto"/>
                      <w:highlight w:val="none"/>
                      <w:lang w:val="en-US" w:eastAsia="zh-CN"/>
                    </w:rPr>
                  </w:pPr>
                  <w:r>
                    <w:rPr>
                      <w:rFonts w:hint="eastAsia"/>
                      <w:color w:val="auto"/>
                      <w:highlight w:val="none"/>
                      <w:lang w:val="en-US" w:eastAsia="zh-CN"/>
                    </w:rPr>
                    <w:t>标准值</w:t>
                  </w:r>
                </w:p>
              </w:tc>
              <w:tc>
                <w:tcPr>
                  <w:tcW w:w="1732" w:type="pct"/>
                  <w:tcBorders>
                    <w:tl2br w:val="nil"/>
                    <w:tr2bl w:val="nil"/>
                  </w:tcBorders>
                  <w:noWrap w:val="0"/>
                  <w:vAlign w:val="center"/>
                </w:tcPr>
                <w:p w14:paraId="64480842">
                  <w:pPr>
                    <w:adjustRightInd w:val="0"/>
                    <w:snapToGrid w:val="0"/>
                    <w:jc w:val="center"/>
                    <w:rPr>
                      <w:color w:val="auto"/>
                      <w:highlight w:val="none"/>
                    </w:rPr>
                  </w:pPr>
                  <w:r>
                    <w:rPr>
                      <w:color w:val="auto"/>
                      <w:highlight w:val="none"/>
                    </w:rPr>
                    <w:t>70</w:t>
                  </w:r>
                  <w:r>
                    <w:rPr>
                      <w:rFonts w:hint="eastAsia"/>
                      <w:color w:val="auto"/>
                      <w:highlight w:val="none"/>
                    </w:rPr>
                    <w:t>dB（A）</w:t>
                  </w:r>
                </w:p>
              </w:tc>
              <w:tc>
                <w:tcPr>
                  <w:tcW w:w="1535" w:type="pct"/>
                  <w:tcBorders>
                    <w:tl2br w:val="nil"/>
                    <w:tr2bl w:val="nil"/>
                  </w:tcBorders>
                  <w:noWrap w:val="0"/>
                  <w:vAlign w:val="center"/>
                </w:tcPr>
                <w:p w14:paraId="7012248E">
                  <w:pPr>
                    <w:adjustRightInd w:val="0"/>
                    <w:snapToGrid w:val="0"/>
                    <w:jc w:val="center"/>
                    <w:rPr>
                      <w:color w:val="auto"/>
                      <w:highlight w:val="none"/>
                    </w:rPr>
                  </w:pPr>
                  <w:r>
                    <w:rPr>
                      <w:color w:val="auto"/>
                      <w:highlight w:val="none"/>
                    </w:rPr>
                    <w:t>55</w:t>
                  </w:r>
                  <w:r>
                    <w:rPr>
                      <w:rFonts w:hint="eastAsia"/>
                      <w:color w:val="auto"/>
                      <w:highlight w:val="none"/>
                    </w:rPr>
                    <w:t>dB（A）</w:t>
                  </w:r>
                </w:p>
              </w:tc>
            </w:tr>
          </w:tbl>
          <w:p w14:paraId="630DC586">
            <w:pPr>
              <w:spacing w:before="120" w:beforeLines="50"/>
              <w:jc w:val="center"/>
              <w:rPr>
                <w:rFonts w:hint="eastAsia" w:eastAsia="宋体"/>
                <w:b/>
                <w:color w:val="auto"/>
                <w:sz w:val="24"/>
                <w:highlight w:val="yellow"/>
                <w:lang w:val="en-US" w:eastAsia="zh-CN"/>
              </w:rPr>
            </w:pPr>
            <w:r>
              <w:rPr>
                <w:rFonts w:hint="eastAsia" w:ascii="宋体" w:hAnsi="宋体"/>
                <w:b/>
                <w:color w:val="auto"/>
                <w:sz w:val="24"/>
                <w:highlight w:val="yellow"/>
              </w:rPr>
              <w:t>表</w:t>
            </w:r>
            <w:r>
              <w:rPr>
                <w:b/>
                <w:color w:val="auto"/>
                <w:sz w:val="24"/>
                <w:highlight w:val="yellow"/>
              </w:rPr>
              <w:t>3-</w:t>
            </w:r>
            <w:r>
              <w:rPr>
                <w:rFonts w:hint="eastAsia"/>
                <w:b/>
                <w:color w:val="auto"/>
                <w:sz w:val="24"/>
                <w:highlight w:val="yellow"/>
                <w:lang w:val="en-US" w:eastAsia="zh-CN"/>
              </w:rPr>
              <w:t>11</w:t>
            </w:r>
            <w:r>
              <w:rPr>
                <w:rFonts w:ascii="宋体" w:hAnsi="宋体"/>
                <w:b/>
                <w:color w:val="auto"/>
                <w:sz w:val="24"/>
                <w:highlight w:val="yellow"/>
              </w:rPr>
              <w:t>工业企业厂界环境噪声排放</w:t>
            </w:r>
            <w:r>
              <w:rPr>
                <w:rFonts w:hint="eastAsia" w:ascii="宋体" w:hAnsi="宋体"/>
                <w:b/>
                <w:color w:val="auto"/>
                <w:sz w:val="24"/>
                <w:highlight w:val="yellow"/>
                <w:lang w:val="en-US" w:eastAsia="zh-CN"/>
              </w:rPr>
              <w:t>标准</w:t>
            </w:r>
          </w:p>
          <w:tbl>
            <w:tblPr>
              <w:tblStyle w:val="22"/>
              <w:tblW w:w="4998" w:type="pct"/>
              <w:jc w:val="center"/>
              <w:tblBorders>
                <w:top w:val="single" w:color="auto" w:sz="4" w:space="0"/>
                <w:left w:val="none" w:color="auto" w:sz="0" w:space="0"/>
                <w:bottom w:val="single" w:color="auto" w:sz="4"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1775"/>
              <w:gridCol w:w="3098"/>
              <w:gridCol w:w="3098"/>
            </w:tblGrid>
            <w:tr w14:paraId="5F8E866E">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113" w:type="pct"/>
                  <w:tcBorders>
                    <w:tl2br w:val="nil"/>
                    <w:tr2bl w:val="nil"/>
                  </w:tcBorders>
                  <w:noWrap w:val="0"/>
                  <w:vAlign w:val="center"/>
                </w:tcPr>
                <w:p w14:paraId="4C1CF9C5">
                  <w:pPr>
                    <w:widowControl/>
                    <w:jc w:val="center"/>
                    <w:rPr>
                      <w:color w:val="auto"/>
                      <w:kern w:val="44"/>
                      <w:highlight w:val="yellow"/>
                    </w:rPr>
                  </w:pPr>
                  <w:r>
                    <w:rPr>
                      <w:rFonts w:ascii="宋体" w:hAnsi="宋体"/>
                      <w:color w:val="auto"/>
                      <w:kern w:val="44"/>
                      <w:highlight w:val="yellow"/>
                    </w:rPr>
                    <w:t>功能区</w:t>
                  </w:r>
                </w:p>
              </w:tc>
              <w:tc>
                <w:tcPr>
                  <w:tcW w:w="1943" w:type="pct"/>
                  <w:tcBorders>
                    <w:tl2br w:val="nil"/>
                    <w:tr2bl w:val="nil"/>
                  </w:tcBorders>
                  <w:noWrap w:val="0"/>
                  <w:vAlign w:val="center"/>
                </w:tcPr>
                <w:p w14:paraId="193095DE">
                  <w:pPr>
                    <w:widowControl/>
                    <w:jc w:val="center"/>
                    <w:rPr>
                      <w:color w:val="auto"/>
                      <w:kern w:val="44"/>
                      <w:highlight w:val="yellow"/>
                    </w:rPr>
                  </w:pPr>
                  <w:r>
                    <w:rPr>
                      <w:rFonts w:ascii="宋体" w:hAnsi="宋体"/>
                      <w:color w:val="auto"/>
                      <w:kern w:val="44"/>
                      <w:highlight w:val="yellow"/>
                    </w:rPr>
                    <w:t>昼间</w:t>
                  </w:r>
                </w:p>
              </w:tc>
              <w:tc>
                <w:tcPr>
                  <w:tcW w:w="1943" w:type="pct"/>
                  <w:tcBorders>
                    <w:tl2br w:val="nil"/>
                    <w:tr2bl w:val="nil"/>
                  </w:tcBorders>
                  <w:noWrap w:val="0"/>
                  <w:vAlign w:val="center"/>
                </w:tcPr>
                <w:p w14:paraId="6CB12E5C">
                  <w:pPr>
                    <w:widowControl/>
                    <w:jc w:val="center"/>
                    <w:rPr>
                      <w:rFonts w:hint="eastAsia" w:ascii="宋体" w:hAnsi="宋体" w:eastAsia="宋体"/>
                      <w:color w:val="auto"/>
                      <w:kern w:val="44"/>
                      <w:highlight w:val="yellow"/>
                      <w:lang w:val="en-US" w:eastAsia="zh-CN"/>
                    </w:rPr>
                  </w:pPr>
                  <w:r>
                    <w:rPr>
                      <w:rFonts w:hint="eastAsia" w:ascii="宋体" w:hAnsi="宋体"/>
                      <w:color w:val="auto"/>
                      <w:kern w:val="44"/>
                      <w:highlight w:val="yellow"/>
                      <w:lang w:val="en-US" w:eastAsia="zh-CN"/>
                    </w:rPr>
                    <w:t>夜间</w:t>
                  </w:r>
                </w:p>
              </w:tc>
            </w:tr>
            <w:tr w14:paraId="294EB87B">
              <w:tblPrEx>
                <w:tblBorders>
                  <w:top w:val="single" w:color="auto" w:sz="4" w:space="0"/>
                  <w:left w:val="none" w:color="auto" w:sz="0" w:space="0"/>
                  <w:bottom w:val="single" w:color="auto" w:sz="4"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113" w:type="pct"/>
                  <w:tcBorders>
                    <w:tl2br w:val="nil"/>
                    <w:tr2bl w:val="nil"/>
                  </w:tcBorders>
                  <w:noWrap w:val="0"/>
                  <w:vAlign w:val="center"/>
                </w:tcPr>
                <w:p w14:paraId="53D6A951">
                  <w:pPr>
                    <w:widowControl/>
                    <w:jc w:val="center"/>
                    <w:rPr>
                      <w:color w:val="auto"/>
                      <w:kern w:val="44"/>
                      <w:highlight w:val="yellow"/>
                    </w:rPr>
                  </w:pPr>
                  <w:r>
                    <w:rPr>
                      <w:rFonts w:hint="eastAsia"/>
                      <w:color w:val="auto"/>
                      <w:kern w:val="44"/>
                      <w:highlight w:val="yellow"/>
                      <w:lang w:val="en-US" w:eastAsia="zh-CN"/>
                    </w:rPr>
                    <w:t>2</w:t>
                  </w:r>
                  <w:r>
                    <w:rPr>
                      <w:rFonts w:ascii="宋体" w:hAnsi="宋体"/>
                      <w:color w:val="auto"/>
                      <w:kern w:val="44"/>
                      <w:highlight w:val="yellow"/>
                    </w:rPr>
                    <w:t>类</w:t>
                  </w:r>
                </w:p>
              </w:tc>
              <w:tc>
                <w:tcPr>
                  <w:tcW w:w="1943" w:type="pct"/>
                  <w:tcBorders>
                    <w:tl2br w:val="nil"/>
                    <w:tr2bl w:val="nil"/>
                  </w:tcBorders>
                  <w:noWrap w:val="0"/>
                  <w:vAlign w:val="center"/>
                </w:tcPr>
                <w:p w14:paraId="54C4C896">
                  <w:pPr>
                    <w:widowControl/>
                    <w:jc w:val="center"/>
                    <w:rPr>
                      <w:rFonts w:hint="default" w:eastAsia="宋体"/>
                      <w:color w:val="auto"/>
                      <w:kern w:val="44"/>
                      <w:highlight w:val="yellow"/>
                      <w:lang w:val="en-US" w:eastAsia="zh-CN"/>
                    </w:rPr>
                  </w:pPr>
                  <w:r>
                    <w:rPr>
                      <w:rFonts w:hint="eastAsia"/>
                      <w:color w:val="auto"/>
                      <w:kern w:val="44"/>
                      <w:highlight w:val="yellow"/>
                      <w:lang w:val="en-US" w:eastAsia="zh-CN"/>
                    </w:rPr>
                    <w:t>60dB（A）</w:t>
                  </w:r>
                </w:p>
              </w:tc>
              <w:tc>
                <w:tcPr>
                  <w:tcW w:w="1943" w:type="pct"/>
                  <w:tcBorders>
                    <w:tl2br w:val="nil"/>
                    <w:tr2bl w:val="nil"/>
                  </w:tcBorders>
                  <w:noWrap w:val="0"/>
                  <w:vAlign w:val="center"/>
                </w:tcPr>
                <w:p w14:paraId="1BE337DA">
                  <w:pPr>
                    <w:widowControl/>
                    <w:jc w:val="center"/>
                    <w:rPr>
                      <w:rFonts w:hint="default"/>
                      <w:color w:val="auto"/>
                      <w:kern w:val="44"/>
                      <w:highlight w:val="yellow"/>
                      <w:lang w:val="en-US" w:eastAsia="zh-CN"/>
                    </w:rPr>
                  </w:pPr>
                  <w:r>
                    <w:rPr>
                      <w:rFonts w:hint="eastAsia"/>
                      <w:color w:val="auto"/>
                      <w:kern w:val="44"/>
                      <w:highlight w:val="yellow"/>
                      <w:lang w:val="en-US" w:eastAsia="zh-CN"/>
                    </w:rPr>
                    <w:t>50dB（A）</w:t>
                  </w:r>
                </w:p>
              </w:tc>
            </w:tr>
          </w:tbl>
          <w:p w14:paraId="5A001B9E">
            <w:pPr>
              <w:spacing w:line="360" w:lineRule="auto"/>
              <w:ind w:firstLine="482" w:firstLineChars="200"/>
              <w:rPr>
                <w:rFonts w:ascii="宋体" w:hAnsi="宋体"/>
                <w:b/>
                <w:color w:val="auto"/>
                <w:sz w:val="24"/>
                <w:highlight w:val="none"/>
              </w:rPr>
            </w:pPr>
            <w:r>
              <w:rPr>
                <w:b/>
                <w:color w:val="auto"/>
                <w:sz w:val="24"/>
                <w:highlight w:val="none"/>
              </w:rPr>
              <w:t>4</w:t>
            </w:r>
            <w:r>
              <w:rPr>
                <w:rFonts w:ascii="宋体" w:hAnsi="宋体"/>
                <w:b/>
                <w:color w:val="auto"/>
                <w:sz w:val="24"/>
                <w:highlight w:val="none"/>
              </w:rPr>
              <w:t>、固体废物标准</w:t>
            </w:r>
          </w:p>
          <w:p w14:paraId="20967D13">
            <w:pPr>
              <w:spacing w:line="360" w:lineRule="auto"/>
              <w:ind w:firstLine="480" w:firstLineChars="200"/>
              <w:rPr>
                <w:rFonts w:ascii="宋体" w:hAnsi="宋体" w:cs="宋体"/>
                <w:color w:val="auto"/>
                <w:kern w:val="0"/>
                <w:sz w:val="24"/>
                <w:highlight w:val="none"/>
              </w:rPr>
            </w:pPr>
            <w:r>
              <w:rPr>
                <w:rFonts w:hint="default" w:ascii="Times New Roman" w:hAnsi="Times New Roman" w:eastAsia="宋体" w:cs="Times New Roman"/>
                <w:color w:val="auto"/>
                <w:sz w:val="24"/>
                <w:szCs w:val="24"/>
                <w:highlight w:val="none"/>
                <w:lang w:val="en-US" w:eastAsia="zh-CN"/>
              </w:rPr>
              <w:t>危险废物</w:t>
            </w:r>
            <w:r>
              <w:rPr>
                <w:rFonts w:hint="eastAsia" w:ascii="Times New Roman" w:hAnsi="Times New Roman" w:eastAsia="宋体" w:cs="Times New Roman"/>
                <w:color w:val="auto"/>
                <w:sz w:val="24"/>
                <w:szCs w:val="24"/>
                <w:highlight w:val="none"/>
                <w:lang w:val="en-US" w:eastAsia="zh-CN"/>
              </w:rPr>
              <w:t>暂存</w:t>
            </w:r>
            <w:r>
              <w:rPr>
                <w:rFonts w:hint="default" w:ascii="Times New Roman" w:hAnsi="Times New Roman" w:eastAsia="宋体" w:cs="Times New Roman"/>
                <w:color w:val="auto"/>
                <w:sz w:val="24"/>
                <w:szCs w:val="24"/>
                <w:highlight w:val="none"/>
                <w:lang w:val="en-US" w:eastAsia="zh-CN"/>
              </w:rPr>
              <w:t>执行</w:t>
            </w:r>
            <w:r>
              <w:rPr>
                <w:rFonts w:hint="eastAsia" w:ascii="Times New Roman" w:hAnsi="Times New Roman" w:eastAsia="宋体" w:cs="Times New Roman"/>
                <w:color w:val="auto"/>
                <w:sz w:val="24"/>
                <w:szCs w:val="24"/>
                <w:highlight w:val="none"/>
                <w:lang w:val="en-US" w:eastAsia="zh-CN"/>
              </w:rPr>
              <w:t>《危险废物贮存污染控制标准》</w:t>
            </w:r>
            <w:r>
              <w:rPr>
                <w:rFonts w:hint="default" w:ascii="Times New Roman" w:hAnsi="Times New Roman" w:eastAsia="宋体" w:cs="Times New Roman"/>
                <w:color w:val="auto"/>
                <w:sz w:val="24"/>
                <w:szCs w:val="24"/>
                <w:highlight w:val="none"/>
                <w:lang w:val="en-US" w:eastAsia="zh-CN"/>
              </w:rPr>
              <w:t>（GB18597-20</w:t>
            </w:r>
            <w:r>
              <w:rPr>
                <w:rFonts w:hint="eastAsia" w:ascii="Times New Roman" w:hAnsi="Times New Roman" w:eastAsia="宋体" w:cs="Times New Roman"/>
                <w:color w:val="auto"/>
                <w:sz w:val="24"/>
                <w:szCs w:val="24"/>
                <w:highlight w:val="none"/>
                <w:lang w:val="en-US" w:eastAsia="zh-CN"/>
              </w:rPr>
              <w:t>23</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中要求</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highlight w:val="none"/>
              </w:rPr>
              <w:t>固体废物执行《一般工业固体废物贮存和填埋污染控制标准（GB18599-2020）相关要求。</w:t>
            </w:r>
          </w:p>
        </w:tc>
      </w:tr>
      <w:tr w14:paraId="04FE94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00" w:type="dxa"/>
            <w:noWrap w:val="0"/>
            <w:vAlign w:val="center"/>
          </w:tcPr>
          <w:p w14:paraId="27689094">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总量</w:t>
            </w:r>
          </w:p>
          <w:p w14:paraId="2AE5FAA5">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控制</w:t>
            </w:r>
          </w:p>
          <w:p w14:paraId="6B0613B7">
            <w:pPr>
              <w:adjustRightInd w:val="0"/>
              <w:snapToGrid w:val="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指标</w:t>
            </w:r>
          </w:p>
        </w:tc>
        <w:tc>
          <w:tcPr>
            <w:tcW w:w="8190" w:type="dxa"/>
            <w:noWrap w:val="0"/>
            <w:vAlign w:val="center"/>
          </w:tcPr>
          <w:p w14:paraId="7803AE00">
            <w:pPr>
              <w:pStyle w:val="31"/>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jc w:val="center"/>
              <w:textAlignment w:val="auto"/>
              <w:rPr>
                <w:rFonts w:hint="default"/>
                <w:color w:val="auto"/>
                <w:highlight w:val="none"/>
                <w:lang w:val="en-US" w:eastAsia="zh-CN"/>
              </w:rPr>
            </w:pPr>
            <w:r>
              <w:rPr>
                <w:rFonts w:hint="default"/>
                <w:color w:val="auto"/>
                <w:highlight w:val="none"/>
                <w:lang w:val="en-US" w:eastAsia="zh-CN"/>
              </w:rPr>
              <w:t>本项目运营期无总量控制污染物排放，不需要申请总量指标。</w:t>
            </w:r>
          </w:p>
        </w:tc>
      </w:tr>
    </w:tbl>
    <w:p w14:paraId="328EAADE">
      <w:pPr>
        <w:pStyle w:val="19"/>
        <w:jc w:val="center"/>
        <w:outlineLvl w:val="0"/>
        <w:rPr>
          <w:rFonts w:ascii="黑体" w:hAnsi="黑体" w:eastAsia="黑体"/>
          <w:snapToGrid w:val="0"/>
          <w:color w:val="auto"/>
          <w:sz w:val="30"/>
          <w:szCs w:val="30"/>
          <w:highlight w:val="none"/>
        </w:rPr>
      </w:pPr>
      <w:r>
        <w:rPr>
          <w:rFonts w:ascii="黑体" w:hAnsi="黑体" w:eastAsia="黑体"/>
          <w:snapToGrid w:val="0"/>
          <w:color w:val="auto"/>
          <w:sz w:val="36"/>
          <w:szCs w:val="36"/>
          <w:highlight w:val="none"/>
        </w:rPr>
        <w:br w:type="page"/>
      </w:r>
      <w:r>
        <w:rPr>
          <w:rFonts w:hint="eastAsia" w:ascii="黑体" w:hAnsi="黑体" w:eastAsia="黑体"/>
          <w:snapToGrid w:val="0"/>
          <w:color w:val="auto"/>
          <w:sz w:val="30"/>
          <w:szCs w:val="30"/>
          <w:highlight w:val="none"/>
        </w:rPr>
        <w:t>四、主要环境影响和保护措施</w:t>
      </w: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14:paraId="587FE2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46" w:type="dxa"/>
            <w:noWrap w:val="0"/>
            <w:tcMar>
              <w:left w:w="28" w:type="dxa"/>
              <w:right w:w="28" w:type="dxa"/>
            </w:tcMar>
            <w:vAlign w:val="center"/>
          </w:tcPr>
          <w:p w14:paraId="415BD8C1">
            <w:pPr>
              <w:pStyle w:val="19"/>
              <w:adjustRightInd w:val="0"/>
              <w:snapToGrid w:val="0"/>
              <w:spacing w:before="0" w:beforeAutospacing="0" w:after="0" w:afterAutospacing="0"/>
              <w:jc w:val="center"/>
              <w:rPr>
                <w:rFonts w:hint="eastAsia" w:cs="宋体"/>
                <w:color w:val="auto"/>
                <w:kern w:val="2"/>
                <w:szCs w:val="24"/>
                <w:highlight w:val="none"/>
              </w:rPr>
            </w:pPr>
            <w:r>
              <w:rPr>
                <w:rFonts w:hint="eastAsia" w:cs="宋体"/>
                <w:color w:val="auto"/>
                <w:kern w:val="2"/>
                <w:szCs w:val="24"/>
                <w:highlight w:val="none"/>
              </w:rPr>
              <w:t>施工</w:t>
            </w:r>
          </w:p>
          <w:p w14:paraId="73E6767A">
            <w:pPr>
              <w:pStyle w:val="19"/>
              <w:adjustRightInd w:val="0"/>
              <w:snapToGrid w:val="0"/>
              <w:spacing w:before="0" w:beforeAutospacing="0" w:after="0" w:afterAutospacing="0"/>
              <w:jc w:val="center"/>
              <w:rPr>
                <w:rFonts w:hint="eastAsia" w:cs="宋体"/>
                <w:color w:val="auto"/>
                <w:kern w:val="2"/>
                <w:szCs w:val="24"/>
                <w:highlight w:val="none"/>
              </w:rPr>
            </w:pPr>
            <w:r>
              <w:rPr>
                <w:rFonts w:hint="eastAsia" w:cs="宋体"/>
                <w:color w:val="auto"/>
                <w:kern w:val="2"/>
                <w:szCs w:val="24"/>
                <w:highlight w:val="none"/>
              </w:rPr>
              <w:t>期环</w:t>
            </w:r>
          </w:p>
          <w:p w14:paraId="148ACFBF">
            <w:pPr>
              <w:pStyle w:val="19"/>
              <w:adjustRightInd w:val="0"/>
              <w:snapToGrid w:val="0"/>
              <w:spacing w:before="0" w:beforeAutospacing="0" w:after="0" w:afterAutospacing="0"/>
              <w:jc w:val="center"/>
              <w:rPr>
                <w:rFonts w:hint="eastAsia" w:cs="宋体"/>
                <w:color w:val="auto"/>
                <w:kern w:val="2"/>
                <w:szCs w:val="24"/>
                <w:highlight w:val="none"/>
              </w:rPr>
            </w:pPr>
            <w:r>
              <w:rPr>
                <w:rFonts w:hint="eastAsia" w:cs="宋体"/>
                <w:color w:val="auto"/>
                <w:kern w:val="2"/>
                <w:szCs w:val="24"/>
                <w:highlight w:val="none"/>
              </w:rPr>
              <w:t>境保</w:t>
            </w:r>
          </w:p>
          <w:p w14:paraId="3001567B">
            <w:pPr>
              <w:pStyle w:val="19"/>
              <w:adjustRightInd w:val="0"/>
              <w:snapToGrid w:val="0"/>
              <w:spacing w:before="0" w:beforeAutospacing="0" w:after="0" w:afterAutospacing="0"/>
              <w:jc w:val="center"/>
              <w:rPr>
                <w:rFonts w:hint="eastAsia" w:cs="宋体"/>
                <w:color w:val="auto"/>
                <w:kern w:val="2"/>
                <w:szCs w:val="24"/>
                <w:highlight w:val="none"/>
              </w:rPr>
            </w:pPr>
            <w:r>
              <w:rPr>
                <w:rFonts w:hint="eastAsia" w:cs="宋体"/>
                <w:color w:val="auto"/>
                <w:kern w:val="2"/>
                <w:szCs w:val="24"/>
                <w:highlight w:val="none"/>
              </w:rPr>
              <w:t>护措</w:t>
            </w:r>
          </w:p>
          <w:p w14:paraId="60881AA7">
            <w:pPr>
              <w:pStyle w:val="19"/>
              <w:adjustRightInd w:val="0"/>
              <w:snapToGrid w:val="0"/>
              <w:spacing w:before="0" w:beforeAutospacing="0" w:after="0" w:afterAutospacing="0"/>
              <w:jc w:val="center"/>
              <w:rPr>
                <w:rFonts w:hint="eastAsia" w:cs="宋体"/>
                <w:bCs/>
                <w:color w:val="auto"/>
                <w:kern w:val="2"/>
                <w:szCs w:val="24"/>
                <w:highlight w:val="none"/>
              </w:rPr>
            </w:pPr>
            <w:r>
              <w:rPr>
                <w:rFonts w:hint="eastAsia" w:cs="宋体"/>
                <w:color w:val="auto"/>
                <w:kern w:val="2"/>
                <w:szCs w:val="24"/>
                <w:highlight w:val="none"/>
              </w:rPr>
              <w:t>施</w:t>
            </w:r>
          </w:p>
        </w:tc>
        <w:tc>
          <w:tcPr>
            <w:tcW w:w="8162" w:type="dxa"/>
            <w:noWrap w:val="0"/>
            <w:vAlign w:val="center"/>
          </w:tcPr>
          <w:p w14:paraId="7D17F5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pacing w:val="-10"/>
                <w:sz w:val="24"/>
                <w:highlight w:val="none"/>
              </w:rPr>
            </w:pPr>
            <w:r>
              <w:rPr>
                <w:rFonts w:hint="default" w:ascii="宋体" w:hAnsi="宋体"/>
                <w:color w:val="auto"/>
                <w:sz w:val="24"/>
                <w:highlight w:val="none"/>
                <w:lang w:val="en-US" w:eastAsia="zh-CN"/>
              </w:rPr>
              <w:t>本项目土建及配套设施施工工作已全部竣工，施工期已结束，因此本次评价不再针对施工阶段废气、废水、噪声、固废等环境影响开展专项分析。项目整个施工周期内，建设单位未收到周边居民、单位提交的环保相关投诉，无环境纠纷记录。</w:t>
            </w:r>
          </w:p>
        </w:tc>
      </w:tr>
      <w:tr w14:paraId="60EA8F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6" w:hRule="atLeast"/>
          <w:jc w:val="center"/>
        </w:trPr>
        <w:tc>
          <w:tcPr>
            <w:tcW w:w="746" w:type="dxa"/>
            <w:noWrap w:val="0"/>
            <w:tcMar>
              <w:left w:w="28" w:type="dxa"/>
              <w:right w:w="28" w:type="dxa"/>
            </w:tcMar>
            <w:vAlign w:val="center"/>
          </w:tcPr>
          <w:p w14:paraId="52ABDA05">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运营</w:t>
            </w:r>
          </w:p>
          <w:p w14:paraId="092ACE78">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期环</w:t>
            </w:r>
          </w:p>
          <w:p w14:paraId="23879448">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境影</w:t>
            </w:r>
          </w:p>
          <w:p w14:paraId="6D2E7CFC">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响和</w:t>
            </w:r>
          </w:p>
          <w:p w14:paraId="5EF67AA1">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保护</w:t>
            </w:r>
          </w:p>
          <w:p w14:paraId="1664F64E">
            <w:pPr>
              <w:adjustRightInd w:val="0"/>
              <w:snapToGrid w:val="0"/>
              <w:jc w:val="center"/>
              <w:rPr>
                <w:rFonts w:ascii="宋体" w:hAnsi="宋体" w:cs="宋体"/>
                <w:bCs/>
                <w:color w:val="auto"/>
                <w:sz w:val="24"/>
                <w:highlight w:val="none"/>
              </w:rPr>
            </w:pPr>
            <w:r>
              <w:rPr>
                <w:rFonts w:hint="eastAsia" w:ascii="宋体" w:hAnsi="宋体" w:cs="宋体"/>
                <w:bCs/>
                <w:color w:val="auto"/>
                <w:sz w:val="24"/>
                <w:highlight w:val="none"/>
              </w:rPr>
              <w:t>措施</w:t>
            </w:r>
          </w:p>
        </w:tc>
        <w:tc>
          <w:tcPr>
            <w:tcW w:w="8162" w:type="dxa"/>
            <w:noWrap w:val="0"/>
            <w:vAlign w:val="center"/>
          </w:tcPr>
          <w:p w14:paraId="545A8579">
            <w:pPr>
              <w:pStyle w:val="70"/>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一、运营期大气环境影响和保护措施</w:t>
            </w:r>
          </w:p>
          <w:p w14:paraId="7E63603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b/>
                <w:bCs/>
                <w:color w:val="auto"/>
                <w:sz w:val="24"/>
                <w:highlight w:val="none"/>
              </w:rPr>
            </w:pPr>
            <w:r>
              <w:rPr>
                <w:rFonts w:hint="eastAsia"/>
                <w:b/>
                <w:bCs/>
                <w:color w:val="auto"/>
                <w:sz w:val="24"/>
                <w:highlight w:val="none"/>
                <w:lang w:val="en-US" w:eastAsia="zh-CN"/>
              </w:rPr>
              <w:t>1、</w:t>
            </w:r>
            <w:r>
              <w:rPr>
                <w:rFonts w:ascii="宋体" w:hAnsi="宋体"/>
                <w:b/>
                <w:bCs/>
                <w:color w:val="auto"/>
                <w:sz w:val="24"/>
                <w:highlight w:val="none"/>
              </w:rPr>
              <w:t>大气污染源源强核算及污染物产排情况</w:t>
            </w:r>
          </w:p>
          <w:p w14:paraId="78D58C6D">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bCs/>
                <w:color w:val="auto"/>
                <w:sz w:val="24"/>
                <w:highlight w:val="none"/>
              </w:rPr>
            </w:pPr>
            <w:r>
              <w:rPr>
                <w:rFonts w:hint="eastAsia" w:ascii="宋体" w:hAnsi="宋体"/>
                <w:bCs/>
                <w:color w:val="auto"/>
                <w:sz w:val="24"/>
                <w:highlight w:val="none"/>
              </w:rPr>
              <w:t>本项目废气主要</w:t>
            </w:r>
            <w:r>
              <w:rPr>
                <w:rFonts w:hint="eastAsia" w:ascii="宋体" w:hAnsi="宋体"/>
                <w:bCs/>
                <w:color w:val="auto"/>
                <w:sz w:val="24"/>
                <w:highlight w:val="none"/>
                <w:lang w:val="en-US" w:eastAsia="zh-CN"/>
              </w:rPr>
              <w:t>为</w:t>
            </w:r>
            <w:r>
              <w:rPr>
                <w:rFonts w:hint="eastAsia" w:ascii="宋体" w:hAnsi="宋体" w:cs="宋体"/>
                <w:bCs/>
                <w:color w:val="auto"/>
                <w:sz w:val="24"/>
                <w:highlight w:val="none"/>
              </w:rPr>
              <w:t>砂石存储及</w:t>
            </w:r>
            <w:r>
              <w:rPr>
                <w:rFonts w:hint="eastAsia" w:ascii="宋体" w:hAnsi="宋体" w:cs="宋体"/>
                <w:bCs/>
                <w:color w:val="auto"/>
                <w:sz w:val="24"/>
                <w:highlight w:val="none"/>
                <w:lang w:val="en-US" w:eastAsia="zh-CN"/>
              </w:rPr>
              <w:t>装卸</w:t>
            </w:r>
            <w:r>
              <w:rPr>
                <w:rFonts w:hint="eastAsia" w:ascii="宋体" w:hAnsi="宋体" w:cs="宋体"/>
                <w:bCs/>
                <w:color w:val="auto"/>
                <w:sz w:val="24"/>
                <w:highlight w:val="none"/>
              </w:rPr>
              <w:t>粉尘</w:t>
            </w:r>
            <w:r>
              <w:rPr>
                <w:rFonts w:hint="eastAsia" w:ascii="宋体" w:hAnsi="宋体" w:cs="宋体"/>
                <w:bCs/>
                <w:color w:val="auto"/>
                <w:sz w:val="24"/>
                <w:highlight w:val="none"/>
                <w:lang w:eastAsia="zh-CN"/>
              </w:rPr>
              <w:t>、</w:t>
            </w:r>
            <w:r>
              <w:rPr>
                <w:rFonts w:hint="eastAsia" w:ascii="宋体" w:hAnsi="宋体"/>
                <w:bCs/>
                <w:color w:val="auto"/>
                <w:sz w:val="24"/>
                <w:highlight w:val="none"/>
              </w:rPr>
              <w:t>粉料筒仓呼吸孔粉尘、</w:t>
            </w:r>
            <w:r>
              <w:rPr>
                <w:rFonts w:ascii="宋体" w:hAnsi="宋体" w:cs="宋体"/>
                <w:bCs/>
                <w:color w:val="auto"/>
                <w:sz w:val="24"/>
                <w:highlight w:val="none"/>
              </w:rPr>
              <w:t>砂石</w:t>
            </w:r>
            <w:r>
              <w:rPr>
                <w:rFonts w:hint="eastAsia" w:ascii="宋体" w:hAnsi="宋体"/>
                <w:bCs/>
                <w:color w:val="auto"/>
                <w:sz w:val="24"/>
                <w:highlight w:val="none"/>
              </w:rPr>
              <w:t>配料输送扬尘、搅拌粉尘、运输车辆动力起尘</w:t>
            </w:r>
            <w:r>
              <w:rPr>
                <w:rFonts w:hint="eastAsia" w:ascii="宋体" w:hAnsi="宋体"/>
                <w:bCs/>
                <w:color w:val="auto"/>
                <w:sz w:val="24"/>
                <w:highlight w:val="none"/>
                <w:lang w:val="en-US" w:eastAsia="zh-CN"/>
              </w:rPr>
              <w:t>以及危废暂存间废气</w:t>
            </w:r>
            <w:r>
              <w:rPr>
                <w:rFonts w:ascii="宋体" w:hAnsi="宋体" w:cs="宋体"/>
                <w:bCs/>
                <w:color w:val="auto"/>
                <w:sz w:val="24"/>
                <w:highlight w:val="none"/>
              </w:rPr>
              <w:t>。</w:t>
            </w:r>
          </w:p>
          <w:p w14:paraId="54375D27">
            <w:pPr>
              <w:spacing w:line="360" w:lineRule="auto"/>
              <w:ind w:firstLine="480" w:firstLineChars="200"/>
              <w:rPr>
                <w:rFonts w:hint="default" w:ascii="Times New Roman" w:hAnsi="Times New Roman" w:cs="Times New Roman"/>
                <w:bCs/>
                <w:color w:val="auto"/>
                <w:sz w:val="24"/>
                <w:highlight w:val="none"/>
              </w:rPr>
            </w:pPr>
            <w:r>
              <w:rPr>
                <w:rFonts w:hint="eastAsia" w:cs="Times New Roman"/>
                <w:bCs/>
                <w:color w:val="auto"/>
                <w:sz w:val="24"/>
                <w:highlight w:val="none"/>
                <w:lang w:val="en-US" w:eastAsia="zh-CN"/>
              </w:rPr>
              <w:t>①</w:t>
            </w:r>
            <w:r>
              <w:rPr>
                <w:rFonts w:hint="default" w:ascii="Times New Roman" w:hAnsi="Times New Roman" w:cs="Times New Roman"/>
                <w:bCs/>
                <w:color w:val="auto"/>
                <w:sz w:val="24"/>
                <w:highlight w:val="none"/>
              </w:rPr>
              <w:t>砂石存储及卸料粉尘（G</w:t>
            </w:r>
            <w:r>
              <w:rPr>
                <w:rFonts w:hint="eastAsia" w:cs="Times New Roman"/>
                <w:bCs/>
                <w:color w:val="auto"/>
                <w:sz w:val="24"/>
                <w:highlight w:val="none"/>
                <w:vertAlign w:val="subscript"/>
                <w:lang w:val="en-US" w:eastAsia="zh-CN"/>
              </w:rPr>
              <w:t>1</w:t>
            </w:r>
            <w:r>
              <w:rPr>
                <w:rFonts w:hint="default" w:ascii="Times New Roman" w:hAnsi="Times New Roman" w:cs="Times New Roman"/>
                <w:bCs/>
                <w:color w:val="auto"/>
                <w:sz w:val="24"/>
                <w:highlight w:val="none"/>
              </w:rPr>
              <w:t>）</w:t>
            </w:r>
          </w:p>
          <w:p w14:paraId="219E4EE7">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本项目砂子和碎石堆放在封闭储料棚内，在砂石装卸过</w:t>
            </w:r>
            <w:r>
              <w:rPr>
                <w:rFonts w:hint="eastAsia" w:cs="Times New Roman"/>
                <w:bCs/>
                <w:color w:val="auto"/>
                <w:sz w:val="24"/>
                <w:highlight w:val="none"/>
                <w:lang w:eastAsia="zh-CN"/>
              </w:rPr>
              <w:t>程中</w:t>
            </w:r>
            <w:r>
              <w:rPr>
                <w:rFonts w:hint="default" w:ascii="Times New Roman" w:hAnsi="Times New Roman" w:cs="Times New Roman"/>
                <w:bCs/>
                <w:color w:val="auto"/>
                <w:sz w:val="24"/>
                <w:highlight w:val="none"/>
              </w:rPr>
              <w:t>会产生粉尘。卸料及原料堆存起尘量根据《工业固体物料堆场颗粒物核算系数》附表2中颗粒物产生量核算公式估算：</w:t>
            </w:r>
          </w:p>
          <w:p w14:paraId="3234B331">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P=ZC</w:t>
            </w:r>
            <w:r>
              <w:rPr>
                <w:rFonts w:hint="default" w:ascii="Times New Roman" w:hAnsi="Times New Roman" w:cs="Times New Roman"/>
                <w:bCs/>
                <w:color w:val="auto"/>
                <w:sz w:val="24"/>
                <w:highlight w:val="none"/>
                <w:vertAlign w:val="subscript"/>
              </w:rPr>
              <w:t>y</w:t>
            </w:r>
            <w:r>
              <w:rPr>
                <w:rFonts w:hint="default" w:ascii="Times New Roman" w:hAnsi="Times New Roman" w:cs="Times New Roman"/>
                <w:bCs/>
                <w:color w:val="auto"/>
                <w:sz w:val="24"/>
                <w:highlight w:val="none"/>
              </w:rPr>
              <w:t>+FC</w:t>
            </w:r>
            <w:r>
              <w:rPr>
                <w:rFonts w:hint="default" w:ascii="Times New Roman" w:hAnsi="Times New Roman" w:cs="Times New Roman"/>
                <w:bCs/>
                <w:color w:val="auto"/>
                <w:sz w:val="24"/>
                <w:highlight w:val="none"/>
                <w:vertAlign w:val="subscript"/>
              </w:rPr>
              <w:t>y</w:t>
            </w:r>
            <w:r>
              <w:rPr>
                <w:rFonts w:hint="default" w:ascii="Times New Roman" w:hAnsi="Times New Roman" w:cs="Times New Roman"/>
                <w:bCs/>
                <w:color w:val="auto"/>
                <w:sz w:val="24"/>
                <w:highlight w:val="none"/>
              </w:rPr>
              <w:t>=｛Nc×D×（a/b）＋2×E</w:t>
            </w:r>
            <w:r>
              <w:rPr>
                <w:rFonts w:hint="default" w:ascii="Times New Roman" w:hAnsi="Times New Roman" w:cs="Times New Roman"/>
                <w:bCs/>
                <w:color w:val="auto"/>
                <w:sz w:val="24"/>
                <w:highlight w:val="none"/>
                <w:vertAlign w:val="subscript"/>
              </w:rPr>
              <w:t>f</w:t>
            </w:r>
            <w:r>
              <w:rPr>
                <w:rFonts w:hint="default" w:ascii="Times New Roman" w:hAnsi="Times New Roman" w:cs="Times New Roman"/>
                <w:bCs/>
                <w:color w:val="auto"/>
                <w:sz w:val="24"/>
                <w:highlight w:val="none"/>
              </w:rPr>
              <w:t>×S｝×10</w:t>
            </w:r>
            <w:r>
              <w:rPr>
                <w:rFonts w:hint="default" w:ascii="Times New Roman" w:hAnsi="Times New Roman" w:cs="Times New Roman"/>
                <w:bCs/>
                <w:color w:val="auto"/>
                <w:sz w:val="24"/>
                <w:highlight w:val="none"/>
                <w:vertAlign w:val="superscript"/>
              </w:rPr>
              <w:t>-3</w:t>
            </w:r>
          </w:p>
          <w:p w14:paraId="6B26EA4B">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式中：ZC</w:t>
            </w:r>
            <w:r>
              <w:rPr>
                <w:rFonts w:hint="default" w:ascii="Times New Roman" w:hAnsi="Times New Roman" w:cs="Times New Roman"/>
                <w:bCs/>
                <w:color w:val="auto"/>
                <w:sz w:val="24"/>
                <w:highlight w:val="none"/>
                <w:vertAlign w:val="subscript"/>
              </w:rPr>
              <w:t>y</w:t>
            </w:r>
            <w:r>
              <w:rPr>
                <w:rFonts w:hint="default" w:ascii="Times New Roman" w:hAnsi="Times New Roman" w:cs="Times New Roman"/>
                <w:bCs/>
                <w:color w:val="auto"/>
                <w:sz w:val="24"/>
                <w:highlight w:val="none"/>
              </w:rPr>
              <w:t>—装卸扬尘产生量，t；</w:t>
            </w:r>
          </w:p>
          <w:p w14:paraId="1A77254B">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eastAsiaTheme="minorEastAsia"/>
                <w:bCs/>
                <w:color w:val="auto"/>
                <w:sz w:val="24"/>
                <w:highlight w:val="none"/>
                <w:lang w:val="en-US" w:eastAsia="zh-CN"/>
              </w:rPr>
            </w:pPr>
            <w:r>
              <w:rPr>
                <w:rFonts w:hint="default" w:ascii="Times New Roman" w:hAnsi="Times New Roman" w:cs="Times New Roman"/>
                <w:bCs/>
                <w:color w:val="auto"/>
                <w:sz w:val="24"/>
                <w:highlight w:val="none"/>
              </w:rPr>
              <w:t>FCy—风蚀扬尘产生量，t</w:t>
            </w:r>
            <w:r>
              <w:rPr>
                <w:rFonts w:hint="default" w:ascii="Times New Roman" w:hAnsi="Times New Roman" w:cs="Times New Roman"/>
                <w:bCs/>
                <w:color w:val="auto"/>
                <w:sz w:val="24"/>
                <w:highlight w:val="none"/>
                <w:lang w:eastAsia="zh-CN"/>
              </w:rPr>
              <w:t>；</w:t>
            </w:r>
          </w:p>
          <w:p w14:paraId="43249A63">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Nc—年物料运载车次，砂子取4101车，石子取4101车；</w:t>
            </w:r>
          </w:p>
          <w:p w14:paraId="20735E88">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D—单车平均运载量，取20t/车；</w:t>
            </w:r>
          </w:p>
          <w:p w14:paraId="44FDA2D4">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eastAsia="宋体" w:cs="Times New Roman"/>
                <w:bCs/>
                <w:color w:val="auto"/>
                <w:sz w:val="24"/>
                <w:highlight w:val="none"/>
                <w:lang w:eastAsia="zh-CN"/>
              </w:rPr>
            </w:pPr>
            <w:r>
              <w:rPr>
                <w:rFonts w:hint="default" w:ascii="Times New Roman" w:hAnsi="Times New Roman" w:cs="Times New Roman"/>
                <w:bCs/>
                <w:color w:val="auto"/>
                <w:sz w:val="24"/>
                <w:highlight w:val="none"/>
              </w:rPr>
              <w:t>a—内蒙古风速概化系数，取0.0017</w:t>
            </w:r>
            <w:r>
              <w:rPr>
                <w:rFonts w:hint="default" w:ascii="Times New Roman" w:hAnsi="Times New Roman" w:cs="Times New Roman"/>
                <w:bCs/>
                <w:color w:val="auto"/>
                <w:sz w:val="24"/>
                <w:highlight w:val="none"/>
                <w:lang w:eastAsia="zh-CN"/>
              </w:rPr>
              <w:t>；</w:t>
            </w:r>
          </w:p>
          <w:p w14:paraId="3864DE3A">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b—物料含水率概化系数，</w:t>
            </w:r>
            <w:r>
              <w:rPr>
                <w:rFonts w:hint="eastAsia" w:ascii="Times New Roman" w:hAnsi="Times New Roman" w:cs="Times New Roman"/>
                <w:bCs/>
                <w:color w:val="auto"/>
                <w:sz w:val="24"/>
                <w:highlight w:val="none"/>
                <w:lang w:val="en-US" w:eastAsia="zh-CN"/>
              </w:rPr>
              <w:t>取0.0084</w:t>
            </w:r>
            <w:r>
              <w:rPr>
                <w:rFonts w:hint="default" w:ascii="Times New Roman" w:hAnsi="Times New Roman" w:cs="Times New Roman"/>
                <w:bCs/>
                <w:color w:val="auto"/>
                <w:sz w:val="24"/>
                <w:highlight w:val="none"/>
              </w:rPr>
              <w:t>；</w:t>
            </w:r>
          </w:p>
          <w:p w14:paraId="6CB5A449">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vertAlign w:val="superscript"/>
              </w:rPr>
            </w:pPr>
            <w:r>
              <w:rPr>
                <w:rFonts w:hint="default" w:ascii="Times New Roman" w:hAnsi="Times New Roman" w:cs="Times New Roman"/>
                <w:bCs/>
                <w:color w:val="auto"/>
                <w:sz w:val="24"/>
                <w:highlight w:val="none"/>
              </w:rPr>
              <w:t>Ef—堆场风蚀扬尘概化系数</w:t>
            </w:r>
            <w:r>
              <w:rPr>
                <w:rFonts w:hint="eastAsia" w:ascii="Times New Roman" w:hAnsi="Times New Roman" w:cs="Times New Roman"/>
                <w:bCs/>
                <w:color w:val="auto"/>
                <w:sz w:val="24"/>
                <w:highlight w:val="none"/>
                <w:lang w:eastAsia="zh-CN"/>
              </w:rPr>
              <w:t>，</w:t>
            </w:r>
            <w:r>
              <w:rPr>
                <w:rFonts w:hint="eastAsia" w:ascii="Times New Roman" w:hAnsi="Times New Roman" w:cs="Times New Roman"/>
                <w:bCs/>
                <w:color w:val="auto"/>
                <w:sz w:val="24"/>
                <w:highlight w:val="none"/>
                <w:lang w:val="en-US" w:eastAsia="zh-CN"/>
              </w:rPr>
              <w:t>取0</w:t>
            </w:r>
            <w:r>
              <w:rPr>
                <w:rFonts w:hint="default" w:ascii="Times New Roman" w:hAnsi="Times New Roman" w:cs="Times New Roman"/>
                <w:bCs/>
                <w:color w:val="auto"/>
                <w:sz w:val="24"/>
                <w:highlight w:val="none"/>
              </w:rPr>
              <w:t>；</w:t>
            </w:r>
          </w:p>
          <w:p w14:paraId="74A3B45E">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S—堆场占地面积，</w:t>
            </w:r>
            <w:r>
              <w:rPr>
                <w:rFonts w:hint="eastAsia" w:cs="Times New Roman"/>
                <w:bCs/>
                <w:color w:val="auto"/>
                <w:sz w:val="24"/>
                <w:highlight w:val="none"/>
                <w:lang w:val="en-US" w:eastAsia="zh-CN"/>
              </w:rPr>
              <w:t>砂石料棚占地面积300</w:t>
            </w:r>
            <w:r>
              <w:rPr>
                <w:rFonts w:hint="default" w:ascii="Times New Roman" w:hAnsi="Times New Roman" w:cs="Times New Roman"/>
                <w:bCs/>
                <w:color w:val="auto"/>
                <w:sz w:val="24"/>
                <w:highlight w:val="none"/>
                <w:lang w:val="en-US" w:eastAsia="zh-CN"/>
              </w:rPr>
              <w:t>0</w:t>
            </w:r>
            <w:r>
              <w:rPr>
                <w:rFonts w:hint="default" w:ascii="Times New Roman" w:hAnsi="Times New Roman" w:cs="Times New Roman"/>
                <w:bCs/>
                <w:color w:val="auto"/>
                <w:sz w:val="24"/>
                <w:highlight w:val="none"/>
              </w:rPr>
              <w:t>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w:t>
            </w:r>
          </w:p>
          <w:p w14:paraId="163659DA">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根据以上公式计算可知，砂</w:t>
            </w:r>
            <w:r>
              <w:rPr>
                <w:rFonts w:hint="eastAsia" w:cs="Times New Roman"/>
                <w:bCs/>
                <w:color w:val="auto"/>
                <w:sz w:val="24"/>
                <w:highlight w:val="none"/>
                <w:lang w:eastAsia="zh-CN"/>
              </w:rPr>
              <w:t>、</w:t>
            </w:r>
            <w:r>
              <w:rPr>
                <w:rFonts w:hint="eastAsia" w:cs="Times New Roman"/>
                <w:bCs/>
                <w:color w:val="auto"/>
                <w:sz w:val="24"/>
                <w:highlight w:val="none"/>
                <w:lang w:val="en-US" w:eastAsia="zh-CN"/>
              </w:rPr>
              <w:t>石</w:t>
            </w:r>
            <w:r>
              <w:rPr>
                <w:rFonts w:hint="default" w:ascii="Times New Roman" w:hAnsi="Times New Roman" w:cs="Times New Roman"/>
                <w:bCs/>
                <w:color w:val="auto"/>
                <w:sz w:val="24"/>
                <w:highlight w:val="none"/>
              </w:rPr>
              <w:t>储存及卸料粉尘G</w:t>
            </w:r>
            <w:r>
              <w:rPr>
                <w:rFonts w:hint="default" w:ascii="Times New Roman" w:hAnsi="Times New Roman" w:cs="Times New Roman"/>
                <w:bCs/>
                <w:color w:val="auto"/>
                <w:sz w:val="24"/>
                <w:highlight w:val="none"/>
                <w:vertAlign w:val="subscript"/>
                <w:lang w:val="en-US" w:eastAsia="zh-CN"/>
              </w:rPr>
              <w:t>1</w:t>
            </w:r>
            <w:r>
              <w:rPr>
                <w:rFonts w:hint="default" w:ascii="Times New Roman" w:hAnsi="Times New Roman" w:cs="Times New Roman"/>
                <w:bCs/>
                <w:color w:val="auto"/>
                <w:sz w:val="24"/>
                <w:highlight w:val="none"/>
              </w:rPr>
              <w:t>颗粒物产生量P为33.19</w:t>
            </w:r>
            <w:r>
              <w:rPr>
                <w:rFonts w:hint="eastAsia" w:cs="Times New Roman"/>
                <w:bCs/>
                <w:color w:val="auto"/>
                <w:sz w:val="24"/>
                <w:highlight w:val="none"/>
                <w:lang w:val="en-US" w:eastAsia="zh-CN"/>
              </w:rPr>
              <w:t>9</w:t>
            </w:r>
            <w:r>
              <w:rPr>
                <w:rFonts w:hint="default" w:ascii="Times New Roman" w:hAnsi="Times New Roman" w:cs="Times New Roman"/>
                <w:bCs/>
                <w:color w:val="auto"/>
                <w:sz w:val="24"/>
                <w:highlight w:val="none"/>
              </w:rPr>
              <w:t>t</w:t>
            </w:r>
            <w:r>
              <w:rPr>
                <w:rFonts w:hint="eastAsia" w:ascii="Times New Roman" w:hAnsi="Times New Roman" w:cs="Times New Roman"/>
                <w:bCs/>
                <w:color w:val="auto"/>
                <w:sz w:val="24"/>
                <w:highlight w:val="none"/>
                <w:lang w:val="en-US" w:eastAsia="zh-CN"/>
              </w:rPr>
              <w:t>/a</w:t>
            </w:r>
          </w:p>
          <w:p w14:paraId="2CEE0E05">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颗粒物排放量按下列公式进行核算：</w:t>
            </w:r>
          </w:p>
          <w:p w14:paraId="184C9EFB">
            <w:pPr>
              <w:pStyle w:val="6"/>
              <w:keepNext w:val="0"/>
              <w:keepLines w:val="0"/>
              <w:pageBreakBefore w:val="0"/>
              <w:widowControl w:val="0"/>
              <w:kinsoku/>
              <w:wordWrap/>
              <w:overflowPunct/>
              <w:topLinePunct w:val="0"/>
              <w:bidi w:val="0"/>
              <w:snapToGrid/>
              <w:spacing w:after="0"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U</w:t>
            </w:r>
            <w:r>
              <w:rPr>
                <w:rFonts w:hint="default" w:ascii="Times New Roman" w:hAnsi="Times New Roman" w:cs="Times New Roman"/>
                <w:bCs/>
                <w:color w:val="auto"/>
                <w:sz w:val="24"/>
                <w:highlight w:val="none"/>
                <w:vertAlign w:val="subscript"/>
              </w:rPr>
              <w:t>C</w:t>
            </w:r>
            <w:r>
              <w:rPr>
                <w:rFonts w:hint="default" w:ascii="Times New Roman" w:hAnsi="Times New Roman" w:cs="Times New Roman"/>
                <w:bCs/>
                <w:color w:val="auto"/>
                <w:sz w:val="24"/>
                <w:highlight w:val="none"/>
              </w:rPr>
              <w:t>＝P×（1-C</w:t>
            </w:r>
            <w:r>
              <w:rPr>
                <w:rFonts w:hint="default" w:ascii="Times New Roman" w:hAnsi="Times New Roman" w:cs="Times New Roman"/>
                <w:bCs/>
                <w:color w:val="auto"/>
                <w:sz w:val="24"/>
                <w:highlight w:val="none"/>
                <w:vertAlign w:val="subscript"/>
              </w:rPr>
              <w:t>m</w:t>
            </w:r>
            <w:r>
              <w:rPr>
                <w:rFonts w:hint="default" w:ascii="Times New Roman" w:hAnsi="Times New Roman" w:cs="Times New Roman"/>
                <w:bCs/>
                <w:color w:val="auto"/>
                <w:sz w:val="24"/>
                <w:highlight w:val="none"/>
              </w:rPr>
              <w:t>）×（1-T</w:t>
            </w:r>
            <w:r>
              <w:rPr>
                <w:rFonts w:hint="default" w:ascii="Times New Roman" w:hAnsi="Times New Roman" w:cs="Times New Roman"/>
                <w:bCs/>
                <w:color w:val="auto"/>
                <w:sz w:val="24"/>
                <w:highlight w:val="none"/>
                <w:vertAlign w:val="subscript"/>
              </w:rPr>
              <w:t>m</w:t>
            </w:r>
            <w:r>
              <w:rPr>
                <w:rFonts w:hint="default" w:ascii="Times New Roman" w:hAnsi="Times New Roman" w:cs="Times New Roman"/>
                <w:bCs/>
                <w:color w:val="auto"/>
                <w:sz w:val="24"/>
                <w:highlight w:val="none"/>
              </w:rPr>
              <w:t>）</w:t>
            </w:r>
          </w:p>
          <w:p w14:paraId="32C76947">
            <w:pPr>
              <w:pStyle w:val="6"/>
              <w:keepNext w:val="0"/>
              <w:keepLines w:val="0"/>
              <w:pageBreakBefore w:val="0"/>
              <w:widowControl w:val="0"/>
              <w:kinsoku/>
              <w:wordWrap/>
              <w:overflowPunct/>
              <w:topLinePunct w:val="0"/>
              <w:bidi w:val="0"/>
              <w:snapToGrid/>
              <w:spacing w:after="0"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式中：P—颗粒物产生量，t；</w:t>
            </w:r>
          </w:p>
          <w:p w14:paraId="11076F19">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C</w:t>
            </w:r>
            <w:r>
              <w:rPr>
                <w:rFonts w:hint="default" w:ascii="Times New Roman" w:hAnsi="Times New Roman" w:cs="Times New Roman"/>
                <w:bCs/>
                <w:color w:val="auto"/>
                <w:sz w:val="24"/>
                <w:highlight w:val="none"/>
                <w:vertAlign w:val="subscript"/>
              </w:rPr>
              <w:t>m</w:t>
            </w:r>
            <w:r>
              <w:rPr>
                <w:rFonts w:hint="default" w:ascii="Times New Roman" w:hAnsi="Times New Roman" w:cs="Times New Roman"/>
                <w:bCs/>
                <w:color w:val="auto"/>
                <w:sz w:val="24"/>
                <w:highlight w:val="none"/>
              </w:rPr>
              <w:t>—颗粒物控制措施控制效率，项目砂料棚、石料棚配备</w:t>
            </w:r>
            <w:r>
              <w:rPr>
                <w:rFonts w:hint="default" w:ascii="Times New Roman" w:hAnsi="Times New Roman" w:cs="Times New Roman"/>
                <w:bCs/>
                <w:color w:val="auto"/>
                <w:sz w:val="24"/>
                <w:highlight w:val="none"/>
                <w:lang w:val="en-US" w:eastAsia="zh-CN"/>
              </w:rPr>
              <w:t>各配套</w:t>
            </w:r>
            <w:r>
              <w:rPr>
                <w:rFonts w:hint="eastAsia" w:cs="Times New Roman"/>
                <w:bCs/>
                <w:color w:val="auto"/>
                <w:sz w:val="24"/>
                <w:highlight w:val="none"/>
                <w:lang w:val="en-US" w:eastAsia="zh-CN"/>
              </w:rPr>
              <w:t>喷淋设施</w:t>
            </w:r>
            <w:r>
              <w:rPr>
                <w:rFonts w:hint="default" w:ascii="Times New Roman" w:hAnsi="Times New Roman" w:cs="Times New Roman"/>
                <w:bCs/>
                <w:color w:val="auto"/>
                <w:sz w:val="24"/>
                <w:highlight w:val="none"/>
              </w:rPr>
              <w:t>进行洒水抑尘，故取74%；</w:t>
            </w:r>
          </w:p>
          <w:p w14:paraId="70788BB6">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Tm—堆场类型控制效率，项目砂、石料棚采取全封闭措施，故取</w:t>
            </w:r>
            <w:r>
              <w:rPr>
                <w:rFonts w:hint="default" w:ascii="Times New Roman" w:hAnsi="Times New Roman" w:cs="Times New Roman"/>
                <w:bCs/>
                <w:color w:val="auto"/>
                <w:sz w:val="24"/>
                <w:highlight w:val="none"/>
                <w:lang w:val="en-US" w:eastAsia="zh-CN"/>
              </w:rPr>
              <w:t>9</w:t>
            </w:r>
            <w:r>
              <w:rPr>
                <w:rFonts w:hint="eastAsia" w:ascii="Times New Roman" w:hAnsi="Times New Roman" w:cs="Times New Roman"/>
                <w:bCs/>
                <w:color w:val="auto"/>
                <w:sz w:val="24"/>
                <w:highlight w:val="none"/>
                <w:lang w:val="en-US" w:eastAsia="zh-CN"/>
              </w:rPr>
              <w:t>9</w:t>
            </w:r>
            <w:r>
              <w:rPr>
                <w:rFonts w:hint="default" w:ascii="Times New Roman" w:hAnsi="Times New Roman" w:cs="Times New Roman"/>
                <w:bCs/>
                <w:color w:val="auto"/>
                <w:sz w:val="24"/>
                <w:highlight w:val="none"/>
              </w:rPr>
              <w:t>%。</w:t>
            </w:r>
          </w:p>
          <w:p w14:paraId="38B151B4">
            <w:pPr>
              <w:keepNext w:val="0"/>
              <w:keepLines w:val="0"/>
              <w:pageBreakBefore w:val="0"/>
              <w:widowControl w:val="0"/>
              <w:kinsoku/>
              <w:wordWrap/>
              <w:overflowPunct/>
              <w:topLinePunct w:val="0"/>
              <w:bidi w:val="0"/>
              <w:snapToGrid/>
              <w:spacing w:line="360" w:lineRule="auto"/>
              <w:ind w:left="0" w:leftChars="0"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根据以上公式计算可知，砂</w:t>
            </w:r>
            <w:r>
              <w:rPr>
                <w:rFonts w:hint="eastAsia" w:cs="Times New Roman"/>
                <w:bCs/>
                <w:color w:val="auto"/>
                <w:sz w:val="24"/>
                <w:highlight w:val="none"/>
                <w:lang w:eastAsia="zh-CN"/>
              </w:rPr>
              <w:t>、</w:t>
            </w:r>
            <w:r>
              <w:rPr>
                <w:rFonts w:hint="eastAsia" w:cs="Times New Roman"/>
                <w:bCs/>
                <w:color w:val="auto"/>
                <w:sz w:val="24"/>
                <w:highlight w:val="none"/>
                <w:lang w:val="en-US" w:eastAsia="zh-CN"/>
              </w:rPr>
              <w:t>石</w:t>
            </w:r>
            <w:r>
              <w:rPr>
                <w:rFonts w:hint="default" w:ascii="Times New Roman" w:hAnsi="Times New Roman" w:cs="Times New Roman"/>
                <w:bCs/>
                <w:color w:val="auto"/>
                <w:sz w:val="24"/>
                <w:highlight w:val="none"/>
              </w:rPr>
              <w:t>储存及卸料粉尘G</w:t>
            </w:r>
            <w:r>
              <w:rPr>
                <w:rFonts w:hint="default" w:ascii="Times New Roman" w:hAnsi="Times New Roman" w:cs="Times New Roman"/>
                <w:bCs/>
                <w:color w:val="auto"/>
                <w:sz w:val="24"/>
                <w:highlight w:val="none"/>
                <w:vertAlign w:val="subscript"/>
                <w:lang w:val="en-US" w:eastAsia="zh-CN"/>
              </w:rPr>
              <w:t>1</w:t>
            </w:r>
            <w:r>
              <w:rPr>
                <w:rFonts w:hint="default" w:ascii="Times New Roman" w:hAnsi="Times New Roman" w:cs="Times New Roman"/>
                <w:bCs/>
                <w:color w:val="auto"/>
                <w:sz w:val="24"/>
                <w:highlight w:val="none"/>
              </w:rPr>
              <w:t>颗粒物无组织排放量U</w:t>
            </w:r>
            <w:r>
              <w:rPr>
                <w:rFonts w:hint="default" w:ascii="Times New Roman" w:hAnsi="Times New Roman" w:cs="Times New Roman"/>
                <w:bCs/>
                <w:color w:val="auto"/>
                <w:sz w:val="24"/>
                <w:highlight w:val="none"/>
                <w:vertAlign w:val="subscript"/>
              </w:rPr>
              <w:t>C</w:t>
            </w:r>
            <w:r>
              <w:rPr>
                <w:rFonts w:hint="default" w:ascii="Times New Roman" w:hAnsi="Times New Roman" w:cs="Times New Roman"/>
                <w:bCs/>
                <w:color w:val="auto"/>
                <w:sz w:val="24"/>
                <w:highlight w:val="none"/>
              </w:rPr>
              <w:t>为</w:t>
            </w:r>
            <w:r>
              <w:rPr>
                <w:rFonts w:hint="eastAsia" w:cs="Times New Roman"/>
                <w:bCs/>
                <w:color w:val="auto"/>
                <w:sz w:val="24"/>
                <w:highlight w:val="none"/>
                <w:lang w:val="en-US" w:eastAsia="zh-CN"/>
              </w:rPr>
              <w:t>0.086</w:t>
            </w:r>
            <w:r>
              <w:rPr>
                <w:rFonts w:hint="default" w:ascii="Times New Roman" w:hAnsi="Times New Roman" w:cs="Times New Roman"/>
                <w:bCs/>
                <w:color w:val="auto"/>
                <w:sz w:val="24"/>
                <w:highlight w:val="none"/>
              </w:rPr>
              <w:t>t</w:t>
            </w:r>
            <w:r>
              <w:rPr>
                <w:rFonts w:hint="eastAsia" w:ascii="Times New Roman" w:hAnsi="Times New Roman" w:cs="Times New Roman"/>
                <w:bCs/>
                <w:color w:val="auto"/>
                <w:sz w:val="24"/>
                <w:highlight w:val="none"/>
                <w:lang w:val="en-US" w:eastAsia="zh-CN"/>
              </w:rPr>
              <w:t>/a</w:t>
            </w:r>
            <w:r>
              <w:rPr>
                <w:rFonts w:hint="default"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0.036</w:t>
            </w:r>
            <w:r>
              <w:rPr>
                <w:rFonts w:hint="default" w:ascii="Times New Roman" w:hAnsi="Times New Roman" w:cs="Times New Roman"/>
                <w:bCs/>
                <w:color w:val="auto"/>
                <w:sz w:val="24"/>
                <w:highlight w:val="none"/>
                <w:lang w:val="en-US" w:eastAsia="zh-CN"/>
              </w:rPr>
              <w:t>kg/h</w:t>
            </w:r>
            <w:r>
              <w:rPr>
                <w:rFonts w:hint="default" w:ascii="Times New Roman" w:hAnsi="Times New Roman" w:cs="Times New Roman"/>
                <w:bCs/>
                <w:color w:val="auto"/>
                <w:sz w:val="24"/>
                <w:highlight w:val="none"/>
                <w:lang w:eastAsia="zh-CN"/>
              </w:rPr>
              <w:t>）</w:t>
            </w:r>
          </w:p>
          <w:p w14:paraId="60B204C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Cs/>
                <w:color w:val="auto"/>
                <w:sz w:val="24"/>
                <w:highlight w:val="none"/>
                <w:lang w:val="en-US" w:eastAsia="zh-CN"/>
              </w:rPr>
            </w:pPr>
            <w:r>
              <w:rPr>
                <w:rFonts w:hint="eastAsia" w:ascii="宋体" w:hAnsi="宋体" w:cs="宋体"/>
                <w:bCs/>
                <w:color w:val="auto"/>
                <w:sz w:val="24"/>
                <w:highlight w:val="none"/>
                <w:lang w:val="en-US" w:eastAsia="zh-CN"/>
              </w:rPr>
              <w:t>②</w:t>
            </w:r>
            <w:r>
              <w:rPr>
                <w:rFonts w:hint="eastAsia" w:ascii="宋体" w:hAnsi="宋体"/>
                <w:bCs/>
                <w:color w:val="auto"/>
                <w:sz w:val="24"/>
                <w:highlight w:val="none"/>
              </w:rPr>
              <w:t>粉料筒仓呼吸孔粉尘</w:t>
            </w:r>
            <w:r>
              <w:rPr>
                <w:rFonts w:hint="eastAsia" w:ascii="宋体" w:hAnsi="宋体"/>
                <w:bCs/>
                <w:color w:val="auto"/>
                <w:sz w:val="24"/>
                <w:highlight w:val="none"/>
                <w:lang w:eastAsia="zh-CN"/>
              </w:rPr>
              <w:t>（</w:t>
            </w:r>
            <w:r>
              <w:rPr>
                <w:rFonts w:hint="default" w:ascii="Times New Roman" w:hAnsi="Times New Roman" w:cs="Times New Roman"/>
                <w:bCs/>
                <w:color w:val="auto"/>
                <w:sz w:val="24"/>
                <w:highlight w:val="none"/>
                <w:lang w:val="en-US" w:eastAsia="zh-CN"/>
              </w:rPr>
              <w:t>G</w:t>
            </w:r>
            <w:r>
              <w:rPr>
                <w:rFonts w:hint="eastAsia" w:cs="Times New Roman"/>
                <w:bCs/>
                <w:color w:val="auto"/>
                <w:sz w:val="24"/>
                <w:highlight w:val="none"/>
                <w:vertAlign w:val="subscript"/>
                <w:lang w:val="en-US" w:eastAsia="zh-CN"/>
              </w:rPr>
              <w:t>2</w:t>
            </w:r>
            <w:r>
              <w:rPr>
                <w:rFonts w:hint="eastAsia" w:ascii="宋体" w:hAnsi="宋体"/>
                <w:bCs/>
                <w:color w:val="auto"/>
                <w:sz w:val="24"/>
                <w:highlight w:val="none"/>
                <w:lang w:eastAsia="zh-CN"/>
              </w:rPr>
              <w:t>）</w:t>
            </w:r>
          </w:p>
          <w:p w14:paraId="129C7052">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cs="宋体"/>
                <w:bCs/>
                <w:color w:val="auto"/>
                <w:sz w:val="24"/>
                <w:highlight w:val="none"/>
              </w:rPr>
            </w:pPr>
            <w:r>
              <w:rPr>
                <w:rFonts w:hint="eastAsia" w:ascii="宋体" w:hAnsi="宋体"/>
                <w:bCs/>
                <w:color w:val="auto"/>
                <w:sz w:val="24"/>
                <w:highlight w:val="none"/>
              </w:rPr>
              <w:t>本项目</w:t>
            </w:r>
            <w:r>
              <w:rPr>
                <w:rFonts w:hint="eastAsia" w:ascii="宋体" w:hAnsi="宋体"/>
                <w:bCs/>
                <w:color w:val="auto"/>
                <w:sz w:val="24"/>
                <w:highlight w:val="none"/>
                <w:lang w:val="en-US" w:eastAsia="zh-CN"/>
              </w:rPr>
              <w:t>共设</w:t>
            </w:r>
            <w:r>
              <w:rPr>
                <w:rFonts w:hint="eastAsia" w:cs="Times New Roman"/>
                <w:bCs/>
                <w:color w:val="auto"/>
                <w:sz w:val="24"/>
                <w:highlight w:val="none"/>
                <w:lang w:val="en-US" w:eastAsia="zh-CN"/>
              </w:rPr>
              <w:t>8</w:t>
            </w:r>
            <w:r>
              <w:rPr>
                <w:rFonts w:hint="eastAsia" w:ascii="宋体" w:hAnsi="宋体"/>
                <w:bCs/>
                <w:color w:val="auto"/>
                <w:sz w:val="24"/>
                <w:highlight w:val="none"/>
                <w:lang w:val="en-US" w:eastAsia="zh-CN"/>
              </w:rPr>
              <w:t>个筒仓，</w:t>
            </w:r>
            <w:r>
              <w:rPr>
                <w:rFonts w:hint="eastAsia" w:ascii="宋体" w:hAnsi="宋体"/>
                <w:bCs/>
                <w:color w:val="auto"/>
                <w:sz w:val="24"/>
                <w:highlight w:val="none"/>
              </w:rPr>
              <w:t>粉尘主要为粉料</w:t>
            </w:r>
            <w:r>
              <w:rPr>
                <w:rFonts w:ascii="宋体" w:hAnsi="宋体" w:cs="宋体"/>
                <w:bCs/>
                <w:color w:val="auto"/>
                <w:sz w:val="24"/>
                <w:highlight w:val="none"/>
              </w:rPr>
              <w:t>筒仓呼吸孔</w:t>
            </w:r>
            <w:r>
              <w:rPr>
                <w:rFonts w:hint="eastAsia" w:ascii="宋体" w:hAnsi="宋体"/>
                <w:bCs/>
                <w:color w:val="auto"/>
                <w:sz w:val="24"/>
                <w:highlight w:val="none"/>
              </w:rPr>
              <w:t>粉尘。每个筒仓分别设置</w:t>
            </w:r>
            <w:r>
              <w:rPr>
                <w:rFonts w:hint="default" w:ascii="Times New Roman" w:hAnsi="Times New Roman" w:cs="Times New Roman"/>
                <w:bCs/>
                <w:color w:val="auto"/>
                <w:sz w:val="24"/>
                <w:highlight w:val="none"/>
              </w:rPr>
              <w:t>1</w:t>
            </w:r>
            <w:r>
              <w:rPr>
                <w:rFonts w:hint="eastAsia" w:ascii="宋体" w:hAnsi="宋体"/>
                <w:bCs/>
                <w:color w:val="auto"/>
                <w:sz w:val="24"/>
                <w:highlight w:val="none"/>
              </w:rPr>
              <w:t>台仓顶滤芯除尘器过滤粉尘，</w:t>
            </w:r>
            <w:r>
              <w:rPr>
                <w:rFonts w:hint="eastAsia" w:ascii="宋体" w:hAnsi="宋体"/>
                <w:color w:val="auto"/>
                <w:sz w:val="24"/>
                <w:highlight w:val="none"/>
              </w:rPr>
              <w:t>未处理的部分由筒仓顶部</w:t>
            </w:r>
            <w:r>
              <w:rPr>
                <w:rFonts w:hint="eastAsia" w:ascii="宋体" w:hAnsi="宋体"/>
                <w:color w:val="auto"/>
                <w:sz w:val="24"/>
                <w:highlight w:val="none"/>
                <w:lang w:val="en-US" w:eastAsia="zh-CN"/>
              </w:rPr>
              <w:t>有组织</w:t>
            </w:r>
            <w:r>
              <w:rPr>
                <w:rFonts w:hint="eastAsia" w:ascii="宋体" w:hAnsi="宋体"/>
                <w:color w:val="auto"/>
                <w:sz w:val="24"/>
                <w:highlight w:val="none"/>
              </w:rPr>
              <w:t>排放。</w:t>
            </w:r>
          </w:p>
          <w:p w14:paraId="7D5D8F6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bCs/>
                <w:color w:val="auto"/>
                <w:sz w:val="24"/>
                <w:highlight w:val="none"/>
              </w:rPr>
            </w:pPr>
            <w:r>
              <w:rPr>
                <w:rFonts w:hint="default" w:ascii="Times New Roman" w:hAnsi="Times New Roman" w:cs="Times New Roman"/>
                <w:bCs/>
                <w:color w:val="auto"/>
                <w:sz w:val="24"/>
                <w:highlight w:val="none"/>
              </w:rPr>
              <w:t>本项目原料中水泥、粉煤灰</w:t>
            </w:r>
            <w:r>
              <w:rPr>
                <w:rFonts w:hint="eastAsia" w:ascii="Times New Roman" w:hAnsi="Times New Roman" w:cs="Times New Roman"/>
                <w:bCs/>
                <w:color w:val="auto"/>
                <w:sz w:val="24"/>
                <w:highlight w:val="none"/>
                <w:lang w:eastAsia="zh-CN"/>
              </w:rPr>
              <w:t>、</w:t>
            </w:r>
            <w:r>
              <w:rPr>
                <w:rFonts w:hint="eastAsia" w:ascii="宋体" w:hAnsi="宋体"/>
                <w:bCs/>
                <w:color w:val="auto"/>
                <w:sz w:val="24"/>
                <w:highlight w:val="none"/>
                <w:lang w:val="en-US" w:eastAsia="zh-CN"/>
              </w:rPr>
              <w:t>石灰石矿粉、膨胀剂</w:t>
            </w:r>
            <w:r>
              <w:rPr>
                <w:rFonts w:hint="default" w:ascii="Times New Roman" w:hAnsi="Times New Roman" w:cs="Times New Roman"/>
                <w:bCs/>
                <w:color w:val="auto"/>
                <w:sz w:val="24"/>
                <w:highlight w:val="none"/>
              </w:rPr>
              <w:t>采用筒料仓储存，</w:t>
            </w:r>
            <w:r>
              <w:rPr>
                <w:rFonts w:hint="eastAsia" w:ascii="宋体" w:hAnsi="宋体"/>
                <w:bCs/>
                <w:color w:val="auto"/>
                <w:sz w:val="24"/>
                <w:highlight w:val="none"/>
              </w:rPr>
              <w:t>均进入混凝土产品中，根据</w:t>
            </w:r>
            <w:r>
              <w:rPr>
                <w:rFonts w:ascii="宋体" w:hAnsi="宋体"/>
                <w:bCs/>
                <w:color w:val="auto"/>
                <w:sz w:val="24"/>
                <w:highlight w:val="none"/>
              </w:rPr>
              <w:t>《</w:t>
            </w:r>
            <w:r>
              <w:rPr>
                <w:rFonts w:ascii="宋体" w:hAnsi="宋体"/>
                <w:color w:val="auto"/>
                <w:kern w:val="0"/>
                <w:sz w:val="24"/>
                <w:highlight w:val="none"/>
              </w:rPr>
              <w:t>排放源统计调查产排污核算方法和系数手册</w:t>
            </w:r>
            <w:r>
              <w:rPr>
                <w:color w:val="auto"/>
                <w:kern w:val="0"/>
                <w:sz w:val="24"/>
                <w:highlight w:val="none"/>
              </w:rPr>
              <w:t>3021</w:t>
            </w:r>
            <w:r>
              <w:rPr>
                <w:rFonts w:ascii="宋体" w:hAnsi="宋体"/>
                <w:bCs/>
                <w:color w:val="auto"/>
                <w:sz w:val="24"/>
                <w:highlight w:val="none"/>
              </w:rPr>
              <w:t>水泥制品制造（含</w:t>
            </w:r>
            <w:r>
              <w:rPr>
                <w:bCs/>
                <w:color w:val="auto"/>
                <w:sz w:val="24"/>
                <w:highlight w:val="none"/>
              </w:rPr>
              <w:t>2033</w:t>
            </w:r>
            <w:r>
              <w:rPr>
                <w:rFonts w:ascii="宋体" w:hAnsi="宋体"/>
                <w:bCs/>
                <w:color w:val="auto"/>
                <w:sz w:val="24"/>
                <w:highlight w:val="none"/>
              </w:rPr>
              <w:t>砼结构构件制造、</w:t>
            </w:r>
            <w:r>
              <w:rPr>
                <w:bCs/>
                <w:color w:val="auto"/>
                <w:sz w:val="24"/>
                <w:highlight w:val="none"/>
              </w:rPr>
              <w:t>3029</w:t>
            </w:r>
            <w:r>
              <w:rPr>
                <w:rFonts w:ascii="宋体" w:hAnsi="宋体"/>
                <w:bCs/>
                <w:color w:val="auto"/>
                <w:sz w:val="24"/>
                <w:highlight w:val="none"/>
              </w:rPr>
              <w:t>其他水泥类似制品制造）行业系数手册》中</w:t>
            </w:r>
            <w:r>
              <w:rPr>
                <w:rFonts w:hint="eastAsia" w:ascii="宋体" w:hAnsi="宋体"/>
                <w:bCs/>
                <w:color w:val="auto"/>
                <w:sz w:val="24"/>
                <w:highlight w:val="none"/>
              </w:rPr>
              <w:t>物料输送</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储存</w:t>
            </w:r>
            <w:r>
              <w:rPr>
                <w:rFonts w:hint="eastAsia" w:ascii="宋体" w:hAnsi="宋体"/>
                <w:bCs/>
                <w:color w:val="auto"/>
                <w:sz w:val="24"/>
                <w:highlight w:val="none"/>
              </w:rPr>
              <w:t>过程</w:t>
            </w:r>
            <w:r>
              <w:rPr>
                <w:rFonts w:hint="eastAsia" w:ascii="宋体" w:hAnsi="宋体"/>
                <w:bCs/>
                <w:color w:val="auto"/>
                <w:sz w:val="24"/>
                <w:highlight w:val="none"/>
                <w:lang w:val="en-US" w:eastAsia="zh-CN"/>
              </w:rPr>
              <w:t>中颗粒物</w:t>
            </w:r>
            <w:r>
              <w:rPr>
                <w:rFonts w:hint="eastAsia" w:ascii="宋体" w:hAnsi="宋体"/>
                <w:bCs/>
                <w:color w:val="auto"/>
                <w:sz w:val="24"/>
                <w:highlight w:val="none"/>
              </w:rPr>
              <w:t>产污系数为</w:t>
            </w:r>
            <w:r>
              <w:rPr>
                <w:rFonts w:cs="宋体"/>
                <w:bCs/>
                <w:color w:val="auto"/>
                <w:sz w:val="24"/>
                <w:highlight w:val="none"/>
              </w:rPr>
              <w:t>0.</w:t>
            </w:r>
            <w:r>
              <w:rPr>
                <w:rFonts w:hint="eastAsia"/>
                <w:bCs/>
                <w:color w:val="auto"/>
                <w:sz w:val="24"/>
                <w:highlight w:val="none"/>
              </w:rPr>
              <w:t>12</w:t>
            </w:r>
            <w:r>
              <w:rPr>
                <w:bCs/>
                <w:color w:val="auto"/>
                <w:sz w:val="24"/>
                <w:highlight w:val="none"/>
              </w:rPr>
              <w:t>kg/t-</w:t>
            </w:r>
            <w:r>
              <w:rPr>
                <w:rFonts w:ascii="宋体" w:hAnsi="宋体"/>
                <w:bCs/>
                <w:color w:val="auto"/>
                <w:sz w:val="24"/>
                <w:highlight w:val="none"/>
              </w:rPr>
              <w:t>产品</w:t>
            </w:r>
            <w:r>
              <w:rPr>
                <w:rFonts w:hint="eastAsia" w:ascii="宋体" w:hAnsi="宋体"/>
                <w:bCs/>
                <w:color w:val="auto"/>
                <w:sz w:val="24"/>
                <w:highlight w:val="none"/>
              </w:rPr>
              <w:t>，粉料筒仓排气筒粉尘排放情况如下。</w:t>
            </w:r>
          </w:p>
          <w:p w14:paraId="23410FD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a.</w:t>
            </w:r>
            <w:r>
              <w:rPr>
                <w:rFonts w:hint="default" w:ascii="Times New Roman" w:hAnsi="Times New Roman" w:eastAsia="宋体" w:cs="Times New Roman"/>
                <w:color w:val="auto"/>
                <w:sz w:val="24"/>
                <w:szCs w:val="24"/>
                <w:highlight w:val="none"/>
              </w:rPr>
              <w:t>本项目设有4个300t水泥筒仓，原料水泥用量为24603t，每辆散装水泥罐车可装原料20t，全年水泥运输、装料1231次，每装完一车原料的时间约为0.5h，则全年水泥装仓时间为615.5h，每个水泥筒仓呼吸孔粉尘产生量为0.738t/a（1.199kg/h）。仓顶滤芯除尘器除尘效率≥99%，则每个水泥筒仓的粉尘排放量均为0.007t/a，粉尘排放速率均为0.012kg/h，处理后经仓顶排气筒排放。</w:t>
            </w:r>
          </w:p>
          <w:p w14:paraId="2CD63A4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olor w:val="auto"/>
                <w:sz w:val="24"/>
                <w:highlight w:val="none"/>
                <w:lang w:val="en-US" w:eastAsia="zh-CN"/>
              </w:rPr>
              <w:t>b.</w:t>
            </w:r>
            <w:r>
              <w:rPr>
                <w:rFonts w:hint="default" w:ascii="Times New Roman" w:hAnsi="Times New Roman" w:eastAsia="宋体" w:cs="Times New Roman"/>
                <w:color w:val="auto"/>
                <w:sz w:val="24"/>
                <w:szCs w:val="24"/>
                <w:highlight w:val="none"/>
              </w:rPr>
              <w:t>本项目设有2个200t粉煤灰筒仓，粉煤灰用量为8201t，每辆散装粉煤灰罐车可装原料20t，全年粉煤灰运输、装料411次，每装完一车原料的时间约为0.5h，则粉煤灰装仓时间为205.5h，每个粉煤灰筒仓输送进入筒料仓过程中粉尘产生量为0.492t/a（2.395kg/h），仓顶滤芯除尘器除尘效率≥99%，则每个粉煤灰筒仓粉尘排放量为0.005t/a，粉尘排放速率为0.024kg/h，处理后经仓顶排气筒排放。</w:t>
            </w:r>
          </w:p>
          <w:p w14:paraId="57436AF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c.</w:t>
            </w:r>
            <w:r>
              <w:rPr>
                <w:rFonts w:hint="default" w:ascii="Times New Roman" w:hAnsi="Times New Roman" w:eastAsia="宋体" w:cs="Times New Roman"/>
                <w:color w:val="auto"/>
                <w:sz w:val="24"/>
                <w:szCs w:val="24"/>
                <w:highlight w:val="none"/>
              </w:rPr>
              <w:t>本项目设有2个200t石灰石矿粉筒仓，石灰石矿粉用量为16402t，每辆散装石灰石矿粉罐车可装原料20t，全年石灰石矿粉运输、装料821次，每装完一车原料的时间约为0.5h，则石灰石矿粉装仓时间410.5h，每个石灰石矿粉筒仓输送进入筒料仓过程中粉尘产生量为0.984t/a（2.397kg/h），仓顶滤芯除尘器除尘效率≥99%，则每个石灰石矿粉筒仓粉尘排放量为0.01t/a，粉尘排放速率为0.024kg/h，处理后经仓顶排气筒排放。</w:t>
            </w:r>
          </w:p>
          <w:p w14:paraId="71823544">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d.</w:t>
            </w:r>
            <w:r>
              <w:rPr>
                <w:rFonts w:hint="default" w:ascii="Times New Roman" w:hAnsi="Times New Roman" w:eastAsia="宋体" w:cs="Times New Roman"/>
                <w:color w:val="auto"/>
                <w:sz w:val="24"/>
                <w:szCs w:val="24"/>
                <w:highlight w:val="none"/>
              </w:rPr>
              <w:t>本项目设有4个20m³膨胀剂筒仓，膨胀剂用量为820t，每辆膨胀剂运输车辆可装20t，全年膨胀剂运输、装料41次，每装完一车原料的时间约为0.5h，则膨胀剂装仓时间为20.5h，每个膨胀剂筒仓输送进入筒料仓过程中粉尘产生量为0.025t/a（1.200kg/h），仓顶滤芯除尘器除尘效率≥99%，则每个膨胀剂筒仓粉尘排放量为0.00</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t/a，粉尘排放速率为0.012kg/h，处理后经仓顶排气筒排放。</w:t>
            </w:r>
          </w:p>
          <w:p w14:paraId="05EDF613">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表4-1各粉料筒仓粉尘产排情况</w:t>
            </w:r>
          </w:p>
          <w:tbl>
            <w:tblPr>
              <w:tblStyle w:val="22"/>
              <w:tblW w:w="4996"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5"/>
              <w:gridCol w:w="1177"/>
              <w:gridCol w:w="1015"/>
              <w:gridCol w:w="1330"/>
              <w:gridCol w:w="1330"/>
              <w:gridCol w:w="1138"/>
              <w:gridCol w:w="925"/>
            </w:tblGrid>
            <w:tr w14:paraId="3BB6FE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45" w:type="pct"/>
                  <w:tcBorders>
                    <w:tl2br w:val="nil"/>
                    <w:tr2bl w:val="nil"/>
                  </w:tcBorders>
                  <w:noWrap w:val="0"/>
                  <w:vAlign w:val="center"/>
                </w:tcPr>
                <w:p w14:paraId="088060A0">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污染源</w:t>
                  </w:r>
                </w:p>
              </w:tc>
              <w:tc>
                <w:tcPr>
                  <w:tcW w:w="741" w:type="pct"/>
                  <w:tcBorders>
                    <w:tl2br w:val="nil"/>
                    <w:tr2bl w:val="nil"/>
                  </w:tcBorders>
                  <w:noWrap w:val="0"/>
                  <w:vAlign w:val="center"/>
                </w:tcPr>
                <w:p w14:paraId="0F131C26">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粉料种类</w:t>
                  </w:r>
                </w:p>
              </w:tc>
              <w:tc>
                <w:tcPr>
                  <w:tcW w:w="639" w:type="pct"/>
                  <w:tcBorders>
                    <w:tl2br w:val="nil"/>
                    <w:tr2bl w:val="nil"/>
                  </w:tcBorders>
                  <w:noWrap w:val="0"/>
                  <w:vAlign w:val="center"/>
                </w:tcPr>
                <w:p w14:paraId="4FFEDD33">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Cs w:val="21"/>
                      <w:highlight w:val="none"/>
                      <w:lang w:val="en-US" w:eastAsia="zh-CN"/>
                    </w:rPr>
                  </w:pPr>
                  <w:r>
                    <w:rPr>
                      <w:rFonts w:hint="eastAsia" w:cs="Times New Roman"/>
                      <w:b/>
                      <w:bCs/>
                      <w:color w:val="auto"/>
                      <w:szCs w:val="21"/>
                      <w:highlight w:val="none"/>
                      <w:lang w:val="en-US" w:eastAsia="zh-CN"/>
                    </w:rPr>
                    <w:t>单个产生量</w:t>
                  </w:r>
                  <w:r>
                    <w:rPr>
                      <w:rFonts w:hint="default" w:ascii="Times New Roman" w:hAnsi="Times New Roman" w:cs="Times New Roman"/>
                      <w:b/>
                      <w:bCs/>
                      <w:color w:val="auto"/>
                      <w:szCs w:val="21"/>
                      <w:highlight w:val="none"/>
                    </w:rPr>
                    <w:t>t/a</w:t>
                  </w:r>
                </w:p>
              </w:tc>
              <w:tc>
                <w:tcPr>
                  <w:tcW w:w="837" w:type="pct"/>
                  <w:tcBorders>
                    <w:tl2br w:val="nil"/>
                    <w:tr2bl w:val="nil"/>
                  </w:tcBorders>
                  <w:noWrap w:val="0"/>
                  <w:vAlign w:val="center"/>
                </w:tcPr>
                <w:p w14:paraId="060C2739">
                  <w:pPr>
                    <w:keepNext w:val="0"/>
                    <w:keepLines w:val="0"/>
                    <w:pageBreakBefore w:val="0"/>
                    <w:widowControl/>
                    <w:kinsoku/>
                    <w:wordWrap/>
                    <w:overflowPunct/>
                    <w:topLinePunct w:val="0"/>
                    <w:autoSpaceDE/>
                    <w:autoSpaceDN/>
                    <w:bidi w:val="0"/>
                    <w:adjustRightInd/>
                    <w:snapToGrid/>
                    <w:jc w:val="center"/>
                    <w:textAlignment w:val="auto"/>
                    <w:rPr>
                      <w:rFonts w:hint="eastAsia" w:cs="Times New Roman"/>
                      <w:b/>
                      <w:bCs/>
                      <w:color w:val="auto"/>
                      <w:szCs w:val="21"/>
                      <w:highlight w:val="none"/>
                      <w:lang w:val="en-US" w:eastAsia="zh-CN"/>
                    </w:rPr>
                  </w:pPr>
                  <w:r>
                    <w:rPr>
                      <w:rFonts w:hint="eastAsia" w:cs="Times New Roman"/>
                      <w:b/>
                      <w:bCs/>
                      <w:color w:val="auto"/>
                      <w:szCs w:val="21"/>
                      <w:highlight w:val="none"/>
                      <w:lang w:val="en-US" w:eastAsia="zh-CN"/>
                    </w:rPr>
                    <w:t>总产生量</w:t>
                  </w:r>
                  <w:r>
                    <w:rPr>
                      <w:rFonts w:hint="default" w:ascii="Times New Roman" w:hAnsi="Times New Roman" w:cs="Times New Roman"/>
                      <w:b/>
                      <w:bCs/>
                      <w:color w:val="auto"/>
                      <w:szCs w:val="21"/>
                      <w:highlight w:val="none"/>
                    </w:rPr>
                    <w:t>t/a</w:t>
                  </w:r>
                </w:p>
              </w:tc>
              <w:tc>
                <w:tcPr>
                  <w:tcW w:w="837" w:type="pct"/>
                  <w:tcBorders>
                    <w:tl2br w:val="nil"/>
                    <w:tr2bl w:val="nil"/>
                  </w:tcBorders>
                  <w:noWrap w:val="0"/>
                  <w:vAlign w:val="center"/>
                </w:tcPr>
                <w:p w14:paraId="76A45D8C">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Cs w:val="21"/>
                      <w:highlight w:val="none"/>
                      <w:lang w:val="en-US" w:eastAsia="zh-CN"/>
                    </w:rPr>
                  </w:pPr>
                  <w:r>
                    <w:rPr>
                      <w:rFonts w:hint="eastAsia" w:cs="Times New Roman"/>
                      <w:b/>
                      <w:bCs/>
                      <w:color w:val="auto"/>
                      <w:szCs w:val="21"/>
                      <w:highlight w:val="none"/>
                      <w:lang w:val="en-US" w:eastAsia="zh-CN"/>
                    </w:rPr>
                    <w:t>处理效率</w:t>
                  </w:r>
                </w:p>
              </w:tc>
              <w:tc>
                <w:tcPr>
                  <w:tcW w:w="716" w:type="pct"/>
                  <w:tcBorders>
                    <w:tl2br w:val="nil"/>
                    <w:tr2bl w:val="nil"/>
                  </w:tcBorders>
                  <w:noWrap w:val="0"/>
                  <w:vAlign w:val="center"/>
                </w:tcPr>
                <w:p w14:paraId="2BA7BF88">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
                      <w:bCs/>
                      <w:color w:val="auto"/>
                      <w:szCs w:val="21"/>
                      <w:highlight w:val="none"/>
                    </w:rPr>
                  </w:pPr>
                  <w:r>
                    <w:rPr>
                      <w:rFonts w:hint="eastAsia" w:cs="Times New Roman"/>
                      <w:b/>
                      <w:bCs/>
                      <w:color w:val="auto"/>
                      <w:szCs w:val="21"/>
                      <w:highlight w:val="none"/>
                      <w:lang w:val="en-US" w:eastAsia="zh-CN"/>
                    </w:rPr>
                    <w:t>单个</w:t>
                  </w:r>
                  <w:r>
                    <w:rPr>
                      <w:rFonts w:hint="default" w:ascii="Times New Roman" w:hAnsi="Times New Roman" w:cs="Times New Roman"/>
                      <w:b/>
                      <w:bCs/>
                      <w:color w:val="auto"/>
                      <w:szCs w:val="21"/>
                      <w:highlight w:val="none"/>
                    </w:rPr>
                    <w:t>排放量t/a</w:t>
                  </w:r>
                </w:p>
              </w:tc>
              <w:tc>
                <w:tcPr>
                  <w:tcW w:w="582" w:type="pct"/>
                  <w:tcBorders>
                    <w:tl2br w:val="nil"/>
                    <w:tr2bl w:val="nil"/>
                  </w:tcBorders>
                  <w:noWrap w:val="0"/>
                  <w:vAlign w:val="center"/>
                </w:tcPr>
                <w:p w14:paraId="1AFDB61C">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宋体" w:cs="Times New Roman"/>
                      <w:b/>
                      <w:bCs/>
                      <w:color w:val="auto"/>
                      <w:szCs w:val="21"/>
                      <w:highlight w:val="none"/>
                      <w:lang w:val="en-US" w:eastAsia="zh-CN"/>
                    </w:rPr>
                  </w:pPr>
                  <w:r>
                    <w:rPr>
                      <w:rFonts w:hint="eastAsia" w:cs="Times New Roman"/>
                      <w:b/>
                      <w:bCs/>
                      <w:color w:val="auto"/>
                      <w:szCs w:val="21"/>
                      <w:highlight w:val="none"/>
                      <w:lang w:val="en-US" w:eastAsia="zh-CN"/>
                    </w:rPr>
                    <w:t>总排放量</w:t>
                  </w:r>
                  <w:r>
                    <w:rPr>
                      <w:rFonts w:hint="default" w:ascii="Times New Roman" w:hAnsi="Times New Roman" w:cs="Times New Roman"/>
                      <w:b/>
                      <w:bCs/>
                      <w:color w:val="auto"/>
                      <w:szCs w:val="21"/>
                      <w:highlight w:val="none"/>
                    </w:rPr>
                    <w:t>t/a</w:t>
                  </w:r>
                </w:p>
              </w:tc>
            </w:tr>
            <w:tr w14:paraId="09D01A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45" w:type="pct"/>
                  <w:vMerge w:val="restart"/>
                  <w:tcBorders>
                    <w:tl2br w:val="nil"/>
                    <w:tr2bl w:val="nil"/>
                  </w:tcBorders>
                  <w:noWrap w:val="0"/>
                  <w:vAlign w:val="center"/>
                </w:tcPr>
                <w:p w14:paraId="0A3AB967">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粉料筒仓呼吸孔粉尘</w:t>
                  </w:r>
                </w:p>
              </w:tc>
              <w:tc>
                <w:tcPr>
                  <w:tcW w:w="741" w:type="pct"/>
                  <w:tcBorders>
                    <w:tl2br w:val="nil"/>
                    <w:tr2bl w:val="nil"/>
                  </w:tcBorders>
                  <w:noWrap w:val="0"/>
                  <w:vAlign w:val="center"/>
                </w:tcPr>
                <w:p w14:paraId="2577AAC9">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水泥</w:t>
                  </w:r>
                </w:p>
              </w:tc>
              <w:tc>
                <w:tcPr>
                  <w:tcW w:w="639" w:type="pct"/>
                  <w:tcBorders>
                    <w:tl2br w:val="nil"/>
                    <w:tr2bl w:val="nil"/>
                  </w:tcBorders>
                  <w:noWrap w:val="0"/>
                  <w:vAlign w:val="center"/>
                </w:tcPr>
                <w:p w14:paraId="4C760BB4">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0.738</w:t>
                  </w:r>
                </w:p>
              </w:tc>
              <w:tc>
                <w:tcPr>
                  <w:tcW w:w="837" w:type="pct"/>
                  <w:tcBorders>
                    <w:tl2br w:val="nil"/>
                    <w:tr2bl w:val="nil"/>
                  </w:tcBorders>
                  <w:noWrap w:val="0"/>
                  <w:vAlign w:val="center"/>
                </w:tcPr>
                <w:p w14:paraId="1EE83FE0">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2.952</w:t>
                  </w:r>
                </w:p>
              </w:tc>
              <w:tc>
                <w:tcPr>
                  <w:tcW w:w="837" w:type="pct"/>
                  <w:vMerge w:val="restart"/>
                  <w:tcBorders>
                    <w:tl2br w:val="nil"/>
                    <w:tr2bl w:val="nil"/>
                  </w:tcBorders>
                  <w:noWrap w:val="0"/>
                  <w:vAlign w:val="center"/>
                </w:tcPr>
                <w:p w14:paraId="6B22A0A0">
                  <w:pPr>
                    <w:keepNext w:val="0"/>
                    <w:keepLines w:val="0"/>
                    <w:pageBreakBefore w:val="0"/>
                    <w:kinsoku/>
                    <w:wordWrap/>
                    <w:overflowPunct/>
                    <w:topLinePunct w:val="0"/>
                    <w:autoSpaceDE/>
                    <w:autoSpaceDN/>
                    <w:bidi w:val="0"/>
                    <w:adjustRightInd/>
                    <w:snapToGrid/>
                    <w:jc w:val="center"/>
                    <w:textAlignment w:val="auto"/>
                    <w:rPr>
                      <w:rFonts w:hint="eastAsia" w:cs="Times New Roman"/>
                      <w:color w:val="auto"/>
                      <w:szCs w:val="21"/>
                      <w:highlight w:val="none"/>
                      <w:lang w:val="en-US" w:eastAsia="zh-CN"/>
                    </w:rPr>
                  </w:pPr>
                  <w:r>
                    <w:rPr>
                      <w:rFonts w:hint="eastAsia" w:cs="Times New Roman"/>
                      <w:color w:val="auto"/>
                      <w:szCs w:val="21"/>
                      <w:highlight w:val="none"/>
                      <w:lang w:val="en-US" w:eastAsia="zh-CN"/>
                    </w:rPr>
                    <w:t>处理效率≥99%</w:t>
                  </w:r>
                </w:p>
              </w:tc>
              <w:tc>
                <w:tcPr>
                  <w:tcW w:w="716" w:type="pct"/>
                  <w:tcBorders>
                    <w:tl2br w:val="nil"/>
                    <w:tr2bl w:val="nil"/>
                  </w:tcBorders>
                  <w:noWrap w:val="0"/>
                  <w:vAlign w:val="center"/>
                </w:tcPr>
                <w:p w14:paraId="3B4292A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0.007</w:t>
                  </w:r>
                </w:p>
              </w:tc>
              <w:tc>
                <w:tcPr>
                  <w:tcW w:w="582" w:type="pct"/>
                  <w:tcBorders>
                    <w:tl2br w:val="nil"/>
                    <w:tr2bl w:val="nil"/>
                  </w:tcBorders>
                  <w:noWrap w:val="0"/>
                  <w:vAlign w:val="center"/>
                </w:tcPr>
                <w:p w14:paraId="0595F44C">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0.028</w:t>
                  </w:r>
                </w:p>
              </w:tc>
            </w:tr>
            <w:tr w14:paraId="08DD59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45" w:type="pct"/>
                  <w:vMerge w:val="continue"/>
                  <w:tcBorders>
                    <w:tl2br w:val="nil"/>
                    <w:tr2bl w:val="nil"/>
                  </w:tcBorders>
                  <w:noWrap w:val="0"/>
                  <w:vAlign w:val="center"/>
                </w:tcPr>
                <w:p w14:paraId="2A4E0E66">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Cs/>
                      <w:color w:val="auto"/>
                      <w:szCs w:val="21"/>
                      <w:highlight w:val="none"/>
                    </w:rPr>
                  </w:pPr>
                </w:p>
              </w:tc>
              <w:tc>
                <w:tcPr>
                  <w:tcW w:w="741" w:type="pct"/>
                  <w:tcBorders>
                    <w:tl2br w:val="nil"/>
                    <w:tr2bl w:val="nil"/>
                  </w:tcBorders>
                  <w:noWrap w:val="0"/>
                  <w:vAlign w:val="center"/>
                </w:tcPr>
                <w:p w14:paraId="75C47A2F">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粉煤灰</w:t>
                  </w:r>
                </w:p>
              </w:tc>
              <w:tc>
                <w:tcPr>
                  <w:tcW w:w="639" w:type="pct"/>
                  <w:tcBorders>
                    <w:tl2br w:val="nil"/>
                    <w:tr2bl w:val="nil"/>
                  </w:tcBorders>
                  <w:noWrap w:val="0"/>
                  <w:vAlign w:val="center"/>
                </w:tcPr>
                <w:p w14:paraId="3BAC740D">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0.492</w:t>
                  </w:r>
                </w:p>
              </w:tc>
              <w:tc>
                <w:tcPr>
                  <w:tcW w:w="837" w:type="pct"/>
                  <w:tcBorders>
                    <w:tl2br w:val="nil"/>
                    <w:tr2bl w:val="nil"/>
                  </w:tcBorders>
                  <w:noWrap w:val="0"/>
                  <w:vAlign w:val="center"/>
                </w:tcPr>
                <w:p w14:paraId="77A2441C">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0.984</w:t>
                  </w:r>
                </w:p>
              </w:tc>
              <w:tc>
                <w:tcPr>
                  <w:tcW w:w="837" w:type="pct"/>
                  <w:vMerge w:val="continue"/>
                  <w:tcBorders>
                    <w:tl2br w:val="nil"/>
                    <w:tr2bl w:val="nil"/>
                  </w:tcBorders>
                  <w:noWrap w:val="0"/>
                  <w:vAlign w:val="center"/>
                </w:tcPr>
                <w:p w14:paraId="68FBA1D9">
                  <w:pPr>
                    <w:keepNext w:val="0"/>
                    <w:keepLines w:val="0"/>
                    <w:pageBreakBefore w:val="0"/>
                    <w:kinsoku/>
                    <w:wordWrap/>
                    <w:overflowPunct/>
                    <w:topLinePunct w:val="0"/>
                    <w:autoSpaceDE/>
                    <w:autoSpaceDN/>
                    <w:bidi w:val="0"/>
                    <w:adjustRightInd/>
                    <w:snapToGrid/>
                    <w:jc w:val="center"/>
                    <w:textAlignment w:val="auto"/>
                    <w:rPr>
                      <w:rFonts w:hint="eastAsia" w:cs="Times New Roman"/>
                      <w:color w:val="auto"/>
                      <w:szCs w:val="21"/>
                      <w:highlight w:val="none"/>
                      <w:lang w:val="en-US" w:eastAsia="zh-CN"/>
                    </w:rPr>
                  </w:pPr>
                </w:p>
              </w:tc>
              <w:tc>
                <w:tcPr>
                  <w:tcW w:w="716" w:type="pct"/>
                  <w:tcBorders>
                    <w:tl2br w:val="nil"/>
                    <w:tr2bl w:val="nil"/>
                  </w:tcBorders>
                  <w:noWrap w:val="0"/>
                  <w:vAlign w:val="center"/>
                </w:tcPr>
                <w:p w14:paraId="6D355A7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0.005</w:t>
                  </w:r>
                </w:p>
              </w:tc>
              <w:tc>
                <w:tcPr>
                  <w:tcW w:w="582" w:type="pct"/>
                  <w:tcBorders>
                    <w:tl2br w:val="nil"/>
                    <w:tr2bl w:val="nil"/>
                  </w:tcBorders>
                  <w:noWrap w:val="0"/>
                  <w:vAlign w:val="center"/>
                </w:tcPr>
                <w:p w14:paraId="13E4C9A2">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0.01</w:t>
                  </w:r>
                </w:p>
              </w:tc>
            </w:tr>
            <w:tr w14:paraId="728724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45" w:type="pct"/>
                  <w:vMerge w:val="continue"/>
                  <w:tcBorders>
                    <w:tl2br w:val="nil"/>
                    <w:tr2bl w:val="nil"/>
                  </w:tcBorders>
                  <w:noWrap w:val="0"/>
                  <w:vAlign w:val="center"/>
                </w:tcPr>
                <w:p w14:paraId="42853900">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Cs/>
                      <w:color w:val="auto"/>
                      <w:szCs w:val="21"/>
                      <w:highlight w:val="none"/>
                    </w:rPr>
                  </w:pPr>
                </w:p>
              </w:tc>
              <w:tc>
                <w:tcPr>
                  <w:tcW w:w="741" w:type="pct"/>
                  <w:tcBorders>
                    <w:tl2br w:val="nil"/>
                    <w:tr2bl w:val="nil"/>
                  </w:tcBorders>
                  <w:noWrap w:val="0"/>
                  <w:vAlign w:val="center"/>
                </w:tcPr>
                <w:p w14:paraId="4745C0C3">
                  <w:pPr>
                    <w:keepNext w:val="0"/>
                    <w:keepLines w:val="0"/>
                    <w:pageBreakBefore w:val="0"/>
                    <w:widowControl/>
                    <w:kinsoku/>
                    <w:wordWrap/>
                    <w:overflowPunct/>
                    <w:topLinePunct w:val="0"/>
                    <w:autoSpaceDE/>
                    <w:autoSpaceDN/>
                    <w:bidi w:val="0"/>
                    <w:adjustRightInd/>
                    <w:snapToGrid/>
                    <w:jc w:val="center"/>
                    <w:textAlignment w:val="auto"/>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石灰石矿粉</w:t>
                  </w:r>
                </w:p>
              </w:tc>
              <w:tc>
                <w:tcPr>
                  <w:tcW w:w="639" w:type="pct"/>
                  <w:tcBorders>
                    <w:tl2br w:val="nil"/>
                    <w:tr2bl w:val="nil"/>
                  </w:tcBorders>
                  <w:noWrap w:val="0"/>
                  <w:vAlign w:val="center"/>
                </w:tcPr>
                <w:p w14:paraId="7C0AC455">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0.984</w:t>
                  </w:r>
                </w:p>
              </w:tc>
              <w:tc>
                <w:tcPr>
                  <w:tcW w:w="837" w:type="pct"/>
                  <w:tcBorders>
                    <w:tl2br w:val="nil"/>
                    <w:tr2bl w:val="nil"/>
                  </w:tcBorders>
                  <w:noWrap w:val="0"/>
                  <w:vAlign w:val="center"/>
                </w:tcPr>
                <w:p w14:paraId="4D4EA35A">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1.968</w:t>
                  </w:r>
                </w:p>
              </w:tc>
              <w:tc>
                <w:tcPr>
                  <w:tcW w:w="837" w:type="pct"/>
                  <w:vMerge w:val="continue"/>
                  <w:tcBorders>
                    <w:tl2br w:val="nil"/>
                    <w:tr2bl w:val="nil"/>
                  </w:tcBorders>
                  <w:noWrap w:val="0"/>
                  <w:vAlign w:val="center"/>
                </w:tcPr>
                <w:p w14:paraId="065169C3">
                  <w:pPr>
                    <w:keepNext w:val="0"/>
                    <w:keepLines w:val="0"/>
                    <w:pageBreakBefore w:val="0"/>
                    <w:kinsoku/>
                    <w:wordWrap/>
                    <w:overflowPunct/>
                    <w:topLinePunct w:val="0"/>
                    <w:autoSpaceDE/>
                    <w:autoSpaceDN/>
                    <w:bidi w:val="0"/>
                    <w:adjustRightInd/>
                    <w:snapToGrid/>
                    <w:jc w:val="center"/>
                    <w:textAlignment w:val="auto"/>
                    <w:rPr>
                      <w:rFonts w:hint="eastAsia" w:cs="Times New Roman"/>
                      <w:color w:val="auto"/>
                      <w:szCs w:val="21"/>
                      <w:highlight w:val="none"/>
                      <w:lang w:val="en-US" w:eastAsia="zh-CN"/>
                    </w:rPr>
                  </w:pPr>
                </w:p>
              </w:tc>
              <w:tc>
                <w:tcPr>
                  <w:tcW w:w="716" w:type="pct"/>
                  <w:tcBorders>
                    <w:tl2br w:val="nil"/>
                    <w:tr2bl w:val="nil"/>
                  </w:tcBorders>
                  <w:noWrap w:val="0"/>
                  <w:vAlign w:val="center"/>
                </w:tcPr>
                <w:p w14:paraId="1D6D325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0.01</w:t>
                  </w:r>
                </w:p>
              </w:tc>
              <w:tc>
                <w:tcPr>
                  <w:tcW w:w="582" w:type="pct"/>
                  <w:tcBorders>
                    <w:tl2br w:val="nil"/>
                    <w:tr2bl w:val="nil"/>
                  </w:tcBorders>
                  <w:noWrap w:val="0"/>
                  <w:vAlign w:val="center"/>
                </w:tcPr>
                <w:p w14:paraId="1C52C47F">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0.02</w:t>
                  </w:r>
                </w:p>
              </w:tc>
            </w:tr>
            <w:tr w14:paraId="11FF15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45" w:type="pct"/>
                  <w:vMerge w:val="continue"/>
                  <w:tcBorders>
                    <w:tl2br w:val="nil"/>
                    <w:tr2bl w:val="nil"/>
                  </w:tcBorders>
                  <w:noWrap w:val="0"/>
                  <w:vAlign w:val="center"/>
                </w:tcPr>
                <w:p w14:paraId="11554D37">
                  <w:pPr>
                    <w:keepNext w:val="0"/>
                    <w:keepLines w:val="0"/>
                    <w:pageBreakBefore w:val="0"/>
                    <w:widowControl/>
                    <w:kinsoku/>
                    <w:wordWrap/>
                    <w:overflowPunct/>
                    <w:topLinePunct w:val="0"/>
                    <w:autoSpaceDE/>
                    <w:autoSpaceDN/>
                    <w:bidi w:val="0"/>
                    <w:adjustRightInd/>
                    <w:snapToGrid/>
                    <w:jc w:val="left"/>
                    <w:textAlignment w:val="auto"/>
                    <w:rPr>
                      <w:rFonts w:hint="default" w:ascii="Times New Roman" w:hAnsi="Times New Roman" w:cs="Times New Roman"/>
                      <w:bCs/>
                      <w:color w:val="auto"/>
                      <w:szCs w:val="21"/>
                      <w:highlight w:val="none"/>
                    </w:rPr>
                  </w:pPr>
                </w:p>
              </w:tc>
              <w:tc>
                <w:tcPr>
                  <w:tcW w:w="741" w:type="pct"/>
                  <w:tcBorders>
                    <w:tl2br w:val="nil"/>
                    <w:tr2bl w:val="nil"/>
                  </w:tcBorders>
                  <w:noWrap w:val="0"/>
                  <w:vAlign w:val="center"/>
                </w:tcPr>
                <w:p w14:paraId="3A2F8F1A">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膨胀剂</w:t>
                  </w:r>
                </w:p>
              </w:tc>
              <w:tc>
                <w:tcPr>
                  <w:tcW w:w="639" w:type="pct"/>
                  <w:tcBorders>
                    <w:tl2br w:val="nil"/>
                    <w:tr2bl w:val="nil"/>
                  </w:tcBorders>
                  <w:noWrap w:val="0"/>
                  <w:vAlign w:val="center"/>
                </w:tcPr>
                <w:p w14:paraId="3353AEBD">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cs="Times New Roman"/>
                      <w:bCs/>
                      <w:color w:val="auto"/>
                      <w:szCs w:val="21"/>
                      <w:highlight w:val="none"/>
                      <w:lang w:val="en-US" w:eastAsia="zh-CN"/>
                    </w:rPr>
                  </w:pPr>
                  <w:r>
                    <w:rPr>
                      <w:rFonts w:hint="eastAsia" w:cs="Times New Roman"/>
                      <w:bCs/>
                      <w:color w:val="auto"/>
                      <w:szCs w:val="21"/>
                      <w:highlight w:val="none"/>
                      <w:lang w:val="en-US" w:eastAsia="zh-CN"/>
                    </w:rPr>
                    <w:t>0.025</w:t>
                  </w:r>
                </w:p>
              </w:tc>
              <w:tc>
                <w:tcPr>
                  <w:tcW w:w="837" w:type="pct"/>
                  <w:tcBorders>
                    <w:tl2br w:val="nil"/>
                    <w:tr2bl w:val="nil"/>
                  </w:tcBorders>
                  <w:noWrap w:val="0"/>
                  <w:vAlign w:val="center"/>
                </w:tcPr>
                <w:p w14:paraId="28A32050">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0.1</w:t>
                  </w:r>
                </w:p>
              </w:tc>
              <w:tc>
                <w:tcPr>
                  <w:tcW w:w="837" w:type="pct"/>
                  <w:vMerge w:val="continue"/>
                  <w:tcBorders>
                    <w:tl2br w:val="nil"/>
                    <w:tr2bl w:val="nil"/>
                  </w:tcBorders>
                  <w:noWrap w:val="0"/>
                  <w:vAlign w:val="center"/>
                </w:tcPr>
                <w:p w14:paraId="4F900BC3">
                  <w:pPr>
                    <w:keepNext w:val="0"/>
                    <w:keepLines w:val="0"/>
                    <w:pageBreakBefore w:val="0"/>
                    <w:kinsoku/>
                    <w:wordWrap/>
                    <w:overflowPunct/>
                    <w:topLinePunct w:val="0"/>
                    <w:autoSpaceDE/>
                    <w:autoSpaceDN/>
                    <w:bidi w:val="0"/>
                    <w:adjustRightInd/>
                    <w:snapToGrid/>
                    <w:jc w:val="center"/>
                    <w:textAlignment w:val="auto"/>
                    <w:rPr>
                      <w:rFonts w:hint="eastAsia" w:cs="Times New Roman"/>
                      <w:color w:val="auto"/>
                      <w:szCs w:val="21"/>
                      <w:highlight w:val="none"/>
                      <w:lang w:val="en-US" w:eastAsia="zh-CN"/>
                    </w:rPr>
                  </w:pPr>
                </w:p>
              </w:tc>
              <w:tc>
                <w:tcPr>
                  <w:tcW w:w="716" w:type="pct"/>
                  <w:tcBorders>
                    <w:tl2br w:val="nil"/>
                    <w:tr2bl w:val="nil"/>
                  </w:tcBorders>
                  <w:noWrap w:val="0"/>
                  <w:vAlign w:val="center"/>
                </w:tcPr>
                <w:p w14:paraId="504065C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0.001</w:t>
                  </w:r>
                </w:p>
              </w:tc>
              <w:tc>
                <w:tcPr>
                  <w:tcW w:w="582" w:type="pct"/>
                  <w:tcBorders>
                    <w:tl2br w:val="nil"/>
                    <w:tr2bl w:val="nil"/>
                  </w:tcBorders>
                  <w:noWrap w:val="0"/>
                  <w:vAlign w:val="center"/>
                </w:tcPr>
                <w:p w14:paraId="525F2E0D">
                  <w:pPr>
                    <w:keepNext w:val="0"/>
                    <w:keepLines w:val="0"/>
                    <w:pageBreakBefore w:val="0"/>
                    <w:kinsoku/>
                    <w:wordWrap/>
                    <w:overflowPunct/>
                    <w:topLinePunct w:val="0"/>
                    <w:autoSpaceDE/>
                    <w:autoSpaceDN/>
                    <w:bidi w:val="0"/>
                    <w:adjustRightInd/>
                    <w:snapToGrid/>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0.004</w:t>
                  </w:r>
                </w:p>
              </w:tc>
            </w:tr>
          </w:tbl>
          <w:p w14:paraId="67671981">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③砂石配料输送过程粉尘（G</w:t>
            </w:r>
            <w:r>
              <w:rPr>
                <w:rFonts w:hint="eastAsia" w:cs="Times New Roman"/>
                <w:bCs/>
                <w:color w:val="auto"/>
                <w:sz w:val="24"/>
                <w:highlight w:val="none"/>
                <w:vertAlign w:val="subscript"/>
                <w:lang w:val="en-US" w:eastAsia="zh-CN"/>
              </w:rPr>
              <w:t>3</w:t>
            </w:r>
            <w:r>
              <w:rPr>
                <w:rFonts w:hint="default" w:ascii="Times New Roman" w:hAnsi="Times New Roman" w:cs="Times New Roman"/>
                <w:bCs/>
                <w:color w:val="auto"/>
                <w:sz w:val="24"/>
                <w:highlight w:val="none"/>
              </w:rPr>
              <w:t>）</w:t>
            </w:r>
          </w:p>
          <w:p w14:paraId="07024814">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本项目砂石原料利用装载机由砂料棚、石料棚运至置于石料棚内的密闭上料仓，项目砂、石提升以密闭皮带输送方式完成，出料口密闭接入搅拌站。根据《</w:t>
            </w:r>
            <w:r>
              <w:rPr>
                <w:rFonts w:hint="default" w:ascii="Times New Roman" w:hAnsi="Times New Roman" w:cs="Times New Roman"/>
                <w:color w:val="auto"/>
                <w:kern w:val="0"/>
                <w:sz w:val="24"/>
                <w:highlight w:val="none"/>
              </w:rPr>
              <w:t>排放源统计调查产排污核算方法和系数手册3021</w:t>
            </w:r>
            <w:r>
              <w:rPr>
                <w:rFonts w:hint="default" w:ascii="Times New Roman" w:hAnsi="Times New Roman" w:cs="Times New Roman"/>
                <w:bCs/>
                <w:color w:val="auto"/>
                <w:sz w:val="24"/>
                <w:highlight w:val="none"/>
              </w:rPr>
              <w:t>水泥制品制造（含2033砼结构构件制造、3029其他水泥类似制品制造）行业系数手册》中物料输送储存粉尘产污系数为0.12kg/t-产品，本项目</w:t>
            </w:r>
            <w:r>
              <w:rPr>
                <w:rFonts w:hint="default" w:ascii="Times New Roman" w:hAnsi="Times New Roman" w:cs="Times New Roman"/>
                <w:bCs/>
                <w:color w:val="auto"/>
                <w:sz w:val="24"/>
                <w:highlight w:val="none"/>
                <w:lang w:val="en-US" w:eastAsia="zh-CN"/>
              </w:rPr>
              <w:t>年使用砂子</w:t>
            </w:r>
            <w:r>
              <w:rPr>
                <w:rFonts w:hint="eastAsia" w:cs="Times New Roman"/>
                <w:bCs/>
                <w:color w:val="auto"/>
                <w:sz w:val="24"/>
                <w:highlight w:val="none"/>
                <w:lang w:val="en-US" w:eastAsia="zh-CN"/>
              </w:rPr>
              <w:t>82008</w:t>
            </w:r>
            <w:r>
              <w:rPr>
                <w:rFonts w:hint="default" w:ascii="Times New Roman" w:hAnsi="Times New Roman" w:cs="Times New Roman"/>
                <w:bCs/>
                <w:color w:val="auto"/>
                <w:sz w:val="24"/>
                <w:highlight w:val="none"/>
                <w:lang w:val="en-US" w:eastAsia="zh-CN"/>
              </w:rPr>
              <w:t>万</w:t>
            </w:r>
            <w:r>
              <w:rPr>
                <w:rFonts w:hint="eastAsia" w:cs="Times New Roman"/>
                <w:bCs/>
                <w:color w:val="auto"/>
                <w:sz w:val="24"/>
                <w:highlight w:val="none"/>
                <w:lang w:val="en-US" w:eastAsia="zh-CN"/>
              </w:rPr>
              <w:t>t</w:t>
            </w:r>
            <w:r>
              <w:rPr>
                <w:rFonts w:hint="default" w:ascii="Times New Roman" w:hAnsi="Times New Roman" w:cs="Times New Roman"/>
                <w:bCs/>
                <w:color w:val="auto"/>
                <w:sz w:val="24"/>
                <w:highlight w:val="none"/>
                <w:lang w:val="en-US" w:eastAsia="zh-CN"/>
              </w:rPr>
              <w:t>，石子</w:t>
            </w:r>
            <w:r>
              <w:rPr>
                <w:rFonts w:hint="eastAsia" w:cs="Times New Roman"/>
                <w:bCs/>
                <w:color w:val="auto"/>
                <w:sz w:val="24"/>
                <w:highlight w:val="none"/>
                <w:lang w:val="en-US" w:eastAsia="zh-CN"/>
              </w:rPr>
              <w:t>82008t</w:t>
            </w:r>
            <w:r>
              <w:rPr>
                <w:rFonts w:hint="default"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rPr>
              <w:t>故</w:t>
            </w:r>
            <w:r>
              <w:rPr>
                <w:rFonts w:hint="default" w:ascii="Times New Roman" w:hAnsi="Times New Roman" w:cs="Times New Roman"/>
                <w:bCs/>
                <w:color w:val="auto"/>
                <w:sz w:val="24"/>
                <w:highlight w:val="none"/>
                <w:lang w:val="en-US" w:eastAsia="zh-CN"/>
              </w:rPr>
              <w:t>上料过程</w:t>
            </w:r>
            <w:r>
              <w:rPr>
                <w:rFonts w:hint="default" w:ascii="Times New Roman" w:hAnsi="Times New Roman" w:cs="Times New Roman"/>
                <w:bCs/>
                <w:color w:val="auto"/>
                <w:sz w:val="24"/>
                <w:highlight w:val="none"/>
              </w:rPr>
              <w:t>粉尘产生量为</w:t>
            </w:r>
            <w:r>
              <w:rPr>
                <w:rFonts w:hint="eastAsia" w:cs="Times New Roman"/>
                <w:bCs/>
                <w:color w:val="auto"/>
                <w:sz w:val="24"/>
                <w:highlight w:val="none"/>
                <w:lang w:val="en-US" w:eastAsia="zh-CN"/>
              </w:rPr>
              <w:t>19.682</w:t>
            </w:r>
            <w:r>
              <w:rPr>
                <w:rFonts w:hint="default" w:ascii="Times New Roman" w:hAnsi="Times New Roman" w:cs="Times New Roman"/>
                <w:bCs/>
                <w:color w:val="auto"/>
                <w:sz w:val="24"/>
                <w:highlight w:val="none"/>
              </w:rPr>
              <w:t>t/a。</w:t>
            </w:r>
          </w:p>
          <w:p w14:paraId="4667FBF0">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w:t>
            </w:r>
            <w:r>
              <w:rPr>
                <w:rFonts w:hint="default" w:ascii="Times New Roman" w:hAnsi="Times New Roman" w:cs="Times New Roman"/>
                <w:bCs/>
                <w:color w:val="auto"/>
                <w:sz w:val="24"/>
                <w:highlight w:val="none"/>
                <w:lang w:val="en-US" w:eastAsia="zh-CN"/>
              </w:rPr>
              <w:t>上料仓</w:t>
            </w:r>
            <w:r>
              <w:rPr>
                <w:rFonts w:hint="eastAsia" w:ascii="Times New Roman" w:hAnsi="Times New Roman" w:cs="Times New Roman"/>
                <w:bCs/>
                <w:color w:val="auto"/>
                <w:sz w:val="24"/>
                <w:highlight w:val="none"/>
                <w:lang w:val="en-US" w:eastAsia="zh-CN"/>
              </w:rPr>
              <w:t>为</w:t>
            </w:r>
            <w:r>
              <w:rPr>
                <w:rFonts w:hint="default" w:ascii="Times New Roman" w:hAnsi="Times New Roman" w:cs="Times New Roman"/>
                <w:bCs/>
                <w:color w:val="auto"/>
                <w:sz w:val="24"/>
                <w:highlight w:val="none"/>
                <w:lang w:val="en-US" w:eastAsia="zh-CN"/>
              </w:rPr>
              <w:t>全封闭结构，抑尘效率为</w:t>
            </w:r>
            <w:r>
              <w:rPr>
                <w:rFonts w:hint="eastAsia" w:cs="Times New Roman"/>
                <w:bCs/>
                <w:color w:val="auto"/>
                <w:sz w:val="24"/>
                <w:highlight w:val="none"/>
                <w:lang w:val="en-US" w:eastAsia="zh-CN"/>
              </w:rPr>
              <w:t>99</w:t>
            </w:r>
            <w:r>
              <w:rPr>
                <w:rFonts w:hint="default"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rPr>
              <w:t>可有效减少砂石配料过程粉尘的无组织排放，无组织排放量约为</w:t>
            </w:r>
            <w:r>
              <w:rPr>
                <w:rFonts w:hint="eastAsia" w:cs="Times New Roman"/>
                <w:bCs/>
                <w:color w:val="auto"/>
                <w:sz w:val="24"/>
                <w:highlight w:val="none"/>
                <w:lang w:val="en-US" w:eastAsia="zh-CN"/>
              </w:rPr>
              <w:t>0.197</w:t>
            </w:r>
            <w:r>
              <w:rPr>
                <w:rFonts w:hint="default" w:ascii="Times New Roman" w:hAnsi="Times New Roman" w:cs="Times New Roman"/>
                <w:bCs/>
                <w:color w:val="auto"/>
                <w:sz w:val="24"/>
                <w:highlight w:val="none"/>
              </w:rPr>
              <w:t>t/a</w:t>
            </w:r>
            <w:r>
              <w:rPr>
                <w:rFonts w:hint="default" w:ascii="Times New Roman" w:hAnsi="Times New Roman" w:cs="Times New Roman"/>
                <w:bCs/>
                <w:color w:val="auto"/>
                <w:sz w:val="24"/>
                <w:highlight w:val="none"/>
                <w:lang w:eastAsia="zh-CN"/>
              </w:rPr>
              <w:t>（0.082</w:t>
            </w:r>
            <w:r>
              <w:rPr>
                <w:rFonts w:hint="default" w:ascii="Times New Roman" w:hAnsi="Times New Roman" w:cs="Times New Roman"/>
                <w:bCs/>
                <w:color w:val="auto"/>
                <w:sz w:val="24"/>
                <w:highlight w:val="none"/>
                <w:lang w:val="en-US" w:eastAsia="zh-CN"/>
              </w:rPr>
              <w:t>kg/h</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w:t>
            </w:r>
          </w:p>
          <w:p w14:paraId="6D541F72">
            <w:pPr>
              <w:spacing w:line="360" w:lineRule="auto"/>
              <w:ind w:firstLine="480" w:firstLineChars="200"/>
              <w:rPr>
                <w:rFonts w:hint="default" w:ascii="Times New Roman" w:hAnsi="Times New Roman" w:cs="Times New Roman"/>
                <w:bCs/>
                <w:color w:val="auto"/>
                <w:sz w:val="24"/>
                <w:highlight w:val="none"/>
              </w:rPr>
            </w:pPr>
            <w:r>
              <w:rPr>
                <w:rFonts w:hint="eastAsia" w:ascii="Times New Roman" w:hAnsi="Times New Roman" w:cs="Times New Roman"/>
                <w:bCs/>
                <w:color w:val="auto"/>
                <w:sz w:val="24"/>
                <w:highlight w:val="none"/>
                <w:lang w:val="en-US" w:eastAsia="zh-CN"/>
              </w:rPr>
              <w:t>④</w:t>
            </w:r>
            <w:r>
              <w:rPr>
                <w:rFonts w:hint="default" w:ascii="Times New Roman" w:hAnsi="Times New Roman" w:cs="Times New Roman"/>
                <w:bCs/>
                <w:color w:val="auto"/>
                <w:sz w:val="24"/>
                <w:highlight w:val="none"/>
              </w:rPr>
              <w:t>搅拌机入料口粉尘（G</w:t>
            </w:r>
            <w:r>
              <w:rPr>
                <w:rFonts w:hint="eastAsia" w:cs="Times New Roman"/>
                <w:bCs/>
                <w:color w:val="auto"/>
                <w:sz w:val="24"/>
                <w:highlight w:val="none"/>
                <w:vertAlign w:val="subscript"/>
                <w:lang w:val="en-US" w:eastAsia="zh-CN"/>
              </w:rPr>
              <w:t>4</w:t>
            </w:r>
            <w:r>
              <w:rPr>
                <w:rFonts w:hint="default" w:ascii="Times New Roman" w:hAnsi="Times New Roman" w:cs="Times New Roman"/>
                <w:bCs/>
                <w:color w:val="auto"/>
                <w:sz w:val="24"/>
                <w:highlight w:val="none"/>
              </w:rPr>
              <w:t>）</w:t>
            </w:r>
          </w:p>
          <w:p w14:paraId="3D825133">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w:t>
            </w:r>
            <w:r>
              <w:rPr>
                <w:rFonts w:hint="default" w:ascii="Times New Roman" w:hAnsi="Times New Roman" w:cs="Times New Roman"/>
                <w:color w:val="auto"/>
                <w:kern w:val="0"/>
                <w:sz w:val="24"/>
                <w:highlight w:val="none"/>
              </w:rPr>
              <w:t>排放源统计调查产排污核算方法和系数手册3021</w:t>
            </w:r>
            <w:r>
              <w:rPr>
                <w:rFonts w:hint="default" w:ascii="Times New Roman" w:hAnsi="Times New Roman" w:cs="Times New Roman"/>
                <w:bCs/>
                <w:color w:val="auto"/>
                <w:sz w:val="24"/>
                <w:highlight w:val="none"/>
              </w:rPr>
              <w:t>水泥制品制造（含2033砼结构构件制造、3029其他水泥类似制品制造）行业系数手册》中搅拌过程的产污系数为0.13kg/t-产品，本项目混凝土产量为</w:t>
            </w:r>
            <w:r>
              <w:rPr>
                <w:rFonts w:hint="eastAsia" w:cs="Times New Roman"/>
                <w:bCs/>
                <w:color w:val="auto"/>
                <w:sz w:val="24"/>
                <w:highlight w:val="none"/>
                <w:lang w:val="en-US" w:eastAsia="zh-CN"/>
              </w:rPr>
              <w:t>1</w:t>
            </w:r>
            <w:r>
              <w:rPr>
                <w:rFonts w:hint="eastAsia" w:ascii="Times New Roman" w:hAnsi="Times New Roman" w:cs="Times New Roman"/>
                <w:bCs/>
                <w:color w:val="auto"/>
                <w:sz w:val="24"/>
                <w:highlight w:val="none"/>
                <w:lang w:val="en-US" w:eastAsia="zh-CN"/>
              </w:rPr>
              <w:t>0</w:t>
            </w:r>
            <w:r>
              <w:rPr>
                <w:rFonts w:hint="default" w:ascii="Times New Roman" w:hAnsi="Times New Roman" w:cs="Times New Roman"/>
                <w:bCs/>
                <w:color w:val="auto"/>
                <w:sz w:val="24"/>
                <w:highlight w:val="none"/>
              </w:rPr>
              <w:t>万m</w:t>
            </w:r>
            <w:r>
              <w:rPr>
                <w:rFonts w:hint="default" w:ascii="Times New Roman" w:hAnsi="Times New Roman" w:cs="Times New Roman"/>
                <w:bCs/>
                <w:color w:val="auto"/>
                <w:sz w:val="24"/>
                <w:highlight w:val="none"/>
                <w:vertAlign w:val="superscript"/>
              </w:rPr>
              <w:t>3</w:t>
            </w:r>
            <w:r>
              <w:rPr>
                <w:rFonts w:hint="default" w:ascii="Times New Roman" w:hAnsi="Times New Roman" w:cs="Times New Roman"/>
                <w:bCs/>
                <w:color w:val="auto"/>
                <w:sz w:val="24"/>
                <w:highlight w:val="none"/>
              </w:rPr>
              <w:t>，</w:t>
            </w:r>
            <w:r>
              <w:rPr>
                <w:rFonts w:hint="eastAsia" w:cs="Times New Roman"/>
                <w:bCs/>
                <w:color w:val="auto"/>
                <w:sz w:val="24"/>
                <w:highlight w:val="none"/>
                <w:lang w:val="en-US" w:eastAsia="zh-CN"/>
              </w:rPr>
              <w:t>根据物料平衡计算，</w:t>
            </w:r>
            <w:r>
              <w:rPr>
                <w:rFonts w:hint="default" w:ascii="Times New Roman" w:hAnsi="Times New Roman" w:cs="Times New Roman"/>
                <w:bCs/>
                <w:color w:val="auto"/>
                <w:sz w:val="24"/>
                <w:highlight w:val="none"/>
              </w:rPr>
              <w:t>混凝土重量</w:t>
            </w:r>
            <w:r>
              <w:rPr>
                <w:rFonts w:hint="eastAsia" w:cs="Times New Roman"/>
                <w:bCs/>
                <w:color w:val="auto"/>
                <w:sz w:val="24"/>
                <w:highlight w:val="none"/>
                <w:lang w:val="en-US" w:eastAsia="zh-CN"/>
              </w:rPr>
              <w:t>约</w:t>
            </w:r>
            <w:r>
              <w:rPr>
                <w:rFonts w:hint="default" w:ascii="Times New Roman" w:hAnsi="Times New Roman" w:cs="Times New Roman"/>
                <w:bCs/>
                <w:color w:val="auto"/>
                <w:sz w:val="24"/>
                <w:highlight w:val="none"/>
              </w:rPr>
              <w:t>为239999.143</w:t>
            </w:r>
            <w:r>
              <w:rPr>
                <w:rFonts w:hint="eastAsia" w:cs="Times New Roman"/>
                <w:bCs/>
                <w:color w:val="auto"/>
                <w:sz w:val="24"/>
                <w:highlight w:val="none"/>
                <w:lang w:val="en-US" w:eastAsia="zh-CN"/>
              </w:rPr>
              <w:t>t</w:t>
            </w:r>
            <w:r>
              <w:rPr>
                <w:rFonts w:hint="default" w:ascii="Times New Roman" w:hAnsi="Times New Roman" w:cs="Times New Roman"/>
                <w:bCs/>
                <w:color w:val="auto"/>
                <w:sz w:val="24"/>
                <w:highlight w:val="none"/>
              </w:rPr>
              <w:t>，则粉尘产生量为</w:t>
            </w:r>
            <w:r>
              <w:rPr>
                <w:rFonts w:hint="eastAsia" w:cs="Times New Roman"/>
                <w:bCs/>
                <w:color w:val="auto"/>
                <w:sz w:val="24"/>
                <w:highlight w:val="none"/>
                <w:lang w:val="en-US" w:eastAsia="zh-CN"/>
              </w:rPr>
              <w:t>31.2</w:t>
            </w:r>
            <w:r>
              <w:rPr>
                <w:rFonts w:hint="default" w:ascii="Times New Roman" w:hAnsi="Times New Roman" w:cs="Times New Roman"/>
                <w:bCs/>
                <w:color w:val="auto"/>
                <w:sz w:val="24"/>
                <w:highlight w:val="none"/>
              </w:rPr>
              <w:t>t/a。项目皮带输送机全封闭，搅拌主机采用钢结构厂房进行全封闭，皮带输送机和搅拌主机之间用帆布软连接，搅拌机配有脉冲除尘器，除尘器直接安装在缓存斗盖上，缓存斗盖与搅拌机为封闭状态，经除尘后直接通过排气口排放，除尘效率≥99%，经计算物料混合搅拌粉尘呈无组织形式排放量为</w:t>
            </w:r>
            <w:r>
              <w:rPr>
                <w:rFonts w:hint="eastAsia" w:ascii="Times New Roman" w:hAnsi="Times New Roman" w:cs="Times New Roman"/>
                <w:bCs/>
                <w:color w:val="auto"/>
                <w:sz w:val="24"/>
                <w:highlight w:val="none"/>
                <w:lang w:val="en-US" w:eastAsia="zh-CN"/>
              </w:rPr>
              <w:t>0.312</w:t>
            </w:r>
            <w:r>
              <w:rPr>
                <w:rFonts w:hint="default" w:ascii="Times New Roman" w:hAnsi="Times New Roman" w:cs="Times New Roman"/>
                <w:bCs/>
                <w:color w:val="auto"/>
                <w:sz w:val="24"/>
                <w:highlight w:val="none"/>
              </w:rPr>
              <w:t>t/a</w:t>
            </w:r>
            <w:r>
              <w:rPr>
                <w:rFonts w:hint="eastAsia" w:ascii="Times New Roman" w:hAnsi="Times New Roman" w:cs="Times New Roman"/>
                <w:bCs/>
                <w:color w:val="auto"/>
                <w:sz w:val="24"/>
                <w:highlight w:val="none"/>
                <w:lang w:eastAsia="zh-CN"/>
              </w:rPr>
              <w:t>（0.</w:t>
            </w:r>
            <w:r>
              <w:rPr>
                <w:rFonts w:hint="eastAsia" w:cs="Times New Roman"/>
                <w:bCs/>
                <w:color w:val="auto"/>
                <w:sz w:val="24"/>
                <w:highlight w:val="none"/>
                <w:lang w:val="en-US" w:eastAsia="zh-CN"/>
              </w:rPr>
              <w:t>13</w:t>
            </w:r>
            <w:r>
              <w:rPr>
                <w:rFonts w:hint="eastAsia" w:ascii="Times New Roman" w:hAnsi="Times New Roman" w:cs="Times New Roman"/>
                <w:bCs/>
                <w:color w:val="auto"/>
                <w:sz w:val="24"/>
                <w:highlight w:val="none"/>
                <w:lang w:val="en-US" w:eastAsia="zh-CN"/>
              </w:rPr>
              <w:t>kg/h</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w:t>
            </w:r>
          </w:p>
          <w:p w14:paraId="099A9CDF">
            <w:pPr>
              <w:spacing w:line="360" w:lineRule="auto"/>
              <w:ind w:firstLine="480" w:firstLineChars="200"/>
              <w:rPr>
                <w:rFonts w:hint="default" w:ascii="Times New Roman" w:hAnsi="Times New Roman" w:cs="Times New Roman"/>
                <w:bCs/>
                <w:color w:val="auto"/>
                <w:sz w:val="24"/>
                <w:highlight w:val="none"/>
              </w:rPr>
            </w:pPr>
            <w:r>
              <w:rPr>
                <w:rFonts w:hint="eastAsia" w:cs="Times New Roman"/>
                <w:bCs/>
                <w:color w:val="auto"/>
                <w:sz w:val="24"/>
                <w:highlight w:val="none"/>
                <w:lang w:val="en-US" w:eastAsia="zh-CN"/>
              </w:rPr>
              <w:t>⑤</w:t>
            </w:r>
            <w:r>
              <w:rPr>
                <w:rFonts w:hint="default" w:ascii="Times New Roman" w:hAnsi="Times New Roman" w:cs="Times New Roman"/>
                <w:bCs/>
                <w:color w:val="auto"/>
                <w:sz w:val="24"/>
                <w:highlight w:val="none"/>
              </w:rPr>
              <w:t>运输车辆动力起尘（G</w:t>
            </w:r>
            <w:r>
              <w:rPr>
                <w:rFonts w:hint="eastAsia" w:cs="Times New Roman"/>
                <w:bCs/>
                <w:color w:val="auto"/>
                <w:sz w:val="24"/>
                <w:highlight w:val="none"/>
                <w:vertAlign w:val="subscript"/>
                <w:lang w:val="en-US" w:eastAsia="zh-CN"/>
              </w:rPr>
              <w:t>5</w:t>
            </w:r>
            <w:r>
              <w:rPr>
                <w:rFonts w:hint="default" w:ascii="Times New Roman" w:hAnsi="Times New Roman" w:cs="Times New Roman"/>
                <w:bCs/>
                <w:color w:val="auto"/>
                <w:sz w:val="24"/>
                <w:highlight w:val="none"/>
              </w:rPr>
              <w:t>）</w:t>
            </w:r>
          </w:p>
          <w:p w14:paraId="3EF3A802">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本项目原材料水泥、粉煤灰、</w:t>
            </w:r>
            <w:r>
              <w:rPr>
                <w:rFonts w:hint="eastAsia" w:ascii="Times New Roman" w:hAnsi="Times New Roman" w:cs="Times New Roman"/>
                <w:bCs/>
                <w:color w:val="auto"/>
                <w:sz w:val="24"/>
                <w:highlight w:val="none"/>
                <w:lang w:val="en-US" w:eastAsia="zh-CN"/>
              </w:rPr>
              <w:t>石灰石</w:t>
            </w:r>
            <w:r>
              <w:rPr>
                <w:rFonts w:hint="default" w:ascii="Times New Roman" w:hAnsi="Times New Roman" w:cs="Times New Roman"/>
                <w:bCs/>
                <w:color w:val="auto"/>
                <w:sz w:val="24"/>
                <w:highlight w:val="none"/>
              </w:rPr>
              <w:t>矿粉、石子和砂子等均采用汽车运输，同时搅拌好的混凝土采用搅拌车运至施工场地。车辆行驶产生的扬尘，在道路完全干燥的情况下，可按照下列经验公式计算：</w:t>
            </w:r>
          </w:p>
          <w:p w14:paraId="617873EA">
            <w:pPr>
              <w:spacing w:line="360" w:lineRule="auto"/>
              <w:ind w:firstLine="480" w:firstLineChars="200"/>
              <w:rPr>
                <w:rFonts w:hint="default" w:ascii="Times New Roman" w:hAnsi="Times New Roman" w:cs="Times New Roman"/>
                <w:bCs/>
                <w:color w:val="auto"/>
                <w:sz w:val="24"/>
                <w:highlight w:val="none"/>
                <w:lang w:val="en-US"/>
              </w:rPr>
            </w:pPr>
            <m:oMathPara>
              <m:oMath>
                <m:r>
                  <m:rPr>
                    <m:nor/>
                    <m:sty m:val="p"/>
                  </m:rPr>
                  <w:rPr>
                    <w:rFonts w:hint="default" w:ascii="Times New Roman" w:hAnsi="Times New Roman" w:cs="Times New Roman"/>
                    <w:b w:val="0"/>
                    <w:i w:val="0"/>
                    <w:color w:val="auto"/>
                    <w:kern w:val="2"/>
                    <w:sz w:val="24"/>
                    <w:szCs w:val="24"/>
                    <w:highlight w:val="none"/>
                    <w:lang w:val="en-US" w:eastAsia="zh-CN" w:bidi="ar-SA"/>
                  </w:rPr>
                  <m:t>Q=0.123（</m:t>
                </m:r>
                <m:f>
                  <m:fPr>
                    <m:ctrlPr>
                      <w:rPr>
                        <w:rFonts w:hint="default" w:ascii="Cambria Math" w:hAnsi="Cambria Math" w:cs="Times New Roman"/>
                        <w:bCs/>
                        <w:color w:val="auto"/>
                        <w:kern w:val="2"/>
                        <w:sz w:val="24"/>
                        <w:szCs w:val="24"/>
                        <w:highlight w:val="none"/>
                        <w:lang w:val="en-US" w:eastAsia="zh-CN" w:bidi="ar-SA"/>
                      </w:rPr>
                    </m:ctrlPr>
                  </m:fPr>
                  <m:num>
                    <m:r>
                      <m:rPr>
                        <m:nor/>
                        <m:sty m:val="p"/>
                      </m:rPr>
                      <w:rPr>
                        <w:rFonts w:hint="default" w:ascii="Times New Roman" w:hAnsi="Times New Roman" w:cs="Times New Roman"/>
                        <w:b w:val="0"/>
                        <w:i w:val="0"/>
                        <w:color w:val="auto"/>
                        <w:kern w:val="2"/>
                        <w:sz w:val="24"/>
                        <w:szCs w:val="24"/>
                        <w:highlight w:val="none"/>
                        <w:lang w:val="en-US" w:eastAsia="zh-CN" w:bidi="ar-SA"/>
                      </w:rPr>
                      <m:t>V</m:t>
                    </m:r>
                    <m:ctrlPr>
                      <w:rPr>
                        <w:rFonts w:hint="default" w:ascii="Cambria Math" w:hAnsi="Cambria Math" w:cs="Times New Roman"/>
                        <w:bCs/>
                        <w:color w:val="auto"/>
                        <w:kern w:val="2"/>
                        <w:sz w:val="24"/>
                        <w:szCs w:val="24"/>
                        <w:highlight w:val="none"/>
                        <w:lang w:val="en-US" w:eastAsia="zh-CN" w:bidi="ar-SA"/>
                      </w:rPr>
                    </m:ctrlPr>
                  </m:num>
                  <m:den>
                    <m:r>
                      <m:rPr>
                        <m:nor/>
                        <m:sty m:val="p"/>
                      </m:rPr>
                      <w:rPr>
                        <w:rFonts w:hint="default" w:ascii="Times New Roman" w:hAnsi="Times New Roman" w:cs="Times New Roman"/>
                        <w:b w:val="0"/>
                        <w:i w:val="0"/>
                        <w:color w:val="auto"/>
                        <w:kern w:val="2"/>
                        <w:sz w:val="24"/>
                        <w:szCs w:val="24"/>
                        <w:highlight w:val="none"/>
                        <w:lang w:val="en-US" w:eastAsia="zh-CN" w:bidi="ar-SA"/>
                      </w:rPr>
                      <m:t>5</m:t>
                    </m:r>
                    <m:ctrlPr>
                      <w:rPr>
                        <w:rFonts w:hint="default" w:ascii="Cambria Math" w:hAnsi="Cambria Math" w:cs="Times New Roman"/>
                        <w:bCs/>
                        <w:color w:val="auto"/>
                        <w:kern w:val="2"/>
                        <w:sz w:val="24"/>
                        <w:szCs w:val="24"/>
                        <w:highlight w:val="none"/>
                        <w:lang w:val="en-US" w:eastAsia="zh-CN" w:bidi="ar-SA"/>
                      </w:rPr>
                    </m:ctrlPr>
                  </m:den>
                </m:f>
                <m:r>
                  <m:rPr>
                    <m:nor/>
                    <m:sty m:val="p"/>
                  </m:rPr>
                  <w:rPr>
                    <w:rFonts w:hint="default" w:ascii="Times New Roman" w:hAnsi="Times New Roman" w:cs="Times New Roman"/>
                    <w:b w:val="0"/>
                    <w:i w:val="0"/>
                    <w:color w:val="auto"/>
                    <w:kern w:val="2"/>
                    <w:sz w:val="24"/>
                    <w:szCs w:val="24"/>
                    <w:highlight w:val="none"/>
                    <w:lang w:val="en-US" w:eastAsia="zh-CN" w:bidi="ar-SA"/>
                  </w:rPr>
                  <m:t>）×</m:t>
                </m:r>
                <m:sSup>
                  <m:sSupPr>
                    <m:ctrlPr>
                      <w:rPr>
                        <w:rFonts w:hint="default" w:ascii="Cambria Math" w:hAnsi="Cambria Math" w:cs="Times New Roman"/>
                        <w:bCs/>
                        <w:color w:val="auto"/>
                        <w:kern w:val="2"/>
                        <w:sz w:val="24"/>
                        <w:szCs w:val="24"/>
                        <w:highlight w:val="none"/>
                        <w:lang w:val="en-US" w:eastAsia="zh-CN" w:bidi="ar-SA"/>
                      </w:rPr>
                    </m:ctrlPr>
                  </m:sSupPr>
                  <m:e>
                    <m:r>
                      <m:rPr>
                        <m:nor/>
                        <m:sty m:val="p"/>
                      </m:rPr>
                      <w:rPr>
                        <w:rFonts w:hint="default" w:ascii="Times New Roman" w:hAnsi="Times New Roman" w:cs="Times New Roman"/>
                        <w:b w:val="0"/>
                        <w:i w:val="0"/>
                        <w:color w:val="auto"/>
                        <w:kern w:val="2"/>
                        <w:sz w:val="24"/>
                        <w:szCs w:val="24"/>
                        <w:highlight w:val="none"/>
                        <w:lang w:val="en-US" w:eastAsia="zh-CN" w:bidi="ar-SA"/>
                      </w:rPr>
                      <m:t>（</m:t>
                    </m:r>
                    <m:f>
                      <m:fPr>
                        <m:ctrlPr>
                          <w:rPr>
                            <w:rFonts w:hint="default" w:ascii="Cambria Math" w:hAnsi="Cambria Math" w:cs="Times New Roman"/>
                            <w:b w:val="0"/>
                            <w:i w:val="0"/>
                            <w:color w:val="auto"/>
                            <w:kern w:val="2"/>
                            <w:sz w:val="24"/>
                            <w:szCs w:val="24"/>
                            <w:highlight w:val="none"/>
                            <w:lang w:val="en-US" w:eastAsia="zh-CN" w:bidi="ar-SA"/>
                          </w:rPr>
                        </m:ctrlPr>
                      </m:fPr>
                      <m:num>
                        <m:r>
                          <m:rPr>
                            <m:nor/>
                            <m:sty m:val="p"/>
                          </m:rPr>
                          <w:rPr>
                            <w:rFonts w:hint="default" w:ascii="Times New Roman" w:hAnsi="Times New Roman" w:cs="Times New Roman"/>
                            <w:b w:val="0"/>
                            <w:i w:val="0"/>
                            <w:color w:val="auto"/>
                            <w:kern w:val="2"/>
                            <w:sz w:val="24"/>
                            <w:szCs w:val="24"/>
                            <w:highlight w:val="none"/>
                            <w:lang w:val="en-US" w:eastAsia="zh-CN" w:bidi="ar-SA"/>
                          </w:rPr>
                          <m:t>W</m:t>
                        </m:r>
                        <m:ctrlPr>
                          <w:rPr>
                            <w:rFonts w:hint="default" w:ascii="Cambria Math" w:hAnsi="Cambria Math" w:cs="Times New Roman"/>
                            <w:b w:val="0"/>
                            <w:i w:val="0"/>
                            <w:color w:val="auto"/>
                            <w:kern w:val="2"/>
                            <w:sz w:val="24"/>
                            <w:szCs w:val="24"/>
                            <w:highlight w:val="none"/>
                            <w:lang w:val="en-US" w:eastAsia="zh-CN" w:bidi="ar-SA"/>
                          </w:rPr>
                        </m:ctrlPr>
                      </m:num>
                      <m:den>
                        <m:r>
                          <m:rPr>
                            <m:nor/>
                            <m:sty m:val="p"/>
                          </m:rPr>
                          <w:rPr>
                            <w:rFonts w:hint="default" w:ascii="Times New Roman" w:hAnsi="Times New Roman" w:cs="Times New Roman"/>
                            <w:b w:val="0"/>
                            <w:i w:val="0"/>
                            <w:color w:val="auto"/>
                            <w:kern w:val="2"/>
                            <w:sz w:val="24"/>
                            <w:szCs w:val="24"/>
                            <w:highlight w:val="none"/>
                            <w:lang w:val="en-US" w:eastAsia="zh-CN" w:bidi="ar-SA"/>
                          </w:rPr>
                          <m:t>6.8</m:t>
                        </m:r>
                        <m:ctrlPr>
                          <w:rPr>
                            <w:rFonts w:hint="default" w:ascii="Cambria Math" w:hAnsi="Cambria Math" w:cs="Times New Roman"/>
                            <w:b w:val="0"/>
                            <w:i w:val="0"/>
                            <w:color w:val="auto"/>
                            <w:kern w:val="2"/>
                            <w:sz w:val="24"/>
                            <w:szCs w:val="24"/>
                            <w:highlight w:val="none"/>
                            <w:lang w:val="en-US" w:eastAsia="zh-CN" w:bidi="ar-SA"/>
                          </w:rPr>
                        </m:ctrlPr>
                      </m:den>
                    </m:f>
                    <m:r>
                      <m:rPr>
                        <m:nor/>
                        <m:sty m:val="p"/>
                      </m:rPr>
                      <w:rPr>
                        <w:rFonts w:hint="default" w:ascii="Times New Roman" w:hAnsi="Times New Roman" w:cs="Times New Roman"/>
                        <w:b w:val="0"/>
                        <w:i w:val="0"/>
                        <w:color w:val="auto"/>
                        <w:kern w:val="2"/>
                        <w:sz w:val="24"/>
                        <w:szCs w:val="24"/>
                        <w:highlight w:val="none"/>
                        <w:lang w:val="en-US" w:eastAsia="zh-CN" w:bidi="ar-SA"/>
                      </w:rPr>
                      <m:t>）</m:t>
                    </m:r>
                    <m:ctrlPr>
                      <w:rPr>
                        <w:rFonts w:hint="default" w:ascii="Cambria Math" w:hAnsi="Cambria Math" w:cs="Times New Roman"/>
                        <w:bCs/>
                        <w:color w:val="auto"/>
                        <w:kern w:val="2"/>
                        <w:sz w:val="24"/>
                        <w:szCs w:val="24"/>
                        <w:highlight w:val="none"/>
                        <w:lang w:val="en-US" w:eastAsia="zh-CN" w:bidi="ar-SA"/>
                      </w:rPr>
                    </m:ctrlPr>
                  </m:e>
                  <m:sup>
                    <m:r>
                      <m:rPr>
                        <m:nor/>
                        <m:sty m:val="p"/>
                      </m:rPr>
                      <w:rPr>
                        <w:rFonts w:hint="default" w:ascii="Times New Roman" w:hAnsi="Times New Roman" w:cs="Times New Roman"/>
                        <w:b w:val="0"/>
                        <w:i w:val="0"/>
                        <w:color w:val="auto"/>
                        <w:kern w:val="2"/>
                        <w:sz w:val="24"/>
                        <w:szCs w:val="24"/>
                        <w:highlight w:val="none"/>
                        <w:lang w:val="en-US" w:eastAsia="zh-CN" w:bidi="ar-SA"/>
                      </w:rPr>
                      <m:t>0.85</m:t>
                    </m:r>
                    <m:ctrlPr>
                      <w:rPr>
                        <w:rFonts w:hint="default" w:ascii="Cambria Math" w:hAnsi="Cambria Math" w:cs="Times New Roman"/>
                        <w:bCs/>
                        <w:color w:val="auto"/>
                        <w:kern w:val="2"/>
                        <w:sz w:val="24"/>
                        <w:szCs w:val="24"/>
                        <w:highlight w:val="none"/>
                        <w:lang w:val="en-US" w:eastAsia="zh-CN" w:bidi="ar-SA"/>
                      </w:rPr>
                    </m:ctrlPr>
                  </m:sup>
                </m:sSup>
                <m:r>
                  <m:rPr>
                    <m:nor/>
                    <m:sty m:val="p"/>
                  </m:rPr>
                  <w:rPr>
                    <w:rFonts w:hint="default" w:ascii="Times New Roman" w:hAnsi="Times New Roman" w:cs="Times New Roman"/>
                    <w:b w:val="0"/>
                    <w:i w:val="0"/>
                    <w:color w:val="auto"/>
                    <w:kern w:val="2"/>
                    <w:sz w:val="24"/>
                    <w:szCs w:val="24"/>
                    <w:highlight w:val="none"/>
                    <w:lang w:val="en-US" w:eastAsia="zh-CN" w:bidi="ar-SA"/>
                  </w:rPr>
                  <m:t>×（</m:t>
                </m:r>
                <m:f>
                  <m:fPr>
                    <m:ctrlPr>
                      <w:rPr>
                        <w:rFonts w:hint="default" w:ascii="Cambria Math" w:hAnsi="Cambria Math" w:cs="Times New Roman"/>
                        <w:bCs/>
                        <w:color w:val="auto"/>
                        <w:kern w:val="2"/>
                        <w:sz w:val="24"/>
                        <w:szCs w:val="24"/>
                        <w:highlight w:val="none"/>
                        <w:lang w:val="en-US" w:eastAsia="zh-CN" w:bidi="ar-SA"/>
                      </w:rPr>
                    </m:ctrlPr>
                  </m:fPr>
                  <m:num>
                    <m:r>
                      <m:rPr>
                        <m:nor/>
                        <m:sty m:val="p"/>
                      </m:rPr>
                      <w:rPr>
                        <w:rFonts w:hint="default" w:ascii="Times New Roman" w:hAnsi="Times New Roman" w:cs="Times New Roman"/>
                        <w:b w:val="0"/>
                        <w:i w:val="0"/>
                        <w:color w:val="auto"/>
                        <w:kern w:val="2"/>
                        <w:sz w:val="24"/>
                        <w:szCs w:val="24"/>
                        <w:highlight w:val="none"/>
                        <w:lang w:val="en-US" w:eastAsia="zh-CN" w:bidi="ar-SA"/>
                      </w:rPr>
                      <m:t>P</m:t>
                    </m:r>
                    <m:ctrlPr>
                      <w:rPr>
                        <w:rFonts w:hint="default" w:ascii="Cambria Math" w:hAnsi="Cambria Math" w:cs="Times New Roman"/>
                        <w:bCs/>
                        <w:color w:val="auto"/>
                        <w:kern w:val="2"/>
                        <w:sz w:val="24"/>
                        <w:szCs w:val="24"/>
                        <w:highlight w:val="none"/>
                        <w:lang w:val="en-US" w:eastAsia="zh-CN" w:bidi="ar-SA"/>
                      </w:rPr>
                    </m:ctrlPr>
                  </m:num>
                  <m:den>
                    <m:r>
                      <m:rPr>
                        <m:nor/>
                        <m:sty m:val="p"/>
                      </m:rPr>
                      <w:rPr>
                        <w:rFonts w:hint="default" w:ascii="Times New Roman" w:hAnsi="Times New Roman" w:cs="Times New Roman"/>
                        <w:b w:val="0"/>
                        <w:i w:val="0"/>
                        <w:color w:val="auto"/>
                        <w:kern w:val="2"/>
                        <w:sz w:val="24"/>
                        <w:szCs w:val="24"/>
                        <w:highlight w:val="none"/>
                        <w:lang w:val="en-US" w:eastAsia="zh-CN" w:bidi="ar-SA"/>
                      </w:rPr>
                      <m:t>0.5</m:t>
                    </m:r>
                    <m:ctrlPr>
                      <w:rPr>
                        <w:rFonts w:hint="default" w:ascii="Cambria Math" w:hAnsi="Cambria Math" w:cs="Times New Roman"/>
                        <w:bCs/>
                        <w:color w:val="auto"/>
                        <w:kern w:val="2"/>
                        <w:sz w:val="24"/>
                        <w:szCs w:val="24"/>
                        <w:highlight w:val="none"/>
                        <w:lang w:val="en-US" w:eastAsia="zh-CN" w:bidi="ar-SA"/>
                      </w:rPr>
                    </m:ctrlPr>
                  </m:den>
                </m:f>
                <m:sSup>
                  <m:sSupPr>
                    <m:ctrlPr>
                      <w:rPr>
                        <w:rFonts w:hint="default" w:ascii="Cambria Math" w:hAnsi="Cambria Math" w:cs="Times New Roman"/>
                        <w:bCs/>
                        <w:color w:val="auto"/>
                        <w:kern w:val="2"/>
                        <w:sz w:val="24"/>
                        <w:szCs w:val="24"/>
                        <w:highlight w:val="none"/>
                        <w:lang w:val="en-US" w:eastAsia="zh-CN" w:bidi="ar-SA"/>
                      </w:rPr>
                    </m:ctrlPr>
                  </m:sSupPr>
                  <m:e>
                    <m:r>
                      <m:rPr>
                        <m:nor/>
                        <m:sty m:val="p"/>
                      </m:rPr>
                      <w:rPr>
                        <w:rFonts w:hint="default" w:ascii="Times New Roman" w:hAnsi="Times New Roman" w:cs="Times New Roman"/>
                        <w:b w:val="0"/>
                        <w:i w:val="0"/>
                        <w:color w:val="auto"/>
                        <w:kern w:val="2"/>
                        <w:sz w:val="24"/>
                        <w:szCs w:val="24"/>
                        <w:highlight w:val="none"/>
                        <w:lang w:val="en-US" w:eastAsia="zh-CN" w:bidi="ar-SA"/>
                      </w:rPr>
                      <m:t>）</m:t>
                    </m:r>
                    <m:ctrlPr>
                      <w:rPr>
                        <w:rFonts w:hint="default" w:ascii="Cambria Math" w:hAnsi="Cambria Math" w:cs="Times New Roman"/>
                        <w:bCs/>
                        <w:color w:val="auto"/>
                        <w:kern w:val="2"/>
                        <w:sz w:val="24"/>
                        <w:szCs w:val="24"/>
                        <w:highlight w:val="none"/>
                        <w:lang w:val="en-US" w:eastAsia="zh-CN" w:bidi="ar-SA"/>
                      </w:rPr>
                    </m:ctrlPr>
                  </m:e>
                  <m:sup>
                    <m:r>
                      <m:rPr>
                        <m:nor/>
                        <m:sty m:val="p"/>
                      </m:rPr>
                      <w:rPr>
                        <w:rFonts w:hint="default" w:ascii="Times New Roman" w:hAnsi="Times New Roman" w:cs="Times New Roman"/>
                        <w:b w:val="0"/>
                        <w:i w:val="0"/>
                        <w:color w:val="auto"/>
                        <w:kern w:val="2"/>
                        <w:sz w:val="24"/>
                        <w:szCs w:val="24"/>
                        <w:highlight w:val="none"/>
                        <w:lang w:val="en-US" w:eastAsia="zh-CN" w:bidi="ar-SA"/>
                      </w:rPr>
                      <m:t>0.75</m:t>
                    </m:r>
                    <m:ctrlPr>
                      <w:rPr>
                        <w:rFonts w:hint="default" w:ascii="Cambria Math" w:hAnsi="Cambria Math" w:cs="Times New Roman"/>
                        <w:bCs/>
                        <w:color w:val="auto"/>
                        <w:kern w:val="2"/>
                        <w:sz w:val="24"/>
                        <w:szCs w:val="24"/>
                        <w:highlight w:val="none"/>
                        <w:lang w:val="en-US" w:eastAsia="zh-CN" w:bidi="ar-SA"/>
                      </w:rPr>
                    </m:ctrlPr>
                  </m:sup>
                </m:sSup>
              </m:oMath>
            </m:oMathPara>
          </w:p>
          <w:p w14:paraId="771B6F11">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式中：Q—汽车行驶时的扬尘，kg/km</w:t>
            </w:r>
            <w:r>
              <w:rPr>
                <w:rFonts w:hint="default" w:ascii="Times New Roman" w:hAnsi="Times New Roman" w:cs="Times New Roman"/>
                <w:bCs/>
                <w:color w:val="auto"/>
                <w:sz w:val="24"/>
                <w:highlight w:val="none"/>
                <w:lang w:val="en-US" w:eastAsia="zh-CN"/>
              </w:rPr>
              <w:t>·</w:t>
            </w:r>
            <w:r>
              <w:rPr>
                <w:rFonts w:hint="default" w:ascii="Times New Roman" w:hAnsi="Times New Roman" w:cs="Times New Roman"/>
                <w:bCs/>
                <w:color w:val="auto"/>
                <w:sz w:val="24"/>
                <w:highlight w:val="none"/>
              </w:rPr>
              <w:t>辆；</w:t>
            </w:r>
          </w:p>
          <w:p w14:paraId="187E0475">
            <w:pPr>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V—汽车速度，km/h；</w:t>
            </w:r>
            <w:r>
              <w:rPr>
                <w:rFonts w:hint="default" w:ascii="Times New Roman" w:hAnsi="Times New Roman" w:cs="Times New Roman"/>
                <w:bCs/>
                <w:color w:val="auto"/>
                <w:sz w:val="24"/>
                <w:highlight w:val="none"/>
                <w:lang w:val="en-US" w:eastAsia="zh-CN"/>
              </w:rPr>
              <w:t>取20；</w:t>
            </w:r>
          </w:p>
          <w:p w14:paraId="33126D0C">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W—汽车载重量，吨；</w:t>
            </w:r>
          </w:p>
          <w:p w14:paraId="47B3B14F">
            <w:pPr>
              <w:spacing w:line="360" w:lineRule="auto"/>
              <w:ind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cs="Times New Roman"/>
                <w:bCs/>
                <w:color w:val="auto"/>
                <w:sz w:val="24"/>
                <w:highlight w:val="none"/>
              </w:rPr>
              <w:t>P—道路表面粉尘量，kg/m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，以0.02kg/m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计算</w:t>
            </w:r>
            <w:r>
              <w:rPr>
                <w:rFonts w:hint="default" w:ascii="Times New Roman" w:hAnsi="Times New Roman" w:cs="Times New Roman"/>
                <w:bCs/>
                <w:color w:val="auto"/>
                <w:sz w:val="24"/>
                <w:highlight w:val="none"/>
                <w:lang w:eastAsia="zh-CN"/>
              </w:rPr>
              <w:t>；</w:t>
            </w:r>
          </w:p>
          <w:p w14:paraId="222132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本项目</w:t>
            </w:r>
            <w:r>
              <w:rPr>
                <w:rFonts w:hint="default" w:ascii="Times New Roman" w:hAnsi="Times New Roman" w:cs="Times New Roman"/>
                <w:bCs/>
                <w:color w:val="auto"/>
                <w:sz w:val="24"/>
                <w:highlight w:val="none"/>
              </w:rPr>
              <w:t>车辆在厂区内</w:t>
            </w:r>
            <w:r>
              <w:rPr>
                <w:rFonts w:hint="default" w:ascii="Times New Roman" w:hAnsi="Times New Roman" w:cs="Times New Roman"/>
                <w:bCs/>
                <w:color w:val="auto"/>
                <w:sz w:val="24"/>
                <w:highlight w:val="none"/>
                <w:lang w:val="en-US" w:eastAsia="zh-CN"/>
              </w:rPr>
              <w:t>往返</w:t>
            </w:r>
            <w:r>
              <w:rPr>
                <w:rFonts w:hint="default" w:ascii="Times New Roman" w:hAnsi="Times New Roman" w:cs="Times New Roman"/>
                <w:bCs/>
                <w:color w:val="auto"/>
                <w:sz w:val="24"/>
                <w:highlight w:val="none"/>
              </w:rPr>
              <w:t>行驶距离按100m计</w:t>
            </w:r>
            <w:r>
              <w:rPr>
                <w:rFonts w:hint="default" w:ascii="Times New Roman" w:hAnsi="Times New Roman" w:cs="Times New Roman"/>
                <w:bCs/>
                <w:color w:val="auto"/>
                <w:sz w:val="24"/>
                <w:highlight w:val="none"/>
                <w:lang w:eastAsia="zh-CN"/>
              </w:rPr>
              <w:t>；</w:t>
            </w:r>
          </w:p>
          <w:p w14:paraId="6EFC4D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Cs/>
                <w:color w:val="auto"/>
                <w:sz w:val="24"/>
                <w:highlight w:val="none"/>
                <w:lang w:val="en-US" w:eastAsia="zh-CN"/>
              </w:rPr>
            </w:pPr>
            <w:r>
              <w:rPr>
                <w:rFonts w:hint="default" w:ascii="Times New Roman" w:hAnsi="Times New Roman" w:cs="Times New Roman"/>
                <w:bCs/>
                <w:color w:val="auto"/>
                <w:sz w:val="24"/>
                <w:highlight w:val="none"/>
                <w:lang w:val="en-US" w:eastAsia="zh-CN"/>
              </w:rPr>
              <w:t>本项目所有车辆运行参数见下表：</w:t>
            </w:r>
          </w:p>
          <w:p w14:paraId="12E39B12">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表4-2各运输车辆参数表</w:t>
            </w:r>
          </w:p>
          <w:tbl>
            <w:tblPr>
              <w:tblStyle w:val="23"/>
              <w:tblW w:w="5000"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1305"/>
              <w:gridCol w:w="1054"/>
              <w:gridCol w:w="1288"/>
              <w:gridCol w:w="1140"/>
              <w:gridCol w:w="1156"/>
              <w:gridCol w:w="1094"/>
            </w:tblGrid>
            <w:tr w14:paraId="3673C79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67" w:type="pct"/>
                  <w:tcBorders>
                    <w:tl2br w:val="nil"/>
                    <w:tr2bl w:val="nil"/>
                  </w:tcBorders>
                  <w:vAlign w:val="center"/>
                </w:tcPr>
                <w:p w14:paraId="7B5D9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运输物料</w:t>
                  </w:r>
                </w:p>
              </w:tc>
              <w:tc>
                <w:tcPr>
                  <w:tcW w:w="822" w:type="pct"/>
                  <w:tcBorders>
                    <w:tl2br w:val="nil"/>
                    <w:tr2bl w:val="nil"/>
                  </w:tcBorders>
                  <w:vAlign w:val="center"/>
                </w:tcPr>
                <w:p w14:paraId="1742FA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运输量（t/a）</w:t>
                  </w:r>
                </w:p>
              </w:tc>
              <w:tc>
                <w:tcPr>
                  <w:tcW w:w="664" w:type="pct"/>
                  <w:tcBorders>
                    <w:tl2br w:val="nil"/>
                    <w:tr2bl w:val="nil"/>
                  </w:tcBorders>
                  <w:vAlign w:val="center"/>
                </w:tcPr>
                <w:p w14:paraId="066821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单车运输量</w:t>
                  </w:r>
                </w:p>
              </w:tc>
              <w:tc>
                <w:tcPr>
                  <w:tcW w:w="811" w:type="pct"/>
                  <w:tcBorders>
                    <w:tl2br w:val="nil"/>
                    <w:tr2bl w:val="nil"/>
                  </w:tcBorders>
                  <w:vAlign w:val="center"/>
                </w:tcPr>
                <w:p w14:paraId="13004F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所需车辆（辆）</w:t>
                  </w:r>
                </w:p>
              </w:tc>
              <w:tc>
                <w:tcPr>
                  <w:tcW w:w="718" w:type="pct"/>
                  <w:tcBorders>
                    <w:tl2br w:val="nil"/>
                    <w:tr2bl w:val="nil"/>
                  </w:tcBorders>
                  <w:vAlign w:val="center"/>
                </w:tcPr>
                <w:p w14:paraId="051D86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空车重量（t）</w:t>
                  </w:r>
                </w:p>
              </w:tc>
              <w:tc>
                <w:tcPr>
                  <w:tcW w:w="727" w:type="pct"/>
                  <w:tcBorders>
                    <w:tl2br w:val="nil"/>
                    <w:tr2bl w:val="nil"/>
                  </w:tcBorders>
                  <w:vAlign w:val="center"/>
                </w:tcPr>
                <w:p w14:paraId="20649B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满载重量（t）</w:t>
                  </w:r>
                </w:p>
              </w:tc>
              <w:tc>
                <w:tcPr>
                  <w:tcW w:w="689" w:type="pct"/>
                  <w:tcBorders>
                    <w:tl2br w:val="nil"/>
                    <w:tr2bl w:val="nil"/>
                  </w:tcBorders>
                  <w:vAlign w:val="center"/>
                </w:tcPr>
                <w:p w14:paraId="1AB943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产尘量（t/a）</w:t>
                  </w:r>
                </w:p>
              </w:tc>
            </w:tr>
            <w:tr w14:paraId="655B0B3C">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0D0779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default" w:ascii="Times New Roman" w:hAnsi="Times New Roman" w:cs="Times New Roman"/>
                      <w:bCs/>
                      <w:color w:val="auto"/>
                      <w:sz w:val="21"/>
                      <w:szCs w:val="21"/>
                      <w:highlight w:val="none"/>
                      <w:vertAlign w:val="baseline"/>
                    </w:rPr>
                    <w:t>混凝土</w:t>
                  </w:r>
                </w:p>
              </w:tc>
              <w:tc>
                <w:tcPr>
                  <w:tcW w:w="822" w:type="pct"/>
                  <w:tcBorders>
                    <w:tl2br w:val="nil"/>
                    <w:tr2bl w:val="nil"/>
                  </w:tcBorders>
                  <w:vAlign w:val="center"/>
                </w:tcPr>
                <w:p w14:paraId="40FD87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1</w:t>
                  </w:r>
                  <w:r>
                    <w:rPr>
                      <w:rFonts w:hint="eastAsia" w:ascii="Times New Roman" w:hAnsi="Times New Roman" w:cs="Times New Roman"/>
                      <w:bCs/>
                      <w:color w:val="auto"/>
                      <w:sz w:val="21"/>
                      <w:szCs w:val="21"/>
                      <w:highlight w:val="none"/>
                      <w:vertAlign w:val="baseline"/>
                      <w:lang w:val="en-US" w:eastAsia="zh-CN"/>
                    </w:rPr>
                    <w:t>0</w:t>
                  </w:r>
                  <w:r>
                    <w:rPr>
                      <w:rFonts w:hint="eastAsia" w:cs="Times New Roman"/>
                      <w:bCs/>
                      <w:color w:val="auto"/>
                      <w:sz w:val="21"/>
                      <w:szCs w:val="21"/>
                      <w:highlight w:val="none"/>
                      <w:vertAlign w:val="baseline"/>
                      <w:lang w:val="en-US" w:eastAsia="zh-CN"/>
                    </w:rPr>
                    <w:t>0000</w:t>
                  </w:r>
                  <w:r>
                    <w:rPr>
                      <w:rFonts w:hint="eastAsia" w:ascii="Times New Roman" w:hAnsi="Times New Roman" w:cs="Times New Roman"/>
                      <w:bCs/>
                      <w:color w:val="auto"/>
                      <w:sz w:val="21"/>
                      <w:szCs w:val="21"/>
                      <w:highlight w:val="none"/>
                      <w:vertAlign w:val="baseline"/>
                      <w:lang w:val="en-US" w:eastAsia="zh-CN"/>
                    </w:rPr>
                    <w:t>m</w:t>
                  </w:r>
                  <w:r>
                    <w:rPr>
                      <w:rFonts w:hint="eastAsia" w:ascii="Times New Roman" w:hAnsi="Times New Roman" w:cs="Times New Roman"/>
                      <w:bCs/>
                      <w:color w:val="auto"/>
                      <w:sz w:val="21"/>
                      <w:szCs w:val="21"/>
                      <w:highlight w:val="none"/>
                      <w:vertAlign w:val="superscript"/>
                      <w:lang w:val="en-US" w:eastAsia="zh-CN"/>
                    </w:rPr>
                    <w:t>3</w:t>
                  </w:r>
                  <w:r>
                    <w:rPr>
                      <w:rFonts w:hint="eastAsia" w:ascii="Times New Roman" w:hAnsi="Times New Roman" w:cs="Times New Roman"/>
                      <w:bCs/>
                      <w:color w:val="auto"/>
                      <w:sz w:val="21"/>
                      <w:szCs w:val="21"/>
                      <w:highlight w:val="none"/>
                      <w:vertAlign w:val="baseline"/>
                      <w:lang w:val="en-US" w:eastAsia="zh-CN"/>
                    </w:rPr>
                    <w:t>/a</w:t>
                  </w:r>
                </w:p>
              </w:tc>
              <w:tc>
                <w:tcPr>
                  <w:tcW w:w="664" w:type="pct"/>
                  <w:tcBorders>
                    <w:tl2br w:val="nil"/>
                    <w:tr2bl w:val="nil"/>
                  </w:tcBorders>
                  <w:vAlign w:val="center"/>
                </w:tcPr>
                <w:p w14:paraId="31923D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20m</w:t>
                  </w:r>
                  <w:r>
                    <w:rPr>
                      <w:rFonts w:hint="eastAsia" w:ascii="Times New Roman" w:hAnsi="Times New Roman" w:cs="Times New Roman"/>
                      <w:bCs/>
                      <w:color w:val="auto"/>
                      <w:sz w:val="21"/>
                      <w:szCs w:val="21"/>
                      <w:highlight w:val="none"/>
                      <w:vertAlign w:val="superscript"/>
                      <w:lang w:val="en-US" w:eastAsia="zh-CN"/>
                    </w:rPr>
                    <w:t>3</w:t>
                  </w:r>
                </w:p>
              </w:tc>
              <w:tc>
                <w:tcPr>
                  <w:tcW w:w="811" w:type="pct"/>
                  <w:tcBorders>
                    <w:tl2br w:val="nil"/>
                    <w:tr2bl w:val="nil"/>
                  </w:tcBorders>
                  <w:vAlign w:val="center"/>
                </w:tcPr>
                <w:p w14:paraId="15AED7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5000</w:t>
                  </w:r>
                </w:p>
              </w:tc>
              <w:tc>
                <w:tcPr>
                  <w:tcW w:w="718" w:type="pct"/>
                  <w:tcBorders>
                    <w:tl2br w:val="nil"/>
                    <w:tr2bl w:val="nil"/>
                  </w:tcBorders>
                  <w:vAlign w:val="center"/>
                </w:tcPr>
                <w:p w14:paraId="31F1F8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3F284C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60</w:t>
                  </w:r>
                </w:p>
              </w:tc>
              <w:tc>
                <w:tcPr>
                  <w:tcW w:w="1094" w:type="dxa"/>
                  <w:tcBorders>
                    <w:tl2br w:val="nil"/>
                    <w:tr2bl w:val="nil"/>
                  </w:tcBorders>
                  <w:vAlign w:val="center"/>
                </w:tcPr>
                <w:p w14:paraId="0E95F574">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1.417</w:t>
                  </w:r>
                </w:p>
              </w:tc>
            </w:tr>
            <w:tr w14:paraId="4ED43F1B">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667422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水泥</w:t>
                  </w:r>
                </w:p>
              </w:tc>
              <w:tc>
                <w:tcPr>
                  <w:tcW w:w="1305" w:type="dxa"/>
                  <w:tcBorders>
                    <w:tl2br w:val="nil"/>
                    <w:tr2bl w:val="nil"/>
                  </w:tcBorders>
                  <w:vAlign w:val="center"/>
                </w:tcPr>
                <w:p w14:paraId="375DA179">
                  <w:pPr>
                    <w:autoSpaceDE w:val="0"/>
                    <w:autoSpaceDN w:val="0"/>
                    <w:jc w:val="center"/>
                    <w:rPr>
                      <w:rFonts w:hint="default"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24603</w:t>
                  </w:r>
                </w:p>
              </w:tc>
              <w:tc>
                <w:tcPr>
                  <w:tcW w:w="664" w:type="pct"/>
                  <w:tcBorders>
                    <w:tl2br w:val="nil"/>
                    <w:tr2bl w:val="nil"/>
                  </w:tcBorders>
                  <w:vAlign w:val="center"/>
                </w:tcPr>
                <w:p w14:paraId="6F941C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562427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1231</w:t>
                  </w:r>
                </w:p>
              </w:tc>
              <w:tc>
                <w:tcPr>
                  <w:tcW w:w="718" w:type="pct"/>
                  <w:tcBorders>
                    <w:tl2br w:val="nil"/>
                    <w:tr2bl w:val="nil"/>
                  </w:tcBorders>
                  <w:vAlign w:val="center"/>
                </w:tcPr>
                <w:p w14:paraId="5AAC4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05F64A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05A2E50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0.221</w:t>
                  </w:r>
                </w:p>
              </w:tc>
            </w:tr>
            <w:tr w14:paraId="028D7B0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2FDB68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粉煤灰</w:t>
                  </w:r>
                </w:p>
              </w:tc>
              <w:tc>
                <w:tcPr>
                  <w:tcW w:w="1305" w:type="dxa"/>
                  <w:tcBorders>
                    <w:tl2br w:val="nil"/>
                    <w:tr2bl w:val="nil"/>
                  </w:tcBorders>
                  <w:vAlign w:val="center"/>
                </w:tcPr>
                <w:p w14:paraId="15E517A2">
                  <w:pPr>
                    <w:autoSpaceDE w:val="0"/>
                    <w:autoSpaceDN w:val="0"/>
                    <w:jc w:val="center"/>
                    <w:rPr>
                      <w:rFonts w:hint="eastAsia"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8201</w:t>
                  </w:r>
                </w:p>
              </w:tc>
              <w:tc>
                <w:tcPr>
                  <w:tcW w:w="664" w:type="pct"/>
                  <w:tcBorders>
                    <w:tl2br w:val="nil"/>
                    <w:tr2bl w:val="nil"/>
                  </w:tcBorders>
                  <w:vAlign w:val="center"/>
                </w:tcPr>
                <w:p w14:paraId="1467DA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1EC5B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411</w:t>
                  </w:r>
                </w:p>
              </w:tc>
              <w:tc>
                <w:tcPr>
                  <w:tcW w:w="718" w:type="pct"/>
                  <w:tcBorders>
                    <w:tl2br w:val="nil"/>
                    <w:tr2bl w:val="nil"/>
                  </w:tcBorders>
                  <w:vAlign w:val="center"/>
                </w:tcPr>
                <w:p w14:paraId="379994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1D3ACF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005B402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0.074</w:t>
                  </w:r>
                </w:p>
              </w:tc>
            </w:tr>
            <w:tr w14:paraId="24DDC10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0575CA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矿粉</w:t>
                  </w:r>
                </w:p>
              </w:tc>
              <w:tc>
                <w:tcPr>
                  <w:tcW w:w="1305" w:type="dxa"/>
                  <w:tcBorders>
                    <w:tl2br w:val="nil"/>
                    <w:tr2bl w:val="nil"/>
                  </w:tcBorders>
                  <w:vAlign w:val="center"/>
                </w:tcPr>
                <w:p w14:paraId="2507A2AC">
                  <w:pPr>
                    <w:autoSpaceDE w:val="0"/>
                    <w:autoSpaceDN w:val="0"/>
                    <w:jc w:val="center"/>
                    <w:rPr>
                      <w:rFonts w:hint="eastAsia" w:ascii="Times New Roman" w:hAnsi="Times New Roman" w:eastAsia="宋体"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16402</w:t>
                  </w:r>
                </w:p>
              </w:tc>
              <w:tc>
                <w:tcPr>
                  <w:tcW w:w="664" w:type="pct"/>
                  <w:tcBorders>
                    <w:tl2br w:val="nil"/>
                    <w:tr2bl w:val="nil"/>
                  </w:tcBorders>
                  <w:vAlign w:val="center"/>
                </w:tcPr>
                <w:p w14:paraId="4799BF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0DB700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821</w:t>
                  </w:r>
                </w:p>
              </w:tc>
              <w:tc>
                <w:tcPr>
                  <w:tcW w:w="718" w:type="pct"/>
                  <w:tcBorders>
                    <w:tl2br w:val="nil"/>
                    <w:tr2bl w:val="nil"/>
                  </w:tcBorders>
                  <w:vAlign w:val="center"/>
                </w:tcPr>
                <w:p w14:paraId="16691A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3E91DA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59FBF10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0.148</w:t>
                  </w:r>
                </w:p>
              </w:tc>
            </w:tr>
            <w:tr w14:paraId="09A9765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3C0184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石料</w:t>
                  </w:r>
                </w:p>
              </w:tc>
              <w:tc>
                <w:tcPr>
                  <w:tcW w:w="1305" w:type="dxa"/>
                  <w:tcBorders>
                    <w:tl2br w:val="nil"/>
                    <w:tr2bl w:val="nil"/>
                  </w:tcBorders>
                  <w:vAlign w:val="center"/>
                </w:tcPr>
                <w:p w14:paraId="1CDECB78">
                  <w:pPr>
                    <w:autoSpaceDE w:val="0"/>
                    <w:autoSpaceDN w:val="0"/>
                    <w:jc w:val="center"/>
                    <w:rPr>
                      <w:rFonts w:hint="default" w:ascii="Times New Roman" w:hAnsi="Times New Roman"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82008</w:t>
                  </w:r>
                </w:p>
              </w:tc>
              <w:tc>
                <w:tcPr>
                  <w:tcW w:w="664" w:type="pct"/>
                  <w:tcBorders>
                    <w:tl2br w:val="nil"/>
                    <w:tr2bl w:val="nil"/>
                  </w:tcBorders>
                  <w:vAlign w:val="center"/>
                </w:tcPr>
                <w:p w14:paraId="57EC28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1D9D3E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4101</w:t>
                  </w:r>
                </w:p>
              </w:tc>
              <w:tc>
                <w:tcPr>
                  <w:tcW w:w="718" w:type="pct"/>
                  <w:tcBorders>
                    <w:tl2br w:val="nil"/>
                    <w:tr2bl w:val="nil"/>
                  </w:tcBorders>
                  <w:vAlign w:val="center"/>
                </w:tcPr>
                <w:p w14:paraId="48526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2B75AF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31C7DF33">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0.737</w:t>
                  </w:r>
                </w:p>
              </w:tc>
            </w:tr>
            <w:tr w14:paraId="169B9A7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21FA74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砂子</w:t>
                  </w:r>
                </w:p>
              </w:tc>
              <w:tc>
                <w:tcPr>
                  <w:tcW w:w="1305" w:type="dxa"/>
                  <w:tcBorders>
                    <w:tl2br w:val="nil"/>
                    <w:tr2bl w:val="nil"/>
                  </w:tcBorders>
                  <w:vAlign w:val="center"/>
                </w:tcPr>
                <w:p w14:paraId="53BE8AD7">
                  <w:pPr>
                    <w:autoSpaceDE w:val="0"/>
                    <w:autoSpaceDN w:val="0"/>
                    <w:jc w:val="center"/>
                    <w:rPr>
                      <w:rFonts w:hint="default" w:ascii="Times New Roman" w:hAnsi="Times New Roman"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82008</w:t>
                  </w:r>
                </w:p>
              </w:tc>
              <w:tc>
                <w:tcPr>
                  <w:tcW w:w="664" w:type="pct"/>
                  <w:tcBorders>
                    <w:tl2br w:val="nil"/>
                    <w:tr2bl w:val="nil"/>
                  </w:tcBorders>
                  <w:vAlign w:val="center"/>
                </w:tcPr>
                <w:p w14:paraId="116311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06B8A4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4101</w:t>
                  </w:r>
                </w:p>
              </w:tc>
              <w:tc>
                <w:tcPr>
                  <w:tcW w:w="718" w:type="pct"/>
                  <w:tcBorders>
                    <w:tl2br w:val="nil"/>
                    <w:tr2bl w:val="nil"/>
                  </w:tcBorders>
                  <w:vAlign w:val="center"/>
                </w:tcPr>
                <w:p w14:paraId="3883C4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rPr>
                  </w:pPr>
                  <w:r>
                    <w:rPr>
                      <w:rFonts w:hint="eastAsia" w:ascii="Times New Roman" w:hAnsi="Times New Roman" w:cs="Times New Roman"/>
                      <w:bCs/>
                      <w:color w:val="auto"/>
                      <w:sz w:val="21"/>
                      <w:szCs w:val="21"/>
                      <w:highlight w:val="none"/>
                      <w:vertAlign w:val="baseline"/>
                      <w:lang w:val="en-US" w:eastAsia="zh-CN"/>
                    </w:rPr>
                    <w:t>10</w:t>
                  </w:r>
                </w:p>
              </w:tc>
              <w:tc>
                <w:tcPr>
                  <w:tcW w:w="727" w:type="pct"/>
                  <w:tcBorders>
                    <w:tl2br w:val="nil"/>
                    <w:tr2bl w:val="nil"/>
                  </w:tcBorders>
                  <w:vAlign w:val="center"/>
                </w:tcPr>
                <w:p w14:paraId="3AE83A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12C3C666">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0.737</w:t>
                  </w:r>
                </w:p>
              </w:tc>
            </w:tr>
            <w:tr w14:paraId="3A37CFE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415F13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膨胀剂</w:t>
                  </w:r>
                </w:p>
              </w:tc>
              <w:tc>
                <w:tcPr>
                  <w:tcW w:w="1305" w:type="dxa"/>
                  <w:tcBorders>
                    <w:tl2br w:val="nil"/>
                    <w:tr2bl w:val="nil"/>
                  </w:tcBorders>
                  <w:vAlign w:val="center"/>
                </w:tcPr>
                <w:p w14:paraId="74C08BA1">
                  <w:pPr>
                    <w:autoSpaceDE w:val="0"/>
                    <w:autoSpaceDN w:val="0"/>
                    <w:jc w:val="center"/>
                    <w:rPr>
                      <w:rFonts w:hint="default"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820</w:t>
                  </w:r>
                </w:p>
              </w:tc>
              <w:tc>
                <w:tcPr>
                  <w:tcW w:w="664" w:type="pct"/>
                  <w:tcBorders>
                    <w:tl2br w:val="nil"/>
                    <w:tr2bl w:val="nil"/>
                  </w:tcBorders>
                  <w:vAlign w:val="center"/>
                </w:tcPr>
                <w:p w14:paraId="035AEC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7B4024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41</w:t>
                  </w:r>
                </w:p>
              </w:tc>
              <w:tc>
                <w:tcPr>
                  <w:tcW w:w="718" w:type="pct"/>
                  <w:tcBorders>
                    <w:tl2br w:val="nil"/>
                    <w:tr2bl w:val="nil"/>
                  </w:tcBorders>
                  <w:vAlign w:val="center"/>
                </w:tcPr>
                <w:p w14:paraId="0678B1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10</w:t>
                  </w:r>
                </w:p>
              </w:tc>
              <w:tc>
                <w:tcPr>
                  <w:tcW w:w="727" w:type="pct"/>
                  <w:tcBorders>
                    <w:tl2br w:val="nil"/>
                    <w:tr2bl w:val="nil"/>
                  </w:tcBorders>
                  <w:vAlign w:val="center"/>
                </w:tcPr>
                <w:p w14:paraId="038283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15AD48B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0.007</w:t>
                  </w:r>
                </w:p>
              </w:tc>
            </w:tr>
            <w:tr w14:paraId="31A65CD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567" w:type="pct"/>
                  <w:tcBorders>
                    <w:tl2br w:val="nil"/>
                    <w:tr2bl w:val="nil"/>
                  </w:tcBorders>
                  <w:vAlign w:val="center"/>
                </w:tcPr>
                <w:p w14:paraId="3535E6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外加剂</w:t>
                  </w:r>
                </w:p>
              </w:tc>
              <w:tc>
                <w:tcPr>
                  <w:tcW w:w="1305" w:type="dxa"/>
                  <w:tcBorders>
                    <w:tl2br w:val="nil"/>
                    <w:tr2bl w:val="nil"/>
                  </w:tcBorders>
                  <w:vAlign w:val="center"/>
                </w:tcPr>
                <w:p w14:paraId="1CA369F4">
                  <w:pPr>
                    <w:autoSpaceDE w:val="0"/>
                    <w:autoSpaceDN w:val="0"/>
                    <w:jc w:val="center"/>
                    <w:rPr>
                      <w:rFonts w:hint="default" w:cs="Times New Roman"/>
                      <w:bCs/>
                      <w:color w:val="auto"/>
                      <w:sz w:val="21"/>
                      <w:szCs w:val="21"/>
                      <w:highlight w:val="none"/>
                      <w:vertAlign w:val="baseline"/>
                      <w:lang w:val="en-US" w:eastAsia="zh-CN"/>
                    </w:rPr>
                  </w:pPr>
                  <w:r>
                    <w:rPr>
                      <w:rFonts w:hint="default" w:ascii="Times New Roman" w:hAnsi="Times New Roman" w:eastAsia="宋体" w:cs="Times New Roman"/>
                      <w:color w:val="auto"/>
                      <w:kern w:val="0"/>
                      <w:szCs w:val="21"/>
                      <w:highlight w:val="none"/>
                      <w:lang w:val="en-US" w:eastAsia="zh-CN"/>
                    </w:rPr>
                    <w:t>820</w:t>
                  </w:r>
                </w:p>
              </w:tc>
              <w:tc>
                <w:tcPr>
                  <w:tcW w:w="664" w:type="pct"/>
                  <w:tcBorders>
                    <w:tl2br w:val="nil"/>
                    <w:tr2bl w:val="nil"/>
                  </w:tcBorders>
                  <w:vAlign w:val="center"/>
                </w:tcPr>
                <w:p w14:paraId="6E1048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20t</w:t>
                  </w:r>
                </w:p>
              </w:tc>
              <w:tc>
                <w:tcPr>
                  <w:tcW w:w="1288" w:type="dxa"/>
                  <w:tcBorders>
                    <w:tl2br w:val="nil"/>
                    <w:tr2bl w:val="nil"/>
                  </w:tcBorders>
                  <w:vAlign w:val="center"/>
                </w:tcPr>
                <w:p w14:paraId="26774E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Cs/>
                      <w:color w:val="auto"/>
                      <w:sz w:val="21"/>
                      <w:szCs w:val="21"/>
                      <w:highlight w:val="none"/>
                      <w:vertAlign w:val="baseline"/>
                      <w:lang w:val="en-US" w:eastAsia="zh-CN"/>
                    </w:rPr>
                  </w:pPr>
                  <w:r>
                    <w:rPr>
                      <w:rFonts w:hint="eastAsia" w:ascii="Times New Roman" w:hAnsi="Times New Roman" w:eastAsia="宋体" w:cs="Times New Roman"/>
                      <w:bCs/>
                      <w:color w:val="auto"/>
                      <w:sz w:val="21"/>
                      <w:szCs w:val="21"/>
                      <w:highlight w:val="none"/>
                      <w:vertAlign w:val="baseline"/>
                      <w:lang w:val="en-US" w:eastAsia="zh-CN"/>
                    </w:rPr>
                    <w:t>41</w:t>
                  </w:r>
                </w:p>
              </w:tc>
              <w:tc>
                <w:tcPr>
                  <w:tcW w:w="718" w:type="pct"/>
                  <w:tcBorders>
                    <w:tl2br w:val="nil"/>
                    <w:tr2bl w:val="nil"/>
                  </w:tcBorders>
                  <w:vAlign w:val="center"/>
                </w:tcPr>
                <w:p w14:paraId="183E4E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10</w:t>
                  </w:r>
                </w:p>
              </w:tc>
              <w:tc>
                <w:tcPr>
                  <w:tcW w:w="727" w:type="pct"/>
                  <w:tcBorders>
                    <w:tl2br w:val="nil"/>
                    <w:tr2bl w:val="nil"/>
                  </w:tcBorders>
                  <w:vAlign w:val="center"/>
                </w:tcPr>
                <w:p w14:paraId="5482EA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Cs/>
                      <w:color w:val="auto"/>
                      <w:sz w:val="21"/>
                      <w:szCs w:val="21"/>
                      <w:highlight w:val="none"/>
                      <w:vertAlign w:val="baseline"/>
                      <w:lang w:val="en-US" w:eastAsia="zh-CN"/>
                    </w:rPr>
                  </w:pPr>
                  <w:r>
                    <w:rPr>
                      <w:rFonts w:hint="eastAsia" w:cs="Times New Roman"/>
                      <w:bCs/>
                      <w:color w:val="auto"/>
                      <w:sz w:val="21"/>
                      <w:szCs w:val="21"/>
                      <w:highlight w:val="none"/>
                      <w:vertAlign w:val="baseline"/>
                      <w:lang w:val="en-US" w:eastAsia="zh-CN"/>
                    </w:rPr>
                    <w:t>30</w:t>
                  </w:r>
                </w:p>
              </w:tc>
              <w:tc>
                <w:tcPr>
                  <w:tcW w:w="1094" w:type="dxa"/>
                  <w:tcBorders>
                    <w:tl2br w:val="nil"/>
                    <w:tr2bl w:val="nil"/>
                  </w:tcBorders>
                  <w:vAlign w:val="center"/>
                </w:tcPr>
                <w:p w14:paraId="5368490E">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0.007</w:t>
                  </w:r>
                </w:p>
              </w:tc>
            </w:tr>
            <w:tr w14:paraId="49C03E7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c>
                <w:tcPr>
                  <w:tcW w:w="4310" w:type="pct"/>
                  <w:gridSpan w:val="6"/>
                  <w:tcBorders>
                    <w:tl2br w:val="nil"/>
                    <w:tr2bl w:val="nil"/>
                  </w:tcBorders>
                  <w:vAlign w:val="center"/>
                </w:tcPr>
                <w:p w14:paraId="00FE42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Cs/>
                      <w:color w:val="auto"/>
                      <w:sz w:val="21"/>
                      <w:szCs w:val="21"/>
                      <w:highlight w:val="none"/>
                      <w:vertAlign w:val="baseline"/>
                      <w:lang w:val="en-US" w:eastAsia="zh-CN"/>
                    </w:rPr>
                  </w:pPr>
                  <w:r>
                    <w:rPr>
                      <w:rFonts w:hint="eastAsia" w:ascii="Times New Roman" w:hAnsi="Times New Roman" w:cs="Times New Roman"/>
                      <w:bCs/>
                      <w:color w:val="auto"/>
                      <w:sz w:val="21"/>
                      <w:szCs w:val="21"/>
                      <w:highlight w:val="none"/>
                      <w:vertAlign w:val="baseline"/>
                      <w:lang w:val="en-US" w:eastAsia="zh-CN"/>
                    </w:rPr>
                    <w:t>合计</w:t>
                  </w:r>
                </w:p>
              </w:tc>
              <w:tc>
                <w:tcPr>
                  <w:tcW w:w="1094" w:type="dxa"/>
                  <w:tcBorders>
                    <w:tl2br w:val="nil"/>
                    <w:tr2bl w:val="nil"/>
                  </w:tcBorders>
                  <w:vAlign w:val="center"/>
                </w:tcPr>
                <w:p w14:paraId="79D547E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3.349</w:t>
                  </w:r>
                </w:p>
              </w:tc>
            </w:tr>
          </w:tbl>
          <w:p w14:paraId="716831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根据上述计算，</w:t>
            </w:r>
            <w:r>
              <w:rPr>
                <w:rFonts w:hint="default" w:ascii="Times New Roman" w:hAnsi="Times New Roman" w:cs="Times New Roman"/>
                <w:bCs/>
                <w:color w:val="auto"/>
                <w:sz w:val="24"/>
                <w:highlight w:val="none"/>
              </w:rPr>
              <w:t>可知不经过任何处理的运输道路扬尘产生量约为</w:t>
            </w:r>
            <w:r>
              <w:rPr>
                <w:rFonts w:hint="default" w:ascii="Times New Roman" w:hAnsi="Times New Roman" w:eastAsia="宋体" w:cs="Times New Roman"/>
                <w:i w:val="0"/>
                <w:iCs w:val="0"/>
                <w:color w:val="auto"/>
                <w:kern w:val="0"/>
                <w:sz w:val="21"/>
                <w:szCs w:val="21"/>
                <w:highlight w:val="none"/>
                <w:u w:val="none"/>
                <w:lang w:val="en-US" w:eastAsia="zh-CN" w:bidi="ar"/>
              </w:rPr>
              <w:t>3.349</w:t>
            </w:r>
            <w:r>
              <w:rPr>
                <w:rFonts w:hint="default" w:ascii="Times New Roman" w:hAnsi="Times New Roman" w:cs="Times New Roman"/>
                <w:bCs/>
                <w:color w:val="auto"/>
                <w:sz w:val="24"/>
                <w:highlight w:val="none"/>
              </w:rPr>
              <w:t>t/a。</w:t>
            </w:r>
          </w:p>
          <w:p w14:paraId="04550E35">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本次评价要求</w:t>
            </w:r>
            <w:r>
              <w:rPr>
                <w:rFonts w:hint="eastAsia" w:cs="Times New Roman"/>
                <w:bCs/>
                <w:color w:val="auto"/>
                <w:sz w:val="24"/>
                <w:highlight w:val="none"/>
                <w:lang w:eastAsia="zh-CN"/>
              </w:rPr>
              <w:t>：</w:t>
            </w:r>
            <w:r>
              <w:rPr>
                <w:rFonts w:hint="default" w:ascii="Times New Roman" w:hAnsi="Times New Roman" w:cs="Times New Roman"/>
                <w:bCs/>
                <w:color w:val="auto"/>
                <w:sz w:val="24"/>
                <w:highlight w:val="none"/>
              </w:rPr>
              <w:t>在运输过程中要限制车速，对车辆行驶的厂区内路面及运输路线实施洒水抑尘，</w:t>
            </w:r>
            <w:r>
              <w:rPr>
                <w:rFonts w:hint="eastAsia" w:cs="Times New Roman"/>
                <w:bCs/>
                <w:color w:val="auto"/>
                <w:sz w:val="24"/>
                <w:highlight w:val="none"/>
                <w:lang w:val="en-US" w:eastAsia="zh-CN"/>
              </w:rPr>
              <w:t>地面</w:t>
            </w:r>
            <w:r>
              <w:rPr>
                <w:rFonts w:hint="default" w:ascii="Times New Roman" w:hAnsi="Times New Roman" w:cs="Times New Roman"/>
                <w:bCs/>
                <w:color w:val="auto"/>
                <w:sz w:val="24"/>
                <w:highlight w:val="none"/>
              </w:rPr>
              <w:t>每天洒水</w:t>
            </w:r>
            <w:r>
              <w:rPr>
                <w:rFonts w:hint="eastAsia" w:ascii="Times New Roman" w:hAnsi="Times New Roman" w:cs="Times New Roman"/>
                <w:bCs/>
                <w:color w:val="auto"/>
                <w:sz w:val="24"/>
                <w:highlight w:val="none"/>
                <w:lang w:val="en-US" w:eastAsia="zh-CN"/>
              </w:rPr>
              <w:t>2</w:t>
            </w:r>
            <w:r>
              <w:rPr>
                <w:rFonts w:hint="default" w:ascii="Times New Roman" w:hAnsi="Times New Roman" w:cs="Times New Roman"/>
                <w:bCs/>
                <w:color w:val="auto"/>
                <w:sz w:val="24"/>
                <w:highlight w:val="none"/>
              </w:rPr>
              <w:t>次，厂区有保洁人员及时对散落的物料进行清扫收集。经采取降尘措施后，汽车动力起尘量会减少</w:t>
            </w:r>
            <w:r>
              <w:rPr>
                <w:rFonts w:hint="eastAsia" w:cs="Times New Roman"/>
                <w:bCs/>
                <w:color w:val="auto"/>
                <w:sz w:val="24"/>
                <w:highlight w:val="none"/>
                <w:lang w:val="en-US" w:eastAsia="zh-CN"/>
              </w:rPr>
              <w:t>7</w:t>
            </w:r>
            <w:r>
              <w:rPr>
                <w:rFonts w:hint="default" w:ascii="Times New Roman" w:hAnsi="Times New Roman" w:cs="Times New Roman"/>
                <w:bCs/>
                <w:color w:val="auto"/>
                <w:sz w:val="24"/>
                <w:highlight w:val="none"/>
              </w:rPr>
              <w:t>0%，则项目汽车起尘会减少至</w:t>
            </w:r>
            <w:r>
              <w:rPr>
                <w:rFonts w:hint="eastAsia" w:cs="Times New Roman"/>
                <w:bCs/>
                <w:color w:val="auto"/>
                <w:sz w:val="24"/>
                <w:highlight w:val="none"/>
                <w:lang w:val="en-US" w:eastAsia="zh-CN"/>
              </w:rPr>
              <w:t>1</w:t>
            </w:r>
            <w:r>
              <w:rPr>
                <w:rFonts w:hint="default" w:ascii="Times New Roman" w:hAnsi="Times New Roman" w:cs="Times New Roman"/>
                <w:bCs/>
                <w:color w:val="auto"/>
                <w:sz w:val="24"/>
                <w:highlight w:val="none"/>
              </w:rPr>
              <w:t>t/a</w:t>
            </w:r>
            <w:r>
              <w:rPr>
                <w:rFonts w:hint="eastAsia" w:ascii="Times New Roman" w:hAnsi="Times New Roman" w:cs="Times New Roman"/>
                <w:bCs/>
                <w:color w:val="auto"/>
                <w:sz w:val="24"/>
                <w:highlight w:val="none"/>
                <w:lang w:eastAsia="zh-CN"/>
              </w:rPr>
              <w:t>（</w:t>
            </w:r>
            <w:r>
              <w:rPr>
                <w:rFonts w:hint="eastAsia" w:cs="Times New Roman"/>
                <w:bCs/>
                <w:color w:val="auto"/>
                <w:sz w:val="24"/>
                <w:highlight w:val="none"/>
                <w:lang w:val="en-US" w:eastAsia="zh-CN"/>
              </w:rPr>
              <w:t>0.419</w:t>
            </w:r>
            <w:r>
              <w:rPr>
                <w:rFonts w:hint="eastAsia" w:ascii="Times New Roman" w:hAnsi="Times New Roman" w:cs="Times New Roman"/>
                <w:bCs/>
                <w:color w:val="auto"/>
                <w:sz w:val="24"/>
                <w:highlight w:val="none"/>
                <w:lang w:val="en-US" w:eastAsia="zh-CN"/>
              </w:rPr>
              <w:t>kg/h</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w:t>
            </w:r>
          </w:p>
          <w:p w14:paraId="14DC64C1">
            <w:pPr>
              <w:adjustRightInd w:val="0"/>
              <w:snapToGrid w:val="0"/>
              <w:spacing w:line="360" w:lineRule="auto"/>
              <w:ind w:firstLine="482" w:firstLineChars="200"/>
              <w:rPr>
                <w:rFonts w:hint="default"/>
                <w:color w:val="auto"/>
                <w:sz w:val="24"/>
                <w:highlight w:val="none"/>
                <w:lang w:val="en-US" w:eastAsia="zh-CN"/>
              </w:rPr>
            </w:pPr>
            <w:r>
              <w:rPr>
                <w:rFonts w:hint="eastAsia" w:cs="Times New Roman"/>
                <w:b/>
                <w:bCs/>
                <w:color w:val="auto"/>
                <w:sz w:val="24"/>
                <w:highlight w:val="none"/>
                <w:lang w:val="en-US" w:eastAsia="zh-CN"/>
              </w:rPr>
              <w:t>⑥危废暂存间废气</w:t>
            </w:r>
          </w:p>
          <w:p w14:paraId="6976D269">
            <w:pPr>
              <w:autoSpaceDE w:val="0"/>
              <w:autoSpaceDN w:val="0"/>
              <w:adjustRightInd w:val="0"/>
              <w:spacing w:line="360" w:lineRule="auto"/>
              <w:ind w:firstLine="480" w:firstLineChars="200"/>
              <w:rPr>
                <w:rFonts w:hint="eastAsia" w:ascii="Times New Roman" w:hAnsi="Times New Roman" w:eastAsia="宋体" w:cs="Times New Roman"/>
                <w:b/>
                <w:bCs/>
                <w:color w:val="auto"/>
                <w:sz w:val="24"/>
                <w:highlight w:val="none"/>
                <w:lang w:val="en-US" w:eastAsia="zh-CN"/>
              </w:rPr>
            </w:pPr>
            <w:r>
              <w:rPr>
                <w:rFonts w:hint="eastAsia"/>
                <w:color w:val="auto"/>
                <w:sz w:val="24"/>
                <w:highlight w:val="none"/>
                <w:lang w:eastAsia="zh-CN"/>
              </w:rPr>
              <w:t>废矿物油使用密闭性良好的油桶盛装，</w:t>
            </w:r>
            <w:r>
              <w:rPr>
                <w:rFonts w:hint="eastAsia"/>
                <w:color w:val="auto"/>
                <w:sz w:val="24"/>
                <w:highlight w:val="none"/>
                <w:lang w:val="en-US" w:eastAsia="zh-CN"/>
              </w:rPr>
              <w:t>废矿物油产生的非甲烷总烃挥发量相对较大</w:t>
            </w:r>
            <w:r>
              <w:rPr>
                <w:rFonts w:hint="eastAsia"/>
                <w:color w:val="auto"/>
                <w:sz w:val="24"/>
                <w:highlight w:val="none"/>
                <w:lang w:eastAsia="zh-CN"/>
              </w:rPr>
              <w:t>。</w:t>
            </w:r>
            <w:r>
              <w:rPr>
                <w:color w:val="auto"/>
                <w:sz w:val="24"/>
                <w:highlight w:val="none"/>
              </w:rPr>
              <w:t>本项目建成后</w:t>
            </w:r>
            <w:r>
              <w:rPr>
                <w:rFonts w:hint="eastAsia"/>
                <w:color w:val="auto"/>
                <w:sz w:val="24"/>
                <w:highlight w:val="none"/>
                <w:lang w:eastAsia="zh-CN"/>
              </w:rPr>
              <w:t>危废暂存间</w:t>
            </w:r>
            <w:r>
              <w:rPr>
                <w:rFonts w:hint="eastAsia"/>
                <w:color w:val="auto"/>
                <w:sz w:val="24"/>
                <w:highlight w:val="none"/>
              </w:rPr>
              <w:t>中</w:t>
            </w:r>
            <w:r>
              <w:rPr>
                <w:rFonts w:hint="eastAsia"/>
                <w:color w:val="auto"/>
                <w:sz w:val="24"/>
                <w:highlight w:val="none"/>
                <w:lang w:val="en-US" w:eastAsia="zh-CN"/>
              </w:rPr>
              <w:t>废矿物油</w:t>
            </w:r>
            <w:r>
              <w:rPr>
                <w:rFonts w:hint="eastAsia"/>
                <w:color w:val="auto"/>
                <w:sz w:val="24"/>
                <w:highlight w:val="none"/>
              </w:rPr>
              <w:t>最大</w:t>
            </w:r>
            <w:r>
              <w:rPr>
                <w:rFonts w:hint="eastAsia"/>
                <w:color w:val="auto"/>
                <w:sz w:val="24"/>
                <w:highlight w:val="none"/>
                <w:lang w:eastAsia="zh-CN"/>
              </w:rPr>
              <w:t>暂存</w:t>
            </w:r>
            <w:r>
              <w:rPr>
                <w:color w:val="auto"/>
                <w:sz w:val="24"/>
                <w:highlight w:val="none"/>
              </w:rPr>
              <w:t>废矿物油</w:t>
            </w:r>
            <w:r>
              <w:rPr>
                <w:rFonts w:hint="eastAsia"/>
                <w:color w:val="auto"/>
                <w:sz w:val="24"/>
                <w:highlight w:val="none"/>
                <w:lang w:val="en-US" w:eastAsia="zh-CN"/>
              </w:rPr>
              <w:t>1</w:t>
            </w:r>
            <w:r>
              <w:rPr>
                <w:rFonts w:hint="eastAsia"/>
                <w:color w:val="auto"/>
                <w:sz w:val="24"/>
                <w:highlight w:val="none"/>
              </w:rPr>
              <w:t>t</w:t>
            </w:r>
            <w:r>
              <w:rPr>
                <w:color w:val="auto"/>
                <w:sz w:val="24"/>
                <w:highlight w:val="none"/>
              </w:rPr>
              <w:t>，本项目</w:t>
            </w:r>
            <w:r>
              <w:rPr>
                <w:rFonts w:hint="eastAsia"/>
                <w:color w:val="auto"/>
                <w:sz w:val="24"/>
                <w:highlight w:val="none"/>
                <w:lang w:val="en-US" w:eastAsia="zh-CN"/>
              </w:rPr>
              <w:t>废矿物油</w:t>
            </w:r>
            <w:r>
              <w:rPr>
                <w:color w:val="auto"/>
                <w:sz w:val="24"/>
                <w:highlight w:val="none"/>
              </w:rPr>
              <w:t>在铁皮桶中</w:t>
            </w:r>
            <w:r>
              <w:rPr>
                <w:rFonts w:hint="eastAsia"/>
                <w:color w:val="auto"/>
                <w:sz w:val="24"/>
                <w:highlight w:val="none"/>
                <w:lang w:eastAsia="zh-CN"/>
              </w:rPr>
              <w:t>暂存</w:t>
            </w:r>
            <w:r>
              <w:rPr>
                <w:color w:val="auto"/>
                <w:sz w:val="24"/>
                <w:highlight w:val="none"/>
              </w:rPr>
              <w:t>过程中损耗率参照《散装液态石油产品损耗》（GB11085-1989）中表1</w:t>
            </w:r>
            <w:r>
              <w:rPr>
                <w:rFonts w:hint="eastAsia"/>
                <w:color w:val="auto"/>
                <w:sz w:val="24"/>
                <w:highlight w:val="none"/>
                <w:lang w:eastAsia="zh-CN"/>
              </w:rPr>
              <w:t>暂存</w:t>
            </w:r>
            <w:r>
              <w:rPr>
                <w:color w:val="auto"/>
                <w:sz w:val="24"/>
                <w:highlight w:val="none"/>
              </w:rPr>
              <w:t>损耗率中，立式金属罐（其他油、不分季节）的损耗率为</w:t>
            </w:r>
            <w:r>
              <w:rPr>
                <w:rFonts w:ascii="Times New Roman" w:hAnsi="Times New Roman" w:eastAsia="宋体" w:cs="Times New Roman"/>
                <w:color w:val="auto"/>
                <w:sz w:val="24"/>
                <w:highlight w:val="none"/>
              </w:rPr>
              <w:t>0.01%</w:t>
            </w:r>
            <w:r>
              <w:rPr>
                <w:color w:val="auto"/>
                <w:sz w:val="24"/>
                <w:highlight w:val="none"/>
              </w:rPr>
              <w:t>。本项目</w:t>
            </w:r>
            <w:r>
              <w:rPr>
                <w:rFonts w:hint="eastAsia"/>
                <w:color w:val="auto"/>
                <w:sz w:val="24"/>
                <w:highlight w:val="none"/>
                <w:lang w:val="en-US" w:eastAsia="zh-CN"/>
              </w:rPr>
              <w:t>废矿物油</w:t>
            </w:r>
            <w:r>
              <w:rPr>
                <w:color w:val="auto"/>
                <w:sz w:val="24"/>
                <w:highlight w:val="none"/>
              </w:rPr>
              <w:t>最大储量为</w:t>
            </w:r>
            <w:r>
              <w:rPr>
                <w:rFonts w:hint="eastAsia"/>
                <w:color w:val="auto"/>
                <w:sz w:val="24"/>
                <w:highlight w:val="none"/>
                <w:lang w:val="en-US" w:eastAsia="zh-CN"/>
              </w:rPr>
              <w:t>1t</w:t>
            </w:r>
            <w:r>
              <w:rPr>
                <w:color w:val="auto"/>
                <w:sz w:val="24"/>
                <w:highlight w:val="none"/>
              </w:rPr>
              <w:t>，</w:t>
            </w:r>
            <w:r>
              <w:rPr>
                <w:rFonts w:hint="eastAsia"/>
                <w:color w:val="auto"/>
                <w:sz w:val="24"/>
                <w:highlight w:val="none"/>
              </w:rPr>
              <w:t>则</w:t>
            </w:r>
            <w:r>
              <w:rPr>
                <w:rFonts w:hint="eastAsia"/>
                <w:color w:val="auto"/>
                <w:sz w:val="24"/>
                <w:highlight w:val="none"/>
                <w:lang w:eastAsia="zh-CN"/>
              </w:rPr>
              <w:t>暂存</w:t>
            </w:r>
            <w:r>
              <w:rPr>
                <w:color w:val="auto"/>
                <w:sz w:val="24"/>
                <w:highlight w:val="none"/>
              </w:rPr>
              <w:t>过程中损耗的非甲烷总烃为</w:t>
            </w:r>
            <w:r>
              <w:rPr>
                <w:rFonts w:hint="eastAsia"/>
                <w:color w:val="auto"/>
                <w:sz w:val="24"/>
                <w:highlight w:val="none"/>
                <w:lang w:val="en-US" w:eastAsia="zh-CN"/>
              </w:rPr>
              <w:t>0.0001t/a</w:t>
            </w:r>
            <w:r>
              <w:rPr>
                <w:rFonts w:hint="eastAsia"/>
                <w:color w:val="auto"/>
                <w:sz w:val="24"/>
                <w:highlight w:val="none"/>
              </w:rPr>
              <w:t>，</w:t>
            </w:r>
            <w:r>
              <w:rPr>
                <w:color w:val="auto"/>
                <w:sz w:val="24"/>
                <w:highlight w:val="none"/>
              </w:rPr>
              <w:t>在废矿物油储存过程中</w:t>
            </w:r>
            <w:r>
              <w:rPr>
                <w:rFonts w:hint="eastAsia"/>
                <w:color w:val="auto"/>
                <w:sz w:val="24"/>
                <w:highlight w:val="none"/>
              </w:rPr>
              <w:t>损耗的</w:t>
            </w:r>
            <w:r>
              <w:rPr>
                <w:color w:val="auto"/>
                <w:sz w:val="24"/>
                <w:highlight w:val="none"/>
              </w:rPr>
              <w:t>非甲烷总烃</w:t>
            </w:r>
            <w:r>
              <w:rPr>
                <w:rFonts w:hint="eastAsia"/>
                <w:color w:val="auto"/>
                <w:sz w:val="24"/>
                <w:highlight w:val="none"/>
              </w:rPr>
              <w:t>密闭收集，采取加强危废暂存间内的通风</w:t>
            </w:r>
            <w:r>
              <w:rPr>
                <w:rFonts w:hint="eastAsia"/>
                <w:color w:val="auto"/>
                <w:sz w:val="24"/>
                <w:highlight w:val="none"/>
                <w:lang w:eastAsia="zh-CN"/>
              </w:rPr>
              <w:t>，</w:t>
            </w:r>
            <w:r>
              <w:rPr>
                <w:rFonts w:hint="eastAsia"/>
                <w:color w:val="auto"/>
                <w:sz w:val="24"/>
                <w:highlight w:val="none"/>
                <w:lang w:val="en-US" w:eastAsia="zh-CN"/>
              </w:rPr>
              <w:t>加快转运周期等措施无组织排放，</w:t>
            </w:r>
            <w:r>
              <w:rPr>
                <w:rFonts w:hint="eastAsia" w:ascii="Times New Roman" w:hAnsi="Times New Roman" w:eastAsia="宋体" w:cs="Times New Roman"/>
                <w:color w:val="auto"/>
                <w:sz w:val="24"/>
                <w:szCs w:val="24"/>
                <w:highlight w:val="none"/>
                <w:lang w:val="en-US" w:eastAsia="zh-CN"/>
              </w:rPr>
              <w:t>厂界非甲烷总烃排放可满足</w:t>
            </w:r>
            <w:r>
              <w:rPr>
                <w:rFonts w:hint="default" w:ascii="Times New Roman" w:hAnsi="Times New Roman" w:eastAsia="宋体" w:cs="Times New Roman"/>
                <w:color w:val="auto"/>
                <w:sz w:val="24"/>
                <w:szCs w:val="24"/>
                <w:highlight w:val="none"/>
              </w:rPr>
              <w:t>《大气污染物综合排放标准》（GB16297-1996）</w:t>
            </w:r>
            <w:r>
              <w:rPr>
                <w:rFonts w:hint="default" w:ascii="Times New Roman" w:hAnsi="Times New Roman" w:eastAsia="宋体" w:cs="Times New Roman"/>
                <w:color w:val="auto"/>
                <w:sz w:val="24"/>
                <w:szCs w:val="24"/>
                <w:highlight w:val="none"/>
                <w:lang w:val="en-US" w:eastAsia="zh-CN"/>
              </w:rPr>
              <w:t>表2</w:t>
            </w:r>
            <w:r>
              <w:rPr>
                <w:rFonts w:hint="eastAsia" w:ascii="Times New Roman" w:hAnsi="Times New Roman" w:eastAsia="宋体" w:cs="Times New Roman"/>
                <w:color w:val="auto"/>
                <w:sz w:val="24"/>
                <w:szCs w:val="24"/>
                <w:highlight w:val="none"/>
                <w:lang w:val="en-US" w:eastAsia="zh-CN"/>
              </w:rPr>
              <w:t>无组织标准限值，厂区内无组织非甲烷总烃排放可满足《挥发性有机物无组织排放控制标准》（GB37822-2019）表A.1规定的排放限值</w:t>
            </w:r>
            <w:r>
              <w:rPr>
                <w:rFonts w:hint="eastAsia"/>
                <w:color w:val="auto"/>
                <w:sz w:val="24"/>
                <w:highlight w:val="none"/>
              </w:rPr>
              <w:t>，</w:t>
            </w:r>
            <w:r>
              <w:rPr>
                <w:color w:val="auto"/>
                <w:kern w:val="0"/>
                <w:sz w:val="24"/>
                <w:highlight w:val="none"/>
                <w:lang w:bidi="ar"/>
              </w:rPr>
              <w:t>不会对环境产生不利影响。</w:t>
            </w:r>
          </w:p>
          <w:p w14:paraId="53D7E16B">
            <w:pPr>
              <w:adjustRightInd w:val="0"/>
              <w:snapToGrid w:val="0"/>
              <w:spacing w:line="360" w:lineRule="auto"/>
              <w:ind w:firstLine="482" w:firstLineChars="200"/>
              <w:rPr>
                <w:rFonts w:hint="default" w:ascii="Times New Roman" w:hAnsi="Times New Roman" w:eastAsia="宋体" w:cs="Times New Roman"/>
                <w:b/>
                <w:bCs/>
                <w:color w:val="auto"/>
                <w:kern w:val="21"/>
                <w:sz w:val="24"/>
                <w:szCs w:val="20"/>
                <w:highlight w:val="none"/>
                <w:lang w:val="en-US" w:eastAsia="zh-CN" w:bidi="ar-SA"/>
              </w:rPr>
            </w:pPr>
            <w:r>
              <w:rPr>
                <w:rFonts w:hint="eastAsia" w:cs="Times New Roman"/>
                <w:b/>
                <w:bCs/>
                <w:color w:val="auto"/>
                <w:kern w:val="21"/>
                <w:sz w:val="24"/>
                <w:szCs w:val="20"/>
                <w:highlight w:val="none"/>
                <w:lang w:val="en-US" w:eastAsia="zh-CN" w:bidi="ar-SA"/>
              </w:rPr>
              <w:t>2</w:t>
            </w:r>
            <w:r>
              <w:rPr>
                <w:rFonts w:hint="default" w:ascii="Times New Roman" w:hAnsi="Times New Roman" w:eastAsia="宋体" w:cs="Times New Roman"/>
                <w:b/>
                <w:bCs/>
                <w:color w:val="auto"/>
                <w:kern w:val="21"/>
                <w:sz w:val="24"/>
                <w:szCs w:val="20"/>
                <w:highlight w:val="none"/>
                <w:lang w:val="en-US" w:eastAsia="zh-CN" w:bidi="ar-SA"/>
              </w:rPr>
              <w:t>、废气污染防治措施可行性</w:t>
            </w:r>
          </w:p>
          <w:p w14:paraId="19A2FA2F">
            <w:pPr>
              <w:adjustRightInd w:val="0"/>
              <w:snapToGrid w:val="0"/>
              <w:spacing w:line="360" w:lineRule="auto"/>
              <w:ind w:firstLine="480" w:firstLineChars="200"/>
              <w:rPr>
                <w:rFonts w:hint="default" w:ascii="Times New Roman" w:hAnsi="Times New Roman" w:eastAsia="宋体"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（1）布袋除尘器</w:t>
            </w:r>
          </w:p>
          <w:p w14:paraId="6FCB916C">
            <w:pPr>
              <w:adjustRightInd w:val="0"/>
              <w:snapToGrid w:val="0"/>
              <w:spacing w:line="360" w:lineRule="auto"/>
              <w:ind w:firstLine="480" w:firstLineChars="200"/>
              <w:rPr>
                <w:rFonts w:hint="default" w:ascii="Times New Roman" w:hAnsi="Times New Roman" w:eastAsia="宋体"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滤芯除尘器、脉冲除尘器均是布袋除尘器中的一种，具有先进水平的高效正压袋式除尘设备，是一种清灰效果好、除尘效率高、运行可靠、维护方便、占地面积小的除尘设备。</w:t>
            </w:r>
          </w:p>
          <w:p w14:paraId="767BC66C">
            <w:pPr>
              <w:adjustRightInd w:val="0"/>
              <w:snapToGrid w:val="0"/>
              <w:spacing w:line="360" w:lineRule="auto"/>
              <w:ind w:firstLine="480" w:firstLineChars="200"/>
              <w:rPr>
                <w:rFonts w:hint="default" w:ascii="Times New Roman" w:hAnsi="Times New Roman" w:eastAsia="宋体"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布袋除尘器工作原理：含尘气体从除尘器的进风均流管进入各分室灰斗，并在灰斗导流装置的导流下，大颗粒的粉尘被分离，直接落入灰斗，而较细粉尘均匀地进入中部箱体而吸附在滤袋的外表面上，干净气体透过滤袋进入上箱体，并经各离线阀和排风管排入大气。随着过滤工况的进行，滤袋上的粉尘越积越多，当设备阻力达到限定的阻力值（一般设定为1500Pa）时，由清灰控制装置按差压设定值或清灰时间设定值自动关闭一室离线阀后，按设定程序打开电控脉冲阀，进行停风喷吹，利用压缩空气瞬间喷吹使滤袋内压力</w:t>
            </w:r>
            <w:r>
              <w:rPr>
                <w:rFonts w:hint="eastAsia" w:cs="Times New Roman"/>
                <w:color w:val="auto"/>
                <w:kern w:val="21"/>
                <w:sz w:val="24"/>
                <w:szCs w:val="20"/>
                <w:highlight w:val="none"/>
                <w:lang w:val="en-US" w:eastAsia="zh-CN" w:bidi="ar-SA"/>
              </w:rPr>
              <w:t>剧增</w:t>
            </w:r>
            <w:r>
              <w:rPr>
                <w:rFonts w:hint="default" w:ascii="Times New Roman" w:hAnsi="Times New Roman" w:eastAsia="宋体" w:cs="Times New Roman"/>
                <w:color w:val="auto"/>
                <w:kern w:val="21"/>
                <w:sz w:val="24"/>
                <w:szCs w:val="20"/>
                <w:highlight w:val="none"/>
                <w:lang w:val="en-US" w:eastAsia="zh-CN" w:bidi="ar-SA"/>
              </w:rPr>
              <w:t>，将滤袋上的粉尘进行抖落（即使</w:t>
            </w:r>
            <w:r>
              <w:rPr>
                <w:rFonts w:hint="eastAsia" w:cs="Times New Roman"/>
                <w:color w:val="auto"/>
                <w:kern w:val="21"/>
                <w:sz w:val="24"/>
                <w:szCs w:val="20"/>
                <w:highlight w:val="none"/>
                <w:lang w:val="en-US" w:eastAsia="zh-CN" w:bidi="ar-SA"/>
              </w:rPr>
              <w:t>黏</w:t>
            </w:r>
            <w:r>
              <w:rPr>
                <w:rFonts w:hint="default" w:ascii="Times New Roman" w:hAnsi="Times New Roman" w:eastAsia="宋体" w:cs="Times New Roman"/>
                <w:color w:val="auto"/>
                <w:kern w:val="21"/>
                <w:sz w:val="24"/>
                <w:szCs w:val="20"/>
                <w:highlight w:val="none"/>
                <w:lang w:val="en-US" w:eastAsia="zh-CN" w:bidi="ar-SA"/>
              </w:rPr>
              <w:t>细粉尘亦能较彻底地清灰）至灰斗中，由排灰机构排出。本项目在不同的产尘点设置不同型号的袋式除尘设施，对于仓顶则通过增加过滤面积及滤芯数量，保证除尘效率在99%以上。此除尘措施是目前混凝土制品行业常见的废气处理方式，工艺成熟，经济可行。</w:t>
            </w:r>
          </w:p>
          <w:p w14:paraId="222F6081">
            <w:pPr>
              <w:adjustRightInd w:val="0"/>
              <w:snapToGrid w:val="0"/>
              <w:spacing w:line="360" w:lineRule="auto"/>
              <w:ind w:firstLine="480" w:firstLineChars="200"/>
              <w:rPr>
                <w:rFonts w:hint="default" w:ascii="Times New Roman" w:hAnsi="Times New Roman" w:eastAsia="宋体"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（2）</w:t>
            </w:r>
            <w:r>
              <w:rPr>
                <w:rFonts w:hint="eastAsia" w:cs="Times New Roman"/>
                <w:color w:val="auto"/>
                <w:kern w:val="21"/>
                <w:sz w:val="24"/>
                <w:szCs w:val="20"/>
                <w:highlight w:val="none"/>
                <w:lang w:val="en-US" w:eastAsia="zh-CN" w:bidi="ar-SA"/>
              </w:rPr>
              <w:t>喷淋系统</w:t>
            </w:r>
          </w:p>
          <w:p w14:paraId="5F285FA2">
            <w:pPr>
              <w:adjustRightInd w:val="0"/>
              <w:snapToGrid w:val="0"/>
              <w:spacing w:line="360" w:lineRule="auto"/>
              <w:ind w:firstLine="480" w:firstLineChars="200"/>
              <w:rPr>
                <w:rFonts w:hint="default" w:cs="Times New Roman"/>
                <w:color w:val="auto"/>
                <w:kern w:val="21"/>
                <w:sz w:val="24"/>
                <w:szCs w:val="20"/>
                <w:highlight w:val="none"/>
                <w:lang w:val="en-US" w:eastAsia="zh-CN" w:bidi="ar-SA"/>
              </w:rPr>
            </w:pPr>
            <w:r>
              <w:rPr>
                <w:rFonts w:hint="default" w:cs="Times New Roman"/>
                <w:color w:val="auto"/>
                <w:kern w:val="21"/>
                <w:sz w:val="24"/>
                <w:szCs w:val="20"/>
                <w:highlight w:val="none"/>
                <w:lang w:val="en-US" w:eastAsia="zh-CN" w:bidi="ar-SA"/>
              </w:rPr>
              <w:t>本项目砂石原料统一堆存于全封闭砂石储料棚内，料棚配套设置全覆盖喷淋洒水抑尘装置，喷淋覆盖总面积3000m</w:t>
            </w:r>
            <w:r>
              <w:rPr>
                <w:rFonts w:hint="eastAsia" w:cs="Times New Roman"/>
                <w:color w:val="auto"/>
                <w:kern w:val="21"/>
                <w:sz w:val="24"/>
                <w:szCs w:val="20"/>
                <w:highlight w:val="none"/>
                <w:vertAlign w:val="superscript"/>
                <w:lang w:val="en-US" w:eastAsia="zh-CN" w:bidi="ar-SA"/>
              </w:rPr>
              <w:t>2</w:t>
            </w:r>
            <w:r>
              <w:rPr>
                <w:rFonts w:hint="default" w:cs="Times New Roman"/>
                <w:color w:val="auto"/>
                <w:kern w:val="21"/>
                <w:sz w:val="24"/>
                <w:szCs w:val="20"/>
                <w:highlight w:val="none"/>
                <w:lang w:val="en-US" w:eastAsia="zh-CN" w:bidi="ar-SA"/>
              </w:rPr>
              <w:t>，喷淋点位合理布设确保棚内无喷洒死角。项目运营期间定期对砂石堆料表层、装载机装卸作业面持续洒水喷淋，提升砂石物料含水率，从源头抑制砂石堆存、装卸环节无组织粉尘逸散。该喷淋抑尘设施构造简单、建设及运行成本低廉，日常操作维护便捷，粉尘抑制效果稳定可靠，技术与经济均具备可行性。</w:t>
            </w:r>
          </w:p>
          <w:p w14:paraId="18D56D96">
            <w:pPr>
              <w:adjustRightInd w:val="0"/>
              <w:snapToGrid w:val="0"/>
              <w:spacing w:line="360" w:lineRule="auto"/>
              <w:ind w:firstLine="480" w:firstLineChars="200"/>
              <w:rPr>
                <w:rFonts w:hint="default" w:ascii="Times New Roman" w:hAnsi="Times New Roman" w:eastAsia="宋体"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（3）运输车辆动力起尘</w:t>
            </w:r>
          </w:p>
          <w:p w14:paraId="5CCCC540">
            <w:pPr>
              <w:adjustRightInd w:val="0"/>
              <w:snapToGrid w:val="0"/>
              <w:spacing w:line="360" w:lineRule="auto"/>
              <w:ind w:firstLine="480" w:firstLineChars="200"/>
              <w:rPr>
                <w:rFonts w:hint="default" w:ascii="Times New Roman" w:hAnsi="Times New Roman" w:cs="Times New Roman"/>
                <w:color w:val="auto"/>
                <w:kern w:val="21"/>
                <w:sz w:val="24"/>
                <w:highlight w:val="none"/>
              </w:rPr>
            </w:pPr>
            <w:r>
              <w:rPr>
                <w:rFonts w:hint="default" w:ascii="Times New Roman" w:hAnsi="Times New Roman" w:eastAsia="宋体" w:cs="Times New Roman"/>
                <w:color w:val="auto"/>
                <w:kern w:val="21"/>
                <w:sz w:val="24"/>
                <w:szCs w:val="20"/>
                <w:highlight w:val="none"/>
                <w:lang w:val="en-US" w:eastAsia="zh-CN" w:bidi="ar-SA"/>
              </w:rPr>
              <w:t>厂区道路、停车场及其他地面全部实现硬化，定时洒水；厂区出入口处已设</w:t>
            </w:r>
            <w:r>
              <w:rPr>
                <w:rFonts w:hint="eastAsia" w:cs="Times New Roman"/>
                <w:color w:val="auto"/>
                <w:kern w:val="21"/>
                <w:sz w:val="24"/>
                <w:szCs w:val="20"/>
                <w:highlight w:val="none"/>
                <w:lang w:val="en-US" w:eastAsia="zh-CN" w:bidi="ar-SA"/>
              </w:rPr>
              <w:t>车辆冲洗平台</w:t>
            </w:r>
            <w:r>
              <w:rPr>
                <w:rFonts w:hint="default" w:ascii="Times New Roman" w:hAnsi="Times New Roman" w:eastAsia="宋体" w:cs="Times New Roman"/>
                <w:color w:val="auto"/>
                <w:kern w:val="21"/>
                <w:sz w:val="24"/>
                <w:szCs w:val="20"/>
                <w:highlight w:val="none"/>
                <w:lang w:val="en-US" w:eastAsia="zh-CN" w:bidi="ar-SA"/>
              </w:rPr>
              <w:t>，</w:t>
            </w:r>
            <w:r>
              <w:rPr>
                <w:rFonts w:hint="eastAsia" w:cs="Times New Roman"/>
                <w:color w:val="auto"/>
                <w:kern w:val="21"/>
                <w:sz w:val="24"/>
                <w:szCs w:val="20"/>
                <w:highlight w:val="none"/>
                <w:lang w:val="en-US" w:eastAsia="zh-CN" w:bidi="ar-SA"/>
              </w:rPr>
              <w:t>用于对</w:t>
            </w:r>
            <w:r>
              <w:rPr>
                <w:rFonts w:hint="default" w:ascii="Times New Roman" w:hAnsi="Times New Roman" w:eastAsia="宋体" w:cs="Times New Roman"/>
                <w:color w:val="auto"/>
                <w:kern w:val="21"/>
                <w:sz w:val="24"/>
                <w:szCs w:val="20"/>
                <w:highlight w:val="none"/>
                <w:lang w:val="en-US" w:eastAsia="zh-CN" w:bidi="ar-SA"/>
              </w:rPr>
              <w:t>驶出车辆进行冲洗清洁；厂区有保洁人员及时对散落的物料进行清扫收集。</w:t>
            </w:r>
          </w:p>
          <w:p w14:paraId="4AEAC1C7">
            <w:pPr>
              <w:spacing w:line="360" w:lineRule="auto"/>
              <w:ind w:left="0" w:leftChars="0" w:firstLine="482" w:firstLineChars="200"/>
              <w:rPr>
                <w:rFonts w:hint="default" w:ascii="Times New Roman" w:hAnsi="Times New Roman" w:eastAsia="宋体" w:cs="Times New Roman"/>
                <w:color w:val="auto"/>
                <w:kern w:val="21"/>
                <w:sz w:val="24"/>
                <w:szCs w:val="20"/>
                <w:highlight w:val="none"/>
                <w:lang w:val="en-US" w:eastAsia="zh-CN" w:bidi="ar-SA"/>
              </w:rPr>
            </w:pPr>
            <w:r>
              <w:rPr>
                <w:rFonts w:hint="eastAsia"/>
                <w:b/>
                <w:bCs/>
                <w:color w:val="auto"/>
                <w:sz w:val="24"/>
                <w:szCs w:val="32"/>
                <w:highlight w:val="none"/>
                <w:lang w:val="en-US" w:eastAsia="zh-CN"/>
              </w:rPr>
              <w:t>3</w:t>
            </w:r>
            <w:r>
              <w:rPr>
                <w:rFonts w:hint="default" w:ascii="Times New Roman" w:hAnsi="Times New Roman" w:eastAsia="宋体" w:cs="Times New Roman"/>
                <w:b/>
                <w:bCs/>
                <w:color w:val="auto"/>
                <w:kern w:val="21"/>
                <w:sz w:val="24"/>
                <w:szCs w:val="20"/>
                <w:highlight w:val="none"/>
                <w:lang w:val="en-US" w:eastAsia="zh-CN" w:bidi="ar-SA"/>
              </w:rPr>
              <w:t>、废气污染物排放环境影响分析</w:t>
            </w:r>
          </w:p>
          <w:p w14:paraId="3F646341">
            <w:pPr>
              <w:adjustRightInd w:val="0"/>
              <w:snapToGrid w:val="0"/>
              <w:spacing w:line="360" w:lineRule="auto"/>
              <w:ind w:firstLine="480" w:firstLineChars="200"/>
              <w:rPr>
                <w:rFonts w:hint="eastAsia" w:cs="Times New Roman"/>
                <w:color w:val="auto"/>
                <w:kern w:val="21"/>
                <w:sz w:val="24"/>
                <w:szCs w:val="20"/>
                <w:highlight w:val="none"/>
                <w:lang w:val="en-US" w:eastAsia="zh-CN" w:bidi="ar-SA"/>
              </w:rPr>
            </w:pPr>
            <w:r>
              <w:rPr>
                <w:rFonts w:hint="default" w:ascii="Times New Roman" w:hAnsi="Times New Roman" w:eastAsia="宋体" w:cs="Times New Roman"/>
                <w:color w:val="auto"/>
                <w:kern w:val="21"/>
                <w:sz w:val="24"/>
                <w:szCs w:val="20"/>
                <w:highlight w:val="none"/>
                <w:lang w:val="en-US" w:eastAsia="zh-CN" w:bidi="ar-SA"/>
              </w:rPr>
              <w:t>项目所在区域为环境空气质量达标区，建设单位对无组织粉尘产生环节均采取有效的抑尘措施，正常工况下污染物均能稳定达标排放，故对周边大气环境影响较小。此外，当出现重污染天气，企业应错峰运行，根据当地政府要求采取停产、限产等措施</w:t>
            </w:r>
            <w:r>
              <w:rPr>
                <w:rFonts w:hint="eastAsia" w:cs="Times New Roman"/>
                <w:color w:val="auto"/>
                <w:kern w:val="21"/>
                <w:sz w:val="24"/>
                <w:szCs w:val="20"/>
                <w:highlight w:val="none"/>
                <w:lang w:val="en-US" w:eastAsia="zh-CN" w:bidi="ar-SA"/>
              </w:rPr>
              <w:t>。</w:t>
            </w:r>
          </w:p>
          <w:p w14:paraId="6A38F8B5">
            <w:pPr>
              <w:adjustRightInd w:val="0"/>
              <w:snapToGrid w:val="0"/>
              <w:spacing w:line="360" w:lineRule="auto"/>
              <w:ind w:firstLine="480" w:firstLineChars="200"/>
              <w:rPr>
                <w:rFonts w:hint="eastAsia" w:ascii="宋体" w:hAnsi="宋体"/>
                <w:color w:val="auto"/>
                <w:kern w:val="21"/>
                <w:sz w:val="24"/>
                <w:highlight w:val="none"/>
              </w:rPr>
            </w:pPr>
            <w:r>
              <w:rPr>
                <w:rFonts w:hint="eastAsia" w:cs="Times New Roman"/>
                <w:color w:val="auto"/>
                <w:kern w:val="21"/>
                <w:sz w:val="24"/>
                <w:szCs w:val="20"/>
                <w:highlight w:val="none"/>
                <w:lang w:val="en-US" w:eastAsia="zh-CN" w:bidi="ar-SA"/>
              </w:rPr>
              <w:t>综上所述，本次评价提出的治理措施可行。</w:t>
            </w:r>
          </w:p>
        </w:tc>
      </w:tr>
    </w:tbl>
    <w:p w14:paraId="6BEDD535">
      <w:pPr>
        <w:adjustRightInd w:val="0"/>
        <w:snapToGrid w:val="0"/>
        <w:spacing w:line="360" w:lineRule="auto"/>
        <w:rPr>
          <w:rFonts w:hint="eastAsia" w:ascii="宋体" w:cs="宋体"/>
          <w:b/>
          <w:color w:val="auto"/>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0532F05C">
      <w:pPr>
        <w:spacing w:before="120" w:beforeLines="50"/>
        <w:jc w:val="center"/>
        <w:rPr>
          <w:rFonts w:hint="eastAsia"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表4-</w:t>
      </w:r>
      <w:r>
        <w:rPr>
          <w:rFonts w:hint="eastAsia" w:cs="Times New Roman"/>
          <w:b/>
          <w:color w:val="auto"/>
          <w:sz w:val="24"/>
          <w:highlight w:val="none"/>
          <w:lang w:val="en-US" w:eastAsia="zh-CN"/>
        </w:rPr>
        <w:t>3</w:t>
      </w:r>
      <w:r>
        <w:rPr>
          <w:rFonts w:hint="default" w:ascii="Times New Roman" w:hAnsi="Times New Roman" w:eastAsia="宋体" w:cs="Times New Roman"/>
          <w:b/>
          <w:color w:val="auto"/>
          <w:sz w:val="24"/>
          <w:highlight w:val="none"/>
        </w:rPr>
        <w:t>废气污染物产排污情况及处理措施一览表</w:t>
      </w:r>
    </w:p>
    <w:tbl>
      <w:tblPr>
        <w:tblStyle w:val="22"/>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636"/>
        <w:gridCol w:w="1232"/>
        <w:gridCol w:w="949"/>
        <w:gridCol w:w="794"/>
        <w:gridCol w:w="1004"/>
        <w:gridCol w:w="824"/>
        <w:gridCol w:w="1890"/>
        <w:gridCol w:w="1397"/>
        <w:gridCol w:w="743"/>
        <w:gridCol w:w="800"/>
        <w:gridCol w:w="1004"/>
        <w:gridCol w:w="1943"/>
      </w:tblGrid>
      <w:tr w14:paraId="017F91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restart"/>
            <w:tcBorders>
              <w:tl2br w:val="nil"/>
              <w:tr2bl w:val="nil"/>
            </w:tcBorders>
            <w:noWrap w:val="0"/>
            <w:vAlign w:val="center"/>
          </w:tcPr>
          <w:p w14:paraId="76FF76CC">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序号</w:t>
            </w:r>
          </w:p>
        </w:tc>
        <w:tc>
          <w:tcPr>
            <w:tcW w:w="636" w:type="dxa"/>
            <w:vMerge w:val="restart"/>
            <w:tcBorders>
              <w:tl2br w:val="nil"/>
              <w:tr2bl w:val="nil"/>
            </w:tcBorders>
            <w:noWrap w:val="0"/>
            <w:vAlign w:val="center"/>
          </w:tcPr>
          <w:p w14:paraId="3F4CC236">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生产单元</w:t>
            </w:r>
          </w:p>
        </w:tc>
        <w:tc>
          <w:tcPr>
            <w:tcW w:w="0" w:type="auto"/>
            <w:vMerge w:val="restart"/>
            <w:tcBorders>
              <w:tl2br w:val="nil"/>
              <w:tr2bl w:val="nil"/>
            </w:tcBorders>
            <w:noWrap w:val="0"/>
            <w:vAlign w:val="center"/>
          </w:tcPr>
          <w:p w14:paraId="25F0D3FD">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废气产污环节</w:t>
            </w:r>
          </w:p>
        </w:tc>
        <w:tc>
          <w:tcPr>
            <w:tcW w:w="0" w:type="auto"/>
            <w:vMerge w:val="restart"/>
            <w:tcBorders>
              <w:tl2br w:val="nil"/>
              <w:tr2bl w:val="nil"/>
            </w:tcBorders>
            <w:noWrap w:val="0"/>
            <w:vAlign w:val="center"/>
          </w:tcPr>
          <w:p w14:paraId="31D46408">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污染物种类</w:t>
            </w:r>
          </w:p>
        </w:tc>
        <w:tc>
          <w:tcPr>
            <w:tcW w:w="0" w:type="auto"/>
            <w:gridSpan w:val="2"/>
            <w:tcBorders>
              <w:tl2br w:val="nil"/>
              <w:tr2bl w:val="nil"/>
            </w:tcBorders>
            <w:noWrap w:val="0"/>
            <w:vAlign w:val="center"/>
          </w:tcPr>
          <w:p w14:paraId="3FFB6D51">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污染物产生情况</w:t>
            </w:r>
          </w:p>
        </w:tc>
        <w:tc>
          <w:tcPr>
            <w:tcW w:w="0" w:type="auto"/>
            <w:vMerge w:val="restart"/>
            <w:tcBorders>
              <w:tl2br w:val="nil"/>
              <w:tr2bl w:val="nil"/>
            </w:tcBorders>
            <w:noWrap w:val="0"/>
            <w:vAlign w:val="center"/>
          </w:tcPr>
          <w:p w14:paraId="56AB270C">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排放形式</w:t>
            </w:r>
          </w:p>
        </w:tc>
        <w:tc>
          <w:tcPr>
            <w:tcW w:w="0" w:type="auto"/>
            <w:gridSpan w:val="3"/>
            <w:tcBorders>
              <w:tl2br w:val="nil"/>
              <w:tr2bl w:val="nil"/>
            </w:tcBorders>
            <w:noWrap w:val="0"/>
            <w:vAlign w:val="center"/>
          </w:tcPr>
          <w:p w14:paraId="57D66248">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污染治理设施</w:t>
            </w:r>
          </w:p>
        </w:tc>
        <w:tc>
          <w:tcPr>
            <w:tcW w:w="0" w:type="auto"/>
            <w:gridSpan w:val="2"/>
            <w:tcBorders>
              <w:tl2br w:val="nil"/>
              <w:tr2bl w:val="nil"/>
            </w:tcBorders>
            <w:noWrap w:val="0"/>
            <w:vAlign w:val="center"/>
          </w:tcPr>
          <w:p w14:paraId="31FE877A">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污染物排放情况</w:t>
            </w:r>
          </w:p>
        </w:tc>
        <w:tc>
          <w:tcPr>
            <w:tcW w:w="0" w:type="auto"/>
            <w:vMerge w:val="restart"/>
            <w:tcBorders>
              <w:tl2br w:val="nil"/>
              <w:tr2bl w:val="nil"/>
            </w:tcBorders>
            <w:noWrap w:val="0"/>
            <w:vAlign w:val="center"/>
          </w:tcPr>
          <w:p w14:paraId="293A707C">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执行标准</w:t>
            </w:r>
          </w:p>
        </w:tc>
      </w:tr>
      <w:tr w14:paraId="484367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continue"/>
            <w:tcBorders>
              <w:tl2br w:val="nil"/>
              <w:tr2bl w:val="nil"/>
            </w:tcBorders>
            <w:noWrap w:val="0"/>
            <w:vAlign w:val="center"/>
          </w:tcPr>
          <w:p w14:paraId="3D98800B">
            <w:pPr>
              <w:widowControl/>
              <w:jc w:val="center"/>
              <w:rPr>
                <w:b/>
                <w:bCs/>
                <w:color w:val="auto"/>
                <w:kern w:val="0"/>
                <w:sz w:val="21"/>
                <w:szCs w:val="21"/>
                <w:highlight w:val="none"/>
              </w:rPr>
            </w:pPr>
          </w:p>
        </w:tc>
        <w:tc>
          <w:tcPr>
            <w:tcW w:w="636" w:type="dxa"/>
            <w:vMerge w:val="continue"/>
            <w:tcBorders>
              <w:tl2br w:val="nil"/>
              <w:tr2bl w:val="nil"/>
            </w:tcBorders>
            <w:noWrap w:val="0"/>
            <w:vAlign w:val="center"/>
          </w:tcPr>
          <w:p w14:paraId="2187232C">
            <w:pPr>
              <w:widowControl/>
              <w:jc w:val="center"/>
              <w:rPr>
                <w:b/>
                <w:bCs/>
                <w:color w:val="auto"/>
                <w:kern w:val="0"/>
                <w:sz w:val="21"/>
                <w:szCs w:val="21"/>
                <w:highlight w:val="none"/>
              </w:rPr>
            </w:pPr>
          </w:p>
        </w:tc>
        <w:tc>
          <w:tcPr>
            <w:tcW w:w="0" w:type="auto"/>
            <w:vMerge w:val="continue"/>
            <w:tcBorders>
              <w:tl2br w:val="nil"/>
              <w:tr2bl w:val="nil"/>
            </w:tcBorders>
            <w:noWrap w:val="0"/>
            <w:vAlign w:val="center"/>
          </w:tcPr>
          <w:p w14:paraId="0E9CB921">
            <w:pPr>
              <w:widowControl/>
              <w:jc w:val="center"/>
              <w:rPr>
                <w:b/>
                <w:bCs/>
                <w:color w:val="auto"/>
                <w:kern w:val="0"/>
                <w:sz w:val="21"/>
                <w:szCs w:val="21"/>
                <w:highlight w:val="none"/>
              </w:rPr>
            </w:pPr>
          </w:p>
        </w:tc>
        <w:tc>
          <w:tcPr>
            <w:tcW w:w="0" w:type="auto"/>
            <w:vMerge w:val="continue"/>
            <w:tcBorders>
              <w:tl2br w:val="nil"/>
              <w:tr2bl w:val="nil"/>
            </w:tcBorders>
            <w:noWrap w:val="0"/>
            <w:vAlign w:val="center"/>
          </w:tcPr>
          <w:p w14:paraId="01A40312">
            <w:pPr>
              <w:widowControl/>
              <w:jc w:val="center"/>
              <w:rPr>
                <w:b/>
                <w:bCs/>
                <w:color w:val="auto"/>
                <w:kern w:val="0"/>
                <w:sz w:val="21"/>
                <w:szCs w:val="21"/>
                <w:highlight w:val="none"/>
              </w:rPr>
            </w:pPr>
          </w:p>
        </w:tc>
        <w:tc>
          <w:tcPr>
            <w:tcW w:w="794" w:type="dxa"/>
            <w:tcBorders>
              <w:tl2br w:val="nil"/>
              <w:tr2bl w:val="nil"/>
            </w:tcBorders>
            <w:noWrap w:val="0"/>
            <w:vAlign w:val="center"/>
          </w:tcPr>
          <w:p w14:paraId="512A2A6D">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产生量</w:t>
            </w:r>
            <w:r>
              <w:rPr>
                <w:b/>
                <w:bCs/>
                <w:color w:val="auto"/>
                <w:kern w:val="0"/>
                <w:sz w:val="21"/>
                <w:szCs w:val="21"/>
                <w:highlight w:val="none"/>
              </w:rPr>
              <w:t>t/a</w:t>
            </w:r>
          </w:p>
        </w:tc>
        <w:tc>
          <w:tcPr>
            <w:tcW w:w="1004" w:type="dxa"/>
            <w:tcBorders>
              <w:tl2br w:val="nil"/>
              <w:tr2bl w:val="nil"/>
            </w:tcBorders>
            <w:noWrap w:val="0"/>
            <w:vAlign w:val="center"/>
          </w:tcPr>
          <w:p w14:paraId="623C8125">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产生速率</w:t>
            </w:r>
            <w:r>
              <w:rPr>
                <w:b/>
                <w:bCs/>
                <w:color w:val="auto"/>
                <w:kern w:val="0"/>
                <w:sz w:val="21"/>
                <w:szCs w:val="21"/>
                <w:highlight w:val="none"/>
              </w:rPr>
              <w:t>kg/h</w:t>
            </w:r>
          </w:p>
        </w:tc>
        <w:tc>
          <w:tcPr>
            <w:tcW w:w="0" w:type="auto"/>
            <w:vMerge w:val="continue"/>
            <w:tcBorders>
              <w:tl2br w:val="nil"/>
              <w:tr2bl w:val="nil"/>
            </w:tcBorders>
            <w:noWrap w:val="0"/>
            <w:vAlign w:val="center"/>
          </w:tcPr>
          <w:p w14:paraId="3A3EDD3C">
            <w:pPr>
              <w:widowControl/>
              <w:jc w:val="center"/>
              <w:rPr>
                <w:b/>
                <w:bCs/>
                <w:color w:val="auto"/>
                <w:kern w:val="0"/>
                <w:sz w:val="21"/>
                <w:szCs w:val="21"/>
                <w:highlight w:val="none"/>
              </w:rPr>
            </w:pPr>
          </w:p>
        </w:tc>
        <w:tc>
          <w:tcPr>
            <w:tcW w:w="1960" w:type="dxa"/>
            <w:tcBorders>
              <w:tl2br w:val="nil"/>
              <w:tr2bl w:val="nil"/>
            </w:tcBorders>
            <w:noWrap w:val="0"/>
            <w:vAlign w:val="center"/>
          </w:tcPr>
          <w:p w14:paraId="3887F66C">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工艺名称</w:t>
            </w:r>
          </w:p>
          <w:p w14:paraId="53799BC5">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或方式</w:t>
            </w:r>
          </w:p>
        </w:tc>
        <w:tc>
          <w:tcPr>
            <w:tcW w:w="1430" w:type="dxa"/>
            <w:tcBorders>
              <w:tl2br w:val="nil"/>
              <w:tr2bl w:val="nil"/>
            </w:tcBorders>
            <w:noWrap w:val="0"/>
            <w:vAlign w:val="center"/>
          </w:tcPr>
          <w:p w14:paraId="33D628C8">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处理效率</w:t>
            </w:r>
          </w:p>
        </w:tc>
        <w:tc>
          <w:tcPr>
            <w:tcW w:w="761" w:type="dxa"/>
            <w:tcBorders>
              <w:tl2br w:val="nil"/>
              <w:tr2bl w:val="nil"/>
            </w:tcBorders>
            <w:noWrap w:val="0"/>
            <w:vAlign w:val="center"/>
          </w:tcPr>
          <w:p w14:paraId="61A75FAC">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是否为可行技术</w:t>
            </w:r>
          </w:p>
        </w:tc>
        <w:tc>
          <w:tcPr>
            <w:tcW w:w="800" w:type="dxa"/>
            <w:tcBorders>
              <w:tl2br w:val="nil"/>
              <w:tr2bl w:val="nil"/>
            </w:tcBorders>
            <w:noWrap w:val="0"/>
            <w:vAlign w:val="center"/>
          </w:tcPr>
          <w:p w14:paraId="70C904CF">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排放量</w:t>
            </w:r>
            <w:r>
              <w:rPr>
                <w:b/>
                <w:bCs/>
                <w:color w:val="auto"/>
                <w:kern w:val="0"/>
                <w:sz w:val="21"/>
                <w:szCs w:val="21"/>
                <w:highlight w:val="none"/>
              </w:rPr>
              <w:t>t/a</w:t>
            </w:r>
          </w:p>
        </w:tc>
        <w:tc>
          <w:tcPr>
            <w:tcW w:w="1004" w:type="dxa"/>
            <w:tcBorders>
              <w:tl2br w:val="nil"/>
              <w:tr2bl w:val="nil"/>
            </w:tcBorders>
            <w:noWrap w:val="0"/>
            <w:vAlign w:val="center"/>
          </w:tcPr>
          <w:p w14:paraId="7FBC8795">
            <w:pPr>
              <w:widowControl/>
              <w:adjustRightInd w:val="0"/>
              <w:snapToGrid w:val="0"/>
              <w:jc w:val="center"/>
              <w:rPr>
                <w:b/>
                <w:bCs/>
                <w:color w:val="auto"/>
                <w:kern w:val="0"/>
                <w:sz w:val="21"/>
                <w:szCs w:val="21"/>
                <w:highlight w:val="none"/>
              </w:rPr>
            </w:pPr>
            <w:r>
              <w:rPr>
                <w:rFonts w:ascii="宋体" w:hAnsi="宋体"/>
                <w:b/>
                <w:bCs/>
                <w:color w:val="auto"/>
                <w:kern w:val="0"/>
                <w:sz w:val="21"/>
                <w:szCs w:val="21"/>
                <w:highlight w:val="none"/>
              </w:rPr>
              <w:t>排放速率</w:t>
            </w:r>
            <w:r>
              <w:rPr>
                <w:b/>
                <w:bCs/>
                <w:color w:val="auto"/>
                <w:kern w:val="0"/>
                <w:sz w:val="21"/>
                <w:szCs w:val="21"/>
                <w:highlight w:val="none"/>
              </w:rPr>
              <w:t>kg/h</w:t>
            </w:r>
          </w:p>
        </w:tc>
        <w:tc>
          <w:tcPr>
            <w:tcW w:w="0" w:type="auto"/>
            <w:vMerge w:val="continue"/>
            <w:tcBorders>
              <w:tl2br w:val="nil"/>
              <w:tr2bl w:val="nil"/>
            </w:tcBorders>
            <w:noWrap w:val="0"/>
            <w:vAlign w:val="center"/>
          </w:tcPr>
          <w:p w14:paraId="3F03DB46">
            <w:pPr>
              <w:widowControl/>
              <w:jc w:val="center"/>
              <w:rPr>
                <w:b/>
                <w:bCs/>
                <w:color w:val="auto"/>
                <w:kern w:val="0"/>
                <w:sz w:val="21"/>
                <w:szCs w:val="21"/>
                <w:highlight w:val="none"/>
              </w:rPr>
            </w:pPr>
          </w:p>
        </w:tc>
      </w:tr>
      <w:tr w14:paraId="2D0671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48DD7037">
            <w:pPr>
              <w:widowControl/>
              <w:adjustRightInd w:val="0"/>
              <w:snapToGrid w:val="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bCs/>
                <w:color w:val="auto"/>
                <w:sz w:val="21"/>
                <w:szCs w:val="21"/>
                <w:highlight w:val="none"/>
              </w:rPr>
              <w:t>G</w:t>
            </w:r>
            <w:r>
              <w:rPr>
                <w:rFonts w:hint="default" w:ascii="Times New Roman" w:hAnsi="Times New Roman" w:cs="Times New Roman"/>
                <w:bCs/>
                <w:color w:val="auto"/>
                <w:sz w:val="21"/>
                <w:szCs w:val="21"/>
                <w:highlight w:val="none"/>
                <w:vertAlign w:val="subscript"/>
                <w:lang w:val="en-US" w:eastAsia="zh-CN"/>
              </w:rPr>
              <w:t>1</w:t>
            </w:r>
          </w:p>
        </w:tc>
        <w:tc>
          <w:tcPr>
            <w:tcW w:w="636" w:type="dxa"/>
            <w:tcBorders>
              <w:tl2br w:val="nil"/>
              <w:tr2bl w:val="nil"/>
            </w:tcBorders>
            <w:noWrap w:val="0"/>
            <w:vAlign w:val="center"/>
          </w:tcPr>
          <w:p w14:paraId="7F6F2C1C">
            <w:pPr>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砂</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石</w:t>
            </w:r>
            <w:r>
              <w:rPr>
                <w:rFonts w:hint="default" w:ascii="Times New Roman" w:hAnsi="Times New Roman" w:cs="Times New Roman"/>
                <w:color w:val="auto"/>
                <w:kern w:val="0"/>
                <w:sz w:val="21"/>
                <w:szCs w:val="21"/>
                <w:highlight w:val="none"/>
              </w:rPr>
              <w:t>料棚</w:t>
            </w:r>
          </w:p>
        </w:tc>
        <w:tc>
          <w:tcPr>
            <w:tcW w:w="0" w:type="auto"/>
            <w:tcBorders>
              <w:tl2br w:val="nil"/>
              <w:tr2bl w:val="nil"/>
            </w:tcBorders>
            <w:noWrap w:val="0"/>
            <w:vAlign w:val="center"/>
          </w:tcPr>
          <w:p w14:paraId="7F53B05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装卸</w:t>
            </w:r>
            <w:r>
              <w:rPr>
                <w:rFonts w:hint="eastAsia"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储存</w:t>
            </w:r>
          </w:p>
        </w:tc>
        <w:tc>
          <w:tcPr>
            <w:tcW w:w="0" w:type="auto"/>
            <w:tcBorders>
              <w:tl2br w:val="nil"/>
              <w:tr2bl w:val="nil"/>
            </w:tcBorders>
            <w:noWrap w:val="0"/>
            <w:vAlign w:val="center"/>
          </w:tcPr>
          <w:p w14:paraId="2406CE2F">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颗粒物</w:t>
            </w:r>
          </w:p>
        </w:tc>
        <w:tc>
          <w:tcPr>
            <w:tcW w:w="794" w:type="dxa"/>
            <w:tcBorders>
              <w:tl2br w:val="nil"/>
              <w:tr2bl w:val="nil"/>
            </w:tcBorders>
            <w:noWrap w:val="0"/>
            <w:vAlign w:val="center"/>
          </w:tcPr>
          <w:p w14:paraId="6C3E1838">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33.199</w:t>
            </w:r>
          </w:p>
        </w:tc>
        <w:tc>
          <w:tcPr>
            <w:tcW w:w="1004" w:type="dxa"/>
            <w:tcBorders>
              <w:tl2br w:val="nil"/>
              <w:tr2bl w:val="nil"/>
            </w:tcBorders>
            <w:noWrap w:val="0"/>
            <w:vAlign w:val="center"/>
          </w:tcPr>
          <w:p w14:paraId="23224B6E">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13.83</w:t>
            </w:r>
            <w:r>
              <w:rPr>
                <w:rFonts w:hint="eastAsia" w:cs="Times New Roman"/>
                <w:color w:val="auto"/>
                <w:kern w:val="0"/>
                <w:sz w:val="21"/>
                <w:szCs w:val="21"/>
                <w:highlight w:val="none"/>
                <w:lang w:val="en-US" w:eastAsia="zh-CN"/>
              </w:rPr>
              <w:t>3</w:t>
            </w:r>
          </w:p>
        </w:tc>
        <w:tc>
          <w:tcPr>
            <w:tcW w:w="0" w:type="auto"/>
            <w:tcBorders>
              <w:tl2br w:val="nil"/>
              <w:tr2bl w:val="nil"/>
            </w:tcBorders>
            <w:noWrap w:val="0"/>
            <w:vAlign w:val="center"/>
          </w:tcPr>
          <w:p w14:paraId="6F21A0A2">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noWrap w:val="0"/>
            <w:vAlign w:val="center"/>
          </w:tcPr>
          <w:p w14:paraId="4B98892B">
            <w:pPr>
              <w:widowControl/>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砂、石存储及卸料粉尘：本项目共设置1座全封闭砂、石料棚，碎石和砂子在全封闭式储料棚储存，储料棚配备一套喷淋系统，原料装卸过程尽量减小卸料落差，储料棚四周地面硬化。</w:t>
            </w:r>
          </w:p>
        </w:tc>
        <w:tc>
          <w:tcPr>
            <w:tcW w:w="1430" w:type="dxa"/>
            <w:tcBorders>
              <w:tl2br w:val="nil"/>
              <w:tr2bl w:val="nil"/>
            </w:tcBorders>
            <w:noWrap w:val="0"/>
            <w:vAlign w:val="center"/>
          </w:tcPr>
          <w:p w14:paraId="0F48A3AD">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喷淋抑尘效率74%，全封闭储棚抑尘效率99%</w:t>
            </w:r>
          </w:p>
        </w:tc>
        <w:tc>
          <w:tcPr>
            <w:tcW w:w="761" w:type="dxa"/>
            <w:tcBorders>
              <w:tl2br w:val="nil"/>
              <w:tr2bl w:val="nil"/>
            </w:tcBorders>
            <w:noWrap w:val="0"/>
            <w:vAlign w:val="center"/>
          </w:tcPr>
          <w:p w14:paraId="7ECFE297">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是</w:t>
            </w:r>
          </w:p>
        </w:tc>
        <w:tc>
          <w:tcPr>
            <w:tcW w:w="800" w:type="dxa"/>
            <w:tcBorders>
              <w:tl2br w:val="nil"/>
              <w:tr2bl w:val="nil"/>
            </w:tcBorders>
            <w:noWrap w:val="0"/>
            <w:vAlign w:val="center"/>
          </w:tcPr>
          <w:p w14:paraId="001635FA">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086</w:t>
            </w:r>
          </w:p>
        </w:tc>
        <w:tc>
          <w:tcPr>
            <w:tcW w:w="1004" w:type="dxa"/>
            <w:tcBorders>
              <w:tl2br w:val="nil"/>
              <w:tr2bl w:val="nil"/>
            </w:tcBorders>
            <w:noWrap w:val="0"/>
            <w:vAlign w:val="center"/>
          </w:tcPr>
          <w:p w14:paraId="51CD509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0.036</w:t>
            </w:r>
          </w:p>
        </w:tc>
        <w:tc>
          <w:tcPr>
            <w:tcW w:w="1943" w:type="dxa"/>
            <w:tcBorders>
              <w:tl2br w:val="nil"/>
              <w:tr2bl w:val="nil"/>
            </w:tcBorders>
            <w:noWrap w:val="0"/>
            <w:vAlign w:val="center"/>
          </w:tcPr>
          <w:p w14:paraId="1987AF78">
            <w:pPr>
              <w:widowControl/>
              <w:jc w:val="center"/>
              <w:rPr>
                <w:rFonts w:ascii="宋体" w:hAnsi="宋体"/>
                <w:color w:val="auto"/>
                <w:sz w:val="21"/>
                <w:szCs w:val="21"/>
                <w:highlight w:val="none"/>
              </w:rPr>
            </w:pPr>
            <w:r>
              <w:rPr>
                <w:rFonts w:hint="eastAsia"/>
                <w:color w:val="auto"/>
                <w:kern w:val="0"/>
                <w:sz w:val="21"/>
                <w:szCs w:val="21"/>
                <w:highlight w:val="none"/>
              </w:rPr>
              <w:t>《水泥工业大气污染物排放标准》（GB4915-2013）表3标准</w:t>
            </w:r>
          </w:p>
        </w:tc>
      </w:tr>
      <w:tr w14:paraId="06EFF2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restart"/>
            <w:tcBorders>
              <w:tl2br w:val="nil"/>
              <w:tr2bl w:val="nil"/>
            </w:tcBorders>
            <w:noWrap w:val="0"/>
            <w:vAlign w:val="center"/>
          </w:tcPr>
          <w:p w14:paraId="7CCB589E">
            <w:pPr>
              <w:widowControl/>
              <w:adjustRightInd w:val="0"/>
              <w:snapToGrid w:val="0"/>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G</w:t>
            </w:r>
            <w:r>
              <w:rPr>
                <w:rFonts w:hint="eastAsia" w:cs="Times New Roman"/>
                <w:bCs/>
                <w:color w:val="auto"/>
                <w:sz w:val="21"/>
                <w:szCs w:val="21"/>
                <w:highlight w:val="none"/>
                <w:vertAlign w:val="subscript"/>
                <w:lang w:val="en-US" w:eastAsia="zh-CN"/>
              </w:rPr>
              <w:t>2</w:t>
            </w:r>
          </w:p>
        </w:tc>
        <w:tc>
          <w:tcPr>
            <w:tcW w:w="636" w:type="dxa"/>
            <w:tcBorders>
              <w:tl2br w:val="nil"/>
              <w:tr2bl w:val="nil"/>
            </w:tcBorders>
            <w:noWrap w:val="0"/>
            <w:vAlign w:val="center"/>
          </w:tcPr>
          <w:p w14:paraId="241C4A41">
            <w:pPr>
              <w:widowControl/>
              <w:adjustRightInd w:val="0"/>
              <w:snapToGrid w:val="0"/>
              <w:jc w:val="center"/>
              <w:rPr>
                <w:rFonts w:hint="eastAsia"/>
                <w:color w:val="auto"/>
                <w:kern w:val="0"/>
                <w:sz w:val="21"/>
                <w:szCs w:val="21"/>
                <w:highlight w:val="none"/>
              </w:rPr>
            </w:pPr>
            <w:r>
              <w:rPr>
                <w:rFonts w:ascii="宋体" w:hAnsi="宋体"/>
                <w:color w:val="auto"/>
                <w:kern w:val="0"/>
                <w:sz w:val="21"/>
                <w:szCs w:val="21"/>
                <w:highlight w:val="none"/>
              </w:rPr>
              <w:t>水泥</w:t>
            </w:r>
          </w:p>
          <w:p w14:paraId="2FB75F37">
            <w:pPr>
              <w:adjustRightInd w:val="0"/>
              <w:snapToGrid w:val="0"/>
              <w:jc w:val="center"/>
              <w:rPr>
                <w:rFonts w:hint="default" w:ascii="Times New Roman" w:hAnsi="Times New Roman" w:cs="Times New Roman"/>
                <w:color w:val="auto"/>
                <w:kern w:val="0"/>
                <w:sz w:val="21"/>
                <w:szCs w:val="21"/>
                <w:highlight w:val="none"/>
              </w:rPr>
            </w:pPr>
            <w:r>
              <w:rPr>
                <w:rFonts w:ascii="宋体" w:hAnsi="宋体"/>
                <w:color w:val="auto"/>
                <w:kern w:val="0"/>
                <w:sz w:val="21"/>
                <w:szCs w:val="21"/>
                <w:highlight w:val="none"/>
              </w:rPr>
              <w:t>筒仓</w:t>
            </w:r>
          </w:p>
        </w:tc>
        <w:tc>
          <w:tcPr>
            <w:tcW w:w="0" w:type="auto"/>
            <w:tcBorders>
              <w:tl2br w:val="nil"/>
              <w:tr2bl w:val="nil"/>
            </w:tcBorders>
            <w:noWrap w:val="0"/>
            <w:vAlign w:val="center"/>
          </w:tcPr>
          <w:p w14:paraId="279024FE">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ascii="宋体" w:hAnsi="宋体"/>
                <w:color w:val="auto"/>
                <w:kern w:val="0"/>
                <w:sz w:val="21"/>
                <w:szCs w:val="21"/>
                <w:highlight w:val="none"/>
              </w:rPr>
              <w:t>装卸</w:t>
            </w:r>
            <w:r>
              <w:rPr>
                <w:rFonts w:hint="eastAsia" w:ascii="宋体" w:hAnsi="宋体"/>
                <w:color w:val="auto"/>
                <w:kern w:val="0"/>
                <w:sz w:val="21"/>
                <w:szCs w:val="21"/>
                <w:highlight w:val="none"/>
                <w:lang w:eastAsia="zh-CN"/>
              </w:rPr>
              <w:t>、</w:t>
            </w:r>
            <w:r>
              <w:rPr>
                <w:rFonts w:hint="eastAsia" w:cs="Times New Roman"/>
                <w:color w:val="auto"/>
                <w:kern w:val="0"/>
                <w:sz w:val="21"/>
                <w:szCs w:val="21"/>
                <w:highlight w:val="none"/>
                <w:lang w:val="en-US" w:eastAsia="zh-CN"/>
              </w:rPr>
              <w:t>储存</w:t>
            </w:r>
          </w:p>
        </w:tc>
        <w:tc>
          <w:tcPr>
            <w:tcW w:w="0" w:type="auto"/>
            <w:tcBorders>
              <w:tl2br w:val="nil"/>
              <w:tr2bl w:val="nil"/>
            </w:tcBorders>
            <w:noWrap w:val="0"/>
            <w:vAlign w:val="center"/>
          </w:tcPr>
          <w:p w14:paraId="5644002E">
            <w:pPr>
              <w:widowControl/>
              <w:adjustRightInd w:val="0"/>
              <w:snapToGrid w:val="0"/>
              <w:jc w:val="center"/>
              <w:rPr>
                <w:rFonts w:hint="default" w:ascii="Times New Roman" w:hAnsi="Times New Roman" w:cs="Times New Roman"/>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noWrap w:val="0"/>
            <w:vAlign w:val="center"/>
          </w:tcPr>
          <w:p w14:paraId="06BC824F">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2.952</w:t>
            </w:r>
          </w:p>
        </w:tc>
        <w:tc>
          <w:tcPr>
            <w:tcW w:w="1004" w:type="dxa"/>
            <w:tcBorders>
              <w:tl2br w:val="nil"/>
              <w:tr2bl w:val="nil"/>
            </w:tcBorders>
            <w:noWrap w:val="0"/>
            <w:vAlign w:val="center"/>
          </w:tcPr>
          <w:p w14:paraId="58222E80">
            <w:pPr>
              <w:widowControl/>
              <w:adjustRightInd w:val="0"/>
              <w:snapToGrid w:val="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4.796</w:t>
            </w:r>
          </w:p>
        </w:tc>
        <w:tc>
          <w:tcPr>
            <w:tcW w:w="0" w:type="auto"/>
            <w:tcBorders>
              <w:tl2br w:val="nil"/>
              <w:tr2bl w:val="nil"/>
            </w:tcBorders>
            <w:noWrap w:val="0"/>
            <w:vAlign w:val="center"/>
          </w:tcPr>
          <w:p w14:paraId="05FD7B00">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noWrap w:val="0"/>
            <w:vAlign w:val="center"/>
          </w:tcPr>
          <w:p w14:paraId="4985B3B4">
            <w:pPr>
              <w:widowControl/>
              <w:adjustRightInd w:val="0"/>
              <w:snapToGrid w:val="0"/>
              <w:jc w:val="left"/>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密闭筒仓+仓顶滤芯除尘器</w:t>
            </w:r>
          </w:p>
        </w:tc>
        <w:tc>
          <w:tcPr>
            <w:tcW w:w="1430" w:type="dxa"/>
            <w:tcBorders>
              <w:tl2br w:val="nil"/>
              <w:tr2bl w:val="nil"/>
            </w:tcBorders>
            <w:noWrap w:val="0"/>
            <w:vAlign w:val="center"/>
          </w:tcPr>
          <w:p w14:paraId="05D2198E">
            <w:pPr>
              <w:widowControl/>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99%</w:t>
            </w:r>
          </w:p>
        </w:tc>
        <w:tc>
          <w:tcPr>
            <w:tcW w:w="761" w:type="dxa"/>
            <w:tcBorders>
              <w:tl2br w:val="nil"/>
              <w:tr2bl w:val="nil"/>
            </w:tcBorders>
            <w:noWrap w:val="0"/>
            <w:vAlign w:val="center"/>
          </w:tcPr>
          <w:p w14:paraId="5B222E6D">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是</w:t>
            </w:r>
          </w:p>
        </w:tc>
        <w:tc>
          <w:tcPr>
            <w:tcW w:w="800" w:type="dxa"/>
            <w:tcBorders>
              <w:tl2br w:val="nil"/>
              <w:tr2bl w:val="nil"/>
            </w:tcBorders>
            <w:noWrap w:val="0"/>
            <w:vAlign w:val="center"/>
          </w:tcPr>
          <w:p w14:paraId="40327364">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0.028</w:t>
            </w:r>
          </w:p>
        </w:tc>
        <w:tc>
          <w:tcPr>
            <w:tcW w:w="1004" w:type="dxa"/>
            <w:tcBorders>
              <w:tl2br w:val="nil"/>
              <w:tr2bl w:val="nil"/>
            </w:tcBorders>
            <w:noWrap w:val="0"/>
            <w:vAlign w:val="center"/>
          </w:tcPr>
          <w:p w14:paraId="580D2482">
            <w:pPr>
              <w:adjustRightInd w:val="0"/>
              <w:snapToGrid w:val="0"/>
              <w:jc w:val="center"/>
              <w:rPr>
                <w:rFonts w:hint="default"/>
                <w:color w:val="auto"/>
                <w:sz w:val="21"/>
                <w:szCs w:val="21"/>
                <w:highlight w:val="none"/>
                <w:lang w:val="en-US" w:eastAsia="zh-CN"/>
              </w:rPr>
            </w:pPr>
            <w:r>
              <w:rPr>
                <w:rFonts w:hint="eastAsia"/>
                <w:color w:val="auto"/>
                <w:sz w:val="21"/>
                <w:szCs w:val="21"/>
                <w:highlight w:val="none"/>
                <w:lang w:val="en-US" w:eastAsia="zh-CN"/>
              </w:rPr>
              <w:t>0.045</w:t>
            </w:r>
          </w:p>
        </w:tc>
        <w:tc>
          <w:tcPr>
            <w:tcW w:w="1943" w:type="dxa"/>
            <w:vMerge w:val="restart"/>
            <w:tcBorders>
              <w:tl2br w:val="nil"/>
              <w:tr2bl w:val="nil"/>
            </w:tcBorders>
            <w:noWrap w:val="0"/>
            <w:vAlign w:val="center"/>
          </w:tcPr>
          <w:p w14:paraId="43D1F757">
            <w:pPr>
              <w:widowControl/>
              <w:jc w:val="center"/>
              <w:rPr>
                <w:rFonts w:ascii="宋体" w:hAnsi="宋体"/>
                <w:color w:val="auto"/>
                <w:sz w:val="21"/>
                <w:szCs w:val="21"/>
                <w:highlight w:val="none"/>
              </w:rPr>
            </w:pPr>
            <w:r>
              <w:rPr>
                <w:rFonts w:hint="eastAsia"/>
                <w:color w:val="auto"/>
                <w:kern w:val="0"/>
                <w:sz w:val="21"/>
                <w:szCs w:val="21"/>
                <w:highlight w:val="none"/>
              </w:rPr>
              <w:t>《水泥工业大气污染物排放标准》（GB4915-2013）表</w:t>
            </w:r>
            <w:r>
              <w:rPr>
                <w:rFonts w:hint="eastAsia"/>
                <w:color w:val="auto"/>
                <w:kern w:val="0"/>
                <w:sz w:val="21"/>
                <w:szCs w:val="21"/>
                <w:highlight w:val="none"/>
                <w:lang w:val="en-US" w:eastAsia="zh-CN"/>
              </w:rPr>
              <w:t>2排放限值</w:t>
            </w:r>
          </w:p>
        </w:tc>
      </w:tr>
      <w:tr w14:paraId="25110E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continue"/>
            <w:tcBorders>
              <w:tl2br w:val="nil"/>
              <w:tr2bl w:val="nil"/>
            </w:tcBorders>
            <w:noWrap w:val="0"/>
            <w:vAlign w:val="center"/>
          </w:tcPr>
          <w:p w14:paraId="6BBB71BC">
            <w:pPr>
              <w:widowControl/>
              <w:adjustRightInd w:val="0"/>
              <w:snapToGrid w:val="0"/>
              <w:jc w:val="center"/>
              <w:rPr>
                <w:rFonts w:hint="eastAsia" w:cs="Times New Roman"/>
                <w:bCs/>
                <w:color w:val="auto"/>
                <w:sz w:val="21"/>
                <w:szCs w:val="21"/>
                <w:highlight w:val="none"/>
                <w:lang w:val="en-US" w:eastAsia="zh-CN"/>
              </w:rPr>
            </w:pPr>
          </w:p>
        </w:tc>
        <w:tc>
          <w:tcPr>
            <w:tcW w:w="636" w:type="dxa"/>
            <w:tcBorders>
              <w:tl2br w:val="nil"/>
              <w:tr2bl w:val="nil"/>
            </w:tcBorders>
            <w:shd w:val="clear" w:color="auto" w:fill="auto"/>
            <w:noWrap w:val="0"/>
            <w:vAlign w:val="center"/>
          </w:tcPr>
          <w:p w14:paraId="07EEEDF4">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ascii="宋体" w:hAnsi="宋体"/>
                <w:color w:val="auto"/>
                <w:kern w:val="0"/>
                <w:sz w:val="21"/>
                <w:szCs w:val="21"/>
                <w:highlight w:val="none"/>
              </w:rPr>
              <w:t>粉煤灰筒仓</w:t>
            </w:r>
          </w:p>
        </w:tc>
        <w:tc>
          <w:tcPr>
            <w:tcW w:w="1142" w:type="dxa"/>
            <w:tcBorders>
              <w:tl2br w:val="nil"/>
              <w:tr2bl w:val="nil"/>
            </w:tcBorders>
            <w:shd w:val="clear" w:color="auto" w:fill="auto"/>
            <w:noWrap w:val="0"/>
            <w:vAlign w:val="center"/>
          </w:tcPr>
          <w:p w14:paraId="4D643C41">
            <w:pPr>
              <w:widowControl/>
              <w:adjustRightInd w:val="0"/>
              <w:snapToGrid w:val="0"/>
              <w:jc w:val="center"/>
              <w:rPr>
                <w:rFonts w:ascii="Times New Roman" w:hAnsi="Times New Roman" w:eastAsia="宋体" w:cs="Times New Roman"/>
                <w:color w:val="auto"/>
                <w:kern w:val="0"/>
                <w:sz w:val="21"/>
                <w:szCs w:val="21"/>
                <w:highlight w:val="none"/>
                <w:lang w:val="en-US" w:eastAsia="zh-CN" w:bidi="ar-SA"/>
              </w:rPr>
            </w:pPr>
            <w:r>
              <w:rPr>
                <w:rFonts w:ascii="宋体" w:hAnsi="宋体"/>
                <w:color w:val="auto"/>
                <w:kern w:val="0"/>
                <w:sz w:val="21"/>
                <w:szCs w:val="21"/>
                <w:highlight w:val="none"/>
              </w:rPr>
              <w:t>装卸</w:t>
            </w:r>
            <w:r>
              <w:rPr>
                <w:rFonts w:hint="eastAsia" w:ascii="宋体" w:hAnsi="宋体"/>
                <w:color w:val="auto"/>
                <w:kern w:val="0"/>
                <w:sz w:val="21"/>
                <w:szCs w:val="21"/>
                <w:highlight w:val="none"/>
                <w:lang w:eastAsia="zh-CN"/>
              </w:rPr>
              <w:t>、</w:t>
            </w:r>
            <w:r>
              <w:rPr>
                <w:rFonts w:hint="eastAsia" w:cs="Times New Roman"/>
                <w:color w:val="auto"/>
                <w:kern w:val="0"/>
                <w:sz w:val="21"/>
                <w:szCs w:val="21"/>
                <w:highlight w:val="none"/>
                <w:lang w:val="en-US" w:eastAsia="zh-CN"/>
              </w:rPr>
              <w:t>储存</w:t>
            </w:r>
          </w:p>
        </w:tc>
        <w:tc>
          <w:tcPr>
            <w:tcW w:w="978" w:type="dxa"/>
            <w:tcBorders>
              <w:tl2br w:val="nil"/>
              <w:tr2bl w:val="nil"/>
            </w:tcBorders>
            <w:shd w:val="clear" w:color="auto" w:fill="auto"/>
            <w:noWrap w:val="0"/>
            <w:vAlign w:val="center"/>
          </w:tcPr>
          <w:p w14:paraId="549A7361">
            <w:pPr>
              <w:widowControl/>
              <w:adjustRightInd w:val="0"/>
              <w:snapToGrid w:val="0"/>
              <w:jc w:val="center"/>
              <w:rPr>
                <w:rFonts w:ascii="Times New Roman" w:hAnsi="Times New Roman" w:eastAsia="宋体" w:cs="Times New Roman"/>
                <w:color w:val="auto"/>
                <w:kern w:val="0"/>
                <w:sz w:val="21"/>
                <w:szCs w:val="21"/>
                <w:highlight w:val="none"/>
                <w:lang w:val="en-US" w:eastAsia="zh-CN" w:bidi="ar-SA"/>
              </w:rPr>
            </w:pPr>
            <w:r>
              <w:rPr>
                <w:rFonts w:ascii="宋体" w:hAnsi="宋体"/>
                <w:color w:val="auto"/>
                <w:kern w:val="0"/>
                <w:sz w:val="21"/>
                <w:szCs w:val="21"/>
                <w:highlight w:val="none"/>
              </w:rPr>
              <w:t>颗粒物</w:t>
            </w:r>
          </w:p>
        </w:tc>
        <w:tc>
          <w:tcPr>
            <w:tcW w:w="794" w:type="dxa"/>
            <w:tcBorders>
              <w:tl2br w:val="nil"/>
              <w:tr2bl w:val="nil"/>
            </w:tcBorders>
            <w:shd w:val="clear" w:color="auto" w:fill="auto"/>
            <w:noWrap w:val="0"/>
            <w:vAlign w:val="center"/>
          </w:tcPr>
          <w:p w14:paraId="4E615348">
            <w:pPr>
              <w:widowControl/>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0.984</w:t>
            </w:r>
          </w:p>
        </w:tc>
        <w:tc>
          <w:tcPr>
            <w:tcW w:w="1004" w:type="dxa"/>
            <w:tcBorders>
              <w:tl2br w:val="nil"/>
              <w:tr2bl w:val="nil"/>
            </w:tcBorders>
            <w:shd w:val="clear" w:color="auto" w:fill="auto"/>
            <w:noWrap w:val="0"/>
            <w:vAlign w:val="center"/>
          </w:tcPr>
          <w:p w14:paraId="1C0205C9">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4.788</w:t>
            </w:r>
          </w:p>
        </w:tc>
        <w:tc>
          <w:tcPr>
            <w:tcW w:w="764" w:type="dxa"/>
            <w:tcBorders>
              <w:tl2br w:val="nil"/>
              <w:tr2bl w:val="nil"/>
            </w:tcBorders>
            <w:shd w:val="clear" w:color="auto" w:fill="auto"/>
            <w:noWrap w:val="0"/>
            <w:vAlign w:val="center"/>
          </w:tcPr>
          <w:p w14:paraId="72C9FA24">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shd w:val="clear" w:color="auto" w:fill="auto"/>
            <w:noWrap w:val="0"/>
            <w:vAlign w:val="center"/>
          </w:tcPr>
          <w:p w14:paraId="3A6AA6CF">
            <w:pPr>
              <w:widowControl/>
              <w:adjustRightInd w:val="0"/>
              <w:snapToGrid w:val="0"/>
              <w:jc w:val="left"/>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密闭筒仓+仓顶滤芯除尘器</w:t>
            </w:r>
          </w:p>
        </w:tc>
        <w:tc>
          <w:tcPr>
            <w:tcW w:w="1430" w:type="dxa"/>
            <w:tcBorders>
              <w:tl2br w:val="nil"/>
              <w:tr2bl w:val="nil"/>
            </w:tcBorders>
            <w:shd w:val="clear" w:color="auto" w:fill="auto"/>
            <w:noWrap w:val="0"/>
            <w:vAlign w:val="center"/>
          </w:tcPr>
          <w:p w14:paraId="79D4B264">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rPr>
              <w:t>99%</w:t>
            </w:r>
          </w:p>
        </w:tc>
        <w:tc>
          <w:tcPr>
            <w:tcW w:w="761" w:type="dxa"/>
            <w:tcBorders>
              <w:tl2br w:val="nil"/>
              <w:tr2bl w:val="nil"/>
            </w:tcBorders>
            <w:shd w:val="clear" w:color="auto" w:fill="auto"/>
            <w:noWrap w:val="0"/>
            <w:vAlign w:val="center"/>
          </w:tcPr>
          <w:p w14:paraId="74B60195">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ascii="宋体" w:hAnsi="宋体"/>
                <w:color w:val="auto"/>
                <w:kern w:val="0"/>
                <w:sz w:val="21"/>
                <w:szCs w:val="21"/>
                <w:highlight w:val="none"/>
              </w:rPr>
              <w:t>是</w:t>
            </w:r>
          </w:p>
        </w:tc>
        <w:tc>
          <w:tcPr>
            <w:tcW w:w="800" w:type="dxa"/>
            <w:tcBorders>
              <w:tl2br w:val="nil"/>
              <w:tr2bl w:val="nil"/>
            </w:tcBorders>
            <w:shd w:val="clear" w:color="auto" w:fill="auto"/>
            <w:noWrap w:val="0"/>
            <w:vAlign w:val="center"/>
          </w:tcPr>
          <w:p w14:paraId="1F3C7635">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0.01</w:t>
            </w:r>
          </w:p>
        </w:tc>
        <w:tc>
          <w:tcPr>
            <w:tcW w:w="1004" w:type="dxa"/>
            <w:tcBorders>
              <w:tl2br w:val="nil"/>
              <w:tr2bl w:val="nil"/>
            </w:tcBorders>
            <w:shd w:val="clear" w:color="auto" w:fill="auto"/>
            <w:noWrap w:val="0"/>
            <w:vAlign w:val="center"/>
          </w:tcPr>
          <w:p w14:paraId="252E6EED">
            <w:pPr>
              <w:jc w:val="center"/>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lang w:val="en-US" w:eastAsia="zh-CN"/>
              </w:rPr>
              <w:t>0.049</w:t>
            </w:r>
          </w:p>
        </w:tc>
        <w:tc>
          <w:tcPr>
            <w:tcW w:w="1943" w:type="dxa"/>
            <w:vMerge w:val="continue"/>
            <w:tcBorders>
              <w:tl2br w:val="nil"/>
              <w:tr2bl w:val="nil"/>
            </w:tcBorders>
            <w:noWrap w:val="0"/>
            <w:vAlign w:val="center"/>
          </w:tcPr>
          <w:p w14:paraId="792A7118">
            <w:pPr>
              <w:widowControl/>
              <w:jc w:val="center"/>
              <w:rPr>
                <w:rFonts w:ascii="宋体" w:hAnsi="宋体"/>
                <w:color w:val="auto"/>
                <w:sz w:val="21"/>
                <w:szCs w:val="21"/>
                <w:highlight w:val="none"/>
              </w:rPr>
            </w:pPr>
          </w:p>
        </w:tc>
      </w:tr>
      <w:tr w14:paraId="6F11F6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continue"/>
            <w:tcBorders>
              <w:tl2br w:val="nil"/>
              <w:tr2bl w:val="nil"/>
            </w:tcBorders>
            <w:noWrap w:val="0"/>
            <w:vAlign w:val="center"/>
          </w:tcPr>
          <w:p w14:paraId="5C6DC1A1">
            <w:pPr>
              <w:widowControl/>
              <w:adjustRightInd w:val="0"/>
              <w:snapToGrid w:val="0"/>
              <w:jc w:val="center"/>
              <w:rPr>
                <w:rFonts w:hint="eastAsia" w:cs="Times New Roman"/>
                <w:bCs/>
                <w:color w:val="auto"/>
                <w:sz w:val="21"/>
                <w:szCs w:val="21"/>
                <w:highlight w:val="none"/>
                <w:lang w:val="en-US" w:eastAsia="zh-CN"/>
              </w:rPr>
            </w:pPr>
          </w:p>
        </w:tc>
        <w:tc>
          <w:tcPr>
            <w:tcW w:w="636" w:type="dxa"/>
            <w:tcBorders>
              <w:tl2br w:val="nil"/>
              <w:tr2bl w:val="nil"/>
            </w:tcBorders>
            <w:shd w:val="clear" w:color="auto" w:fill="auto"/>
            <w:noWrap w:val="0"/>
            <w:vAlign w:val="center"/>
          </w:tcPr>
          <w:p w14:paraId="2934191D">
            <w:pPr>
              <w:widowControl/>
              <w:adjustRightInd w:val="0"/>
              <w:snapToGrid w:val="0"/>
              <w:jc w:val="center"/>
              <w:rPr>
                <w:rFonts w:ascii="宋体" w:hAnsi="宋体"/>
                <w:color w:val="auto"/>
                <w:kern w:val="0"/>
                <w:sz w:val="21"/>
                <w:szCs w:val="21"/>
                <w:highlight w:val="none"/>
              </w:rPr>
            </w:pPr>
            <w:r>
              <w:rPr>
                <w:rFonts w:hint="eastAsia" w:ascii="宋体" w:hAnsi="宋体"/>
                <w:color w:val="auto"/>
                <w:kern w:val="0"/>
                <w:sz w:val="21"/>
                <w:szCs w:val="21"/>
                <w:highlight w:val="none"/>
              </w:rPr>
              <w:t>石灰石矿粉筒仓</w:t>
            </w:r>
          </w:p>
        </w:tc>
        <w:tc>
          <w:tcPr>
            <w:tcW w:w="1142" w:type="dxa"/>
            <w:tcBorders>
              <w:tl2br w:val="nil"/>
              <w:tr2bl w:val="nil"/>
            </w:tcBorders>
            <w:shd w:val="clear" w:color="auto" w:fill="auto"/>
            <w:noWrap w:val="0"/>
            <w:vAlign w:val="center"/>
          </w:tcPr>
          <w:p w14:paraId="088A4DD5">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装卸</w:t>
            </w:r>
            <w:r>
              <w:rPr>
                <w:rFonts w:hint="eastAsia" w:ascii="宋体" w:hAnsi="宋体"/>
                <w:color w:val="auto"/>
                <w:kern w:val="0"/>
                <w:sz w:val="21"/>
                <w:szCs w:val="21"/>
                <w:highlight w:val="none"/>
                <w:lang w:eastAsia="zh-CN"/>
              </w:rPr>
              <w:t>、</w:t>
            </w:r>
            <w:r>
              <w:rPr>
                <w:rFonts w:hint="eastAsia" w:cs="Times New Roman"/>
                <w:color w:val="auto"/>
                <w:kern w:val="0"/>
                <w:sz w:val="21"/>
                <w:szCs w:val="21"/>
                <w:highlight w:val="none"/>
                <w:lang w:val="en-US" w:eastAsia="zh-CN"/>
              </w:rPr>
              <w:t>储存</w:t>
            </w:r>
          </w:p>
        </w:tc>
        <w:tc>
          <w:tcPr>
            <w:tcW w:w="978" w:type="dxa"/>
            <w:tcBorders>
              <w:tl2br w:val="nil"/>
              <w:tr2bl w:val="nil"/>
            </w:tcBorders>
            <w:shd w:val="clear" w:color="auto" w:fill="auto"/>
            <w:noWrap w:val="0"/>
            <w:vAlign w:val="center"/>
          </w:tcPr>
          <w:p w14:paraId="3D94B150">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shd w:val="clear" w:color="auto" w:fill="auto"/>
            <w:noWrap w:val="0"/>
            <w:vAlign w:val="center"/>
          </w:tcPr>
          <w:p w14:paraId="4880E36A">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1.968</w:t>
            </w:r>
          </w:p>
        </w:tc>
        <w:tc>
          <w:tcPr>
            <w:tcW w:w="1004" w:type="dxa"/>
            <w:tcBorders>
              <w:tl2br w:val="nil"/>
              <w:tr2bl w:val="nil"/>
            </w:tcBorders>
            <w:shd w:val="clear" w:color="auto" w:fill="auto"/>
            <w:noWrap w:val="0"/>
            <w:vAlign w:val="center"/>
          </w:tcPr>
          <w:p w14:paraId="65983371">
            <w:pPr>
              <w:widowControl/>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4.794</w:t>
            </w:r>
          </w:p>
        </w:tc>
        <w:tc>
          <w:tcPr>
            <w:tcW w:w="764" w:type="dxa"/>
            <w:tcBorders>
              <w:tl2br w:val="nil"/>
              <w:tr2bl w:val="nil"/>
            </w:tcBorders>
            <w:shd w:val="clear" w:color="auto" w:fill="auto"/>
            <w:noWrap w:val="0"/>
            <w:vAlign w:val="center"/>
          </w:tcPr>
          <w:p w14:paraId="5C9C389E">
            <w:pPr>
              <w:widowControl/>
              <w:adjustRightInd w:val="0"/>
              <w:snapToGrid w:val="0"/>
              <w:jc w:val="center"/>
              <w:rPr>
                <w:rFonts w:ascii="宋体" w:hAnsi="宋体"/>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shd w:val="clear" w:color="auto" w:fill="auto"/>
            <w:noWrap w:val="0"/>
            <w:vAlign w:val="center"/>
          </w:tcPr>
          <w:p w14:paraId="03127962">
            <w:pPr>
              <w:widowControl/>
              <w:adjustRightInd w:val="0"/>
              <w:snapToGrid w:val="0"/>
              <w:jc w:val="left"/>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密闭筒仓+仓顶滤芯除尘器</w:t>
            </w:r>
          </w:p>
        </w:tc>
        <w:tc>
          <w:tcPr>
            <w:tcW w:w="1430" w:type="dxa"/>
            <w:tcBorders>
              <w:tl2br w:val="nil"/>
              <w:tr2bl w:val="nil"/>
            </w:tcBorders>
            <w:shd w:val="clear" w:color="auto" w:fill="auto"/>
            <w:noWrap w:val="0"/>
            <w:vAlign w:val="center"/>
          </w:tcPr>
          <w:p w14:paraId="5B84E8E7">
            <w:pPr>
              <w:widowControl/>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99%</w:t>
            </w:r>
          </w:p>
        </w:tc>
        <w:tc>
          <w:tcPr>
            <w:tcW w:w="761" w:type="dxa"/>
            <w:tcBorders>
              <w:tl2br w:val="nil"/>
              <w:tr2bl w:val="nil"/>
            </w:tcBorders>
            <w:shd w:val="clear" w:color="auto" w:fill="auto"/>
            <w:noWrap w:val="0"/>
            <w:vAlign w:val="center"/>
          </w:tcPr>
          <w:p w14:paraId="510021F9">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是</w:t>
            </w:r>
          </w:p>
        </w:tc>
        <w:tc>
          <w:tcPr>
            <w:tcW w:w="800" w:type="dxa"/>
            <w:tcBorders>
              <w:tl2br w:val="nil"/>
              <w:tr2bl w:val="nil"/>
            </w:tcBorders>
            <w:shd w:val="clear" w:color="auto" w:fill="auto"/>
            <w:noWrap w:val="0"/>
            <w:vAlign w:val="center"/>
          </w:tcPr>
          <w:p w14:paraId="3C0B5780">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0.02</w:t>
            </w:r>
          </w:p>
        </w:tc>
        <w:tc>
          <w:tcPr>
            <w:tcW w:w="1004" w:type="dxa"/>
            <w:tcBorders>
              <w:tl2br w:val="nil"/>
              <w:tr2bl w:val="nil"/>
            </w:tcBorders>
            <w:shd w:val="clear" w:color="auto" w:fill="auto"/>
            <w:noWrap w:val="0"/>
            <w:vAlign w:val="center"/>
          </w:tcPr>
          <w:p w14:paraId="7D54E66A">
            <w:pPr>
              <w:jc w:val="center"/>
              <w:rPr>
                <w:rFonts w:hint="default" w:cs="Times New Roman"/>
                <w:color w:val="auto"/>
                <w:sz w:val="21"/>
                <w:szCs w:val="21"/>
                <w:highlight w:val="none"/>
                <w:lang w:val="en-US" w:eastAsia="zh-CN"/>
              </w:rPr>
            </w:pPr>
            <w:r>
              <w:rPr>
                <w:rFonts w:hint="eastAsia"/>
                <w:color w:val="auto"/>
                <w:sz w:val="21"/>
                <w:szCs w:val="21"/>
                <w:highlight w:val="none"/>
                <w:lang w:val="en-US" w:eastAsia="zh-CN"/>
              </w:rPr>
              <w:t>0.049</w:t>
            </w:r>
          </w:p>
        </w:tc>
        <w:tc>
          <w:tcPr>
            <w:tcW w:w="1943" w:type="dxa"/>
            <w:vMerge w:val="continue"/>
            <w:tcBorders>
              <w:tl2br w:val="nil"/>
              <w:tr2bl w:val="nil"/>
            </w:tcBorders>
            <w:noWrap w:val="0"/>
            <w:vAlign w:val="center"/>
          </w:tcPr>
          <w:p w14:paraId="472A2DB6">
            <w:pPr>
              <w:widowControl/>
              <w:jc w:val="center"/>
              <w:rPr>
                <w:rFonts w:ascii="宋体" w:hAnsi="宋体"/>
                <w:color w:val="auto"/>
                <w:sz w:val="21"/>
                <w:szCs w:val="21"/>
                <w:highlight w:val="none"/>
              </w:rPr>
            </w:pPr>
          </w:p>
        </w:tc>
      </w:tr>
      <w:tr w14:paraId="526AE3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vMerge w:val="continue"/>
            <w:tcBorders>
              <w:tl2br w:val="nil"/>
              <w:tr2bl w:val="nil"/>
            </w:tcBorders>
            <w:noWrap w:val="0"/>
            <w:vAlign w:val="center"/>
          </w:tcPr>
          <w:p w14:paraId="0A61BE26">
            <w:pPr>
              <w:widowControl/>
              <w:adjustRightInd w:val="0"/>
              <w:snapToGrid w:val="0"/>
              <w:jc w:val="center"/>
              <w:rPr>
                <w:rFonts w:hint="eastAsia" w:cs="Times New Roman"/>
                <w:bCs/>
                <w:color w:val="auto"/>
                <w:sz w:val="21"/>
                <w:szCs w:val="21"/>
                <w:highlight w:val="none"/>
                <w:lang w:val="en-US" w:eastAsia="zh-CN"/>
              </w:rPr>
            </w:pPr>
          </w:p>
        </w:tc>
        <w:tc>
          <w:tcPr>
            <w:tcW w:w="636" w:type="dxa"/>
            <w:tcBorders>
              <w:tl2br w:val="nil"/>
              <w:tr2bl w:val="nil"/>
            </w:tcBorders>
            <w:shd w:val="clear" w:color="auto" w:fill="auto"/>
            <w:noWrap w:val="0"/>
            <w:vAlign w:val="center"/>
          </w:tcPr>
          <w:p w14:paraId="3C56C61B">
            <w:pPr>
              <w:widowControl/>
              <w:adjustRightInd w:val="0"/>
              <w:snapToGrid w:val="0"/>
              <w:jc w:val="center"/>
              <w:rPr>
                <w:rFonts w:hint="default" w:ascii="宋体" w:hAnsi="宋体" w:eastAsia="宋体"/>
                <w:color w:val="auto"/>
                <w:kern w:val="0"/>
                <w:sz w:val="21"/>
                <w:szCs w:val="21"/>
                <w:highlight w:val="none"/>
                <w:lang w:val="en-US" w:eastAsia="zh-CN"/>
              </w:rPr>
            </w:pPr>
            <w:r>
              <w:rPr>
                <w:rFonts w:hint="eastAsia" w:ascii="宋体" w:hAnsi="宋体"/>
                <w:color w:val="auto"/>
                <w:kern w:val="0"/>
                <w:sz w:val="21"/>
                <w:szCs w:val="21"/>
                <w:highlight w:val="none"/>
                <w:lang w:val="en-US" w:eastAsia="zh-CN"/>
              </w:rPr>
              <w:t>膨胀剂筒仓</w:t>
            </w:r>
          </w:p>
        </w:tc>
        <w:tc>
          <w:tcPr>
            <w:tcW w:w="1142" w:type="dxa"/>
            <w:tcBorders>
              <w:tl2br w:val="nil"/>
              <w:tr2bl w:val="nil"/>
            </w:tcBorders>
            <w:shd w:val="clear" w:color="auto" w:fill="auto"/>
            <w:noWrap w:val="0"/>
            <w:vAlign w:val="center"/>
          </w:tcPr>
          <w:p w14:paraId="30268904">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装卸</w:t>
            </w:r>
            <w:r>
              <w:rPr>
                <w:rFonts w:hint="eastAsia" w:ascii="宋体" w:hAnsi="宋体"/>
                <w:color w:val="auto"/>
                <w:kern w:val="0"/>
                <w:sz w:val="21"/>
                <w:szCs w:val="21"/>
                <w:highlight w:val="none"/>
                <w:lang w:eastAsia="zh-CN"/>
              </w:rPr>
              <w:t>、</w:t>
            </w:r>
            <w:r>
              <w:rPr>
                <w:rFonts w:hint="eastAsia" w:cs="Times New Roman"/>
                <w:color w:val="auto"/>
                <w:kern w:val="0"/>
                <w:sz w:val="21"/>
                <w:szCs w:val="21"/>
                <w:highlight w:val="none"/>
                <w:lang w:val="en-US" w:eastAsia="zh-CN"/>
              </w:rPr>
              <w:t>储存</w:t>
            </w:r>
          </w:p>
        </w:tc>
        <w:tc>
          <w:tcPr>
            <w:tcW w:w="978" w:type="dxa"/>
            <w:tcBorders>
              <w:tl2br w:val="nil"/>
              <w:tr2bl w:val="nil"/>
            </w:tcBorders>
            <w:shd w:val="clear" w:color="auto" w:fill="auto"/>
            <w:noWrap w:val="0"/>
            <w:vAlign w:val="center"/>
          </w:tcPr>
          <w:p w14:paraId="31532174">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shd w:val="clear" w:color="auto" w:fill="auto"/>
            <w:noWrap w:val="0"/>
            <w:vAlign w:val="center"/>
          </w:tcPr>
          <w:p w14:paraId="42D58288">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0.1</w:t>
            </w:r>
          </w:p>
        </w:tc>
        <w:tc>
          <w:tcPr>
            <w:tcW w:w="1004" w:type="dxa"/>
            <w:tcBorders>
              <w:tl2br w:val="nil"/>
              <w:tr2bl w:val="nil"/>
            </w:tcBorders>
            <w:shd w:val="clear" w:color="auto" w:fill="auto"/>
            <w:noWrap w:val="0"/>
            <w:vAlign w:val="center"/>
          </w:tcPr>
          <w:p w14:paraId="1FD9E4F6">
            <w:pPr>
              <w:widowControl/>
              <w:adjustRightInd w:val="0"/>
              <w:snapToGrid w:val="0"/>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4.878</w:t>
            </w:r>
          </w:p>
        </w:tc>
        <w:tc>
          <w:tcPr>
            <w:tcW w:w="764" w:type="dxa"/>
            <w:tcBorders>
              <w:tl2br w:val="nil"/>
              <w:tr2bl w:val="nil"/>
            </w:tcBorders>
            <w:shd w:val="clear" w:color="auto" w:fill="auto"/>
            <w:noWrap w:val="0"/>
            <w:vAlign w:val="center"/>
          </w:tcPr>
          <w:p w14:paraId="36EB7E6F">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shd w:val="clear" w:color="auto" w:fill="auto"/>
            <w:noWrap w:val="0"/>
            <w:vAlign w:val="center"/>
          </w:tcPr>
          <w:p w14:paraId="15333976">
            <w:pPr>
              <w:widowControl/>
              <w:adjustRightInd w:val="0"/>
              <w:snapToGrid w:val="0"/>
              <w:jc w:val="left"/>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密闭筒仓+仓顶滤芯除尘器</w:t>
            </w:r>
          </w:p>
        </w:tc>
        <w:tc>
          <w:tcPr>
            <w:tcW w:w="1430" w:type="dxa"/>
            <w:tcBorders>
              <w:tl2br w:val="nil"/>
              <w:tr2bl w:val="nil"/>
            </w:tcBorders>
            <w:shd w:val="clear" w:color="auto" w:fill="auto"/>
            <w:noWrap w:val="0"/>
            <w:vAlign w:val="center"/>
          </w:tcPr>
          <w:p w14:paraId="1133AEBA">
            <w:pPr>
              <w:widowControl/>
              <w:adjustRightInd w:val="0"/>
              <w:snapToGrid w:val="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99%</w:t>
            </w:r>
          </w:p>
        </w:tc>
        <w:tc>
          <w:tcPr>
            <w:tcW w:w="761" w:type="dxa"/>
            <w:tcBorders>
              <w:tl2br w:val="nil"/>
              <w:tr2bl w:val="nil"/>
            </w:tcBorders>
            <w:shd w:val="clear" w:color="auto" w:fill="auto"/>
            <w:noWrap w:val="0"/>
            <w:vAlign w:val="center"/>
          </w:tcPr>
          <w:p w14:paraId="7AC99308">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是</w:t>
            </w:r>
          </w:p>
        </w:tc>
        <w:tc>
          <w:tcPr>
            <w:tcW w:w="800" w:type="dxa"/>
            <w:tcBorders>
              <w:tl2br w:val="nil"/>
              <w:tr2bl w:val="nil"/>
            </w:tcBorders>
            <w:shd w:val="clear" w:color="auto" w:fill="auto"/>
            <w:noWrap w:val="0"/>
            <w:vAlign w:val="center"/>
          </w:tcPr>
          <w:p w14:paraId="020E45F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Cs w:val="21"/>
                <w:highlight w:val="none"/>
                <w:lang w:val="en-US" w:eastAsia="zh-CN"/>
              </w:rPr>
              <w:t>0.004</w:t>
            </w:r>
          </w:p>
        </w:tc>
        <w:tc>
          <w:tcPr>
            <w:tcW w:w="1004" w:type="dxa"/>
            <w:tcBorders>
              <w:tl2br w:val="nil"/>
              <w:tr2bl w:val="nil"/>
            </w:tcBorders>
            <w:shd w:val="clear" w:color="auto" w:fill="auto"/>
            <w:noWrap w:val="0"/>
            <w:vAlign w:val="center"/>
          </w:tcPr>
          <w:p w14:paraId="35427CC8">
            <w:pPr>
              <w:jc w:val="center"/>
              <w:rPr>
                <w:rFonts w:hint="default" w:cs="Times New Roman"/>
                <w:color w:val="auto"/>
                <w:sz w:val="21"/>
                <w:szCs w:val="21"/>
                <w:highlight w:val="none"/>
                <w:lang w:val="en-US" w:eastAsia="zh-CN"/>
              </w:rPr>
            </w:pPr>
            <w:r>
              <w:rPr>
                <w:rFonts w:hint="eastAsia"/>
                <w:color w:val="auto"/>
                <w:sz w:val="21"/>
                <w:szCs w:val="21"/>
                <w:highlight w:val="none"/>
                <w:lang w:val="en-US" w:eastAsia="zh-CN"/>
              </w:rPr>
              <w:t>0.195</w:t>
            </w:r>
          </w:p>
        </w:tc>
        <w:tc>
          <w:tcPr>
            <w:tcW w:w="1943" w:type="dxa"/>
            <w:vMerge w:val="continue"/>
            <w:tcBorders>
              <w:tl2br w:val="nil"/>
              <w:tr2bl w:val="nil"/>
            </w:tcBorders>
            <w:noWrap w:val="0"/>
            <w:vAlign w:val="center"/>
          </w:tcPr>
          <w:p w14:paraId="1A318045">
            <w:pPr>
              <w:widowControl/>
              <w:jc w:val="center"/>
              <w:rPr>
                <w:rFonts w:ascii="宋体" w:hAnsi="宋体"/>
                <w:color w:val="auto"/>
                <w:sz w:val="21"/>
                <w:szCs w:val="21"/>
                <w:highlight w:val="none"/>
              </w:rPr>
            </w:pPr>
          </w:p>
        </w:tc>
      </w:tr>
      <w:tr w14:paraId="07D4D2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0"/>
            <w:vAlign w:val="center"/>
          </w:tcPr>
          <w:p w14:paraId="37C4D99A">
            <w:pPr>
              <w:widowControl/>
              <w:adjustRightInd w:val="0"/>
              <w:snapToGrid w:val="0"/>
              <w:jc w:val="center"/>
              <w:rPr>
                <w:rFonts w:hint="eastAsia" w:eastAsia="宋体"/>
                <w:color w:val="auto"/>
                <w:kern w:val="0"/>
                <w:sz w:val="21"/>
                <w:szCs w:val="21"/>
                <w:highlight w:val="none"/>
                <w:lang w:eastAsia="zh-CN"/>
              </w:rPr>
            </w:pPr>
            <w:r>
              <w:rPr>
                <w:color w:val="auto"/>
                <w:kern w:val="0"/>
                <w:sz w:val="21"/>
                <w:szCs w:val="21"/>
                <w:highlight w:val="none"/>
              </w:rPr>
              <w:t>G</w:t>
            </w:r>
            <w:r>
              <w:rPr>
                <w:rFonts w:hint="eastAsia"/>
                <w:color w:val="auto"/>
                <w:kern w:val="0"/>
                <w:sz w:val="21"/>
                <w:szCs w:val="21"/>
                <w:highlight w:val="none"/>
                <w:vertAlign w:val="subscript"/>
                <w:lang w:val="en-US" w:eastAsia="zh-CN"/>
              </w:rPr>
              <w:t>3</w:t>
            </w:r>
          </w:p>
        </w:tc>
        <w:tc>
          <w:tcPr>
            <w:tcW w:w="636" w:type="dxa"/>
            <w:tcBorders>
              <w:tl2br w:val="nil"/>
              <w:tr2bl w:val="nil"/>
            </w:tcBorders>
            <w:noWrap w:val="0"/>
            <w:vAlign w:val="center"/>
          </w:tcPr>
          <w:p w14:paraId="11F56CC6">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上料仓</w:t>
            </w:r>
          </w:p>
        </w:tc>
        <w:tc>
          <w:tcPr>
            <w:tcW w:w="0" w:type="auto"/>
            <w:tcBorders>
              <w:tl2br w:val="nil"/>
              <w:tr2bl w:val="nil"/>
            </w:tcBorders>
            <w:noWrap w:val="0"/>
            <w:vAlign w:val="center"/>
          </w:tcPr>
          <w:p w14:paraId="55AA3CCE">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配料</w:t>
            </w:r>
            <w:r>
              <w:rPr>
                <w:rFonts w:hint="eastAsia" w:ascii="宋体" w:hAnsi="宋体"/>
                <w:color w:val="auto"/>
                <w:kern w:val="0"/>
                <w:sz w:val="21"/>
                <w:szCs w:val="21"/>
                <w:highlight w:val="none"/>
              </w:rPr>
              <w:t>、</w:t>
            </w:r>
            <w:r>
              <w:rPr>
                <w:rFonts w:ascii="宋体" w:hAnsi="宋体"/>
                <w:color w:val="auto"/>
                <w:kern w:val="0"/>
                <w:sz w:val="21"/>
                <w:szCs w:val="21"/>
                <w:highlight w:val="none"/>
              </w:rPr>
              <w:t>输料</w:t>
            </w:r>
          </w:p>
        </w:tc>
        <w:tc>
          <w:tcPr>
            <w:tcW w:w="0" w:type="auto"/>
            <w:tcBorders>
              <w:tl2br w:val="nil"/>
              <w:tr2bl w:val="nil"/>
            </w:tcBorders>
            <w:noWrap w:val="0"/>
            <w:vAlign w:val="center"/>
          </w:tcPr>
          <w:p w14:paraId="36945C7D">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noWrap w:val="0"/>
            <w:vAlign w:val="center"/>
          </w:tcPr>
          <w:p w14:paraId="1AE9CA22">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19.682</w:t>
            </w:r>
          </w:p>
        </w:tc>
        <w:tc>
          <w:tcPr>
            <w:tcW w:w="1004" w:type="dxa"/>
            <w:tcBorders>
              <w:tl2br w:val="nil"/>
              <w:tr2bl w:val="nil"/>
            </w:tcBorders>
            <w:noWrap w:val="0"/>
            <w:vAlign w:val="center"/>
          </w:tcPr>
          <w:p w14:paraId="167943E9">
            <w:pPr>
              <w:widowControl/>
              <w:adjustRightInd w:val="0"/>
              <w:snapToGrid w:val="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8.2</w:t>
            </w:r>
          </w:p>
        </w:tc>
        <w:tc>
          <w:tcPr>
            <w:tcW w:w="0" w:type="auto"/>
            <w:tcBorders>
              <w:tl2br w:val="nil"/>
              <w:tr2bl w:val="nil"/>
            </w:tcBorders>
            <w:noWrap w:val="0"/>
            <w:vAlign w:val="center"/>
          </w:tcPr>
          <w:p w14:paraId="1AC2720C">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无组织</w:t>
            </w:r>
          </w:p>
        </w:tc>
        <w:tc>
          <w:tcPr>
            <w:tcW w:w="1960" w:type="dxa"/>
            <w:tcBorders>
              <w:tl2br w:val="nil"/>
              <w:tr2bl w:val="nil"/>
            </w:tcBorders>
            <w:noWrap w:val="0"/>
            <w:vAlign w:val="center"/>
          </w:tcPr>
          <w:p w14:paraId="1C131F69">
            <w:pPr>
              <w:widowControl/>
              <w:adjustRightInd w:val="0"/>
              <w:snapToGrid w:val="0"/>
              <w:jc w:val="left"/>
              <w:rPr>
                <w:rFonts w:hint="eastAsia" w:ascii="宋体" w:hAnsi="宋体"/>
                <w:color w:val="auto"/>
                <w:sz w:val="21"/>
                <w:szCs w:val="21"/>
                <w:highlight w:val="none"/>
              </w:rPr>
            </w:pPr>
            <w:r>
              <w:rPr>
                <w:rFonts w:hint="eastAsia" w:ascii="宋体" w:hAnsi="宋体"/>
                <w:bCs/>
                <w:color w:val="auto"/>
                <w:kern w:val="0"/>
                <w:sz w:val="21"/>
                <w:szCs w:val="21"/>
                <w:highlight w:val="none"/>
              </w:rPr>
              <w:t>砂石原料利用装载机由砂料棚、石料棚运至置于</w:t>
            </w:r>
            <w:r>
              <w:rPr>
                <w:rFonts w:hint="eastAsia" w:ascii="宋体" w:hAnsi="宋体"/>
                <w:bCs/>
                <w:color w:val="auto"/>
                <w:kern w:val="0"/>
                <w:sz w:val="21"/>
                <w:szCs w:val="21"/>
                <w:highlight w:val="none"/>
                <w:lang w:val="en-US" w:eastAsia="zh-CN"/>
              </w:rPr>
              <w:t>砂</w:t>
            </w:r>
            <w:r>
              <w:rPr>
                <w:rFonts w:hint="eastAsia" w:ascii="宋体" w:hAnsi="宋体"/>
                <w:bCs/>
                <w:color w:val="auto"/>
                <w:kern w:val="0"/>
                <w:sz w:val="21"/>
                <w:szCs w:val="21"/>
                <w:highlight w:val="none"/>
              </w:rPr>
              <w:t>石料棚内的密闭上料仓，输送带两侧和上部为封闭结构</w:t>
            </w:r>
          </w:p>
        </w:tc>
        <w:tc>
          <w:tcPr>
            <w:tcW w:w="1430" w:type="dxa"/>
            <w:tcBorders>
              <w:tl2br w:val="nil"/>
              <w:tr2bl w:val="nil"/>
            </w:tcBorders>
            <w:noWrap w:val="0"/>
            <w:vAlign w:val="center"/>
          </w:tcPr>
          <w:p w14:paraId="5B881AD8">
            <w:pPr>
              <w:widowControl/>
              <w:adjustRightInd w:val="0"/>
              <w:snapToGrid w:val="0"/>
              <w:jc w:val="center"/>
              <w:rPr>
                <w:color w:val="auto"/>
                <w:kern w:val="0"/>
                <w:sz w:val="21"/>
                <w:szCs w:val="21"/>
                <w:highlight w:val="none"/>
              </w:rPr>
            </w:pPr>
            <w:r>
              <w:rPr>
                <w:rFonts w:hint="eastAsia"/>
                <w:color w:val="auto"/>
                <w:kern w:val="0"/>
                <w:sz w:val="21"/>
                <w:szCs w:val="21"/>
                <w:highlight w:val="none"/>
              </w:rPr>
              <w:t>9</w:t>
            </w:r>
            <w:r>
              <w:rPr>
                <w:rFonts w:hint="eastAsia"/>
                <w:color w:val="auto"/>
                <w:kern w:val="0"/>
                <w:sz w:val="21"/>
                <w:szCs w:val="21"/>
                <w:highlight w:val="none"/>
                <w:lang w:val="en-US" w:eastAsia="zh-CN"/>
              </w:rPr>
              <w:t>9</w:t>
            </w:r>
            <w:r>
              <w:rPr>
                <w:rFonts w:hint="eastAsia"/>
                <w:color w:val="auto"/>
                <w:kern w:val="0"/>
                <w:sz w:val="21"/>
                <w:szCs w:val="21"/>
                <w:highlight w:val="none"/>
              </w:rPr>
              <w:t>%</w:t>
            </w:r>
          </w:p>
        </w:tc>
        <w:tc>
          <w:tcPr>
            <w:tcW w:w="761" w:type="dxa"/>
            <w:tcBorders>
              <w:tl2br w:val="nil"/>
              <w:tr2bl w:val="nil"/>
            </w:tcBorders>
            <w:noWrap w:val="0"/>
            <w:vAlign w:val="center"/>
          </w:tcPr>
          <w:p w14:paraId="16F9779B">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是</w:t>
            </w:r>
          </w:p>
        </w:tc>
        <w:tc>
          <w:tcPr>
            <w:tcW w:w="800" w:type="dxa"/>
            <w:tcBorders>
              <w:tl2br w:val="nil"/>
              <w:tr2bl w:val="nil"/>
            </w:tcBorders>
            <w:noWrap w:val="0"/>
            <w:vAlign w:val="center"/>
          </w:tcPr>
          <w:p w14:paraId="11F9D41A">
            <w:pPr>
              <w:jc w:val="center"/>
              <w:rPr>
                <w:rFonts w:hint="default" w:cs="Times New Roman"/>
                <w:color w:val="auto"/>
                <w:kern w:val="0"/>
                <w:sz w:val="21"/>
                <w:szCs w:val="21"/>
                <w:highlight w:val="none"/>
                <w:lang w:val="en-US" w:eastAsia="zh-CN"/>
              </w:rPr>
            </w:pPr>
            <w:r>
              <w:rPr>
                <w:rFonts w:hint="default" w:cs="Times New Roman"/>
                <w:color w:val="auto"/>
                <w:kern w:val="0"/>
                <w:sz w:val="21"/>
                <w:szCs w:val="21"/>
                <w:highlight w:val="none"/>
                <w:lang w:val="en-US" w:eastAsia="zh-CN"/>
              </w:rPr>
              <w:t>0.19</w:t>
            </w:r>
            <w:r>
              <w:rPr>
                <w:rFonts w:hint="eastAsia" w:cs="Times New Roman"/>
                <w:color w:val="auto"/>
                <w:kern w:val="0"/>
                <w:sz w:val="21"/>
                <w:szCs w:val="21"/>
                <w:highlight w:val="none"/>
                <w:lang w:val="en-US" w:eastAsia="zh-CN"/>
              </w:rPr>
              <w:t>7</w:t>
            </w:r>
          </w:p>
        </w:tc>
        <w:tc>
          <w:tcPr>
            <w:tcW w:w="1004" w:type="dxa"/>
            <w:tcBorders>
              <w:tl2br w:val="nil"/>
              <w:tr2bl w:val="nil"/>
            </w:tcBorders>
            <w:noWrap w:val="0"/>
            <w:vAlign w:val="center"/>
          </w:tcPr>
          <w:p w14:paraId="17012B56">
            <w:pPr>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0.082</w:t>
            </w:r>
          </w:p>
        </w:tc>
        <w:tc>
          <w:tcPr>
            <w:tcW w:w="1943" w:type="dxa"/>
            <w:vMerge w:val="restart"/>
            <w:tcBorders>
              <w:tl2br w:val="nil"/>
              <w:tr2bl w:val="nil"/>
            </w:tcBorders>
            <w:noWrap w:val="0"/>
            <w:vAlign w:val="center"/>
          </w:tcPr>
          <w:p w14:paraId="4BDBCBDA">
            <w:pPr>
              <w:widowControl/>
              <w:jc w:val="center"/>
              <w:rPr>
                <w:rFonts w:ascii="宋体" w:hAnsi="宋体"/>
                <w:color w:val="auto"/>
                <w:sz w:val="21"/>
                <w:szCs w:val="21"/>
                <w:highlight w:val="none"/>
              </w:rPr>
            </w:pPr>
            <w:r>
              <w:rPr>
                <w:rFonts w:hint="eastAsia"/>
                <w:color w:val="auto"/>
                <w:kern w:val="0"/>
                <w:sz w:val="21"/>
                <w:szCs w:val="21"/>
                <w:highlight w:val="none"/>
              </w:rPr>
              <w:t>《水泥工业大气污染物排放标准》（GB4915-2013）表3标准</w:t>
            </w:r>
          </w:p>
        </w:tc>
      </w:tr>
      <w:tr w14:paraId="0C1482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ign w:val="center"/>
          </w:tcPr>
          <w:p w14:paraId="505EBB86">
            <w:pPr>
              <w:widowControl/>
              <w:adjustRightInd w:val="0"/>
              <w:snapToGrid w:val="0"/>
              <w:jc w:val="center"/>
              <w:rPr>
                <w:rFonts w:hint="eastAsia" w:eastAsia="宋体"/>
                <w:color w:val="auto"/>
                <w:kern w:val="0"/>
                <w:sz w:val="21"/>
                <w:szCs w:val="21"/>
                <w:highlight w:val="none"/>
                <w:lang w:eastAsia="zh-CN"/>
              </w:rPr>
            </w:pPr>
            <w:r>
              <w:rPr>
                <w:color w:val="auto"/>
                <w:kern w:val="0"/>
                <w:sz w:val="21"/>
                <w:szCs w:val="21"/>
                <w:highlight w:val="none"/>
              </w:rPr>
              <w:t>G</w:t>
            </w:r>
            <w:r>
              <w:rPr>
                <w:rFonts w:hint="eastAsia"/>
                <w:color w:val="auto"/>
                <w:kern w:val="0"/>
                <w:sz w:val="21"/>
                <w:szCs w:val="21"/>
                <w:highlight w:val="none"/>
                <w:vertAlign w:val="subscript"/>
                <w:lang w:val="en-US" w:eastAsia="zh-CN"/>
              </w:rPr>
              <w:t>4</w:t>
            </w:r>
          </w:p>
        </w:tc>
        <w:tc>
          <w:tcPr>
            <w:tcW w:w="636" w:type="dxa"/>
            <w:tcBorders>
              <w:tl2br w:val="nil"/>
              <w:tr2bl w:val="nil"/>
            </w:tcBorders>
            <w:noWrap w:val="0"/>
            <w:vAlign w:val="center"/>
          </w:tcPr>
          <w:p w14:paraId="7D9899BB">
            <w:pPr>
              <w:widowControl/>
              <w:adjustRightInd w:val="0"/>
              <w:snapToGrid w:val="0"/>
              <w:jc w:val="center"/>
              <w:rPr>
                <w:rFonts w:hint="eastAsia" w:ascii="宋体" w:hAnsi="宋体"/>
                <w:color w:val="auto"/>
                <w:kern w:val="0"/>
                <w:sz w:val="21"/>
                <w:szCs w:val="21"/>
                <w:highlight w:val="none"/>
              </w:rPr>
            </w:pPr>
            <w:r>
              <w:rPr>
                <w:rFonts w:hint="eastAsia" w:ascii="宋体" w:hAnsi="宋体"/>
                <w:color w:val="auto"/>
                <w:kern w:val="0"/>
                <w:sz w:val="21"/>
                <w:szCs w:val="21"/>
                <w:highlight w:val="none"/>
              </w:rPr>
              <w:t>搅拌站</w:t>
            </w:r>
          </w:p>
        </w:tc>
        <w:tc>
          <w:tcPr>
            <w:tcW w:w="0" w:type="auto"/>
            <w:tcBorders>
              <w:tl2br w:val="nil"/>
              <w:tr2bl w:val="nil"/>
            </w:tcBorders>
            <w:noWrap w:val="0"/>
            <w:vAlign w:val="center"/>
          </w:tcPr>
          <w:p w14:paraId="6A555644">
            <w:pPr>
              <w:widowControl/>
              <w:adjustRightInd w:val="0"/>
              <w:snapToGrid w:val="0"/>
              <w:jc w:val="center"/>
              <w:rPr>
                <w:color w:val="auto"/>
                <w:kern w:val="0"/>
                <w:sz w:val="21"/>
                <w:szCs w:val="21"/>
                <w:highlight w:val="none"/>
              </w:rPr>
            </w:pPr>
            <w:r>
              <w:rPr>
                <w:rFonts w:hint="eastAsia" w:ascii="宋体" w:hAnsi="宋体"/>
                <w:color w:val="auto"/>
                <w:kern w:val="0"/>
                <w:sz w:val="21"/>
                <w:szCs w:val="21"/>
                <w:highlight w:val="none"/>
              </w:rPr>
              <w:t>搅拌</w:t>
            </w:r>
          </w:p>
        </w:tc>
        <w:tc>
          <w:tcPr>
            <w:tcW w:w="0" w:type="auto"/>
            <w:tcBorders>
              <w:tl2br w:val="nil"/>
              <w:tr2bl w:val="nil"/>
            </w:tcBorders>
            <w:noWrap w:val="0"/>
            <w:vAlign w:val="center"/>
          </w:tcPr>
          <w:p w14:paraId="32C0A0EE">
            <w:pPr>
              <w:widowControl/>
              <w:adjustRightInd w:val="0"/>
              <w:snapToGrid w:val="0"/>
              <w:jc w:val="center"/>
              <w:rPr>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noWrap w:val="0"/>
            <w:vAlign w:val="center"/>
          </w:tcPr>
          <w:p w14:paraId="4D043F02">
            <w:pPr>
              <w:widowControl/>
              <w:adjustRightInd w:val="0"/>
              <w:snapToGrid w:val="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31.2</w:t>
            </w:r>
          </w:p>
        </w:tc>
        <w:tc>
          <w:tcPr>
            <w:tcW w:w="1004" w:type="dxa"/>
            <w:tcBorders>
              <w:tl2br w:val="nil"/>
              <w:tr2bl w:val="nil"/>
            </w:tcBorders>
            <w:noWrap w:val="0"/>
            <w:vAlign w:val="center"/>
          </w:tcPr>
          <w:p w14:paraId="0ED375F3">
            <w:pPr>
              <w:widowControl/>
              <w:adjustRightInd w:val="0"/>
              <w:snapToGrid w:val="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13</w:t>
            </w:r>
          </w:p>
        </w:tc>
        <w:tc>
          <w:tcPr>
            <w:tcW w:w="0" w:type="auto"/>
            <w:tcBorders>
              <w:tl2br w:val="nil"/>
              <w:tr2bl w:val="nil"/>
            </w:tcBorders>
            <w:noWrap w:val="0"/>
            <w:vAlign w:val="center"/>
          </w:tcPr>
          <w:p w14:paraId="1269AFF7">
            <w:pPr>
              <w:widowControl/>
              <w:adjustRightInd w:val="0"/>
              <w:snapToGrid w:val="0"/>
              <w:jc w:val="center"/>
              <w:rPr>
                <w:color w:val="auto"/>
                <w:kern w:val="0"/>
                <w:sz w:val="21"/>
                <w:szCs w:val="21"/>
                <w:highlight w:val="none"/>
              </w:rPr>
            </w:pPr>
            <w:r>
              <w:rPr>
                <w:rFonts w:ascii="宋体" w:hAnsi="宋体"/>
                <w:color w:val="auto"/>
                <w:kern w:val="0"/>
                <w:sz w:val="21"/>
                <w:szCs w:val="21"/>
                <w:highlight w:val="none"/>
              </w:rPr>
              <w:t>无组织</w:t>
            </w:r>
          </w:p>
        </w:tc>
        <w:tc>
          <w:tcPr>
            <w:tcW w:w="1960" w:type="dxa"/>
            <w:tcBorders>
              <w:tl2br w:val="nil"/>
              <w:tr2bl w:val="nil"/>
            </w:tcBorders>
            <w:noWrap w:val="0"/>
            <w:vAlign w:val="center"/>
          </w:tcPr>
          <w:p w14:paraId="26F57568">
            <w:pPr>
              <w:widowControl/>
              <w:adjustRightInd w:val="0"/>
              <w:snapToGrid w:val="0"/>
              <w:jc w:val="left"/>
              <w:rPr>
                <w:rFonts w:hint="eastAsia" w:ascii="宋体" w:hAnsi="宋体"/>
                <w:color w:val="auto"/>
                <w:sz w:val="21"/>
                <w:szCs w:val="21"/>
                <w:highlight w:val="none"/>
              </w:rPr>
            </w:pPr>
            <w:r>
              <w:rPr>
                <w:rFonts w:hint="eastAsia" w:ascii="宋体" w:hAnsi="宋体"/>
                <w:bCs/>
                <w:color w:val="auto"/>
                <w:kern w:val="0"/>
                <w:sz w:val="21"/>
                <w:szCs w:val="21"/>
                <w:highlight w:val="none"/>
              </w:rPr>
              <w:t>搅拌主机采用钢结构厂房进行全封闭，皮带输送机和搅拌主机之间用帆布软连接，</w:t>
            </w:r>
            <w:r>
              <w:rPr>
                <w:rFonts w:ascii="宋体" w:hAnsi="宋体"/>
                <w:bCs/>
                <w:color w:val="auto"/>
                <w:kern w:val="0"/>
                <w:sz w:val="21"/>
                <w:szCs w:val="21"/>
                <w:highlight w:val="none"/>
              </w:rPr>
              <w:t>搅拌机脉冲除尘器</w:t>
            </w:r>
            <w:r>
              <w:rPr>
                <w:rFonts w:hint="eastAsia" w:ascii="宋体" w:hAnsi="宋体"/>
                <w:bCs/>
                <w:color w:val="auto"/>
                <w:kern w:val="0"/>
                <w:sz w:val="21"/>
                <w:szCs w:val="21"/>
                <w:highlight w:val="none"/>
              </w:rPr>
              <w:t>。</w:t>
            </w:r>
          </w:p>
        </w:tc>
        <w:tc>
          <w:tcPr>
            <w:tcW w:w="1430" w:type="dxa"/>
            <w:tcBorders>
              <w:tl2br w:val="nil"/>
              <w:tr2bl w:val="nil"/>
            </w:tcBorders>
            <w:noWrap w:val="0"/>
            <w:vAlign w:val="center"/>
          </w:tcPr>
          <w:p w14:paraId="20069108">
            <w:pPr>
              <w:widowControl/>
              <w:adjustRightInd w:val="0"/>
              <w:snapToGrid w:val="0"/>
              <w:jc w:val="center"/>
              <w:rPr>
                <w:color w:val="auto"/>
                <w:kern w:val="0"/>
                <w:sz w:val="21"/>
                <w:szCs w:val="21"/>
                <w:highlight w:val="none"/>
              </w:rPr>
            </w:pPr>
            <w:r>
              <w:rPr>
                <w:color w:val="auto"/>
                <w:kern w:val="0"/>
                <w:sz w:val="21"/>
                <w:szCs w:val="21"/>
                <w:highlight w:val="none"/>
              </w:rPr>
              <w:t>99%</w:t>
            </w:r>
          </w:p>
        </w:tc>
        <w:tc>
          <w:tcPr>
            <w:tcW w:w="761" w:type="dxa"/>
            <w:tcBorders>
              <w:tl2br w:val="nil"/>
              <w:tr2bl w:val="nil"/>
            </w:tcBorders>
            <w:noWrap w:val="0"/>
            <w:vAlign w:val="center"/>
          </w:tcPr>
          <w:p w14:paraId="35D621EF">
            <w:pPr>
              <w:widowControl/>
              <w:adjustRightInd w:val="0"/>
              <w:snapToGrid w:val="0"/>
              <w:jc w:val="center"/>
              <w:rPr>
                <w:rFonts w:ascii="宋体" w:hAnsi="宋体"/>
                <w:color w:val="auto"/>
                <w:kern w:val="0"/>
                <w:sz w:val="21"/>
                <w:szCs w:val="21"/>
                <w:highlight w:val="none"/>
              </w:rPr>
            </w:pPr>
            <w:r>
              <w:rPr>
                <w:rFonts w:ascii="宋体" w:hAnsi="宋体"/>
                <w:color w:val="auto"/>
                <w:kern w:val="0"/>
                <w:sz w:val="21"/>
                <w:szCs w:val="21"/>
                <w:highlight w:val="none"/>
              </w:rPr>
              <w:t>是</w:t>
            </w:r>
          </w:p>
        </w:tc>
        <w:tc>
          <w:tcPr>
            <w:tcW w:w="800" w:type="dxa"/>
            <w:tcBorders>
              <w:tl2br w:val="nil"/>
              <w:tr2bl w:val="nil"/>
            </w:tcBorders>
            <w:noWrap w:val="0"/>
            <w:vAlign w:val="center"/>
          </w:tcPr>
          <w:p w14:paraId="2AAD1F5C">
            <w:pPr>
              <w:widowControl/>
              <w:adjustRightInd w:val="0"/>
              <w:snapToGrid w:val="0"/>
              <w:jc w:val="center"/>
              <w:rPr>
                <w:rFonts w:hint="default" w:ascii="宋体" w:hAnsi="宋体" w:eastAsia="宋体"/>
                <w:color w:val="auto"/>
                <w:kern w:val="0"/>
                <w:sz w:val="21"/>
                <w:szCs w:val="21"/>
                <w:highlight w:val="none"/>
                <w:lang w:val="en-US" w:eastAsia="zh-CN"/>
              </w:rPr>
            </w:pPr>
            <w:r>
              <w:rPr>
                <w:rFonts w:hint="eastAsia" w:cs="Times New Roman"/>
                <w:color w:val="auto"/>
                <w:kern w:val="0"/>
                <w:sz w:val="21"/>
                <w:szCs w:val="21"/>
                <w:highlight w:val="none"/>
                <w:lang w:val="en-US" w:eastAsia="zh-CN"/>
              </w:rPr>
              <w:t>0.312</w:t>
            </w:r>
          </w:p>
        </w:tc>
        <w:tc>
          <w:tcPr>
            <w:tcW w:w="1004" w:type="dxa"/>
            <w:tcBorders>
              <w:tl2br w:val="nil"/>
              <w:tr2bl w:val="nil"/>
            </w:tcBorders>
            <w:noWrap w:val="0"/>
            <w:vAlign w:val="center"/>
          </w:tcPr>
          <w:p w14:paraId="322E7153">
            <w:pPr>
              <w:widowControl/>
              <w:adjustRightInd w:val="0"/>
              <w:snapToGrid w:val="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0.13</w:t>
            </w:r>
          </w:p>
        </w:tc>
        <w:tc>
          <w:tcPr>
            <w:tcW w:w="1943" w:type="dxa"/>
            <w:vMerge w:val="continue"/>
            <w:tcBorders>
              <w:tl2br w:val="nil"/>
              <w:tr2bl w:val="nil"/>
            </w:tcBorders>
            <w:noWrap w:val="0"/>
            <w:vAlign w:val="center"/>
          </w:tcPr>
          <w:p w14:paraId="04B384D9">
            <w:pPr>
              <w:widowControl/>
              <w:jc w:val="center"/>
              <w:rPr>
                <w:rFonts w:hint="eastAsia"/>
                <w:color w:val="auto"/>
                <w:kern w:val="0"/>
                <w:sz w:val="21"/>
                <w:szCs w:val="21"/>
                <w:highlight w:val="none"/>
              </w:rPr>
            </w:pPr>
          </w:p>
        </w:tc>
      </w:tr>
      <w:tr w14:paraId="3D7784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ign w:val="center"/>
          </w:tcPr>
          <w:p w14:paraId="6E3B2A7D">
            <w:pPr>
              <w:widowControl/>
              <w:adjustRightInd w:val="0"/>
              <w:snapToGrid w:val="0"/>
              <w:jc w:val="center"/>
              <w:rPr>
                <w:rFonts w:hint="eastAsia" w:eastAsia="宋体"/>
                <w:color w:val="auto"/>
                <w:kern w:val="0"/>
                <w:sz w:val="21"/>
                <w:szCs w:val="21"/>
                <w:highlight w:val="none"/>
                <w:lang w:eastAsia="zh-CN"/>
              </w:rPr>
            </w:pPr>
            <w:r>
              <w:rPr>
                <w:color w:val="auto"/>
                <w:kern w:val="0"/>
                <w:sz w:val="21"/>
                <w:szCs w:val="21"/>
                <w:highlight w:val="none"/>
              </w:rPr>
              <w:t>G</w:t>
            </w:r>
            <w:r>
              <w:rPr>
                <w:rFonts w:hint="eastAsia"/>
                <w:color w:val="auto"/>
                <w:kern w:val="0"/>
                <w:sz w:val="21"/>
                <w:szCs w:val="21"/>
                <w:highlight w:val="none"/>
                <w:vertAlign w:val="subscript"/>
                <w:lang w:val="en-US" w:eastAsia="zh-CN"/>
              </w:rPr>
              <w:t>5</w:t>
            </w:r>
          </w:p>
        </w:tc>
        <w:tc>
          <w:tcPr>
            <w:tcW w:w="636" w:type="dxa"/>
            <w:tcBorders>
              <w:tl2br w:val="nil"/>
              <w:tr2bl w:val="nil"/>
            </w:tcBorders>
            <w:noWrap w:val="0"/>
            <w:vAlign w:val="center"/>
          </w:tcPr>
          <w:p w14:paraId="57506DE4">
            <w:pPr>
              <w:adjustRightInd w:val="0"/>
              <w:snapToGrid w:val="0"/>
              <w:jc w:val="center"/>
              <w:rPr>
                <w:rFonts w:hint="eastAsia"/>
                <w:color w:val="auto"/>
                <w:kern w:val="0"/>
                <w:sz w:val="21"/>
                <w:szCs w:val="21"/>
                <w:highlight w:val="none"/>
              </w:rPr>
            </w:pPr>
            <w:r>
              <w:rPr>
                <w:rFonts w:hint="eastAsia" w:ascii="宋体" w:hAnsi="宋体"/>
                <w:color w:val="auto"/>
                <w:kern w:val="0"/>
                <w:sz w:val="21"/>
                <w:szCs w:val="21"/>
                <w:highlight w:val="none"/>
              </w:rPr>
              <w:t>运输车辆</w:t>
            </w:r>
          </w:p>
        </w:tc>
        <w:tc>
          <w:tcPr>
            <w:tcW w:w="0" w:type="auto"/>
            <w:tcBorders>
              <w:tl2br w:val="nil"/>
              <w:tr2bl w:val="nil"/>
            </w:tcBorders>
            <w:noWrap w:val="0"/>
            <w:vAlign w:val="center"/>
          </w:tcPr>
          <w:p w14:paraId="3F7C6257">
            <w:pPr>
              <w:widowControl/>
              <w:adjustRightInd w:val="0"/>
              <w:snapToGrid w:val="0"/>
              <w:jc w:val="center"/>
              <w:rPr>
                <w:color w:val="auto"/>
                <w:kern w:val="0"/>
                <w:sz w:val="21"/>
                <w:szCs w:val="21"/>
                <w:highlight w:val="none"/>
              </w:rPr>
            </w:pPr>
            <w:r>
              <w:rPr>
                <w:rFonts w:ascii="宋体" w:hAnsi="宋体"/>
                <w:color w:val="auto"/>
                <w:kern w:val="0"/>
                <w:sz w:val="21"/>
                <w:szCs w:val="21"/>
                <w:highlight w:val="none"/>
              </w:rPr>
              <w:t>运输</w:t>
            </w:r>
          </w:p>
        </w:tc>
        <w:tc>
          <w:tcPr>
            <w:tcW w:w="0" w:type="auto"/>
            <w:tcBorders>
              <w:tl2br w:val="nil"/>
              <w:tr2bl w:val="nil"/>
            </w:tcBorders>
            <w:noWrap w:val="0"/>
            <w:vAlign w:val="center"/>
          </w:tcPr>
          <w:p w14:paraId="5105E945">
            <w:pPr>
              <w:widowControl/>
              <w:adjustRightInd w:val="0"/>
              <w:snapToGrid w:val="0"/>
              <w:jc w:val="center"/>
              <w:rPr>
                <w:color w:val="auto"/>
                <w:kern w:val="0"/>
                <w:sz w:val="21"/>
                <w:szCs w:val="21"/>
                <w:highlight w:val="none"/>
              </w:rPr>
            </w:pPr>
            <w:r>
              <w:rPr>
                <w:rFonts w:ascii="宋体" w:hAnsi="宋体"/>
                <w:color w:val="auto"/>
                <w:kern w:val="0"/>
                <w:sz w:val="21"/>
                <w:szCs w:val="21"/>
                <w:highlight w:val="none"/>
              </w:rPr>
              <w:t>颗粒物</w:t>
            </w:r>
          </w:p>
        </w:tc>
        <w:tc>
          <w:tcPr>
            <w:tcW w:w="794" w:type="dxa"/>
            <w:tcBorders>
              <w:tl2br w:val="nil"/>
              <w:tr2bl w:val="nil"/>
            </w:tcBorders>
            <w:noWrap w:val="0"/>
            <w:vAlign w:val="center"/>
          </w:tcPr>
          <w:p w14:paraId="73466E8E">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3.349</w:t>
            </w:r>
          </w:p>
        </w:tc>
        <w:tc>
          <w:tcPr>
            <w:tcW w:w="1004" w:type="dxa"/>
            <w:tcBorders>
              <w:tl2br w:val="nil"/>
              <w:tr2bl w:val="nil"/>
            </w:tcBorders>
            <w:noWrap w:val="0"/>
            <w:vAlign w:val="center"/>
          </w:tcPr>
          <w:p w14:paraId="154E38A6">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1.395</w:t>
            </w:r>
          </w:p>
        </w:tc>
        <w:tc>
          <w:tcPr>
            <w:tcW w:w="0" w:type="auto"/>
            <w:tcBorders>
              <w:tl2br w:val="nil"/>
              <w:tr2bl w:val="nil"/>
            </w:tcBorders>
            <w:noWrap w:val="0"/>
            <w:vAlign w:val="center"/>
          </w:tcPr>
          <w:p w14:paraId="3F37FD72">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1960" w:type="dxa"/>
            <w:tcBorders>
              <w:tl2br w:val="nil"/>
              <w:tr2bl w:val="nil"/>
            </w:tcBorders>
            <w:noWrap w:val="0"/>
            <w:vAlign w:val="center"/>
          </w:tcPr>
          <w:p w14:paraId="03518F81">
            <w:pPr>
              <w:widowControl/>
              <w:adjustRightInd w:val="0"/>
              <w:snapToGrid w:val="0"/>
              <w:jc w:val="left"/>
              <w:rPr>
                <w:rFonts w:hint="default" w:ascii="Times New Roman" w:hAnsi="Times New Roman" w:cs="Times New Roman"/>
                <w:color w:val="auto"/>
                <w:kern w:val="0"/>
                <w:sz w:val="21"/>
                <w:szCs w:val="21"/>
                <w:highlight w:val="none"/>
              </w:rPr>
            </w:pPr>
            <w:r>
              <w:rPr>
                <w:rFonts w:hint="default" w:ascii="Times New Roman" w:hAnsi="Times New Roman" w:cs="Times New Roman"/>
                <w:bCs/>
                <w:color w:val="auto"/>
                <w:kern w:val="0"/>
                <w:sz w:val="21"/>
                <w:szCs w:val="21"/>
                <w:highlight w:val="none"/>
              </w:rPr>
              <w:t>运输过程中要限制车速</w:t>
            </w:r>
            <w:r>
              <w:rPr>
                <w:rFonts w:hint="eastAsia"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rPr>
              <w:t>对车辆行驶的厂区内路面及运输路线实施洒水抑尘，地面每天洒水2次；厂区有保洁人员及时对散落的物料进行清扫收集。</w:t>
            </w:r>
          </w:p>
        </w:tc>
        <w:tc>
          <w:tcPr>
            <w:tcW w:w="1430" w:type="dxa"/>
            <w:tcBorders>
              <w:tl2br w:val="nil"/>
              <w:tr2bl w:val="nil"/>
            </w:tcBorders>
            <w:noWrap w:val="0"/>
            <w:vAlign w:val="center"/>
          </w:tcPr>
          <w:p w14:paraId="36B5055A">
            <w:pPr>
              <w:widowControl/>
              <w:adjustRightInd w:val="0"/>
              <w:snapToGrid w:val="0"/>
              <w:jc w:val="center"/>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70</w:t>
            </w:r>
            <w:r>
              <w:rPr>
                <w:rFonts w:hint="default" w:ascii="Times New Roman" w:hAnsi="Times New Roman" w:cs="Times New Roman"/>
                <w:color w:val="auto"/>
                <w:kern w:val="0"/>
                <w:sz w:val="21"/>
                <w:szCs w:val="21"/>
                <w:highlight w:val="none"/>
              </w:rPr>
              <w:t>%</w:t>
            </w:r>
          </w:p>
        </w:tc>
        <w:tc>
          <w:tcPr>
            <w:tcW w:w="761" w:type="dxa"/>
            <w:tcBorders>
              <w:tl2br w:val="nil"/>
              <w:tr2bl w:val="nil"/>
            </w:tcBorders>
            <w:noWrap w:val="0"/>
            <w:vAlign w:val="center"/>
          </w:tcPr>
          <w:p w14:paraId="7A816995">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是</w:t>
            </w:r>
          </w:p>
        </w:tc>
        <w:tc>
          <w:tcPr>
            <w:tcW w:w="800" w:type="dxa"/>
            <w:tcBorders>
              <w:tl2br w:val="nil"/>
              <w:tr2bl w:val="nil"/>
            </w:tcBorders>
            <w:noWrap w:val="0"/>
            <w:vAlign w:val="center"/>
          </w:tcPr>
          <w:p w14:paraId="3407360A">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p>
        </w:tc>
        <w:tc>
          <w:tcPr>
            <w:tcW w:w="1004" w:type="dxa"/>
            <w:tcBorders>
              <w:tl2br w:val="nil"/>
              <w:tr2bl w:val="nil"/>
            </w:tcBorders>
            <w:noWrap w:val="0"/>
            <w:vAlign w:val="center"/>
          </w:tcPr>
          <w:p w14:paraId="29F9B48E">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0.419</w:t>
            </w:r>
          </w:p>
        </w:tc>
        <w:tc>
          <w:tcPr>
            <w:tcW w:w="1943" w:type="dxa"/>
            <w:vMerge w:val="continue"/>
            <w:tcBorders>
              <w:tl2br w:val="nil"/>
              <w:tr2bl w:val="nil"/>
            </w:tcBorders>
            <w:noWrap w:val="0"/>
            <w:vAlign w:val="center"/>
          </w:tcPr>
          <w:p w14:paraId="31F254E2">
            <w:pPr>
              <w:widowControl/>
              <w:adjustRightInd w:val="0"/>
              <w:snapToGrid w:val="0"/>
              <w:jc w:val="center"/>
              <w:rPr>
                <w:color w:val="auto"/>
                <w:kern w:val="0"/>
                <w:sz w:val="21"/>
                <w:szCs w:val="21"/>
                <w:highlight w:val="none"/>
              </w:rPr>
            </w:pPr>
          </w:p>
        </w:tc>
      </w:tr>
      <w:tr w14:paraId="5D2DCA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6" w:type="dxa"/>
            <w:tcBorders>
              <w:tl2br w:val="nil"/>
              <w:tr2bl w:val="nil"/>
            </w:tcBorders>
            <w:noWrap/>
            <w:vAlign w:val="center"/>
          </w:tcPr>
          <w:p w14:paraId="581928B9">
            <w:pPr>
              <w:widowControl/>
              <w:adjustRightInd w:val="0"/>
              <w:snapToGrid w:val="0"/>
              <w:jc w:val="center"/>
              <w:rPr>
                <w:rFonts w:hint="eastAsia" w:eastAsia="宋体"/>
                <w:color w:val="auto"/>
                <w:kern w:val="0"/>
                <w:sz w:val="21"/>
                <w:szCs w:val="21"/>
                <w:highlight w:val="none"/>
                <w:lang w:val="en-US" w:eastAsia="zh-CN"/>
              </w:rPr>
            </w:pPr>
            <w:r>
              <w:rPr>
                <w:color w:val="auto"/>
                <w:kern w:val="0"/>
                <w:sz w:val="21"/>
                <w:szCs w:val="21"/>
                <w:highlight w:val="none"/>
              </w:rPr>
              <w:t>G</w:t>
            </w:r>
            <w:r>
              <w:rPr>
                <w:rFonts w:hint="eastAsia"/>
                <w:color w:val="auto"/>
                <w:kern w:val="0"/>
                <w:sz w:val="21"/>
                <w:szCs w:val="21"/>
                <w:highlight w:val="none"/>
                <w:vertAlign w:val="subscript"/>
                <w:lang w:val="en-US" w:eastAsia="zh-CN"/>
              </w:rPr>
              <w:t>6</w:t>
            </w:r>
          </w:p>
        </w:tc>
        <w:tc>
          <w:tcPr>
            <w:tcW w:w="636" w:type="dxa"/>
            <w:tcBorders>
              <w:tl2br w:val="nil"/>
              <w:tr2bl w:val="nil"/>
            </w:tcBorders>
            <w:noWrap w:val="0"/>
            <w:vAlign w:val="center"/>
          </w:tcPr>
          <w:p w14:paraId="3B821102">
            <w:pPr>
              <w:adjustRightInd w:val="0"/>
              <w:snapToGrid w:val="0"/>
              <w:jc w:val="center"/>
              <w:rPr>
                <w:rFonts w:hint="eastAsia" w:ascii="宋体" w:hAnsi="宋体" w:eastAsia="宋体"/>
                <w:color w:val="auto"/>
                <w:kern w:val="0"/>
                <w:sz w:val="21"/>
                <w:szCs w:val="21"/>
                <w:highlight w:val="none"/>
                <w:lang w:val="en-US" w:eastAsia="zh-CN"/>
              </w:rPr>
            </w:pPr>
            <w:r>
              <w:rPr>
                <w:rFonts w:hint="eastAsia" w:ascii="宋体" w:hAnsi="宋体"/>
                <w:color w:val="auto"/>
                <w:kern w:val="0"/>
                <w:sz w:val="21"/>
                <w:szCs w:val="21"/>
                <w:highlight w:val="none"/>
                <w:lang w:val="en-US" w:eastAsia="zh-CN"/>
              </w:rPr>
              <w:t>危废暂存间</w:t>
            </w:r>
          </w:p>
        </w:tc>
        <w:tc>
          <w:tcPr>
            <w:tcW w:w="1142" w:type="dxa"/>
            <w:tcBorders>
              <w:tl2br w:val="nil"/>
              <w:tr2bl w:val="nil"/>
            </w:tcBorders>
            <w:noWrap w:val="0"/>
            <w:vAlign w:val="center"/>
          </w:tcPr>
          <w:p w14:paraId="4C6DE5CE">
            <w:pPr>
              <w:widowControl/>
              <w:adjustRightInd w:val="0"/>
              <w:snapToGrid w:val="0"/>
              <w:jc w:val="center"/>
              <w:rPr>
                <w:rFonts w:hint="eastAsia" w:ascii="宋体" w:hAnsi="宋体" w:eastAsia="宋体"/>
                <w:color w:val="auto"/>
                <w:kern w:val="0"/>
                <w:sz w:val="21"/>
                <w:szCs w:val="21"/>
                <w:highlight w:val="none"/>
                <w:lang w:val="en-US" w:eastAsia="zh-CN"/>
              </w:rPr>
            </w:pPr>
            <w:r>
              <w:rPr>
                <w:rFonts w:hint="eastAsia" w:ascii="宋体" w:hAnsi="宋体"/>
                <w:color w:val="auto"/>
                <w:kern w:val="0"/>
                <w:sz w:val="21"/>
                <w:szCs w:val="21"/>
                <w:highlight w:val="none"/>
                <w:lang w:val="en-US" w:eastAsia="zh-CN"/>
              </w:rPr>
              <w:t>贮存</w:t>
            </w:r>
          </w:p>
        </w:tc>
        <w:tc>
          <w:tcPr>
            <w:tcW w:w="978" w:type="dxa"/>
            <w:tcBorders>
              <w:tl2br w:val="nil"/>
              <w:tr2bl w:val="nil"/>
            </w:tcBorders>
            <w:noWrap w:val="0"/>
            <w:vAlign w:val="center"/>
          </w:tcPr>
          <w:p w14:paraId="437C8AD4">
            <w:pPr>
              <w:widowControl/>
              <w:adjustRightInd w:val="0"/>
              <w:snapToGrid w:val="0"/>
              <w:jc w:val="center"/>
              <w:rPr>
                <w:rFonts w:hint="default" w:ascii="宋体" w:hAnsi="宋体" w:eastAsia="宋体"/>
                <w:color w:val="auto"/>
                <w:kern w:val="0"/>
                <w:sz w:val="21"/>
                <w:szCs w:val="21"/>
                <w:highlight w:val="none"/>
                <w:lang w:val="en-US" w:eastAsia="zh-CN"/>
              </w:rPr>
            </w:pPr>
            <w:r>
              <w:rPr>
                <w:rFonts w:hint="eastAsia" w:ascii="宋体" w:hAnsi="宋体"/>
                <w:color w:val="auto"/>
                <w:kern w:val="0"/>
                <w:sz w:val="21"/>
                <w:szCs w:val="21"/>
                <w:highlight w:val="none"/>
                <w:lang w:val="en-US" w:eastAsia="zh-CN"/>
              </w:rPr>
              <w:t>非甲烷总烃</w:t>
            </w:r>
          </w:p>
        </w:tc>
        <w:tc>
          <w:tcPr>
            <w:tcW w:w="794" w:type="dxa"/>
            <w:tcBorders>
              <w:tl2br w:val="nil"/>
              <w:tr2bl w:val="nil"/>
            </w:tcBorders>
            <w:noWrap w:val="0"/>
            <w:vAlign w:val="center"/>
          </w:tcPr>
          <w:p w14:paraId="49D0ABD5">
            <w:pPr>
              <w:widowControl/>
              <w:adjustRightInd w:val="0"/>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0.0001</w:t>
            </w:r>
          </w:p>
        </w:tc>
        <w:tc>
          <w:tcPr>
            <w:tcW w:w="1004" w:type="dxa"/>
            <w:tcBorders>
              <w:tl2br w:val="nil"/>
              <w:tr2bl w:val="nil"/>
            </w:tcBorders>
            <w:noWrap w:val="0"/>
            <w:vAlign w:val="center"/>
          </w:tcPr>
          <w:p w14:paraId="7C824DF7">
            <w:pPr>
              <w:widowControl/>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0.000017</w:t>
            </w:r>
          </w:p>
        </w:tc>
        <w:tc>
          <w:tcPr>
            <w:tcW w:w="0" w:type="auto"/>
            <w:tcBorders>
              <w:tl2br w:val="nil"/>
              <w:tr2bl w:val="nil"/>
            </w:tcBorders>
            <w:noWrap w:val="0"/>
            <w:vAlign w:val="center"/>
          </w:tcPr>
          <w:p w14:paraId="62FBBA45">
            <w:pPr>
              <w:widowControl/>
              <w:adjustRightInd w:val="0"/>
              <w:snapToGrid w:val="0"/>
              <w:jc w:val="center"/>
              <w:rPr>
                <w:rFonts w:hint="eastAsia" w:ascii="Times New Roman" w:hAnsi="Times New Roman" w:eastAsia="宋体" w:cs="Times New Roman"/>
                <w:color w:val="auto"/>
                <w:kern w:val="0"/>
                <w:sz w:val="21"/>
                <w:szCs w:val="21"/>
                <w:highlight w:val="none"/>
                <w:lang w:eastAsia="zh-CN"/>
              </w:rPr>
            </w:pPr>
            <w:r>
              <w:rPr>
                <w:rFonts w:hint="eastAsia" w:cs="Times New Roman"/>
                <w:color w:val="auto"/>
                <w:kern w:val="0"/>
                <w:sz w:val="21"/>
                <w:szCs w:val="21"/>
                <w:highlight w:val="none"/>
                <w:lang w:val="en-US" w:eastAsia="zh-CN"/>
              </w:rPr>
              <w:t>有组织</w:t>
            </w:r>
          </w:p>
        </w:tc>
        <w:tc>
          <w:tcPr>
            <w:tcW w:w="1960" w:type="dxa"/>
            <w:tcBorders>
              <w:tl2br w:val="nil"/>
              <w:tr2bl w:val="nil"/>
            </w:tcBorders>
            <w:noWrap w:val="0"/>
            <w:vAlign w:val="center"/>
          </w:tcPr>
          <w:p w14:paraId="0F275338">
            <w:pPr>
              <w:widowControl/>
              <w:adjustRightInd w:val="0"/>
              <w:snapToGrid w:val="0"/>
              <w:jc w:val="center"/>
              <w:rPr>
                <w:rFonts w:hint="default" w:ascii="Times New Roman" w:hAnsi="Times New Roman" w:cs="Times New Roman"/>
                <w:bCs/>
                <w:color w:val="auto"/>
                <w:kern w:val="0"/>
                <w:sz w:val="21"/>
                <w:szCs w:val="21"/>
                <w:highlight w:val="none"/>
              </w:rPr>
            </w:pPr>
            <w:r>
              <w:rPr>
                <w:rFonts w:hint="default" w:ascii="Times New Roman" w:hAnsi="Times New Roman" w:cs="Times New Roman"/>
                <w:bCs/>
                <w:color w:val="auto"/>
                <w:kern w:val="0"/>
                <w:sz w:val="21"/>
                <w:szCs w:val="21"/>
                <w:highlight w:val="none"/>
              </w:rPr>
              <w:t>加强危废暂存间内的通风</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lang w:val="en-US" w:eastAsia="zh-CN"/>
              </w:rPr>
              <w:t>加快转运周期</w:t>
            </w:r>
          </w:p>
        </w:tc>
        <w:tc>
          <w:tcPr>
            <w:tcW w:w="1430" w:type="dxa"/>
            <w:tcBorders>
              <w:tl2br w:val="nil"/>
              <w:tr2bl w:val="nil"/>
            </w:tcBorders>
            <w:noWrap w:val="0"/>
            <w:vAlign w:val="center"/>
          </w:tcPr>
          <w:p w14:paraId="3B7861DE">
            <w:pPr>
              <w:widowControl/>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761" w:type="dxa"/>
            <w:tcBorders>
              <w:tl2br w:val="nil"/>
              <w:tr2bl w:val="nil"/>
            </w:tcBorders>
            <w:noWrap w:val="0"/>
            <w:vAlign w:val="center"/>
          </w:tcPr>
          <w:p w14:paraId="14A0D370">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是</w:t>
            </w:r>
          </w:p>
        </w:tc>
        <w:tc>
          <w:tcPr>
            <w:tcW w:w="800" w:type="dxa"/>
            <w:tcBorders>
              <w:tl2br w:val="nil"/>
              <w:tr2bl w:val="nil"/>
            </w:tcBorders>
            <w:noWrap w:val="0"/>
            <w:vAlign w:val="center"/>
          </w:tcPr>
          <w:p w14:paraId="795E104A">
            <w:pPr>
              <w:widowControl/>
              <w:adjustRightInd w:val="0"/>
              <w:snapToGrid w:val="0"/>
              <w:jc w:val="center"/>
              <w:rPr>
                <w:rFonts w:hint="eastAsia"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0.0001</w:t>
            </w:r>
          </w:p>
        </w:tc>
        <w:tc>
          <w:tcPr>
            <w:tcW w:w="1004" w:type="dxa"/>
            <w:tcBorders>
              <w:tl2br w:val="nil"/>
              <w:tr2bl w:val="nil"/>
            </w:tcBorders>
            <w:noWrap w:val="0"/>
            <w:vAlign w:val="center"/>
          </w:tcPr>
          <w:p w14:paraId="5A7A86E0">
            <w:pPr>
              <w:widowControl/>
              <w:adjustRightInd w:val="0"/>
              <w:snapToGrid w:val="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0.000017</w:t>
            </w:r>
          </w:p>
        </w:tc>
        <w:tc>
          <w:tcPr>
            <w:tcW w:w="1943" w:type="dxa"/>
            <w:tcBorders>
              <w:tl2br w:val="nil"/>
              <w:tr2bl w:val="nil"/>
            </w:tcBorders>
            <w:noWrap w:val="0"/>
            <w:vAlign w:val="center"/>
          </w:tcPr>
          <w:p w14:paraId="39F1946C">
            <w:pPr>
              <w:widowControl/>
              <w:adjustRightInd w:val="0"/>
              <w:snapToGrid w:val="0"/>
              <w:jc w:val="center"/>
              <w:rPr>
                <w:rFonts w:hint="eastAsia" w:eastAsia="宋体"/>
                <w:color w:val="auto"/>
                <w:kern w:val="0"/>
                <w:sz w:val="21"/>
                <w:szCs w:val="21"/>
                <w:highlight w:val="none"/>
                <w:lang w:eastAsia="zh-CN"/>
              </w:rPr>
            </w:pPr>
            <w:r>
              <w:rPr>
                <w:rFonts w:hint="eastAsia"/>
                <w:color w:val="auto"/>
                <w:kern w:val="0"/>
                <w:sz w:val="21"/>
                <w:szCs w:val="21"/>
                <w:highlight w:val="none"/>
              </w:rPr>
              <w:t>《大气污染物综合排放标准》（GB16297-1996）中表2</w:t>
            </w:r>
            <w:r>
              <w:rPr>
                <w:rFonts w:hint="eastAsia"/>
                <w:color w:val="auto"/>
                <w:kern w:val="0"/>
                <w:sz w:val="21"/>
                <w:szCs w:val="21"/>
                <w:highlight w:val="none"/>
                <w:lang w:eastAsia="zh-CN"/>
              </w:rPr>
              <w:t>；《挥发性有机物无组织排放控制标准》（GB37822-2019）表A.1规定的排放限值</w:t>
            </w:r>
          </w:p>
        </w:tc>
      </w:tr>
    </w:tbl>
    <w:p w14:paraId="36A04C8E">
      <w:pPr>
        <w:rPr>
          <w:color w:val="auto"/>
          <w:highlight w:val="none"/>
        </w:rPr>
      </w:pPr>
    </w:p>
    <w:p w14:paraId="3E8CF1FB">
      <w:pPr>
        <w:rPr>
          <w:color w:val="auto"/>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14:paraId="16CA6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noWrap w:val="0"/>
            <w:tcMar>
              <w:left w:w="28" w:type="dxa"/>
              <w:right w:w="28" w:type="dxa"/>
            </w:tcMar>
            <w:vAlign w:val="center"/>
          </w:tcPr>
          <w:p w14:paraId="2D5E1F59">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运营</w:t>
            </w:r>
          </w:p>
          <w:p w14:paraId="1545932F">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期环</w:t>
            </w:r>
          </w:p>
          <w:p w14:paraId="562B54A0">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境影</w:t>
            </w:r>
          </w:p>
          <w:p w14:paraId="2F4DBF3A">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响和</w:t>
            </w:r>
          </w:p>
          <w:p w14:paraId="16DAF74A">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保护</w:t>
            </w:r>
          </w:p>
          <w:p w14:paraId="25F2B64B">
            <w:pPr>
              <w:adjustRightInd w:val="0"/>
              <w:snapToGrid w:val="0"/>
              <w:jc w:val="center"/>
              <w:rPr>
                <w:rFonts w:ascii="宋体" w:hAnsi="宋体" w:cs="宋体"/>
                <w:bCs/>
                <w:color w:val="auto"/>
                <w:sz w:val="24"/>
                <w:highlight w:val="none"/>
              </w:rPr>
            </w:pPr>
            <w:r>
              <w:rPr>
                <w:rFonts w:hint="eastAsia" w:ascii="宋体" w:hAnsi="宋体" w:cs="宋体"/>
                <w:bCs/>
                <w:color w:val="auto"/>
                <w:sz w:val="24"/>
                <w:highlight w:val="none"/>
              </w:rPr>
              <w:t>措施</w:t>
            </w:r>
          </w:p>
        </w:tc>
        <w:tc>
          <w:tcPr>
            <w:tcW w:w="8162" w:type="dxa"/>
            <w:noWrap w:val="0"/>
            <w:vAlign w:val="center"/>
          </w:tcPr>
          <w:p w14:paraId="31557E2F">
            <w:pPr>
              <w:pStyle w:val="70"/>
              <w:spacing w:before="120" w:beforeLines="50" w:line="360" w:lineRule="auto"/>
              <w:ind w:firstLine="482" w:firstLineChars="200"/>
              <w:jc w:val="left"/>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二、</w:t>
            </w:r>
            <w:r>
              <w:rPr>
                <w:rFonts w:hint="default" w:ascii="Times New Roman" w:hAnsi="Times New Roman" w:eastAsia="宋体" w:cs="Times New Roman"/>
                <w:b/>
                <w:bCs/>
                <w:color w:val="auto"/>
                <w:sz w:val="24"/>
                <w:highlight w:val="none"/>
              </w:rPr>
              <w:t>运营期水环境影响和保护措施</w:t>
            </w:r>
          </w:p>
          <w:p w14:paraId="5918F50D">
            <w:pPr>
              <w:adjustRightInd w:val="0"/>
              <w:snapToGrid w:val="0"/>
              <w:spacing w:line="360" w:lineRule="auto"/>
              <w:ind w:firstLine="482" w:firstLineChars="200"/>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1、废水产生及排放情况</w:t>
            </w:r>
          </w:p>
          <w:p w14:paraId="217152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本项目废水主要为生活污水与生产废水两部分。</w:t>
            </w:r>
          </w:p>
          <w:p w14:paraId="0A9D8D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（1）生活污水</w:t>
            </w:r>
          </w:p>
          <w:p w14:paraId="51CB65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highlight w:val="none"/>
              </w:rPr>
            </w:pPr>
            <w:r>
              <w:rPr>
                <w:rFonts w:ascii="宋体" w:hAnsi="宋体"/>
                <w:bCs/>
                <w:color w:val="auto"/>
                <w:sz w:val="24"/>
                <w:highlight w:val="none"/>
              </w:rPr>
              <w:t>生活污水产生量为</w:t>
            </w:r>
            <w:r>
              <w:rPr>
                <w:rFonts w:hint="eastAsia"/>
                <w:bCs/>
                <w:color w:val="auto"/>
                <w:sz w:val="24"/>
                <w:highlight w:val="none"/>
                <w:lang w:val="en-US" w:eastAsia="zh-CN"/>
              </w:rPr>
              <w:t>230.4</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lang w:val="en-US" w:eastAsia="zh-CN"/>
              </w:rPr>
              <w:t>1.152</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hint="default" w:ascii="Times New Roman" w:hAnsi="Times New Roman" w:cs="Times New Roman"/>
                <w:bCs/>
                <w:color w:val="auto"/>
                <w:sz w:val="24"/>
                <w:highlight w:val="none"/>
              </w:rPr>
              <w:t>主要污染物为COD</w:t>
            </w:r>
            <w:r>
              <w:rPr>
                <w:rFonts w:hint="default" w:ascii="Times New Roman" w:hAnsi="Times New Roman" w:cs="Times New Roman"/>
                <w:bCs/>
                <w:color w:val="auto"/>
                <w:sz w:val="24"/>
                <w:highlight w:val="none"/>
                <w:vertAlign w:val="subscript"/>
              </w:rPr>
              <w:t>Cr</w:t>
            </w:r>
            <w:r>
              <w:rPr>
                <w:rFonts w:hint="default" w:ascii="Times New Roman" w:hAnsi="Times New Roman" w:cs="Times New Roman"/>
                <w:bCs/>
                <w:color w:val="auto"/>
                <w:sz w:val="24"/>
                <w:highlight w:val="none"/>
              </w:rPr>
              <w:t>、BOD</w:t>
            </w:r>
            <w:r>
              <w:rPr>
                <w:rFonts w:hint="default" w:ascii="Times New Roman" w:hAnsi="Times New Roman" w:cs="Times New Roman"/>
                <w:bCs/>
                <w:color w:val="auto"/>
                <w:sz w:val="24"/>
                <w:highlight w:val="none"/>
                <w:vertAlign w:val="subscript"/>
              </w:rPr>
              <w:t>5</w:t>
            </w:r>
            <w:r>
              <w:rPr>
                <w:rFonts w:hint="default" w:ascii="Times New Roman" w:hAnsi="Times New Roman" w:cs="Times New Roman"/>
                <w:bCs/>
                <w:color w:val="auto"/>
                <w:sz w:val="24"/>
                <w:highlight w:val="none"/>
              </w:rPr>
              <w:t>、氨氮、SS，</w:t>
            </w:r>
            <w:r>
              <w:rPr>
                <w:rFonts w:hint="default" w:ascii="Times New Roman" w:hAnsi="Times New Roman" w:cs="Times New Roman"/>
                <w:color w:val="auto"/>
                <w:kern w:val="0"/>
                <w:sz w:val="24"/>
                <w:szCs w:val="24"/>
                <w:highlight w:val="none"/>
              </w:rPr>
              <w:t>生活污水经</w:t>
            </w:r>
            <w:r>
              <w:rPr>
                <w:rFonts w:hint="eastAsia" w:ascii="Times New Roman" w:hAnsi="Times New Roman" w:cs="Times New Roman"/>
                <w:color w:val="auto"/>
                <w:kern w:val="0"/>
                <w:sz w:val="24"/>
                <w:szCs w:val="24"/>
                <w:highlight w:val="none"/>
                <w:lang w:val="en-US" w:eastAsia="zh-CN"/>
              </w:rPr>
              <w:t>30m</w:t>
            </w:r>
            <w:r>
              <w:rPr>
                <w:rFonts w:hint="eastAsia"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rPr>
              <w:t>化粪池预处理</w:t>
            </w: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满足</w:t>
            </w:r>
            <w:r>
              <w:rPr>
                <w:color w:val="auto"/>
                <w:sz w:val="24"/>
                <w:highlight w:val="none"/>
              </w:rPr>
              <w:t>《污水综合排放标准》（GB8978-1996）三级标准</w:t>
            </w:r>
            <w:r>
              <w:rPr>
                <w:rFonts w:hint="eastAsia"/>
                <w:color w:val="auto"/>
                <w:sz w:val="24"/>
                <w:highlight w:val="none"/>
                <w:lang w:val="en-US" w:eastAsia="zh-CN"/>
              </w:rPr>
              <w:t>后，</w:t>
            </w:r>
            <w:r>
              <w:rPr>
                <w:rFonts w:hint="eastAsia" w:ascii="Times New Roman" w:hAnsi="Times New Roman" w:cs="Times New Roman"/>
                <w:color w:val="auto"/>
                <w:kern w:val="0"/>
                <w:sz w:val="24"/>
                <w:szCs w:val="24"/>
                <w:highlight w:val="none"/>
                <w:lang w:val="en-US" w:eastAsia="zh-CN"/>
              </w:rPr>
              <w:t>定期拉运至</w:t>
            </w:r>
            <w:r>
              <w:rPr>
                <w:rFonts w:hint="eastAsia" w:cs="Times New Roman"/>
                <w:color w:val="auto"/>
                <w:kern w:val="0"/>
                <w:sz w:val="24"/>
                <w:szCs w:val="24"/>
                <w:highlight w:val="yellow"/>
                <w:lang w:val="en-US" w:eastAsia="zh-CN"/>
              </w:rPr>
              <w:t>阿镇污水处理厂处理</w:t>
            </w:r>
            <w:r>
              <w:rPr>
                <w:rFonts w:hint="eastAsia" w:ascii="宋体" w:hAnsi="宋体"/>
                <w:bCs/>
                <w:color w:val="auto"/>
                <w:sz w:val="24"/>
                <w:szCs w:val="24"/>
                <w:highlight w:val="none"/>
              </w:rPr>
              <w:t>。</w:t>
            </w:r>
          </w:p>
          <w:p w14:paraId="62287EA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（2）生产废水</w:t>
            </w:r>
          </w:p>
          <w:p w14:paraId="0BF457D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w:t>
            </w:r>
            <w:r>
              <w:rPr>
                <w:rFonts w:hint="eastAsia" w:ascii="宋体" w:hAnsi="宋体"/>
                <w:bCs/>
                <w:color w:val="auto"/>
                <w:sz w:val="24"/>
                <w:highlight w:val="none"/>
              </w:rPr>
              <w:t>搅拌混合用水</w:t>
            </w:r>
            <w:r>
              <w:rPr>
                <w:rFonts w:ascii="宋体" w:hAnsi="宋体"/>
                <w:bCs/>
                <w:color w:val="auto"/>
                <w:sz w:val="24"/>
                <w:highlight w:val="none"/>
              </w:rPr>
              <w:t>全部进入产品，不外排</w:t>
            </w:r>
            <w:r>
              <w:rPr>
                <w:rFonts w:hint="eastAsia" w:ascii="宋体" w:hAnsi="宋体"/>
                <w:bCs/>
                <w:color w:val="auto"/>
                <w:sz w:val="24"/>
                <w:highlight w:val="none"/>
              </w:rPr>
              <w:t>；储料棚抑尘用</w:t>
            </w:r>
            <w:r>
              <w:rPr>
                <w:rFonts w:hint="eastAsia" w:ascii="宋体" w:hAnsi="宋体"/>
                <w:color w:val="auto"/>
                <w:sz w:val="24"/>
                <w:highlight w:val="none"/>
              </w:rPr>
              <w:t>水</w:t>
            </w:r>
            <w:r>
              <w:rPr>
                <w:rFonts w:hint="eastAsia" w:ascii="宋体" w:hAnsi="宋体"/>
                <w:color w:val="auto"/>
                <w:sz w:val="24"/>
                <w:highlight w:val="none"/>
                <w:lang w:eastAsia="zh-CN"/>
              </w:rPr>
              <w:t>、</w:t>
            </w:r>
            <w:r>
              <w:rPr>
                <w:rFonts w:hint="eastAsia" w:cs="Times New Roman"/>
                <w:bCs/>
                <w:color w:val="auto"/>
                <w:sz w:val="24"/>
                <w:highlight w:val="none"/>
                <w:lang w:val="en-US" w:eastAsia="zh-CN"/>
              </w:rPr>
              <w:t>厂区道路、工业广场抑尘用水</w:t>
            </w:r>
            <w:r>
              <w:rPr>
                <w:rFonts w:hint="eastAsia" w:ascii="宋体" w:hAnsi="宋体"/>
                <w:bCs/>
                <w:color w:val="auto"/>
                <w:sz w:val="24"/>
                <w:highlight w:val="none"/>
              </w:rPr>
              <w:t>全部自然蒸发，不外排；</w:t>
            </w:r>
            <w:r>
              <w:rPr>
                <w:rFonts w:hint="eastAsia" w:ascii="宋体" w:hAnsi="宋体"/>
                <w:bCs/>
                <w:color w:val="auto"/>
                <w:sz w:val="24"/>
                <w:highlight w:val="none"/>
                <w:lang w:val="en-US" w:eastAsia="zh-CN"/>
              </w:rPr>
              <w:t>搅拌罐清洗废水、</w:t>
            </w:r>
            <w:r>
              <w:rPr>
                <w:rFonts w:hint="eastAsia" w:ascii="宋体" w:hAnsi="宋体" w:cs="宋体"/>
                <w:bCs/>
                <w:color w:val="auto"/>
                <w:sz w:val="24"/>
                <w:highlight w:val="none"/>
                <w:lang w:val="en-US" w:eastAsia="zh-CN"/>
              </w:rPr>
              <w:t>混凝土罐车清洗废水、</w:t>
            </w:r>
            <w:r>
              <w:rPr>
                <w:rFonts w:ascii="宋体" w:hAnsi="宋体"/>
                <w:bCs/>
                <w:color w:val="auto"/>
                <w:sz w:val="24"/>
                <w:highlight w:val="none"/>
              </w:rPr>
              <w:t>运输车辆清洗废水、实验室废水</w:t>
            </w:r>
            <w:r>
              <w:rPr>
                <w:rFonts w:hint="eastAsia" w:ascii="宋体" w:hAnsi="宋体"/>
                <w:bCs/>
                <w:color w:val="auto"/>
                <w:sz w:val="24"/>
                <w:highlight w:val="none"/>
              </w:rPr>
              <w:t>经</w:t>
            </w:r>
            <w:r>
              <w:rPr>
                <w:rFonts w:hint="eastAsia" w:ascii="宋体" w:hAnsi="宋体"/>
                <w:bCs/>
                <w:color w:val="auto"/>
                <w:sz w:val="24"/>
                <w:highlight w:val="none"/>
                <w:lang w:val="en-US" w:eastAsia="zh-CN"/>
              </w:rPr>
              <w:t>沉淀池处理后</w:t>
            </w:r>
            <w:r>
              <w:rPr>
                <w:rFonts w:hint="eastAsia" w:ascii="宋体" w:hAnsi="宋体"/>
                <w:bCs/>
                <w:color w:val="auto"/>
                <w:sz w:val="24"/>
                <w:highlight w:val="none"/>
              </w:rPr>
              <w:t>回用于生产，不外排。</w:t>
            </w:r>
          </w:p>
          <w:p w14:paraId="64B0E049">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bCs/>
                <w:color w:val="auto"/>
                <w:sz w:val="24"/>
                <w:highlight w:val="none"/>
                <w:lang w:val="en-US" w:eastAsia="zh-CN"/>
              </w:rPr>
            </w:pPr>
            <w:r>
              <w:rPr>
                <w:rFonts w:hint="eastAsia" w:ascii="宋体" w:hAnsi="宋体"/>
                <w:bCs/>
                <w:color w:val="auto"/>
                <w:sz w:val="24"/>
                <w:highlight w:val="none"/>
                <w:lang w:val="en-US" w:eastAsia="zh-CN"/>
              </w:rPr>
              <w:t>①搅拌罐清洗废水：搅拌罐清洗废水产生量为</w:t>
            </w:r>
            <w:r>
              <w:rPr>
                <w:rFonts w:hint="eastAsia" w:cs="Times New Roman"/>
                <w:bCs/>
                <w:color w:val="auto"/>
                <w:sz w:val="24"/>
                <w:highlight w:val="none"/>
                <w:lang w:val="en-US" w:eastAsia="zh-CN"/>
              </w:rPr>
              <w:t>56</w:t>
            </w:r>
            <w:r>
              <w:rPr>
                <w:rFonts w:hint="eastAsia"/>
                <w:color w:val="auto"/>
                <w:highlight w:val="none"/>
              </w:rPr>
              <w:t>m</w:t>
            </w:r>
            <w:r>
              <w:rPr>
                <w:color w:val="auto"/>
                <w:highlight w:val="none"/>
                <w:vertAlign w:val="superscript"/>
              </w:rPr>
              <w:t>3</w:t>
            </w:r>
            <w:r>
              <w:rPr>
                <w:rFonts w:hint="eastAsia" w:ascii="Times New Roman" w:hAnsi="Times New Roman" w:cs="Times New Roman"/>
                <w:bCs/>
                <w:color w:val="auto"/>
                <w:sz w:val="24"/>
                <w:highlight w:val="none"/>
                <w:lang w:val="en-US" w:eastAsia="zh-CN"/>
              </w:rPr>
              <w:t>/a（0.28</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eastAsia" w:ascii="宋体" w:hAnsi="宋体"/>
                <w:bCs/>
                <w:color w:val="auto"/>
                <w:sz w:val="24"/>
                <w:highlight w:val="none"/>
                <w:lang w:eastAsia="zh-CN"/>
              </w:rPr>
              <w:t>。</w:t>
            </w:r>
          </w:p>
          <w:p w14:paraId="4915DAEA">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bCs/>
                <w:color w:val="auto"/>
                <w:sz w:val="24"/>
                <w:highlight w:val="none"/>
                <w:lang w:val="en-US" w:eastAsia="zh-CN"/>
              </w:rPr>
            </w:pPr>
            <w:r>
              <w:rPr>
                <w:rFonts w:hint="eastAsia" w:ascii="宋体" w:hAnsi="宋体"/>
                <w:bCs/>
                <w:color w:val="auto"/>
                <w:sz w:val="24"/>
                <w:highlight w:val="none"/>
                <w:lang w:val="en-US" w:eastAsia="zh-CN"/>
              </w:rPr>
              <w:t>②</w:t>
            </w:r>
            <w:r>
              <w:rPr>
                <w:rFonts w:hint="eastAsia" w:ascii="宋体" w:hAnsi="宋体" w:cs="宋体"/>
                <w:bCs/>
                <w:color w:val="auto"/>
                <w:sz w:val="24"/>
                <w:highlight w:val="none"/>
                <w:lang w:val="en-US" w:eastAsia="zh-CN"/>
              </w:rPr>
              <w:t>混凝土罐车清洗废水</w:t>
            </w:r>
          </w:p>
          <w:p w14:paraId="47DD207B">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hint="default" w:ascii="宋体" w:hAnsi="宋体"/>
                <w:bCs/>
                <w:color w:val="auto"/>
                <w:sz w:val="24"/>
                <w:highlight w:val="none"/>
                <w:lang w:val="en-US" w:eastAsia="zh-CN"/>
              </w:rPr>
            </w:pPr>
            <w:r>
              <w:rPr>
                <w:rFonts w:hint="eastAsia" w:ascii="宋体" w:hAnsi="宋体" w:cs="宋体"/>
                <w:bCs/>
                <w:color w:val="auto"/>
                <w:sz w:val="24"/>
                <w:highlight w:val="none"/>
                <w:lang w:val="en-US" w:eastAsia="zh-CN"/>
              </w:rPr>
              <w:t>混凝土罐车清洗废水</w:t>
            </w:r>
            <w:r>
              <w:rPr>
                <w:rFonts w:hint="eastAsia" w:ascii="宋体" w:hAnsi="宋体"/>
                <w:bCs/>
                <w:color w:val="auto"/>
                <w:sz w:val="24"/>
                <w:highlight w:val="none"/>
                <w:lang w:val="en-US" w:eastAsia="zh-CN"/>
              </w:rPr>
              <w:t>产生量为</w:t>
            </w:r>
            <w:r>
              <w:rPr>
                <w:rFonts w:hint="eastAsia" w:cs="Times New Roman"/>
                <w:bCs/>
                <w:color w:val="auto"/>
                <w:sz w:val="24"/>
                <w:highlight w:val="none"/>
                <w:lang w:val="en-US" w:eastAsia="zh-CN"/>
              </w:rPr>
              <w:t>4</w:t>
            </w:r>
            <w:r>
              <w:rPr>
                <w:rFonts w:hint="default" w:ascii="Times New Roman" w:hAnsi="Times New Roman" w:cs="Times New Roman"/>
                <w:bCs/>
                <w:color w:val="auto"/>
                <w:sz w:val="24"/>
                <w:highlight w:val="none"/>
                <w:lang w:val="en-US" w:eastAsia="zh-CN"/>
              </w:rPr>
              <w:t>000</w:t>
            </w:r>
            <w:r>
              <w:rPr>
                <w:rFonts w:hint="eastAsia"/>
                <w:color w:val="auto"/>
                <w:highlight w:val="none"/>
              </w:rPr>
              <w:t>m</w:t>
            </w:r>
            <w:r>
              <w:rPr>
                <w:color w:val="auto"/>
                <w:highlight w:val="none"/>
                <w:vertAlign w:val="superscript"/>
              </w:rPr>
              <w:t>3</w:t>
            </w:r>
            <w:r>
              <w:rPr>
                <w:rFonts w:hint="eastAsia" w:ascii="Times New Roman" w:hAnsi="Times New Roman" w:cs="Times New Roman"/>
                <w:bCs/>
                <w:color w:val="auto"/>
                <w:sz w:val="24"/>
                <w:highlight w:val="none"/>
                <w:lang w:val="en-US" w:eastAsia="zh-CN"/>
              </w:rPr>
              <w:t>/a（</w:t>
            </w:r>
            <w:r>
              <w:rPr>
                <w:rFonts w:hint="eastAsia" w:cs="Times New Roman"/>
                <w:bCs/>
                <w:color w:val="auto"/>
                <w:sz w:val="24"/>
                <w:highlight w:val="none"/>
                <w:lang w:val="en-US" w:eastAsia="zh-CN"/>
              </w:rPr>
              <w:t>20</w:t>
            </w:r>
            <w:r>
              <w:rPr>
                <w:rFonts w:hint="eastAsia"/>
                <w:color w:val="auto"/>
                <w:highlight w:val="none"/>
              </w:rPr>
              <w:t>m</w:t>
            </w:r>
            <w:r>
              <w:rPr>
                <w:color w:val="auto"/>
                <w:highlight w:val="none"/>
                <w:vertAlign w:val="superscript"/>
              </w:rPr>
              <w:t>3</w:t>
            </w:r>
            <w:r>
              <w:rPr>
                <w:color w:val="auto"/>
                <w:highlight w:val="none"/>
              </w:rPr>
              <w:t>/d</w:t>
            </w:r>
            <w:r>
              <w:rPr>
                <w:rFonts w:hint="eastAsia" w:ascii="Times New Roman" w:hAnsi="Times New Roman" w:cs="Times New Roman"/>
                <w:bCs/>
                <w:color w:val="auto"/>
                <w:sz w:val="24"/>
                <w:highlight w:val="none"/>
                <w:lang w:val="en-US" w:eastAsia="zh-CN"/>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eastAsia" w:ascii="宋体" w:hAnsi="宋体"/>
                <w:bCs/>
                <w:color w:val="auto"/>
                <w:sz w:val="24"/>
                <w:highlight w:val="none"/>
                <w:lang w:eastAsia="zh-CN"/>
              </w:rPr>
              <w:t>。</w:t>
            </w:r>
          </w:p>
          <w:p w14:paraId="6E0B9060">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bCs/>
                <w:color w:val="auto"/>
                <w:sz w:val="24"/>
                <w:highlight w:val="none"/>
              </w:rPr>
            </w:pPr>
            <w:r>
              <w:rPr>
                <w:rFonts w:hint="eastAsia" w:ascii="宋体" w:hAnsi="宋体"/>
                <w:bCs/>
                <w:color w:val="auto"/>
                <w:sz w:val="24"/>
                <w:highlight w:val="none"/>
                <w:lang w:val="en-US" w:eastAsia="zh-CN"/>
              </w:rPr>
              <w:t>③</w:t>
            </w:r>
            <w:r>
              <w:rPr>
                <w:rFonts w:ascii="宋体" w:hAnsi="宋体"/>
                <w:bCs/>
                <w:color w:val="auto"/>
                <w:sz w:val="24"/>
                <w:highlight w:val="none"/>
              </w:rPr>
              <w:t>运输车辆清洗废水：运输车辆清洗废水产生量为</w:t>
            </w:r>
            <w:r>
              <w:rPr>
                <w:rFonts w:hint="eastAsia"/>
                <w:bCs/>
                <w:color w:val="auto"/>
                <w:sz w:val="24"/>
                <w:highlight w:val="none"/>
                <w:lang w:val="en-US" w:eastAsia="zh-CN"/>
              </w:rPr>
              <w:t>2880</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lang w:val="en-US" w:eastAsia="zh-CN"/>
              </w:rPr>
              <w:t>14.4</w:t>
            </w:r>
            <w:r>
              <w:rPr>
                <w:bCs/>
                <w:color w:val="auto"/>
                <w:sz w:val="24"/>
                <w:highlight w:val="none"/>
              </w:rPr>
              <w:t>m</w:t>
            </w:r>
            <w:r>
              <w:rPr>
                <w:bCs/>
                <w:color w:val="auto"/>
                <w:sz w:val="24"/>
                <w:highlight w:val="none"/>
                <w:vertAlign w:val="superscript"/>
              </w:rPr>
              <w:t>3</w:t>
            </w:r>
            <w:r>
              <w:rPr>
                <w:bCs/>
                <w:color w:val="auto"/>
                <w:sz w:val="24"/>
                <w:highlight w:val="none"/>
              </w:rPr>
              <w:t>/</w:t>
            </w:r>
            <w:r>
              <w:rPr>
                <w:rFonts w:hint="eastAsia"/>
                <w:bCs/>
                <w:color w:val="auto"/>
                <w:sz w:val="24"/>
                <w:highlight w:val="none"/>
              </w:rPr>
              <w:t>d</w:t>
            </w:r>
            <w:r>
              <w:rPr>
                <w:rFonts w:hint="eastAsia"/>
                <w:bCs/>
                <w:color w:val="auto"/>
                <w:sz w:val="24"/>
                <w:highlight w:val="none"/>
                <w:lang w:eastAsia="zh-CN"/>
              </w:rPr>
              <w:t>）</w:t>
            </w:r>
            <w:r>
              <w:rPr>
                <w:rFonts w:hint="eastAsia" w:ascii="宋体" w:hAnsi="宋体"/>
                <w:bCs/>
                <w:color w:val="auto"/>
                <w:sz w:val="24"/>
                <w:highlight w:val="none"/>
              </w:rPr>
              <w:t>。</w:t>
            </w:r>
            <w:r>
              <w:rPr>
                <w:rFonts w:hint="eastAsia" w:cs="Times New Roman"/>
                <w:bCs/>
                <w:color w:val="auto"/>
                <w:sz w:val="24"/>
                <w:highlight w:val="none"/>
                <w:lang w:val="en-US" w:eastAsia="zh-CN"/>
              </w:rPr>
              <w:t>废水经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p>
          <w:p w14:paraId="56C91816">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r>
              <w:rPr>
                <w:rFonts w:hint="eastAsia" w:ascii="宋体" w:hAnsi="宋体"/>
                <w:bCs/>
                <w:color w:val="auto"/>
                <w:sz w:val="24"/>
                <w:highlight w:val="none"/>
                <w:lang w:val="en-US" w:eastAsia="zh-CN"/>
              </w:rPr>
              <w:t>④</w:t>
            </w:r>
            <w:r>
              <w:rPr>
                <w:rFonts w:ascii="宋体" w:hAnsi="宋体"/>
                <w:bCs/>
                <w:color w:val="auto"/>
                <w:sz w:val="24"/>
                <w:highlight w:val="none"/>
              </w:rPr>
              <w:t>实验室废水：实验室废水产生量为</w:t>
            </w:r>
            <w:r>
              <w:rPr>
                <w:rFonts w:hint="eastAsia"/>
                <w:bCs/>
                <w:color w:val="auto"/>
                <w:sz w:val="24"/>
                <w:highlight w:val="none"/>
                <w:lang w:val="en-US" w:eastAsia="zh-CN"/>
              </w:rPr>
              <w:t>19.2</w:t>
            </w:r>
            <w:r>
              <w:rPr>
                <w:bCs/>
                <w:color w:val="auto"/>
                <w:sz w:val="24"/>
                <w:highlight w:val="none"/>
              </w:rPr>
              <w:t>m</w:t>
            </w:r>
            <w:r>
              <w:rPr>
                <w:bCs/>
                <w:color w:val="auto"/>
                <w:sz w:val="24"/>
                <w:highlight w:val="none"/>
                <w:vertAlign w:val="superscript"/>
              </w:rPr>
              <w:t>3</w:t>
            </w:r>
            <w:r>
              <w:rPr>
                <w:bCs/>
                <w:color w:val="auto"/>
                <w:sz w:val="24"/>
                <w:highlight w:val="none"/>
              </w:rPr>
              <w:t>/a</w:t>
            </w:r>
            <w:r>
              <w:rPr>
                <w:rFonts w:hint="eastAsia"/>
                <w:bCs/>
                <w:color w:val="auto"/>
                <w:sz w:val="24"/>
                <w:highlight w:val="none"/>
                <w:lang w:eastAsia="zh-CN"/>
              </w:rPr>
              <w:t>（</w:t>
            </w:r>
            <w:r>
              <w:rPr>
                <w:rFonts w:hint="eastAsia"/>
                <w:bCs/>
                <w:color w:val="auto"/>
                <w:sz w:val="24"/>
                <w:highlight w:val="none"/>
              </w:rPr>
              <w:t>0.096</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ascii="宋体" w:hAnsi="宋体"/>
                <w:bCs/>
                <w:color w:val="auto"/>
                <w:sz w:val="24"/>
                <w:highlight w:val="none"/>
              </w:rPr>
              <w:t>。实验室用水主要是混凝土试件、水泥试体的标准养护及恒温恒湿试验，不需要化学试剂和化学药品，所以实验室</w:t>
            </w:r>
            <w:r>
              <w:rPr>
                <w:rFonts w:hint="eastAsia" w:ascii="宋体" w:hAnsi="宋体"/>
                <w:bCs/>
                <w:color w:val="auto"/>
                <w:sz w:val="24"/>
                <w:highlight w:val="none"/>
              </w:rPr>
              <w:t>废水</w:t>
            </w:r>
            <w:r>
              <w:rPr>
                <w:rFonts w:hint="eastAsia" w:cs="Times New Roman"/>
                <w:bCs/>
                <w:color w:val="auto"/>
                <w:sz w:val="24"/>
                <w:highlight w:val="none"/>
                <w:lang w:val="en-US" w:eastAsia="zh-CN"/>
              </w:rPr>
              <w:t>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p>
          <w:p w14:paraId="54E0DDF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38879FBD">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7147FDE4">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7F4E4987">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3BB7060F">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2ECC2CAC">
            <w:pPr>
              <w:keepNext w:val="0"/>
              <w:keepLines w:val="0"/>
              <w:pageBreakBefore w:val="0"/>
              <w:widowControl w:val="0"/>
              <w:kinsoku/>
              <w:wordWrap/>
              <w:overflowPunct/>
              <w:topLinePunct w:val="0"/>
              <w:bidi w:val="0"/>
              <w:adjustRightInd w:val="0"/>
              <w:snapToGrid w:val="0"/>
              <w:spacing w:line="360" w:lineRule="auto"/>
              <w:ind w:firstLine="480" w:firstLineChars="200"/>
              <w:jc w:val="both"/>
              <w:textAlignment w:val="auto"/>
              <w:rPr>
                <w:rFonts w:ascii="宋体" w:hAnsi="宋体"/>
                <w:bCs/>
                <w:color w:val="auto"/>
                <w:sz w:val="24"/>
                <w:highlight w:val="none"/>
              </w:rPr>
            </w:pPr>
          </w:p>
          <w:p w14:paraId="11A28D59">
            <w:pPr>
              <w:spacing w:before="120" w:beforeLines="50"/>
              <w:jc w:val="center"/>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表4-4本项目废水污染物排放一览表</w:t>
            </w:r>
          </w:p>
          <w:tbl>
            <w:tblPr>
              <w:tblStyle w:val="23"/>
              <w:tblW w:w="5000"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823"/>
              <w:gridCol w:w="1063"/>
              <w:gridCol w:w="899"/>
              <w:gridCol w:w="1058"/>
              <w:gridCol w:w="951"/>
              <w:gridCol w:w="745"/>
              <w:gridCol w:w="426"/>
              <w:gridCol w:w="899"/>
            </w:tblGrid>
            <w:tr w14:paraId="1219426B">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75" w:type="pct"/>
                  <w:tcBorders>
                    <w:tl2br w:val="nil"/>
                    <w:tr2bl w:val="nil"/>
                  </w:tcBorders>
                  <w:noWrap w:val="0"/>
                  <w:vAlign w:val="center"/>
                </w:tcPr>
                <w:p w14:paraId="410F2ED7">
                  <w:pPr>
                    <w:jc w:val="center"/>
                    <w:rPr>
                      <w:rFonts w:hint="default"/>
                      <w:color w:val="auto"/>
                      <w:sz w:val="21"/>
                      <w:szCs w:val="21"/>
                      <w:highlight w:val="none"/>
                      <w:lang w:val="en-US" w:eastAsia="zh-CN"/>
                    </w:rPr>
                  </w:pPr>
                  <w:r>
                    <w:rPr>
                      <w:rFonts w:hint="eastAsia"/>
                      <w:color w:val="auto"/>
                      <w:sz w:val="21"/>
                      <w:szCs w:val="21"/>
                      <w:highlight w:val="none"/>
                      <w:lang w:val="en-US" w:eastAsia="zh-CN"/>
                    </w:rPr>
                    <w:t>废水类型</w:t>
                  </w:r>
                </w:p>
              </w:tc>
              <w:tc>
                <w:tcPr>
                  <w:tcW w:w="518" w:type="pct"/>
                  <w:tcBorders>
                    <w:tl2br w:val="nil"/>
                    <w:tr2bl w:val="nil"/>
                  </w:tcBorders>
                  <w:noWrap w:val="0"/>
                  <w:vAlign w:val="center"/>
                </w:tcPr>
                <w:p w14:paraId="7103C79E">
                  <w:pPr>
                    <w:jc w:val="center"/>
                    <w:rPr>
                      <w:rFonts w:hint="default"/>
                      <w:color w:val="auto"/>
                      <w:sz w:val="21"/>
                      <w:szCs w:val="21"/>
                      <w:highlight w:val="none"/>
                      <w:lang w:val="en-US" w:eastAsia="zh-CN"/>
                    </w:rPr>
                  </w:pPr>
                  <w:r>
                    <w:rPr>
                      <w:rFonts w:hint="eastAsia"/>
                      <w:color w:val="auto"/>
                      <w:sz w:val="21"/>
                      <w:szCs w:val="21"/>
                      <w:highlight w:val="none"/>
                      <w:lang w:val="en-US" w:eastAsia="zh-CN"/>
                    </w:rPr>
                    <w:t>污染物</w:t>
                  </w:r>
                </w:p>
              </w:tc>
              <w:tc>
                <w:tcPr>
                  <w:tcW w:w="669" w:type="pct"/>
                  <w:tcBorders>
                    <w:tl2br w:val="nil"/>
                    <w:tr2bl w:val="nil"/>
                  </w:tcBorders>
                  <w:noWrap w:val="0"/>
                  <w:vAlign w:val="center"/>
                </w:tcPr>
                <w:p w14:paraId="1E1F20D9">
                  <w:pPr>
                    <w:jc w:val="center"/>
                    <w:rPr>
                      <w:rFonts w:hint="default"/>
                      <w:color w:val="auto"/>
                      <w:sz w:val="21"/>
                      <w:szCs w:val="21"/>
                      <w:highlight w:val="none"/>
                      <w:lang w:val="en-US" w:eastAsia="zh-CN"/>
                    </w:rPr>
                  </w:pPr>
                  <w:r>
                    <w:rPr>
                      <w:rFonts w:hint="eastAsia"/>
                      <w:color w:val="auto"/>
                      <w:sz w:val="21"/>
                      <w:szCs w:val="21"/>
                      <w:highlight w:val="none"/>
                      <w:lang w:val="en-US" w:eastAsia="zh-CN"/>
                    </w:rPr>
                    <w:t>产生浓度mg/L</w:t>
                  </w:r>
                </w:p>
              </w:tc>
              <w:tc>
                <w:tcPr>
                  <w:tcW w:w="566" w:type="pct"/>
                  <w:tcBorders>
                    <w:tl2br w:val="nil"/>
                    <w:tr2bl w:val="nil"/>
                  </w:tcBorders>
                  <w:noWrap w:val="0"/>
                  <w:vAlign w:val="center"/>
                </w:tcPr>
                <w:p w14:paraId="01E3F372">
                  <w:pPr>
                    <w:jc w:val="center"/>
                    <w:rPr>
                      <w:rFonts w:hint="default"/>
                      <w:color w:val="auto"/>
                      <w:sz w:val="21"/>
                      <w:szCs w:val="21"/>
                      <w:highlight w:val="none"/>
                      <w:lang w:val="en-US" w:eastAsia="zh-CN"/>
                    </w:rPr>
                  </w:pPr>
                  <w:r>
                    <w:rPr>
                      <w:rFonts w:hint="eastAsia"/>
                      <w:color w:val="auto"/>
                      <w:sz w:val="21"/>
                      <w:szCs w:val="21"/>
                      <w:highlight w:val="none"/>
                      <w:lang w:val="en-US" w:eastAsia="zh-CN"/>
                    </w:rPr>
                    <w:t>产生量t/a</w:t>
                  </w:r>
                </w:p>
              </w:tc>
              <w:tc>
                <w:tcPr>
                  <w:tcW w:w="666" w:type="pct"/>
                  <w:tcBorders>
                    <w:tl2br w:val="nil"/>
                    <w:tr2bl w:val="nil"/>
                  </w:tcBorders>
                  <w:noWrap w:val="0"/>
                  <w:vAlign w:val="center"/>
                </w:tcPr>
                <w:p w14:paraId="674561E3">
                  <w:pPr>
                    <w:jc w:val="center"/>
                    <w:rPr>
                      <w:rFonts w:hint="default"/>
                      <w:color w:val="auto"/>
                      <w:sz w:val="21"/>
                      <w:szCs w:val="21"/>
                      <w:highlight w:val="none"/>
                      <w:lang w:val="en-US" w:eastAsia="zh-CN"/>
                    </w:rPr>
                  </w:pPr>
                  <w:r>
                    <w:rPr>
                      <w:rFonts w:hint="eastAsia"/>
                      <w:color w:val="auto"/>
                      <w:sz w:val="21"/>
                      <w:szCs w:val="21"/>
                      <w:highlight w:val="none"/>
                      <w:lang w:val="en-US" w:eastAsia="zh-CN"/>
                    </w:rPr>
                    <w:t>排放浓度mg/L</w:t>
                  </w:r>
                </w:p>
              </w:tc>
              <w:tc>
                <w:tcPr>
                  <w:tcW w:w="599" w:type="pct"/>
                  <w:tcBorders>
                    <w:tl2br w:val="nil"/>
                    <w:tr2bl w:val="nil"/>
                  </w:tcBorders>
                  <w:noWrap w:val="0"/>
                  <w:vAlign w:val="center"/>
                </w:tcPr>
                <w:p w14:paraId="06CA2689">
                  <w:pPr>
                    <w:jc w:val="center"/>
                    <w:rPr>
                      <w:rFonts w:hint="default"/>
                      <w:color w:val="auto"/>
                      <w:sz w:val="21"/>
                      <w:szCs w:val="21"/>
                      <w:highlight w:val="none"/>
                      <w:lang w:val="en-US" w:eastAsia="zh-CN"/>
                    </w:rPr>
                  </w:pPr>
                  <w:r>
                    <w:rPr>
                      <w:rFonts w:hint="eastAsia"/>
                      <w:color w:val="auto"/>
                      <w:sz w:val="21"/>
                      <w:szCs w:val="21"/>
                      <w:highlight w:val="none"/>
                      <w:lang w:val="en-US" w:eastAsia="zh-CN"/>
                    </w:rPr>
                    <w:t>排放量t/a</w:t>
                  </w:r>
                </w:p>
              </w:tc>
              <w:tc>
                <w:tcPr>
                  <w:tcW w:w="469" w:type="pct"/>
                  <w:tcBorders>
                    <w:tl2br w:val="nil"/>
                    <w:tr2bl w:val="nil"/>
                  </w:tcBorders>
                  <w:noWrap w:val="0"/>
                  <w:vAlign w:val="center"/>
                </w:tcPr>
                <w:p w14:paraId="2013EB14">
                  <w:pPr>
                    <w:jc w:val="center"/>
                    <w:rPr>
                      <w:rFonts w:hint="default"/>
                      <w:color w:val="auto"/>
                      <w:sz w:val="21"/>
                      <w:szCs w:val="21"/>
                      <w:highlight w:val="none"/>
                      <w:lang w:val="en-US" w:eastAsia="zh-CN"/>
                    </w:rPr>
                  </w:pPr>
                  <w:r>
                    <w:rPr>
                      <w:rFonts w:hint="eastAsia"/>
                      <w:color w:val="auto"/>
                      <w:sz w:val="21"/>
                      <w:szCs w:val="21"/>
                      <w:highlight w:val="none"/>
                      <w:lang w:val="en-US" w:eastAsia="zh-CN"/>
                    </w:rPr>
                    <w:t>排放标准mg/L</w:t>
                  </w:r>
                </w:p>
              </w:tc>
              <w:tc>
                <w:tcPr>
                  <w:tcW w:w="268" w:type="pct"/>
                  <w:tcBorders>
                    <w:tl2br w:val="nil"/>
                    <w:tr2bl w:val="nil"/>
                  </w:tcBorders>
                  <w:noWrap w:val="0"/>
                  <w:vAlign w:val="center"/>
                </w:tcPr>
                <w:p w14:paraId="0F0F367E">
                  <w:pPr>
                    <w:jc w:val="center"/>
                    <w:rPr>
                      <w:rFonts w:hint="default"/>
                      <w:color w:val="auto"/>
                      <w:sz w:val="21"/>
                      <w:szCs w:val="21"/>
                      <w:highlight w:val="none"/>
                      <w:lang w:val="en-US" w:eastAsia="zh-CN"/>
                    </w:rPr>
                  </w:pPr>
                  <w:r>
                    <w:rPr>
                      <w:rFonts w:hint="eastAsia"/>
                      <w:color w:val="auto"/>
                      <w:sz w:val="21"/>
                      <w:szCs w:val="21"/>
                      <w:highlight w:val="none"/>
                      <w:lang w:val="en-US" w:eastAsia="zh-CN"/>
                    </w:rPr>
                    <w:t>治理设施</w:t>
                  </w:r>
                </w:p>
              </w:tc>
              <w:tc>
                <w:tcPr>
                  <w:tcW w:w="566" w:type="pct"/>
                  <w:tcBorders>
                    <w:tl2br w:val="nil"/>
                    <w:tr2bl w:val="nil"/>
                  </w:tcBorders>
                  <w:noWrap w:val="0"/>
                  <w:vAlign w:val="center"/>
                </w:tcPr>
                <w:p w14:paraId="39789A97">
                  <w:pPr>
                    <w:jc w:val="center"/>
                    <w:rPr>
                      <w:rFonts w:hint="default"/>
                      <w:color w:val="auto"/>
                      <w:sz w:val="21"/>
                      <w:szCs w:val="21"/>
                      <w:highlight w:val="none"/>
                      <w:lang w:val="en-US" w:eastAsia="zh-CN"/>
                    </w:rPr>
                  </w:pPr>
                  <w:r>
                    <w:rPr>
                      <w:rFonts w:hint="eastAsia"/>
                      <w:color w:val="auto"/>
                      <w:sz w:val="21"/>
                      <w:szCs w:val="21"/>
                      <w:highlight w:val="none"/>
                      <w:lang w:val="en-US" w:eastAsia="zh-CN"/>
                    </w:rPr>
                    <w:t>排放方式、规律及去向</w:t>
                  </w:r>
                </w:p>
              </w:tc>
            </w:tr>
            <w:tr w14:paraId="08C021A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675" w:type="pct"/>
                  <w:vMerge w:val="restart"/>
                  <w:tcBorders>
                    <w:tl2br w:val="nil"/>
                    <w:tr2bl w:val="nil"/>
                  </w:tcBorders>
                  <w:noWrap w:val="0"/>
                  <w:vAlign w:val="center"/>
                </w:tcPr>
                <w:p w14:paraId="3A098A56">
                  <w:pPr>
                    <w:jc w:val="center"/>
                    <w:rPr>
                      <w:rFonts w:hint="default"/>
                      <w:color w:val="auto"/>
                      <w:sz w:val="21"/>
                      <w:szCs w:val="21"/>
                      <w:highlight w:val="none"/>
                      <w:lang w:val="en-US" w:eastAsia="zh-CN"/>
                    </w:rPr>
                  </w:pPr>
                  <w:r>
                    <w:rPr>
                      <w:rFonts w:hint="eastAsia"/>
                      <w:color w:val="auto"/>
                      <w:sz w:val="21"/>
                      <w:szCs w:val="21"/>
                      <w:highlight w:val="none"/>
                      <w:lang w:val="en-US" w:eastAsia="zh-CN"/>
                    </w:rPr>
                    <w:t>生活污水460.8</w:t>
                  </w:r>
                  <w:r>
                    <w:rPr>
                      <w:rFonts w:hint="eastAsia" w:ascii="Times New Roman" w:hAnsi="Times New Roman" w:eastAsia="宋体" w:cs="Times New Roman"/>
                      <w:bCs/>
                      <w:color w:val="auto"/>
                      <w:sz w:val="21"/>
                      <w:szCs w:val="21"/>
                      <w:highlight w:val="none"/>
                      <w:lang w:val="en-US" w:eastAsia="zh-CN"/>
                    </w:rPr>
                    <w:t>m</w:t>
                  </w:r>
                  <w:r>
                    <w:rPr>
                      <w:rFonts w:hint="eastAsia" w:ascii="Times New Roman" w:hAnsi="Times New Roman" w:eastAsia="宋体" w:cs="Times New Roman"/>
                      <w:bCs/>
                      <w:color w:val="auto"/>
                      <w:sz w:val="21"/>
                      <w:szCs w:val="21"/>
                      <w:highlight w:val="none"/>
                      <w:vertAlign w:val="superscript"/>
                      <w:lang w:val="en-US" w:eastAsia="zh-CN"/>
                    </w:rPr>
                    <w:t>3</w:t>
                  </w:r>
                  <w:r>
                    <w:rPr>
                      <w:rFonts w:hint="eastAsia" w:ascii="Times New Roman" w:hAnsi="Times New Roman" w:eastAsia="宋体" w:cs="Times New Roman"/>
                      <w:bCs/>
                      <w:color w:val="auto"/>
                      <w:sz w:val="21"/>
                      <w:szCs w:val="21"/>
                      <w:highlight w:val="none"/>
                      <w:lang w:val="en-US" w:eastAsia="zh-CN"/>
                    </w:rPr>
                    <w:t>/a</w:t>
                  </w:r>
                </w:p>
              </w:tc>
              <w:tc>
                <w:tcPr>
                  <w:tcW w:w="518" w:type="pct"/>
                  <w:tcBorders>
                    <w:tl2br w:val="nil"/>
                    <w:tr2bl w:val="nil"/>
                  </w:tcBorders>
                  <w:noWrap w:val="0"/>
                  <w:vAlign w:val="center"/>
                </w:tcPr>
                <w:p w14:paraId="5975128F">
                  <w:pPr>
                    <w:jc w:val="center"/>
                    <w:rPr>
                      <w:rFonts w:hint="default"/>
                      <w:color w:val="auto"/>
                      <w:sz w:val="21"/>
                      <w:szCs w:val="21"/>
                      <w:highlight w:val="none"/>
                      <w:lang w:val="en-US" w:eastAsia="zh-CN"/>
                    </w:rPr>
                  </w:pPr>
                  <w:r>
                    <w:rPr>
                      <w:rFonts w:hint="eastAsia"/>
                      <w:color w:val="auto"/>
                      <w:sz w:val="21"/>
                      <w:szCs w:val="21"/>
                      <w:highlight w:val="none"/>
                      <w:lang w:val="en-US" w:eastAsia="zh-CN"/>
                    </w:rPr>
                    <w:t>CODcr</w:t>
                  </w:r>
                </w:p>
              </w:tc>
              <w:tc>
                <w:tcPr>
                  <w:tcW w:w="669" w:type="pct"/>
                  <w:tcBorders>
                    <w:tl2br w:val="nil"/>
                    <w:tr2bl w:val="nil"/>
                  </w:tcBorders>
                  <w:noWrap w:val="0"/>
                  <w:vAlign w:val="center"/>
                </w:tcPr>
                <w:p w14:paraId="0F9C00D4">
                  <w:pPr>
                    <w:jc w:val="center"/>
                    <w:rPr>
                      <w:rFonts w:hint="default"/>
                      <w:color w:val="auto"/>
                      <w:sz w:val="21"/>
                      <w:szCs w:val="21"/>
                      <w:highlight w:val="none"/>
                      <w:lang w:val="en-US" w:eastAsia="zh-CN"/>
                    </w:rPr>
                  </w:pPr>
                  <w:r>
                    <w:rPr>
                      <w:rFonts w:hint="eastAsia"/>
                      <w:color w:val="auto"/>
                      <w:sz w:val="21"/>
                      <w:szCs w:val="21"/>
                      <w:highlight w:val="none"/>
                      <w:lang w:val="en-US" w:eastAsia="zh-CN"/>
                    </w:rPr>
                    <w:t>450</w:t>
                  </w:r>
                </w:p>
              </w:tc>
              <w:tc>
                <w:tcPr>
                  <w:tcW w:w="899" w:type="dxa"/>
                  <w:tcBorders>
                    <w:tl2br w:val="nil"/>
                    <w:tr2bl w:val="nil"/>
                  </w:tcBorders>
                  <w:noWrap w:val="0"/>
                  <w:vAlign w:val="center"/>
                </w:tcPr>
                <w:p w14:paraId="4DB1B64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0.13</w:t>
                  </w:r>
                </w:p>
              </w:tc>
              <w:tc>
                <w:tcPr>
                  <w:tcW w:w="666" w:type="pct"/>
                  <w:tcBorders>
                    <w:tl2br w:val="nil"/>
                    <w:tr2bl w:val="nil"/>
                  </w:tcBorders>
                  <w:noWrap w:val="0"/>
                  <w:vAlign w:val="center"/>
                </w:tcPr>
                <w:p w14:paraId="1201721F">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w:t>
                  </w:r>
                </w:p>
              </w:tc>
              <w:tc>
                <w:tcPr>
                  <w:tcW w:w="951" w:type="dxa"/>
                  <w:tcBorders>
                    <w:tl2br w:val="nil"/>
                    <w:tr2bl w:val="nil"/>
                  </w:tcBorders>
                  <w:noWrap w:val="0"/>
                  <w:vAlign w:val="center"/>
                </w:tcPr>
                <w:p w14:paraId="0A5BDF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0.086</w:t>
                  </w:r>
                </w:p>
              </w:tc>
              <w:tc>
                <w:tcPr>
                  <w:tcW w:w="469" w:type="pct"/>
                  <w:tcBorders>
                    <w:tl2br w:val="nil"/>
                    <w:tr2bl w:val="nil"/>
                  </w:tcBorders>
                  <w:noWrap w:val="0"/>
                  <w:vAlign w:val="center"/>
                </w:tcPr>
                <w:p w14:paraId="7FEFCD52">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300</w:t>
                  </w:r>
                </w:p>
              </w:tc>
              <w:tc>
                <w:tcPr>
                  <w:tcW w:w="268" w:type="pct"/>
                  <w:vMerge w:val="restart"/>
                  <w:tcBorders>
                    <w:tl2br w:val="nil"/>
                    <w:tr2bl w:val="nil"/>
                  </w:tcBorders>
                  <w:noWrap w:val="0"/>
                  <w:vAlign w:val="center"/>
                </w:tcPr>
                <w:p w14:paraId="5D4A79D2">
                  <w:pPr>
                    <w:jc w:val="center"/>
                    <w:rPr>
                      <w:rFonts w:hint="default"/>
                      <w:color w:val="auto"/>
                      <w:sz w:val="21"/>
                      <w:szCs w:val="21"/>
                      <w:highlight w:val="none"/>
                      <w:lang w:val="en-US" w:eastAsia="zh-CN"/>
                    </w:rPr>
                  </w:pPr>
                  <w:r>
                    <w:rPr>
                      <w:rFonts w:hint="eastAsia"/>
                      <w:color w:val="auto"/>
                      <w:sz w:val="21"/>
                      <w:szCs w:val="21"/>
                      <w:highlight w:val="none"/>
                      <w:lang w:val="en-US" w:eastAsia="zh-CN"/>
                    </w:rPr>
                    <w:t>化粪池</w:t>
                  </w:r>
                </w:p>
              </w:tc>
              <w:tc>
                <w:tcPr>
                  <w:tcW w:w="566" w:type="pct"/>
                  <w:vMerge w:val="restart"/>
                  <w:tcBorders>
                    <w:tl2br w:val="nil"/>
                    <w:tr2bl w:val="nil"/>
                  </w:tcBorders>
                  <w:noWrap w:val="0"/>
                  <w:vAlign w:val="center"/>
                </w:tcPr>
                <w:p w14:paraId="25D25C10">
                  <w:pPr>
                    <w:jc w:val="left"/>
                    <w:rPr>
                      <w:rFonts w:hint="eastAsia"/>
                      <w:color w:val="auto"/>
                      <w:sz w:val="21"/>
                      <w:szCs w:val="21"/>
                      <w:highlight w:val="none"/>
                      <w:lang w:val="en-US" w:eastAsia="zh-CN"/>
                    </w:rPr>
                  </w:pPr>
                  <w:r>
                    <w:rPr>
                      <w:rFonts w:hint="eastAsia"/>
                      <w:color w:val="auto"/>
                      <w:sz w:val="21"/>
                      <w:szCs w:val="21"/>
                      <w:highlight w:val="none"/>
                      <w:lang w:val="en-US" w:eastAsia="zh-CN"/>
                    </w:rPr>
                    <w:t>间接排放，不规</w:t>
                  </w:r>
                </w:p>
                <w:p w14:paraId="3A7F8A10">
                  <w:pPr>
                    <w:jc w:val="left"/>
                    <w:rPr>
                      <w:rFonts w:hint="default"/>
                      <w:color w:val="auto"/>
                      <w:sz w:val="21"/>
                      <w:szCs w:val="21"/>
                      <w:highlight w:val="none"/>
                      <w:lang w:val="en-US" w:eastAsia="zh-CN"/>
                    </w:rPr>
                  </w:pPr>
                  <w:r>
                    <w:rPr>
                      <w:rFonts w:hint="eastAsia"/>
                      <w:color w:val="auto"/>
                      <w:sz w:val="21"/>
                      <w:szCs w:val="21"/>
                      <w:highlight w:val="none"/>
                      <w:lang w:val="en-US" w:eastAsia="zh-CN"/>
                    </w:rPr>
                    <w:t>律连续排放；</w:t>
                  </w:r>
                  <w:r>
                    <w:rPr>
                      <w:rFonts w:hint="eastAsia"/>
                      <w:color w:val="auto"/>
                      <w:sz w:val="21"/>
                      <w:szCs w:val="21"/>
                      <w:highlight w:val="yellow"/>
                      <w:lang w:val="en-US" w:eastAsia="zh-CN"/>
                    </w:rPr>
                    <w:t>阿镇污水处理厂处理</w:t>
                  </w:r>
                </w:p>
              </w:tc>
            </w:tr>
            <w:tr w14:paraId="235C42B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pct"/>
                  <w:vMerge w:val="continue"/>
                  <w:tcBorders>
                    <w:tl2br w:val="nil"/>
                    <w:tr2bl w:val="nil"/>
                  </w:tcBorders>
                  <w:noWrap w:val="0"/>
                  <w:vAlign w:val="center"/>
                </w:tcPr>
                <w:p w14:paraId="7493B6E2">
                  <w:pPr>
                    <w:jc w:val="center"/>
                    <w:rPr>
                      <w:rFonts w:hint="eastAsia"/>
                      <w:color w:val="auto"/>
                      <w:sz w:val="21"/>
                      <w:szCs w:val="21"/>
                      <w:highlight w:val="none"/>
                      <w:lang w:val="en-US" w:eastAsia="zh-CN"/>
                    </w:rPr>
                  </w:pPr>
                </w:p>
              </w:tc>
              <w:tc>
                <w:tcPr>
                  <w:tcW w:w="518" w:type="pct"/>
                  <w:tcBorders>
                    <w:tl2br w:val="nil"/>
                    <w:tr2bl w:val="nil"/>
                  </w:tcBorders>
                  <w:noWrap w:val="0"/>
                  <w:vAlign w:val="center"/>
                </w:tcPr>
                <w:p w14:paraId="5CE35AB8">
                  <w:pPr>
                    <w:jc w:val="center"/>
                    <w:rPr>
                      <w:rFonts w:hint="default"/>
                      <w:color w:val="auto"/>
                      <w:sz w:val="21"/>
                      <w:szCs w:val="21"/>
                      <w:highlight w:val="none"/>
                      <w:lang w:val="en-US" w:eastAsia="zh-CN"/>
                    </w:rPr>
                  </w:pPr>
                  <w:r>
                    <w:rPr>
                      <w:rFonts w:hint="eastAsia"/>
                      <w:color w:val="auto"/>
                      <w:sz w:val="21"/>
                      <w:szCs w:val="21"/>
                      <w:highlight w:val="none"/>
                      <w:lang w:val="en-US" w:eastAsia="zh-CN"/>
                    </w:rPr>
                    <w:t>BOD</w:t>
                  </w:r>
                  <w:r>
                    <w:rPr>
                      <w:rFonts w:hint="eastAsia"/>
                      <w:color w:val="auto"/>
                      <w:sz w:val="21"/>
                      <w:szCs w:val="21"/>
                      <w:highlight w:val="none"/>
                      <w:vertAlign w:val="subscript"/>
                      <w:lang w:val="en-US" w:eastAsia="zh-CN"/>
                    </w:rPr>
                    <w:t>5</w:t>
                  </w:r>
                </w:p>
              </w:tc>
              <w:tc>
                <w:tcPr>
                  <w:tcW w:w="669" w:type="pct"/>
                  <w:tcBorders>
                    <w:tl2br w:val="nil"/>
                    <w:tr2bl w:val="nil"/>
                  </w:tcBorders>
                  <w:noWrap w:val="0"/>
                  <w:vAlign w:val="center"/>
                </w:tcPr>
                <w:p w14:paraId="46E9D1F9">
                  <w:pPr>
                    <w:jc w:val="center"/>
                    <w:rPr>
                      <w:rFonts w:hint="default"/>
                      <w:color w:val="auto"/>
                      <w:sz w:val="21"/>
                      <w:szCs w:val="21"/>
                      <w:highlight w:val="none"/>
                      <w:lang w:val="en-US" w:eastAsia="zh-CN"/>
                    </w:rPr>
                  </w:pPr>
                  <w:r>
                    <w:rPr>
                      <w:rFonts w:hint="eastAsia"/>
                      <w:color w:val="auto"/>
                      <w:sz w:val="21"/>
                      <w:szCs w:val="21"/>
                      <w:highlight w:val="none"/>
                      <w:lang w:val="en-US" w:eastAsia="zh-CN"/>
                    </w:rPr>
                    <w:t>250</w:t>
                  </w:r>
                </w:p>
              </w:tc>
              <w:tc>
                <w:tcPr>
                  <w:tcW w:w="899" w:type="dxa"/>
                  <w:tcBorders>
                    <w:tl2br w:val="nil"/>
                    <w:tr2bl w:val="nil"/>
                  </w:tcBorders>
                  <w:noWrap w:val="0"/>
                  <w:vAlign w:val="center"/>
                </w:tcPr>
                <w:p w14:paraId="50C4FBF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0.072</w:t>
                  </w:r>
                </w:p>
              </w:tc>
              <w:tc>
                <w:tcPr>
                  <w:tcW w:w="666" w:type="pct"/>
                  <w:tcBorders>
                    <w:tl2br w:val="nil"/>
                    <w:tr2bl w:val="nil"/>
                  </w:tcBorders>
                  <w:noWrap w:val="0"/>
                  <w:vAlign w:val="center"/>
                </w:tcPr>
                <w:p w14:paraId="10BBBC2B">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150</w:t>
                  </w:r>
                </w:p>
              </w:tc>
              <w:tc>
                <w:tcPr>
                  <w:tcW w:w="951" w:type="dxa"/>
                  <w:tcBorders>
                    <w:tl2br w:val="nil"/>
                    <w:tr2bl w:val="nil"/>
                  </w:tcBorders>
                  <w:noWrap w:val="0"/>
                  <w:vAlign w:val="center"/>
                </w:tcPr>
                <w:p w14:paraId="4DA0B98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0.043</w:t>
                  </w:r>
                </w:p>
              </w:tc>
              <w:tc>
                <w:tcPr>
                  <w:tcW w:w="469" w:type="pct"/>
                  <w:tcBorders>
                    <w:tl2br w:val="nil"/>
                    <w:tr2bl w:val="nil"/>
                  </w:tcBorders>
                  <w:noWrap w:val="0"/>
                  <w:vAlign w:val="center"/>
                </w:tcPr>
                <w:p w14:paraId="41BC4EDD">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150</w:t>
                  </w:r>
                </w:p>
              </w:tc>
              <w:tc>
                <w:tcPr>
                  <w:tcW w:w="268" w:type="pct"/>
                  <w:vMerge w:val="continue"/>
                  <w:tcBorders>
                    <w:tl2br w:val="nil"/>
                    <w:tr2bl w:val="nil"/>
                  </w:tcBorders>
                  <w:noWrap w:val="0"/>
                  <w:vAlign w:val="center"/>
                </w:tcPr>
                <w:p w14:paraId="4D247173">
                  <w:pPr>
                    <w:jc w:val="center"/>
                    <w:rPr>
                      <w:rFonts w:hint="eastAsia"/>
                      <w:color w:val="auto"/>
                      <w:sz w:val="21"/>
                      <w:szCs w:val="21"/>
                      <w:highlight w:val="none"/>
                      <w:lang w:val="en-US" w:eastAsia="zh-CN"/>
                    </w:rPr>
                  </w:pPr>
                </w:p>
              </w:tc>
              <w:tc>
                <w:tcPr>
                  <w:tcW w:w="566" w:type="pct"/>
                  <w:vMerge w:val="continue"/>
                  <w:tcBorders>
                    <w:tl2br w:val="nil"/>
                    <w:tr2bl w:val="nil"/>
                  </w:tcBorders>
                  <w:noWrap w:val="0"/>
                  <w:vAlign w:val="center"/>
                </w:tcPr>
                <w:p w14:paraId="41F8FCEE">
                  <w:pPr>
                    <w:jc w:val="center"/>
                    <w:rPr>
                      <w:rFonts w:hint="eastAsia"/>
                      <w:color w:val="auto"/>
                      <w:sz w:val="21"/>
                      <w:szCs w:val="21"/>
                      <w:highlight w:val="none"/>
                      <w:lang w:val="en-US" w:eastAsia="zh-CN"/>
                    </w:rPr>
                  </w:pPr>
                </w:p>
              </w:tc>
            </w:tr>
            <w:tr w14:paraId="0715D24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pct"/>
                  <w:vMerge w:val="continue"/>
                  <w:tcBorders>
                    <w:tl2br w:val="nil"/>
                    <w:tr2bl w:val="nil"/>
                  </w:tcBorders>
                  <w:noWrap w:val="0"/>
                  <w:vAlign w:val="center"/>
                </w:tcPr>
                <w:p w14:paraId="6DCFF15F">
                  <w:pPr>
                    <w:jc w:val="center"/>
                    <w:rPr>
                      <w:rFonts w:hint="eastAsia"/>
                      <w:color w:val="auto"/>
                      <w:sz w:val="21"/>
                      <w:szCs w:val="21"/>
                      <w:highlight w:val="none"/>
                      <w:lang w:val="en-US" w:eastAsia="zh-CN"/>
                    </w:rPr>
                  </w:pPr>
                </w:p>
              </w:tc>
              <w:tc>
                <w:tcPr>
                  <w:tcW w:w="518" w:type="pct"/>
                  <w:tcBorders>
                    <w:tl2br w:val="nil"/>
                    <w:tr2bl w:val="nil"/>
                  </w:tcBorders>
                  <w:noWrap w:val="0"/>
                  <w:vAlign w:val="center"/>
                </w:tcPr>
                <w:p w14:paraId="5E757BE7">
                  <w:pPr>
                    <w:jc w:val="center"/>
                    <w:rPr>
                      <w:rFonts w:hint="default"/>
                      <w:color w:val="auto"/>
                      <w:sz w:val="21"/>
                      <w:szCs w:val="21"/>
                      <w:highlight w:val="none"/>
                      <w:lang w:val="en-US" w:eastAsia="zh-CN"/>
                    </w:rPr>
                  </w:pPr>
                  <w:r>
                    <w:rPr>
                      <w:rFonts w:hint="eastAsia"/>
                      <w:color w:val="auto"/>
                      <w:sz w:val="21"/>
                      <w:szCs w:val="21"/>
                      <w:highlight w:val="none"/>
                      <w:lang w:val="en-US" w:eastAsia="zh-CN"/>
                    </w:rPr>
                    <w:t>NH</w:t>
                  </w:r>
                  <w:r>
                    <w:rPr>
                      <w:rFonts w:hint="eastAsia"/>
                      <w:color w:val="auto"/>
                      <w:sz w:val="21"/>
                      <w:szCs w:val="21"/>
                      <w:highlight w:val="none"/>
                      <w:vertAlign w:val="subscript"/>
                      <w:lang w:val="en-US" w:eastAsia="zh-CN"/>
                    </w:rPr>
                    <w:t>3</w:t>
                  </w:r>
                  <w:r>
                    <w:rPr>
                      <w:rFonts w:hint="eastAsia"/>
                      <w:color w:val="auto"/>
                      <w:sz w:val="21"/>
                      <w:szCs w:val="21"/>
                      <w:highlight w:val="none"/>
                      <w:lang w:val="en-US" w:eastAsia="zh-CN"/>
                    </w:rPr>
                    <w:t>-N</w:t>
                  </w:r>
                </w:p>
              </w:tc>
              <w:tc>
                <w:tcPr>
                  <w:tcW w:w="669" w:type="pct"/>
                  <w:tcBorders>
                    <w:tl2br w:val="nil"/>
                    <w:tr2bl w:val="nil"/>
                  </w:tcBorders>
                  <w:noWrap w:val="0"/>
                  <w:vAlign w:val="center"/>
                </w:tcPr>
                <w:p w14:paraId="351CD3CD">
                  <w:pPr>
                    <w:jc w:val="center"/>
                    <w:rPr>
                      <w:rFonts w:hint="default"/>
                      <w:color w:val="auto"/>
                      <w:sz w:val="21"/>
                      <w:szCs w:val="21"/>
                      <w:highlight w:val="none"/>
                      <w:lang w:val="en-US" w:eastAsia="zh-CN"/>
                    </w:rPr>
                  </w:pPr>
                  <w:r>
                    <w:rPr>
                      <w:rFonts w:hint="eastAsia"/>
                      <w:color w:val="auto"/>
                      <w:sz w:val="21"/>
                      <w:szCs w:val="21"/>
                      <w:highlight w:val="none"/>
                      <w:lang w:val="en-US" w:eastAsia="zh-CN"/>
                    </w:rPr>
                    <w:t>30</w:t>
                  </w:r>
                </w:p>
              </w:tc>
              <w:tc>
                <w:tcPr>
                  <w:tcW w:w="899" w:type="dxa"/>
                  <w:tcBorders>
                    <w:tl2br w:val="nil"/>
                    <w:tr2bl w:val="nil"/>
                  </w:tcBorders>
                  <w:noWrap w:val="0"/>
                  <w:vAlign w:val="center"/>
                </w:tcPr>
                <w:p w14:paraId="161C1C6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0.009</w:t>
                  </w:r>
                </w:p>
              </w:tc>
              <w:tc>
                <w:tcPr>
                  <w:tcW w:w="666" w:type="pct"/>
                  <w:tcBorders>
                    <w:tl2br w:val="nil"/>
                    <w:tr2bl w:val="nil"/>
                  </w:tcBorders>
                  <w:noWrap w:val="0"/>
                  <w:vAlign w:val="center"/>
                </w:tcPr>
                <w:p w14:paraId="0C65BB50">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951" w:type="dxa"/>
                  <w:tcBorders>
                    <w:tl2br w:val="nil"/>
                    <w:tr2bl w:val="nil"/>
                  </w:tcBorders>
                  <w:noWrap w:val="0"/>
                  <w:vAlign w:val="center"/>
                </w:tcPr>
                <w:p w14:paraId="2A384AC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0.007</w:t>
                  </w:r>
                </w:p>
              </w:tc>
              <w:tc>
                <w:tcPr>
                  <w:tcW w:w="469" w:type="pct"/>
                  <w:tcBorders>
                    <w:tl2br w:val="nil"/>
                    <w:tr2bl w:val="nil"/>
                  </w:tcBorders>
                  <w:noWrap w:val="0"/>
                  <w:vAlign w:val="center"/>
                </w:tcPr>
                <w:p w14:paraId="25B2533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w:t>
                  </w:r>
                </w:p>
              </w:tc>
              <w:tc>
                <w:tcPr>
                  <w:tcW w:w="268" w:type="pct"/>
                  <w:vMerge w:val="continue"/>
                  <w:tcBorders>
                    <w:tl2br w:val="nil"/>
                    <w:tr2bl w:val="nil"/>
                  </w:tcBorders>
                  <w:noWrap w:val="0"/>
                  <w:vAlign w:val="center"/>
                </w:tcPr>
                <w:p w14:paraId="1891F989">
                  <w:pPr>
                    <w:jc w:val="center"/>
                    <w:rPr>
                      <w:rFonts w:hint="eastAsia"/>
                      <w:color w:val="auto"/>
                      <w:sz w:val="21"/>
                      <w:szCs w:val="21"/>
                      <w:highlight w:val="none"/>
                      <w:lang w:val="en-US" w:eastAsia="zh-CN"/>
                    </w:rPr>
                  </w:pPr>
                </w:p>
              </w:tc>
              <w:tc>
                <w:tcPr>
                  <w:tcW w:w="566" w:type="pct"/>
                  <w:vMerge w:val="continue"/>
                  <w:tcBorders>
                    <w:tl2br w:val="nil"/>
                    <w:tr2bl w:val="nil"/>
                  </w:tcBorders>
                  <w:noWrap w:val="0"/>
                  <w:vAlign w:val="center"/>
                </w:tcPr>
                <w:p w14:paraId="4073F35F">
                  <w:pPr>
                    <w:jc w:val="center"/>
                    <w:rPr>
                      <w:rFonts w:hint="eastAsia"/>
                      <w:color w:val="auto"/>
                      <w:sz w:val="21"/>
                      <w:szCs w:val="21"/>
                      <w:highlight w:val="none"/>
                      <w:lang w:val="en-US" w:eastAsia="zh-CN"/>
                    </w:rPr>
                  </w:pPr>
                </w:p>
              </w:tc>
            </w:tr>
            <w:tr w14:paraId="1FED2FB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675" w:type="pct"/>
                  <w:vMerge w:val="continue"/>
                  <w:tcBorders>
                    <w:tl2br w:val="nil"/>
                    <w:tr2bl w:val="nil"/>
                  </w:tcBorders>
                  <w:noWrap w:val="0"/>
                  <w:vAlign w:val="center"/>
                </w:tcPr>
                <w:p w14:paraId="0EA58DDD">
                  <w:pPr>
                    <w:jc w:val="center"/>
                    <w:rPr>
                      <w:rFonts w:hint="eastAsia"/>
                      <w:color w:val="auto"/>
                      <w:sz w:val="21"/>
                      <w:szCs w:val="21"/>
                      <w:highlight w:val="none"/>
                      <w:lang w:val="en-US" w:eastAsia="zh-CN"/>
                    </w:rPr>
                  </w:pPr>
                </w:p>
              </w:tc>
              <w:tc>
                <w:tcPr>
                  <w:tcW w:w="518" w:type="pct"/>
                  <w:tcBorders>
                    <w:tl2br w:val="nil"/>
                    <w:tr2bl w:val="nil"/>
                  </w:tcBorders>
                  <w:noWrap w:val="0"/>
                  <w:vAlign w:val="center"/>
                </w:tcPr>
                <w:p w14:paraId="1830ECC3">
                  <w:pPr>
                    <w:jc w:val="center"/>
                    <w:rPr>
                      <w:rFonts w:hint="default"/>
                      <w:color w:val="auto"/>
                      <w:sz w:val="21"/>
                      <w:szCs w:val="21"/>
                      <w:highlight w:val="none"/>
                      <w:lang w:val="en-US" w:eastAsia="zh-CN"/>
                    </w:rPr>
                  </w:pPr>
                  <w:r>
                    <w:rPr>
                      <w:rFonts w:hint="eastAsia"/>
                      <w:color w:val="auto"/>
                      <w:sz w:val="21"/>
                      <w:szCs w:val="21"/>
                      <w:highlight w:val="none"/>
                      <w:lang w:val="en-US" w:eastAsia="zh-CN"/>
                    </w:rPr>
                    <w:t>SS</w:t>
                  </w:r>
                </w:p>
              </w:tc>
              <w:tc>
                <w:tcPr>
                  <w:tcW w:w="669" w:type="pct"/>
                  <w:tcBorders>
                    <w:tl2br w:val="nil"/>
                    <w:tr2bl w:val="nil"/>
                  </w:tcBorders>
                  <w:noWrap w:val="0"/>
                  <w:vAlign w:val="center"/>
                </w:tcPr>
                <w:p w14:paraId="56E04C87">
                  <w:pPr>
                    <w:jc w:val="center"/>
                    <w:rPr>
                      <w:rFonts w:hint="default"/>
                      <w:color w:val="auto"/>
                      <w:sz w:val="21"/>
                      <w:szCs w:val="21"/>
                      <w:highlight w:val="none"/>
                      <w:lang w:val="en-US" w:eastAsia="zh-CN"/>
                    </w:rPr>
                  </w:pPr>
                  <w:r>
                    <w:rPr>
                      <w:rFonts w:hint="eastAsia"/>
                      <w:color w:val="auto"/>
                      <w:sz w:val="21"/>
                      <w:szCs w:val="21"/>
                      <w:highlight w:val="none"/>
                      <w:lang w:val="en-US" w:eastAsia="zh-CN"/>
                    </w:rPr>
                    <w:t>300</w:t>
                  </w:r>
                </w:p>
              </w:tc>
              <w:tc>
                <w:tcPr>
                  <w:tcW w:w="899" w:type="dxa"/>
                  <w:tcBorders>
                    <w:tl2br w:val="nil"/>
                    <w:tr2bl w:val="nil"/>
                  </w:tcBorders>
                  <w:noWrap w:val="0"/>
                  <w:vAlign w:val="center"/>
                </w:tcPr>
                <w:p w14:paraId="07DC5D9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0.086</w:t>
                  </w:r>
                </w:p>
              </w:tc>
              <w:tc>
                <w:tcPr>
                  <w:tcW w:w="666" w:type="pct"/>
                  <w:tcBorders>
                    <w:tl2br w:val="nil"/>
                    <w:tr2bl w:val="nil"/>
                  </w:tcBorders>
                  <w:noWrap w:val="0"/>
                  <w:vAlign w:val="center"/>
                </w:tcPr>
                <w:p w14:paraId="1CE59FB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200</w:t>
                  </w:r>
                </w:p>
              </w:tc>
              <w:tc>
                <w:tcPr>
                  <w:tcW w:w="951" w:type="dxa"/>
                  <w:tcBorders>
                    <w:tl2br w:val="nil"/>
                    <w:tr2bl w:val="nil"/>
                  </w:tcBorders>
                  <w:noWrap w:val="0"/>
                  <w:vAlign w:val="center"/>
                </w:tcPr>
                <w:p w14:paraId="5EF851F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0.058</w:t>
                  </w:r>
                </w:p>
              </w:tc>
              <w:tc>
                <w:tcPr>
                  <w:tcW w:w="469" w:type="pct"/>
                  <w:tcBorders>
                    <w:tl2br w:val="nil"/>
                    <w:tr2bl w:val="nil"/>
                  </w:tcBorders>
                  <w:noWrap w:val="0"/>
                  <w:vAlign w:val="center"/>
                </w:tcPr>
                <w:p w14:paraId="746DED6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250</w:t>
                  </w:r>
                </w:p>
              </w:tc>
              <w:tc>
                <w:tcPr>
                  <w:tcW w:w="268" w:type="pct"/>
                  <w:vMerge w:val="continue"/>
                  <w:tcBorders>
                    <w:tl2br w:val="nil"/>
                    <w:tr2bl w:val="nil"/>
                  </w:tcBorders>
                  <w:noWrap w:val="0"/>
                  <w:vAlign w:val="center"/>
                </w:tcPr>
                <w:p w14:paraId="2CCCDDD1">
                  <w:pPr>
                    <w:jc w:val="center"/>
                    <w:rPr>
                      <w:rFonts w:hint="eastAsia"/>
                      <w:color w:val="auto"/>
                      <w:sz w:val="21"/>
                      <w:szCs w:val="21"/>
                      <w:highlight w:val="none"/>
                      <w:lang w:val="en-US" w:eastAsia="zh-CN"/>
                    </w:rPr>
                  </w:pPr>
                </w:p>
              </w:tc>
              <w:tc>
                <w:tcPr>
                  <w:tcW w:w="566" w:type="pct"/>
                  <w:vMerge w:val="continue"/>
                  <w:tcBorders>
                    <w:tl2br w:val="nil"/>
                    <w:tr2bl w:val="nil"/>
                  </w:tcBorders>
                  <w:noWrap w:val="0"/>
                  <w:vAlign w:val="center"/>
                </w:tcPr>
                <w:p w14:paraId="78B36B66">
                  <w:pPr>
                    <w:jc w:val="center"/>
                    <w:rPr>
                      <w:rFonts w:hint="eastAsia"/>
                      <w:color w:val="auto"/>
                      <w:sz w:val="21"/>
                      <w:szCs w:val="21"/>
                      <w:highlight w:val="none"/>
                      <w:lang w:val="en-US" w:eastAsia="zh-CN"/>
                    </w:rPr>
                  </w:pPr>
                </w:p>
              </w:tc>
            </w:tr>
          </w:tbl>
          <w:p w14:paraId="57F5349B">
            <w:pPr>
              <w:adjustRightInd w:val="0"/>
              <w:snapToGrid w:val="0"/>
              <w:spacing w:line="360" w:lineRule="auto"/>
              <w:ind w:firstLine="482"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废水污染防治措施可行性</w:t>
            </w:r>
          </w:p>
          <w:p w14:paraId="1541FF32">
            <w:pPr>
              <w:adjustRightInd w:val="0"/>
              <w:snapToGrid w:val="0"/>
              <w:spacing w:line="360" w:lineRule="auto"/>
              <w:ind w:firstLine="480" w:firstLineChars="200"/>
              <w:jc w:val="left"/>
              <w:rPr>
                <w:rFonts w:hint="default" w:ascii="Times New Roman" w:hAnsi="Times New Roman" w:cs="Times New Roman"/>
                <w:bCs/>
                <w:color w:val="auto"/>
                <w:kern w:val="0"/>
                <w:sz w:val="24"/>
                <w:highlight w:val="none"/>
              </w:rPr>
            </w:pPr>
            <w:r>
              <w:rPr>
                <w:rFonts w:hint="default" w:ascii="Times New Roman" w:hAnsi="Times New Roman" w:cs="Times New Roman"/>
                <w:bCs/>
                <w:color w:val="auto"/>
                <w:kern w:val="0"/>
                <w:sz w:val="24"/>
                <w:highlight w:val="none"/>
              </w:rPr>
              <w:t>（1）项目</w:t>
            </w:r>
            <w:r>
              <w:rPr>
                <w:rFonts w:hint="default" w:ascii="Times New Roman" w:hAnsi="Times New Roman" w:cs="Times New Roman"/>
                <w:color w:val="auto"/>
                <w:sz w:val="24"/>
                <w:highlight w:val="none"/>
              </w:rPr>
              <w:t>废水污染防治措施可行性</w:t>
            </w:r>
          </w:p>
          <w:p w14:paraId="0ABB3F6B">
            <w:pPr>
              <w:adjustRightInd w:val="0"/>
              <w:snapToGrid w:val="0"/>
              <w:spacing w:line="360" w:lineRule="auto"/>
              <w:ind w:firstLine="480" w:firstLineChars="200"/>
              <w:jc w:val="left"/>
              <w:rPr>
                <w:rFonts w:hint="default" w:ascii="Times New Roman" w:hAnsi="Times New Roman" w:cs="Times New Roman"/>
                <w:bCs/>
                <w:color w:val="auto"/>
                <w:kern w:val="0"/>
                <w:sz w:val="24"/>
                <w:highlight w:val="none"/>
              </w:rPr>
            </w:pPr>
            <w:r>
              <w:rPr>
                <w:rFonts w:hint="default" w:ascii="Times New Roman" w:hAnsi="Times New Roman" w:cs="Times New Roman"/>
                <w:bCs/>
                <w:color w:val="auto"/>
                <w:kern w:val="0"/>
                <w:sz w:val="24"/>
                <w:highlight w:val="none"/>
              </w:rPr>
              <w:t>本项目搅拌混合用水全部进入产品，不外排；料棚抑尘用水、绿化用水全部自然蒸发，不外排；运输车辆清洗废水、实验室废水</w:t>
            </w:r>
            <w:r>
              <w:rPr>
                <w:rFonts w:hint="eastAsia" w:cs="Times New Roman"/>
                <w:bCs/>
                <w:color w:val="auto"/>
                <w:kern w:val="0"/>
                <w:sz w:val="24"/>
                <w:highlight w:val="none"/>
                <w:lang w:val="en-US" w:eastAsia="zh-CN"/>
              </w:rPr>
              <w:t>经</w:t>
            </w:r>
            <w:r>
              <w:rPr>
                <w:rFonts w:hint="eastAsia" w:ascii="宋体" w:hAnsi="宋体"/>
                <w:bCs/>
                <w:color w:val="auto"/>
                <w:sz w:val="24"/>
                <w:highlight w:val="none"/>
                <w:lang w:val="en-US" w:eastAsia="zh-CN"/>
              </w:rPr>
              <w:t>沉淀池</w:t>
            </w:r>
            <w:r>
              <w:rPr>
                <w:rFonts w:ascii="宋体" w:hAnsi="宋体"/>
                <w:bCs/>
                <w:color w:val="auto"/>
                <w:sz w:val="24"/>
                <w:highlight w:val="none"/>
              </w:rPr>
              <w:t>处理</w:t>
            </w:r>
            <w:r>
              <w:rPr>
                <w:rFonts w:hint="eastAsia" w:ascii="宋体" w:hAnsi="宋体"/>
                <w:bCs/>
                <w:color w:val="auto"/>
                <w:sz w:val="24"/>
                <w:highlight w:val="none"/>
                <w:lang w:val="en-US" w:eastAsia="zh-CN"/>
              </w:rPr>
              <w:t>后</w:t>
            </w:r>
            <w:r>
              <w:rPr>
                <w:rFonts w:ascii="宋体" w:hAnsi="宋体"/>
                <w:bCs/>
                <w:color w:val="auto"/>
                <w:sz w:val="24"/>
                <w:highlight w:val="none"/>
              </w:rPr>
              <w:t>回用生产</w:t>
            </w:r>
            <w:r>
              <w:rPr>
                <w:rFonts w:hint="default" w:ascii="Times New Roman" w:hAnsi="Times New Roman" w:cs="Times New Roman"/>
                <w:bCs/>
                <w:color w:val="auto"/>
                <w:kern w:val="0"/>
                <w:sz w:val="24"/>
                <w:highlight w:val="none"/>
              </w:rPr>
              <w:t>。因此，本项目所排废水主要为生活污水。</w:t>
            </w:r>
          </w:p>
          <w:p w14:paraId="21F1EDC0">
            <w:pPr>
              <w:pStyle w:val="63"/>
              <w:autoSpaceDE w:val="0"/>
              <w:autoSpaceDN w:val="0"/>
              <w:spacing w:line="360" w:lineRule="auto"/>
              <w:ind w:firstLine="480"/>
              <w:rPr>
                <w:rFonts w:hint="default" w:cs="Times New Roman"/>
                <w:color w:val="auto"/>
                <w:kern w:val="0"/>
                <w:sz w:val="24"/>
                <w:highlight w:val="none"/>
                <w:lang w:val="en-US" w:eastAsia="zh-CN"/>
              </w:rPr>
            </w:pPr>
            <w:r>
              <w:rPr>
                <w:rFonts w:hint="eastAsia" w:cs="Times New Roman"/>
                <w:color w:val="auto"/>
                <w:kern w:val="0"/>
                <w:sz w:val="24"/>
                <w:highlight w:val="none"/>
                <w:lang w:val="en-US" w:eastAsia="zh-CN"/>
              </w:rPr>
              <w:t>①沉淀池</w:t>
            </w:r>
          </w:p>
          <w:p w14:paraId="15758EB3">
            <w:pPr>
              <w:pStyle w:val="63"/>
              <w:autoSpaceDE w:val="0"/>
              <w:autoSpaceDN w:val="0"/>
              <w:spacing w:line="360" w:lineRule="auto"/>
              <w:ind w:firstLine="48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yellow"/>
                <w:lang w:val="en-US" w:eastAsia="zh-CN"/>
              </w:rPr>
              <w:t>本项目设置沉淀池，容积为200</w:t>
            </w:r>
            <w:r>
              <w:rPr>
                <w:rFonts w:hint="default" w:ascii="Times New Roman" w:hAnsi="Times New Roman" w:cs="Times New Roman"/>
                <w:color w:val="auto"/>
                <w:kern w:val="0"/>
                <w:sz w:val="24"/>
                <w:highlight w:val="yellow"/>
              </w:rPr>
              <w:t>m</w:t>
            </w:r>
            <w:r>
              <w:rPr>
                <w:rFonts w:hint="default" w:ascii="Times New Roman" w:hAnsi="Times New Roman" w:cs="Times New Roman"/>
                <w:color w:val="auto"/>
                <w:kern w:val="0"/>
                <w:sz w:val="24"/>
                <w:highlight w:val="yellow"/>
                <w:vertAlign w:val="superscript"/>
              </w:rPr>
              <w:t>3</w:t>
            </w:r>
            <w:r>
              <w:rPr>
                <w:rFonts w:hint="eastAsia" w:ascii="Times New Roman" w:hAnsi="Times New Roman" w:cs="Times New Roman"/>
                <w:color w:val="auto"/>
                <w:kern w:val="0"/>
                <w:sz w:val="24"/>
                <w:highlight w:val="yellow"/>
                <w:vertAlign w:val="baseline"/>
                <w:lang w:eastAsia="zh-CN"/>
              </w:rPr>
              <w:t>。</w:t>
            </w:r>
            <w:r>
              <w:rPr>
                <w:rFonts w:hint="default" w:ascii="Times New Roman" w:hAnsi="Times New Roman" w:cs="Times New Roman"/>
                <w:color w:val="auto"/>
                <w:sz w:val="24"/>
                <w:szCs w:val="32"/>
                <w:highlight w:val="yellow"/>
              </w:rPr>
              <w:t>采用一般防渗，等效黏土防渗层Mb≥1.5m，K≤1×10</w:t>
            </w:r>
            <w:r>
              <w:rPr>
                <w:rFonts w:hint="default" w:ascii="Times New Roman" w:hAnsi="Times New Roman" w:cs="Times New Roman"/>
                <w:color w:val="auto"/>
                <w:sz w:val="24"/>
                <w:szCs w:val="32"/>
                <w:highlight w:val="yellow"/>
                <w:vertAlign w:val="superscript"/>
              </w:rPr>
              <w:t>-7</w:t>
            </w:r>
            <w:r>
              <w:rPr>
                <w:rFonts w:hint="default" w:ascii="Times New Roman" w:hAnsi="Times New Roman" w:cs="Times New Roman"/>
                <w:color w:val="auto"/>
                <w:sz w:val="24"/>
                <w:szCs w:val="32"/>
                <w:highlight w:val="yellow"/>
              </w:rPr>
              <w:t>cm/s</w:t>
            </w:r>
            <w:r>
              <w:rPr>
                <w:rFonts w:hint="eastAsia" w:cs="Times New Roman"/>
                <w:color w:val="auto"/>
                <w:sz w:val="24"/>
                <w:szCs w:val="32"/>
                <w:highlight w:val="yellow"/>
                <w:lang w:eastAsia="zh-CN"/>
              </w:rPr>
              <w:t>。</w:t>
            </w:r>
            <w:r>
              <w:rPr>
                <w:rFonts w:hint="eastAsia" w:cs="Times New Roman"/>
                <w:color w:val="auto"/>
                <w:kern w:val="0"/>
                <w:sz w:val="24"/>
                <w:highlight w:val="none"/>
                <w:lang w:val="en-US" w:eastAsia="zh-CN"/>
              </w:rPr>
              <w:t>进入二级沉淀池的污水中，悬浮物的密度通常比水大，在重力作用下，悬浮物会克服水的浮力而逐渐下沉。当悬浮物的下沉速度大于水流向上的流动速度，或者悬浮物下沉到池底所需的时间小于水流流出沉淀池的时间时，悬浮物就能够与水分离，沉淀到池底。这种沉淀方式类似于自然沉淀，适用于颗粒较大、密度较高的悬浮物。而</w:t>
            </w:r>
            <w:r>
              <w:rPr>
                <w:rFonts w:hint="default" w:ascii="Times New Roman" w:hAnsi="Times New Roman" w:cs="Times New Roman"/>
                <w:color w:val="auto"/>
                <w:kern w:val="0"/>
                <w:sz w:val="24"/>
                <w:highlight w:val="none"/>
              </w:rPr>
              <w:t>运输车辆</w:t>
            </w:r>
            <w:r>
              <w:rPr>
                <w:rFonts w:hint="default" w:ascii="Times New Roman" w:hAnsi="Times New Roman" w:cs="Times New Roman"/>
                <w:bCs/>
                <w:color w:val="auto"/>
                <w:sz w:val="24"/>
                <w:highlight w:val="none"/>
              </w:rPr>
              <w:t>清洗废水</w:t>
            </w:r>
            <w:r>
              <w:rPr>
                <w:rFonts w:hint="default" w:ascii="Times New Roman" w:hAnsi="Times New Roman" w:cs="Times New Roman"/>
                <w:color w:val="auto"/>
                <w:kern w:val="0"/>
                <w:sz w:val="24"/>
                <w:highlight w:val="none"/>
              </w:rPr>
              <w:t>、实验室废水</w:t>
            </w:r>
            <w:r>
              <w:rPr>
                <w:rFonts w:hint="eastAsia" w:ascii="Times New Roman" w:hAnsi="Times New Roman" w:cs="Times New Roman"/>
                <w:color w:val="auto"/>
                <w:kern w:val="0"/>
                <w:sz w:val="24"/>
                <w:highlight w:val="none"/>
                <w:lang w:val="en-US" w:eastAsia="zh-CN"/>
              </w:rPr>
              <w:t>主要污染物为SS</w:t>
            </w:r>
            <w:r>
              <w:rPr>
                <w:rFonts w:hint="eastAsia"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val="en-US" w:eastAsia="zh-CN"/>
              </w:rPr>
              <w:t>废水经二级沉淀池处理后</w:t>
            </w:r>
            <w:r>
              <w:rPr>
                <w:rFonts w:hint="default" w:ascii="Times New Roman" w:hAnsi="Times New Roman" w:cs="Times New Roman"/>
                <w:color w:val="auto"/>
                <w:kern w:val="0"/>
                <w:sz w:val="24"/>
                <w:highlight w:val="none"/>
              </w:rPr>
              <w:t>回用于混凝土搅拌混合，</w:t>
            </w:r>
            <w:r>
              <w:rPr>
                <w:rFonts w:hint="eastAsia" w:ascii="Times New Roman" w:hAnsi="Times New Roman" w:cs="Times New Roman"/>
                <w:color w:val="auto"/>
                <w:kern w:val="0"/>
                <w:sz w:val="24"/>
                <w:highlight w:val="none"/>
                <w:lang w:val="en-US" w:eastAsia="zh-CN"/>
              </w:rPr>
              <w:t>可实现废水不外排，因此措施可行</w:t>
            </w:r>
            <w:r>
              <w:rPr>
                <w:rFonts w:hint="default" w:ascii="Times New Roman" w:hAnsi="Times New Roman" w:cs="Times New Roman"/>
                <w:color w:val="auto"/>
                <w:kern w:val="0"/>
                <w:sz w:val="24"/>
                <w:highlight w:val="none"/>
              </w:rPr>
              <w:t>。</w:t>
            </w:r>
          </w:p>
          <w:p w14:paraId="16B3C42B">
            <w:pPr>
              <w:pStyle w:val="63"/>
              <w:autoSpaceDE w:val="0"/>
              <w:autoSpaceDN w:val="0"/>
              <w:spacing w:line="360" w:lineRule="auto"/>
              <w:ind w:firstLine="48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②化粪池</w:t>
            </w:r>
          </w:p>
          <w:p w14:paraId="4AE0B8A7">
            <w:pPr>
              <w:pStyle w:val="63"/>
              <w:autoSpaceDE w:val="0"/>
              <w:autoSpaceDN w:val="0"/>
              <w:spacing w:line="360" w:lineRule="auto"/>
              <w:ind w:firstLine="480"/>
              <w:rPr>
                <w:rFonts w:hint="default" w:ascii="Times New Roman" w:hAnsi="Times New Roman" w:eastAsia="宋体" w:cs="Times New Roman"/>
                <w:color w:val="auto"/>
                <w:kern w:val="0"/>
                <w:sz w:val="24"/>
                <w:highlight w:val="none"/>
                <w:vertAlign w:val="baseline"/>
                <w:lang w:val="en-US" w:eastAsia="zh-CN"/>
              </w:rPr>
            </w:pPr>
            <w:r>
              <w:rPr>
                <w:rFonts w:hint="eastAsia" w:cs="Times New Roman"/>
                <w:color w:val="auto"/>
                <w:kern w:val="0"/>
                <w:sz w:val="24"/>
                <w:highlight w:val="yellow"/>
                <w:lang w:val="en-US" w:eastAsia="zh-CN"/>
              </w:rPr>
              <w:t>本项目设30m</w:t>
            </w:r>
            <w:r>
              <w:rPr>
                <w:rFonts w:hint="eastAsia" w:cs="Times New Roman"/>
                <w:color w:val="auto"/>
                <w:kern w:val="0"/>
                <w:sz w:val="24"/>
                <w:highlight w:val="yellow"/>
                <w:vertAlign w:val="superscript"/>
                <w:lang w:val="en-US" w:eastAsia="zh-CN"/>
              </w:rPr>
              <w:t>3</w:t>
            </w:r>
            <w:r>
              <w:rPr>
                <w:rFonts w:hint="eastAsia" w:cs="Times New Roman"/>
                <w:color w:val="auto"/>
                <w:kern w:val="0"/>
                <w:sz w:val="24"/>
                <w:highlight w:val="yellow"/>
                <w:vertAlign w:val="baseline"/>
                <w:lang w:val="en-US" w:eastAsia="zh-CN"/>
              </w:rPr>
              <w:t>化粪池，混凝土结构，</w:t>
            </w:r>
            <w:r>
              <w:rPr>
                <w:rFonts w:hint="default" w:ascii="Times New Roman" w:hAnsi="Times New Roman" w:cs="Times New Roman"/>
                <w:color w:val="auto"/>
                <w:sz w:val="24"/>
                <w:szCs w:val="32"/>
                <w:highlight w:val="yellow"/>
              </w:rPr>
              <w:t>采用一般防渗，等效黏土防渗层Mb≥1.5m，K≤1×10</w:t>
            </w:r>
            <w:r>
              <w:rPr>
                <w:rFonts w:hint="default" w:ascii="Times New Roman" w:hAnsi="Times New Roman" w:cs="Times New Roman"/>
                <w:color w:val="auto"/>
                <w:sz w:val="24"/>
                <w:szCs w:val="32"/>
                <w:highlight w:val="yellow"/>
                <w:vertAlign w:val="superscript"/>
              </w:rPr>
              <w:t>-7</w:t>
            </w:r>
            <w:r>
              <w:rPr>
                <w:rFonts w:hint="default" w:ascii="Times New Roman" w:hAnsi="Times New Roman" w:cs="Times New Roman"/>
                <w:color w:val="auto"/>
                <w:sz w:val="24"/>
                <w:szCs w:val="32"/>
                <w:highlight w:val="yellow"/>
              </w:rPr>
              <w:t>cm/s</w:t>
            </w:r>
            <w:r>
              <w:rPr>
                <w:rFonts w:hint="eastAsia" w:cs="Times New Roman"/>
                <w:color w:val="auto"/>
                <w:sz w:val="24"/>
                <w:szCs w:val="32"/>
                <w:highlight w:val="yellow"/>
                <w:lang w:eastAsia="zh-CN"/>
              </w:rPr>
              <w:t>。</w:t>
            </w:r>
            <w:r>
              <w:rPr>
                <w:rFonts w:hint="eastAsia" w:cs="Times New Roman"/>
                <w:color w:val="auto"/>
                <w:kern w:val="0"/>
                <w:sz w:val="24"/>
                <w:highlight w:val="none"/>
                <w:vertAlign w:val="baseline"/>
                <w:lang w:val="en-US" w:eastAsia="zh-CN"/>
              </w:rPr>
              <w:t>主要起到沉淀分离的作用，生活污水从进水管进入化粪池后，由于污水中含有大量粪便、纸屑、病原虫等物质，且悬浮物固体浓度较高，在重力作用下，大颗粒物质会沉降到底层，形成沉渣层。例如，粪便中的较大固体颗粒、泥沙等会逐渐沉淀到池底。在降低同时也会减少部分的</w:t>
            </w:r>
            <w:r>
              <w:rPr>
                <w:rFonts w:hint="default" w:ascii="Times New Roman" w:hAnsi="Times New Roman" w:cs="Times New Roman"/>
                <w:bCs/>
                <w:color w:val="auto"/>
                <w:sz w:val="24"/>
                <w:highlight w:val="none"/>
              </w:rPr>
              <w:t>COD</w:t>
            </w:r>
            <w:r>
              <w:rPr>
                <w:rFonts w:hint="default" w:ascii="Times New Roman" w:hAnsi="Times New Roman" w:cs="Times New Roman"/>
                <w:bCs/>
                <w:color w:val="auto"/>
                <w:sz w:val="24"/>
                <w:highlight w:val="none"/>
                <w:vertAlign w:val="subscript"/>
              </w:rPr>
              <w:t>Cr</w:t>
            </w:r>
            <w:r>
              <w:rPr>
                <w:rFonts w:hint="default" w:ascii="Times New Roman" w:hAnsi="Times New Roman" w:cs="Times New Roman"/>
                <w:bCs/>
                <w:color w:val="auto"/>
                <w:sz w:val="24"/>
                <w:highlight w:val="none"/>
              </w:rPr>
              <w:t>、BOD</w:t>
            </w:r>
            <w:r>
              <w:rPr>
                <w:rFonts w:hint="default" w:ascii="Times New Roman" w:hAnsi="Times New Roman" w:cs="Times New Roman"/>
                <w:bCs/>
                <w:color w:val="auto"/>
                <w:sz w:val="24"/>
                <w:highlight w:val="none"/>
                <w:vertAlign w:val="subscript"/>
              </w:rPr>
              <w:t>5</w:t>
            </w:r>
            <w:r>
              <w:rPr>
                <w:rFonts w:hint="default" w:ascii="Times New Roman" w:hAnsi="Times New Roman" w:cs="Times New Roman"/>
                <w:bCs/>
                <w:color w:val="auto"/>
                <w:sz w:val="24"/>
                <w:highlight w:val="none"/>
              </w:rPr>
              <w:t>、氨氮、动植物油</w:t>
            </w:r>
            <w:r>
              <w:rPr>
                <w:rFonts w:hint="eastAsia" w:ascii="Times New Roman" w:hAnsi="Times New Roman" w:cs="Times New Roman"/>
                <w:bCs/>
                <w:color w:val="auto"/>
                <w:sz w:val="24"/>
                <w:highlight w:val="none"/>
                <w:lang w:val="en-US" w:eastAsia="zh-CN"/>
              </w:rPr>
              <w:t>等污染物，根据水平衡计算，生活污水产生量为</w:t>
            </w:r>
            <w:r>
              <w:rPr>
                <w:rFonts w:hint="eastAsia"/>
                <w:bCs/>
                <w:color w:val="auto"/>
                <w:sz w:val="24"/>
                <w:highlight w:val="none"/>
                <w:lang w:val="en-US" w:eastAsia="zh-CN"/>
              </w:rPr>
              <w:t>2.56</w:t>
            </w:r>
            <w:r>
              <w:rPr>
                <w:bCs/>
                <w:color w:val="auto"/>
                <w:sz w:val="24"/>
                <w:highlight w:val="none"/>
              </w:rPr>
              <w:t>m</w:t>
            </w:r>
            <w:r>
              <w:rPr>
                <w:bCs/>
                <w:color w:val="auto"/>
                <w:sz w:val="24"/>
                <w:highlight w:val="none"/>
                <w:vertAlign w:val="superscript"/>
              </w:rPr>
              <w:t>3</w:t>
            </w:r>
            <w:r>
              <w:rPr>
                <w:bCs/>
                <w:color w:val="auto"/>
                <w:sz w:val="24"/>
                <w:highlight w:val="none"/>
              </w:rPr>
              <w:t>/d</w:t>
            </w:r>
            <w:r>
              <w:rPr>
                <w:rFonts w:hint="eastAsia"/>
                <w:bCs/>
                <w:color w:val="auto"/>
                <w:sz w:val="24"/>
                <w:highlight w:val="none"/>
                <w:lang w:eastAsia="zh-CN"/>
              </w:rPr>
              <w:t>，</w:t>
            </w:r>
            <w:r>
              <w:rPr>
                <w:rFonts w:hint="eastAsia"/>
                <w:bCs/>
                <w:color w:val="auto"/>
                <w:sz w:val="24"/>
                <w:highlight w:val="none"/>
                <w:lang w:val="en-US" w:eastAsia="zh-CN"/>
              </w:rPr>
              <w:t>因此生活污水可在化粪池中储存15d左右，容积符合项目需求。</w:t>
            </w:r>
          </w:p>
          <w:p w14:paraId="58C19A8D">
            <w:pPr>
              <w:adjustRightInd w:val="0"/>
              <w:snapToGrid w:val="0"/>
              <w:spacing w:line="360" w:lineRule="auto"/>
              <w:ind w:firstLine="480" w:firstLineChars="200"/>
              <w:rPr>
                <w:rFonts w:hint="default" w:ascii="Times New Roman" w:hAnsi="Times New Roman" w:cs="Times New Roman"/>
                <w:color w:val="auto"/>
                <w:sz w:val="24"/>
                <w:highlight w:val="yellow"/>
                <w:lang w:val="en-US" w:eastAsia="zh-CN"/>
              </w:rPr>
            </w:pPr>
            <w:r>
              <w:rPr>
                <w:rFonts w:hint="eastAsia" w:ascii="Times New Roman" w:hAnsi="Times New Roman" w:cs="Times New Roman"/>
                <w:color w:val="auto"/>
                <w:sz w:val="24"/>
                <w:highlight w:val="yellow"/>
                <w:lang w:val="en-US" w:eastAsia="zh-CN"/>
              </w:rPr>
              <w:t>③生活污水处理依托可行性分析</w:t>
            </w:r>
          </w:p>
          <w:p w14:paraId="5022EA80">
            <w:pPr>
              <w:adjustRightInd w:val="0"/>
              <w:snapToGrid w:val="0"/>
              <w:spacing w:line="360" w:lineRule="auto"/>
              <w:ind w:firstLine="480" w:firstLineChars="200"/>
              <w:rPr>
                <w:rFonts w:hint="default" w:ascii="Times New Roman" w:hAnsi="Times New Roman" w:eastAsia="宋体" w:cs="Times New Roman"/>
                <w:color w:val="auto"/>
                <w:sz w:val="24"/>
                <w:highlight w:val="yellow"/>
                <w:lang w:val="en-US" w:eastAsia="zh-CN"/>
              </w:rPr>
            </w:pPr>
            <w:r>
              <w:rPr>
                <w:rFonts w:hint="default" w:ascii="Times New Roman" w:hAnsi="Times New Roman" w:eastAsia="宋体" w:cs="Times New Roman"/>
                <w:color w:val="auto"/>
                <w:sz w:val="24"/>
                <w:highlight w:val="yellow"/>
                <w:lang w:val="en-US" w:eastAsia="zh-CN"/>
              </w:rPr>
              <w:t>20</w:t>
            </w:r>
            <w:r>
              <w:rPr>
                <w:rFonts w:hint="eastAsia" w:cs="Times New Roman"/>
                <w:color w:val="auto"/>
                <w:sz w:val="24"/>
                <w:highlight w:val="yellow"/>
                <w:lang w:val="en-US" w:eastAsia="zh-CN"/>
              </w:rPr>
              <w:t>23</w:t>
            </w:r>
            <w:r>
              <w:rPr>
                <w:rFonts w:hint="default" w:ascii="Times New Roman" w:hAnsi="Times New Roman" w:eastAsia="宋体" w:cs="Times New Roman"/>
                <w:color w:val="auto"/>
                <w:sz w:val="24"/>
                <w:highlight w:val="yellow"/>
                <w:lang w:val="en-US" w:eastAsia="zh-CN"/>
              </w:rPr>
              <w:t>年</w:t>
            </w:r>
            <w:r>
              <w:rPr>
                <w:rFonts w:hint="eastAsia" w:cs="Times New Roman"/>
                <w:color w:val="auto"/>
                <w:sz w:val="24"/>
                <w:highlight w:val="yellow"/>
                <w:lang w:val="en-US" w:eastAsia="zh-CN"/>
              </w:rPr>
              <w:t>2</w:t>
            </w:r>
            <w:r>
              <w:rPr>
                <w:rFonts w:hint="default" w:ascii="Times New Roman" w:hAnsi="Times New Roman" w:eastAsia="宋体" w:cs="Times New Roman"/>
                <w:color w:val="auto"/>
                <w:sz w:val="24"/>
                <w:highlight w:val="yellow"/>
                <w:lang w:val="en-US" w:eastAsia="zh-CN"/>
              </w:rPr>
              <w:t>月</w:t>
            </w:r>
            <w:r>
              <w:rPr>
                <w:rFonts w:hint="eastAsia" w:cs="Times New Roman"/>
                <w:color w:val="auto"/>
                <w:sz w:val="24"/>
                <w:highlight w:val="yellow"/>
                <w:lang w:val="en-US" w:eastAsia="zh-CN"/>
              </w:rPr>
              <w:t>15日</w:t>
            </w:r>
            <w:r>
              <w:rPr>
                <w:rFonts w:hint="default" w:ascii="Times New Roman" w:hAnsi="Times New Roman" w:eastAsia="宋体" w:cs="Times New Roman"/>
                <w:color w:val="auto"/>
                <w:sz w:val="24"/>
                <w:highlight w:val="yellow"/>
                <w:lang w:val="en-US" w:eastAsia="zh-CN"/>
              </w:rPr>
              <w:t>，鄂尔多斯市</w:t>
            </w:r>
            <w:r>
              <w:rPr>
                <w:rFonts w:hint="eastAsia" w:cs="Times New Roman"/>
                <w:color w:val="auto"/>
                <w:sz w:val="24"/>
                <w:highlight w:val="yellow"/>
                <w:lang w:val="en-US" w:eastAsia="zh-CN"/>
              </w:rPr>
              <w:t>生态环境局伊金霍洛旗分局</w:t>
            </w:r>
            <w:r>
              <w:rPr>
                <w:rFonts w:hint="default" w:ascii="Times New Roman" w:hAnsi="Times New Roman" w:eastAsia="宋体" w:cs="Times New Roman"/>
                <w:color w:val="auto"/>
                <w:sz w:val="24"/>
                <w:highlight w:val="yellow"/>
                <w:lang w:val="en-US" w:eastAsia="zh-CN"/>
              </w:rPr>
              <w:t>对</w:t>
            </w:r>
            <w:r>
              <w:rPr>
                <w:rFonts w:hint="eastAsia" w:cs="Times New Roman"/>
                <w:color w:val="auto"/>
                <w:sz w:val="24"/>
                <w:highlight w:val="yellow"/>
                <w:lang w:val="en-US" w:eastAsia="zh-CN"/>
              </w:rPr>
              <w:t>阿镇污水处理厂</w:t>
            </w:r>
            <w:r>
              <w:rPr>
                <w:rFonts w:hint="default" w:ascii="Times New Roman" w:hAnsi="Times New Roman" w:eastAsia="宋体" w:cs="Times New Roman"/>
                <w:color w:val="auto"/>
                <w:sz w:val="24"/>
                <w:highlight w:val="yellow"/>
                <w:lang w:val="en-US" w:eastAsia="zh-CN"/>
              </w:rPr>
              <w:t>项目出具环评批复，批复处理规模为</w:t>
            </w:r>
            <w:r>
              <w:rPr>
                <w:rFonts w:hint="eastAsia" w:cs="Times New Roman"/>
                <w:color w:val="auto"/>
                <w:sz w:val="24"/>
                <w:highlight w:val="yellow"/>
                <w:lang w:val="en-US" w:eastAsia="zh-CN"/>
              </w:rPr>
              <w:t>35000</w:t>
            </w:r>
            <w:r>
              <w:rPr>
                <w:rFonts w:hint="default" w:ascii="Times New Roman" w:hAnsi="Times New Roman" w:eastAsia="宋体" w:cs="Times New Roman"/>
                <w:color w:val="auto"/>
                <w:sz w:val="24"/>
                <w:highlight w:val="yellow"/>
                <w:lang w:val="en-US" w:eastAsia="zh-CN"/>
              </w:rPr>
              <w:t>m</w:t>
            </w:r>
            <w:r>
              <w:rPr>
                <w:rFonts w:hint="eastAsia" w:cs="Times New Roman"/>
                <w:color w:val="auto"/>
                <w:sz w:val="24"/>
                <w:highlight w:val="yellow"/>
                <w:vertAlign w:val="superscript"/>
                <w:lang w:val="en-US" w:eastAsia="zh-CN"/>
              </w:rPr>
              <w:t>3</w:t>
            </w:r>
            <w:r>
              <w:rPr>
                <w:rFonts w:hint="default" w:ascii="Times New Roman" w:hAnsi="Times New Roman" w:eastAsia="宋体" w:cs="Times New Roman"/>
                <w:color w:val="auto"/>
                <w:sz w:val="24"/>
                <w:highlight w:val="yellow"/>
                <w:lang w:val="en-US" w:eastAsia="zh-CN"/>
              </w:rPr>
              <w:t>/d，污水处理工艺采用KTEBIS生化+深度处理工艺，出水执行《城镇污水处理厂污染物排放标准》（GB18918-2002）一级A标准。该污水处理厂</w:t>
            </w:r>
            <w:r>
              <w:rPr>
                <w:rFonts w:hint="eastAsia" w:cs="Times New Roman"/>
                <w:color w:val="auto"/>
                <w:sz w:val="24"/>
                <w:highlight w:val="yellow"/>
                <w:lang w:val="en-US" w:eastAsia="zh-CN"/>
              </w:rPr>
              <w:t>目前已</w:t>
            </w:r>
            <w:r>
              <w:rPr>
                <w:rFonts w:hint="default" w:ascii="Times New Roman" w:hAnsi="Times New Roman" w:eastAsia="宋体" w:cs="Times New Roman"/>
                <w:color w:val="auto"/>
                <w:sz w:val="24"/>
                <w:highlight w:val="yellow"/>
                <w:lang w:val="en-US" w:eastAsia="zh-CN"/>
              </w:rPr>
              <w:t>建成投产，并完成竣工环境保护自主验收，环保手续齐全、运行稳定。根据现状调查数据，2025年该</w:t>
            </w:r>
            <w:r>
              <w:rPr>
                <w:rFonts w:hint="eastAsia" w:cs="Times New Roman"/>
                <w:color w:val="auto"/>
                <w:sz w:val="24"/>
                <w:highlight w:val="yellow"/>
                <w:lang w:val="en-US" w:eastAsia="zh-CN"/>
              </w:rPr>
              <w:t>污水处理厂</w:t>
            </w:r>
            <w:r>
              <w:rPr>
                <w:rFonts w:hint="default" w:ascii="Times New Roman" w:hAnsi="Times New Roman" w:eastAsia="宋体" w:cs="Times New Roman"/>
                <w:color w:val="auto"/>
                <w:sz w:val="24"/>
                <w:highlight w:val="yellow"/>
                <w:lang w:val="en-US" w:eastAsia="zh-CN"/>
              </w:rPr>
              <w:t>日均实际处理水量约</w:t>
            </w:r>
            <w:r>
              <w:rPr>
                <w:rFonts w:hint="eastAsia" w:cs="Times New Roman"/>
                <w:color w:val="auto"/>
                <w:sz w:val="24"/>
                <w:highlight w:val="yellow"/>
                <w:lang w:val="en-US" w:eastAsia="zh-CN"/>
              </w:rPr>
              <w:t>26000</w:t>
            </w:r>
            <w:r>
              <w:rPr>
                <w:rFonts w:hint="default" w:ascii="Times New Roman" w:hAnsi="Times New Roman" w:eastAsia="宋体" w:cs="Times New Roman"/>
                <w:color w:val="auto"/>
                <w:sz w:val="24"/>
                <w:highlight w:val="yellow"/>
                <w:lang w:val="en-US" w:eastAsia="zh-CN"/>
              </w:rPr>
              <w:t>m</w:t>
            </w:r>
            <w:r>
              <w:rPr>
                <w:rFonts w:hint="eastAsia" w:cs="Times New Roman"/>
                <w:color w:val="auto"/>
                <w:sz w:val="24"/>
                <w:highlight w:val="yellow"/>
                <w:vertAlign w:val="superscript"/>
                <w:lang w:val="en-US" w:eastAsia="zh-CN"/>
              </w:rPr>
              <w:t>3</w:t>
            </w:r>
            <w:r>
              <w:rPr>
                <w:rFonts w:hint="default" w:ascii="Times New Roman" w:hAnsi="Times New Roman" w:eastAsia="宋体" w:cs="Times New Roman"/>
                <w:color w:val="auto"/>
                <w:sz w:val="24"/>
                <w:highlight w:val="yellow"/>
                <w:lang w:val="en-US" w:eastAsia="zh-CN"/>
              </w:rPr>
              <w:t>/d，尚有充足处理余量。本项目生活污水产生量仅为230.4m³/a，水量极小，且水质以常规生活污染物为主、无特殊有毒有害污染物，经厂区化粪池预处理后可满足</w:t>
            </w:r>
            <w:r>
              <w:rPr>
                <w:rFonts w:hint="eastAsia" w:cs="Times New Roman"/>
                <w:color w:val="auto"/>
                <w:sz w:val="24"/>
                <w:highlight w:val="yellow"/>
                <w:lang w:val="en-US" w:eastAsia="zh-CN"/>
              </w:rPr>
              <w:t>污水处理厂</w:t>
            </w:r>
            <w:r>
              <w:rPr>
                <w:rFonts w:hint="default" w:ascii="Times New Roman" w:hAnsi="Times New Roman" w:eastAsia="宋体" w:cs="Times New Roman"/>
                <w:color w:val="auto"/>
                <w:sz w:val="24"/>
                <w:highlight w:val="yellow"/>
                <w:lang w:val="en-US" w:eastAsia="zh-CN"/>
              </w:rPr>
              <w:t>接纳要求，不会对</w:t>
            </w:r>
            <w:r>
              <w:rPr>
                <w:rFonts w:hint="eastAsia" w:cs="Times New Roman"/>
                <w:color w:val="auto"/>
                <w:sz w:val="24"/>
                <w:highlight w:val="yellow"/>
                <w:lang w:val="en-US" w:eastAsia="zh-CN"/>
              </w:rPr>
              <w:t>阿镇污水处理厂</w:t>
            </w:r>
            <w:r>
              <w:rPr>
                <w:rFonts w:hint="default" w:ascii="Times New Roman" w:hAnsi="Times New Roman" w:eastAsia="宋体" w:cs="Times New Roman"/>
                <w:color w:val="auto"/>
                <w:sz w:val="24"/>
                <w:highlight w:val="yellow"/>
                <w:lang w:val="en-US" w:eastAsia="zh-CN"/>
              </w:rPr>
              <w:t>处理负荷及生化系统造成冲击。因此，本项目依托</w:t>
            </w:r>
            <w:r>
              <w:rPr>
                <w:rFonts w:hint="eastAsia" w:cs="Times New Roman"/>
                <w:color w:val="auto"/>
                <w:sz w:val="24"/>
                <w:highlight w:val="yellow"/>
                <w:lang w:val="en-US" w:eastAsia="zh-CN"/>
              </w:rPr>
              <w:t>阿镇污水处理厂</w:t>
            </w:r>
            <w:r>
              <w:rPr>
                <w:rFonts w:hint="default" w:ascii="Times New Roman" w:hAnsi="Times New Roman" w:eastAsia="宋体" w:cs="Times New Roman"/>
                <w:color w:val="auto"/>
                <w:sz w:val="24"/>
                <w:highlight w:val="yellow"/>
                <w:lang w:val="en-US" w:eastAsia="zh-CN"/>
              </w:rPr>
              <w:t>处置生活污水方案可行、合理。</w:t>
            </w:r>
          </w:p>
          <w:p w14:paraId="5658BD27">
            <w:pPr>
              <w:spacing w:line="360" w:lineRule="auto"/>
              <w:ind w:firstLine="480" w:firstLineChars="200"/>
              <w:rPr>
                <w:rFonts w:hint="eastAsia" w:ascii="宋体" w:hAnsi="宋体" w:cs="宋体"/>
                <w:color w:val="auto"/>
                <w:sz w:val="24"/>
                <w:highlight w:val="none"/>
              </w:rPr>
            </w:pPr>
            <w:r>
              <w:rPr>
                <w:rFonts w:hint="default" w:ascii="Times New Roman" w:hAnsi="Times New Roman" w:cs="Times New Roman"/>
                <w:color w:val="auto"/>
                <w:sz w:val="24"/>
                <w:highlight w:val="yellow"/>
              </w:rPr>
              <w:t>综上所述，本项目产生的废水均得到合理处置，处理工艺可行，去向可行，因此，项目对周边水环境影响较小。</w:t>
            </w:r>
          </w:p>
        </w:tc>
      </w:tr>
    </w:tbl>
    <w:p w14:paraId="6498BEDA">
      <w:pPr>
        <w:pStyle w:val="19"/>
        <w:jc w:val="center"/>
        <w:outlineLvl w:val="0"/>
        <w:rPr>
          <w:rFonts w:ascii="黑体" w:hAnsi="黑体" w:eastAsia="黑体"/>
          <w:snapToGrid w:val="0"/>
          <w:color w:val="auto"/>
          <w:sz w:val="30"/>
          <w:szCs w:val="30"/>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85"/>
      </w:tblGrid>
      <w:tr w14:paraId="3FA668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17" w:hRule="atLeast"/>
          <w:jc w:val="center"/>
        </w:trPr>
        <w:tc>
          <w:tcPr>
            <w:tcW w:w="746" w:type="dxa"/>
            <w:noWrap w:val="0"/>
            <w:tcMar>
              <w:left w:w="28" w:type="dxa"/>
              <w:right w:w="28" w:type="dxa"/>
            </w:tcMar>
            <w:vAlign w:val="center"/>
          </w:tcPr>
          <w:p w14:paraId="0FDE3C1F">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运营</w:t>
            </w:r>
          </w:p>
          <w:p w14:paraId="502D4ED8">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期环</w:t>
            </w:r>
          </w:p>
          <w:p w14:paraId="7CA0AC46">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境影</w:t>
            </w:r>
          </w:p>
          <w:p w14:paraId="474B694B">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响和</w:t>
            </w:r>
          </w:p>
          <w:p w14:paraId="047029E3">
            <w:pPr>
              <w:adjustRightInd w:val="0"/>
              <w:snapToGrid w:val="0"/>
              <w:jc w:val="center"/>
              <w:rPr>
                <w:rFonts w:hint="eastAsia" w:ascii="宋体" w:hAnsi="宋体" w:cs="宋体"/>
                <w:bCs/>
                <w:color w:val="auto"/>
                <w:sz w:val="24"/>
                <w:highlight w:val="none"/>
              </w:rPr>
            </w:pPr>
            <w:r>
              <w:rPr>
                <w:rFonts w:hint="eastAsia" w:ascii="宋体" w:hAnsi="宋体" w:cs="宋体"/>
                <w:bCs/>
                <w:color w:val="auto"/>
                <w:sz w:val="24"/>
                <w:highlight w:val="none"/>
              </w:rPr>
              <w:t>保护</w:t>
            </w:r>
          </w:p>
          <w:p w14:paraId="6C6E133D">
            <w:pPr>
              <w:adjustRightInd w:val="0"/>
              <w:snapToGrid w:val="0"/>
              <w:jc w:val="center"/>
              <w:rPr>
                <w:rFonts w:ascii="宋体" w:hAnsi="宋体" w:cs="宋体"/>
                <w:bCs/>
                <w:color w:val="auto"/>
                <w:sz w:val="24"/>
                <w:highlight w:val="none"/>
              </w:rPr>
            </w:pPr>
            <w:r>
              <w:rPr>
                <w:rFonts w:hint="eastAsia" w:ascii="宋体" w:hAnsi="宋体" w:cs="宋体"/>
                <w:bCs/>
                <w:color w:val="auto"/>
                <w:sz w:val="24"/>
                <w:highlight w:val="none"/>
              </w:rPr>
              <w:t>措施</w:t>
            </w:r>
          </w:p>
        </w:tc>
        <w:tc>
          <w:tcPr>
            <w:tcW w:w="8162" w:type="dxa"/>
            <w:noWrap w:val="0"/>
            <w:vAlign w:val="center"/>
          </w:tcPr>
          <w:p w14:paraId="25D5CE41">
            <w:pPr>
              <w:pStyle w:val="70"/>
              <w:keepNext w:val="0"/>
              <w:keepLines w:val="0"/>
              <w:pageBreakBefore w:val="0"/>
              <w:widowControl w:val="0"/>
              <w:kinsoku/>
              <w:wordWrap/>
              <w:overflowPunct/>
              <w:topLinePunct w:val="0"/>
              <w:autoSpaceDE/>
              <w:autoSpaceDN/>
              <w:bidi w:val="0"/>
              <w:spacing w:line="360" w:lineRule="auto"/>
              <w:ind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三、运营期声环境影响和保护措施</w:t>
            </w:r>
          </w:p>
          <w:p w14:paraId="5DDA917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1、噪声源强及治理措施</w:t>
            </w:r>
          </w:p>
          <w:p w14:paraId="6C84C0A2">
            <w:pPr>
              <w:keepNext w:val="0"/>
              <w:keepLines w:val="0"/>
              <w:pageBreakBefore w:val="0"/>
              <w:widowControl w:val="0"/>
              <w:kinsoku/>
              <w:wordWrap/>
              <w:overflowPunct/>
              <w:topLinePunct w:val="0"/>
              <w:autoSpaceDE/>
              <w:autoSpaceDN/>
              <w:bidi w:val="0"/>
              <w:spacing w:line="360" w:lineRule="auto"/>
              <w:ind w:firstLine="480" w:firstLineChars="200"/>
              <w:rPr>
                <w:rFonts w:hint="eastAsia" w:ascii="宋体"/>
                <w:color w:val="auto"/>
                <w:sz w:val="24"/>
                <w:highlight w:val="none"/>
              </w:rPr>
            </w:pPr>
            <w:r>
              <w:rPr>
                <w:rFonts w:hint="eastAsia" w:ascii="宋体" w:hAnsi="宋体"/>
                <w:bCs/>
                <w:color w:val="auto"/>
                <w:sz w:val="24"/>
                <w:highlight w:val="none"/>
              </w:rPr>
              <w:t>本</w:t>
            </w:r>
            <w:r>
              <w:rPr>
                <w:rFonts w:ascii="宋体" w:hAnsi="宋体"/>
                <w:bCs/>
                <w:color w:val="auto"/>
                <w:sz w:val="24"/>
                <w:highlight w:val="none"/>
              </w:rPr>
              <w:t>项目噪声主要来源于搅拌机、装载机、物料传输装置</w:t>
            </w:r>
            <w:r>
              <w:rPr>
                <w:rFonts w:hint="eastAsia" w:ascii="宋体" w:hAnsi="宋体"/>
                <w:bCs/>
                <w:color w:val="auto"/>
                <w:sz w:val="24"/>
                <w:highlight w:val="none"/>
                <w:lang w:eastAsia="zh-CN"/>
              </w:rPr>
              <w:t>、</w:t>
            </w:r>
            <w:r>
              <w:rPr>
                <w:rFonts w:hint="eastAsia" w:ascii="宋体" w:hAnsi="宋体"/>
                <w:bCs/>
                <w:color w:val="auto"/>
                <w:sz w:val="24"/>
                <w:highlight w:val="none"/>
                <w:lang w:val="en-US" w:eastAsia="zh-CN"/>
              </w:rPr>
              <w:t>泵与风机类设备</w:t>
            </w:r>
            <w:r>
              <w:rPr>
                <w:rFonts w:ascii="宋体" w:hAnsi="宋体"/>
                <w:bCs/>
                <w:color w:val="auto"/>
                <w:sz w:val="24"/>
                <w:highlight w:val="none"/>
              </w:rPr>
              <w:t>运转过程中产生的噪声。根据设计，项目各噪声设备采取的降噪措施，对噪声有一定衰减，详见</w:t>
            </w:r>
            <w:r>
              <w:rPr>
                <w:rFonts w:hint="eastAsia" w:ascii="宋体" w:hAnsi="宋体"/>
                <w:bCs/>
                <w:color w:val="auto"/>
                <w:sz w:val="24"/>
                <w:highlight w:val="none"/>
              </w:rPr>
              <w:t>下</w:t>
            </w:r>
            <w:r>
              <w:rPr>
                <w:rFonts w:ascii="宋体" w:hAnsi="宋体"/>
                <w:bCs/>
                <w:color w:val="auto"/>
                <w:sz w:val="24"/>
                <w:highlight w:val="none"/>
              </w:rPr>
              <w:t>表。</w:t>
            </w:r>
          </w:p>
          <w:p w14:paraId="550CFA41">
            <w:pPr>
              <w:keepNext w:val="0"/>
              <w:keepLines w:val="0"/>
              <w:pageBreakBefore w:val="0"/>
              <w:widowControl w:val="0"/>
              <w:kinsoku/>
              <w:wordWrap/>
              <w:overflowPunct/>
              <w:topLinePunct w:val="0"/>
              <w:autoSpaceDE/>
              <w:autoSpaceDN/>
              <w:bidi w:val="0"/>
              <w:jc w:val="center"/>
              <w:rPr>
                <w:rFonts w:hint="eastAsia" w:ascii="Times New Roman" w:hAnsi="Times New Roman" w:eastAsia="宋体" w:cs="Times New Roman"/>
                <w:b/>
                <w:color w:val="auto"/>
                <w:sz w:val="24"/>
                <w:highlight w:val="none"/>
              </w:rPr>
            </w:pPr>
            <w:r>
              <w:rPr>
                <w:rFonts w:hint="eastAsia" w:ascii="Times New Roman" w:hAnsi="Times New Roman" w:eastAsia="宋体" w:cs="Times New Roman"/>
                <w:b/>
                <w:color w:val="auto"/>
                <w:sz w:val="24"/>
                <w:highlight w:val="none"/>
              </w:rPr>
              <w:t>表4-</w:t>
            </w:r>
            <w:r>
              <w:rPr>
                <w:rFonts w:hint="eastAsia" w:cs="Times New Roman"/>
                <w:b/>
                <w:color w:val="auto"/>
                <w:sz w:val="24"/>
                <w:highlight w:val="none"/>
                <w:lang w:val="en-US" w:eastAsia="zh-CN"/>
              </w:rPr>
              <w:t>5</w:t>
            </w:r>
            <w:r>
              <w:rPr>
                <w:rFonts w:hint="eastAsia" w:ascii="Times New Roman" w:hAnsi="Times New Roman" w:eastAsia="宋体" w:cs="Times New Roman"/>
                <w:b/>
                <w:color w:val="auto"/>
                <w:sz w:val="24"/>
                <w:highlight w:val="none"/>
              </w:rPr>
              <w:t>各声源设备的噪声级</w:t>
            </w:r>
          </w:p>
          <w:tbl>
            <w:tblPr>
              <w:tblStyle w:val="22"/>
              <w:tblW w:w="7955"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18"/>
              <w:gridCol w:w="1559"/>
              <w:gridCol w:w="3402"/>
              <w:gridCol w:w="1276"/>
            </w:tblGrid>
            <w:tr w14:paraId="7D5C3D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6044DFB2">
                  <w:pPr>
                    <w:keepNext w:val="0"/>
                    <w:keepLines w:val="0"/>
                    <w:pageBreakBefore w:val="0"/>
                    <w:widowControl w:val="0"/>
                    <w:kinsoku/>
                    <w:wordWrap/>
                    <w:overflowPunct/>
                    <w:topLinePunct w:val="0"/>
                    <w:autoSpaceDE/>
                    <w:autoSpaceDN/>
                    <w:bidi w:val="0"/>
                    <w:adjustRightInd w:val="0"/>
                    <w:jc w:val="center"/>
                    <w:textAlignment w:val="baseline"/>
                    <w:rPr>
                      <w:color w:val="auto"/>
                      <w:kern w:val="0"/>
                      <w:highlight w:val="none"/>
                    </w:rPr>
                  </w:pPr>
                  <w:r>
                    <w:rPr>
                      <w:rFonts w:ascii="宋体" w:hAnsi="宋体"/>
                      <w:color w:val="auto"/>
                      <w:kern w:val="0"/>
                      <w:highlight w:val="none"/>
                    </w:rPr>
                    <w:t>设备名称</w:t>
                  </w:r>
                </w:p>
              </w:tc>
              <w:tc>
                <w:tcPr>
                  <w:tcW w:w="1559" w:type="dxa"/>
                  <w:tcBorders>
                    <w:tl2br w:val="nil"/>
                    <w:tr2bl w:val="nil"/>
                  </w:tcBorders>
                  <w:noWrap w:val="0"/>
                  <w:vAlign w:val="center"/>
                </w:tcPr>
                <w:p w14:paraId="71128A89">
                  <w:pPr>
                    <w:keepNext w:val="0"/>
                    <w:keepLines w:val="0"/>
                    <w:pageBreakBefore w:val="0"/>
                    <w:widowControl w:val="0"/>
                    <w:kinsoku/>
                    <w:wordWrap/>
                    <w:overflowPunct/>
                    <w:topLinePunct w:val="0"/>
                    <w:autoSpaceDE/>
                    <w:autoSpaceDN/>
                    <w:bidi w:val="0"/>
                    <w:adjustRightInd w:val="0"/>
                    <w:jc w:val="center"/>
                    <w:textAlignment w:val="baseline"/>
                    <w:rPr>
                      <w:color w:val="auto"/>
                      <w:kern w:val="0"/>
                      <w:highlight w:val="none"/>
                    </w:rPr>
                  </w:pPr>
                  <w:r>
                    <w:rPr>
                      <w:rFonts w:ascii="宋体" w:hAnsi="宋体"/>
                      <w:color w:val="auto"/>
                      <w:kern w:val="0"/>
                      <w:highlight w:val="none"/>
                    </w:rPr>
                    <w:t>声级值</w:t>
                  </w:r>
                </w:p>
                <w:p w14:paraId="17C18A98">
                  <w:pPr>
                    <w:keepNext w:val="0"/>
                    <w:keepLines w:val="0"/>
                    <w:pageBreakBefore w:val="0"/>
                    <w:widowControl w:val="0"/>
                    <w:kinsoku/>
                    <w:wordWrap/>
                    <w:overflowPunct/>
                    <w:topLinePunct w:val="0"/>
                    <w:autoSpaceDE/>
                    <w:autoSpaceDN/>
                    <w:bidi w:val="0"/>
                    <w:adjustRightInd w:val="0"/>
                    <w:jc w:val="center"/>
                    <w:textAlignment w:val="baseline"/>
                    <w:rPr>
                      <w:color w:val="auto"/>
                      <w:kern w:val="0"/>
                      <w:highlight w:val="none"/>
                    </w:rPr>
                  </w:pPr>
                  <w:r>
                    <w:rPr>
                      <w:color w:val="auto"/>
                      <w:kern w:val="0"/>
                      <w:highlight w:val="none"/>
                    </w:rPr>
                    <w:t>dB</w:t>
                  </w:r>
                  <w:r>
                    <w:rPr>
                      <w:rFonts w:ascii="宋体" w:hAnsi="宋体"/>
                      <w:color w:val="auto"/>
                      <w:kern w:val="0"/>
                      <w:highlight w:val="none"/>
                    </w:rPr>
                    <w:t>（</w:t>
                  </w:r>
                  <w:r>
                    <w:rPr>
                      <w:color w:val="auto"/>
                      <w:kern w:val="0"/>
                      <w:highlight w:val="none"/>
                    </w:rPr>
                    <w:t>A</w:t>
                  </w:r>
                  <w:r>
                    <w:rPr>
                      <w:rFonts w:ascii="宋体" w:hAnsi="宋体"/>
                      <w:color w:val="auto"/>
                      <w:kern w:val="0"/>
                      <w:highlight w:val="none"/>
                    </w:rPr>
                    <w:t>）</w:t>
                  </w:r>
                </w:p>
              </w:tc>
              <w:tc>
                <w:tcPr>
                  <w:tcW w:w="3402" w:type="dxa"/>
                  <w:tcBorders>
                    <w:tl2br w:val="nil"/>
                    <w:tr2bl w:val="nil"/>
                  </w:tcBorders>
                  <w:noWrap w:val="0"/>
                  <w:vAlign w:val="center"/>
                </w:tcPr>
                <w:p w14:paraId="33D23FA4">
                  <w:pPr>
                    <w:keepNext w:val="0"/>
                    <w:keepLines w:val="0"/>
                    <w:pageBreakBefore w:val="0"/>
                    <w:widowControl w:val="0"/>
                    <w:kinsoku/>
                    <w:wordWrap/>
                    <w:overflowPunct/>
                    <w:topLinePunct w:val="0"/>
                    <w:autoSpaceDE/>
                    <w:autoSpaceDN/>
                    <w:bidi w:val="0"/>
                    <w:adjustRightInd w:val="0"/>
                    <w:jc w:val="center"/>
                    <w:textAlignment w:val="baseline"/>
                    <w:rPr>
                      <w:color w:val="auto"/>
                      <w:kern w:val="0"/>
                      <w:highlight w:val="none"/>
                    </w:rPr>
                  </w:pPr>
                  <w:r>
                    <w:rPr>
                      <w:rFonts w:ascii="宋体" w:hAnsi="宋体"/>
                      <w:color w:val="auto"/>
                      <w:kern w:val="0"/>
                      <w:highlight w:val="none"/>
                    </w:rPr>
                    <w:t>降噪措施</w:t>
                  </w:r>
                </w:p>
              </w:tc>
              <w:tc>
                <w:tcPr>
                  <w:tcW w:w="1276" w:type="dxa"/>
                  <w:tcBorders>
                    <w:tl2br w:val="nil"/>
                    <w:tr2bl w:val="nil"/>
                  </w:tcBorders>
                  <w:noWrap w:val="0"/>
                  <w:vAlign w:val="center"/>
                </w:tcPr>
                <w:p w14:paraId="791EFDF1">
                  <w:pPr>
                    <w:keepNext w:val="0"/>
                    <w:keepLines w:val="0"/>
                    <w:pageBreakBefore w:val="0"/>
                    <w:widowControl w:val="0"/>
                    <w:kinsoku/>
                    <w:wordWrap/>
                    <w:overflowPunct/>
                    <w:topLinePunct w:val="0"/>
                    <w:autoSpaceDE/>
                    <w:autoSpaceDN/>
                    <w:bidi w:val="0"/>
                    <w:adjustRightInd w:val="0"/>
                    <w:jc w:val="center"/>
                    <w:textAlignment w:val="baseline"/>
                    <w:rPr>
                      <w:color w:val="auto"/>
                      <w:kern w:val="0"/>
                      <w:highlight w:val="none"/>
                    </w:rPr>
                  </w:pPr>
                  <w:r>
                    <w:rPr>
                      <w:rFonts w:ascii="宋体" w:hAnsi="宋体"/>
                      <w:color w:val="auto"/>
                      <w:kern w:val="0"/>
                      <w:highlight w:val="none"/>
                    </w:rPr>
                    <w:t>采取措施后源强</w:t>
                  </w:r>
                  <w:r>
                    <w:rPr>
                      <w:color w:val="auto"/>
                      <w:kern w:val="0"/>
                      <w:highlight w:val="none"/>
                    </w:rPr>
                    <w:t>dB</w:t>
                  </w:r>
                  <w:r>
                    <w:rPr>
                      <w:rFonts w:ascii="宋体" w:hAnsi="宋体"/>
                      <w:color w:val="auto"/>
                      <w:kern w:val="0"/>
                      <w:highlight w:val="none"/>
                    </w:rPr>
                    <w:t>（</w:t>
                  </w:r>
                  <w:r>
                    <w:rPr>
                      <w:color w:val="auto"/>
                      <w:kern w:val="0"/>
                      <w:highlight w:val="none"/>
                    </w:rPr>
                    <w:t>A</w:t>
                  </w:r>
                  <w:r>
                    <w:rPr>
                      <w:rFonts w:ascii="宋体" w:hAnsi="宋体"/>
                      <w:color w:val="auto"/>
                      <w:kern w:val="0"/>
                      <w:highlight w:val="none"/>
                    </w:rPr>
                    <w:t>）</w:t>
                  </w:r>
                </w:p>
              </w:tc>
            </w:tr>
            <w:tr w14:paraId="69CE60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7FC9DA51">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搅拌机</w:t>
                  </w:r>
                </w:p>
              </w:tc>
              <w:tc>
                <w:tcPr>
                  <w:tcW w:w="1559" w:type="dxa"/>
                  <w:tcBorders>
                    <w:tl2br w:val="nil"/>
                    <w:tr2bl w:val="nil"/>
                  </w:tcBorders>
                  <w:noWrap w:val="0"/>
                  <w:vAlign w:val="center"/>
                </w:tcPr>
                <w:p w14:paraId="288B50EB">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83</w:t>
                  </w:r>
                </w:p>
              </w:tc>
              <w:tc>
                <w:tcPr>
                  <w:tcW w:w="3402" w:type="dxa"/>
                  <w:tcBorders>
                    <w:tl2br w:val="nil"/>
                    <w:tr2bl w:val="nil"/>
                  </w:tcBorders>
                  <w:noWrap w:val="0"/>
                  <w:vAlign w:val="center"/>
                </w:tcPr>
                <w:p w14:paraId="373C992C">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隔声、减振，设备置于车间内</w:t>
                  </w:r>
                </w:p>
              </w:tc>
              <w:tc>
                <w:tcPr>
                  <w:tcW w:w="1276" w:type="dxa"/>
                  <w:tcBorders>
                    <w:tl2br w:val="nil"/>
                    <w:tr2bl w:val="nil"/>
                  </w:tcBorders>
                  <w:noWrap w:val="0"/>
                  <w:vAlign w:val="center"/>
                </w:tcPr>
                <w:p w14:paraId="4B06330B">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7</w:t>
                  </w:r>
                  <w:r>
                    <w:rPr>
                      <w:rFonts w:hint="eastAsia"/>
                      <w:color w:val="auto"/>
                      <w:highlight w:val="none"/>
                    </w:rPr>
                    <w:t>0</w:t>
                  </w:r>
                </w:p>
              </w:tc>
            </w:tr>
            <w:tr w14:paraId="12EF24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694D97A9">
                  <w:pPr>
                    <w:keepNext w:val="0"/>
                    <w:keepLines w:val="0"/>
                    <w:pageBreakBefore w:val="0"/>
                    <w:widowControl w:val="0"/>
                    <w:kinsoku/>
                    <w:wordWrap/>
                    <w:overflowPunct/>
                    <w:topLinePunct w:val="0"/>
                    <w:autoSpaceDE/>
                    <w:autoSpaceDN/>
                    <w:bidi w:val="0"/>
                    <w:snapToGrid w:val="0"/>
                    <w:jc w:val="center"/>
                    <w:rPr>
                      <w:rFonts w:hint="eastAsia"/>
                      <w:color w:val="auto"/>
                      <w:highlight w:val="none"/>
                    </w:rPr>
                  </w:pPr>
                  <w:r>
                    <w:rPr>
                      <w:rFonts w:ascii="宋体" w:hAnsi="宋体"/>
                      <w:color w:val="auto"/>
                      <w:highlight w:val="none"/>
                    </w:rPr>
                    <w:t>皮带输送机</w:t>
                  </w:r>
                </w:p>
              </w:tc>
              <w:tc>
                <w:tcPr>
                  <w:tcW w:w="1559" w:type="dxa"/>
                  <w:tcBorders>
                    <w:tl2br w:val="nil"/>
                    <w:tr2bl w:val="nil"/>
                  </w:tcBorders>
                  <w:noWrap w:val="0"/>
                  <w:vAlign w:val="center"/>
                </w:tcPr>
                <w:p w14:paraId="14A6D8E8">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70</w:t>
                  </w:r>
                </w:p>
              </w:tc>
              <w:tc>
                <w:tcPr>
                  <w:tcW w:w="3402" w:type="dxa"/>
                  <w:tcBorders>
                    <w:tl2br w:val="nil"/>
                    <w:tr2bl w:val="nil"/>
                  </w:tcBorders>
                  <w:noWrap w:val="0"/>
                  <w:vAlign w:val="center"/>
                </w:tcPr>
                <w:p w14:paraId="4BBD16D1">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减振、密闭运输</w:t>
                  </w:r>
                </w:p>
              </w:tc>
              <w:tc>
                <w:tcPr>
                  <w:tcW w:w="1276" w:type="dxa"/>
                  <w:tcBorders>
                    <w:tl2br w:val="nil"/>
                    <w:tr2bl w:val="nil"/>
                  </w:tcBorders>
                  <w:noWrap w:val="0"/>
                  <w:vAlign w:val="center"/>
                </w:tcPr>
                <w:p w14:paraId="2BEAC369">
                  <w:pPr>
                    <w:keepNext w:val="0"/>
                    <w:keepLines w:val="0"/>
                    <w:pageBreakBefore w:val="0"/>
                    <w:widowControl w:val="0"/>
                    <w:kinsoku/>
                    <w:wordWrap/>
                    <w:overflowPunct/>
                    <w:topLinePunct w:val="0"/>
                    <w:autoSpaceDE/>
                    <w:autoSpaceDN/>
                    <w:bidi w:val="0"/>
                    <w:snapToGrid w:val="0"/>
                    <w:jc w:val="center"/>
                    <w:rPr>
                      <w:color w:val="auto"/>
                      <w:highlight w:val="none"/>
                    </w:rPr>
                  </w:pPr>
                  <w:r>
                    <w:rPr>
                      <w:rFonts w:hint="eastAsia"/>
                      <w:color w:val="auto"/>
                      <w:highlight w:val="none"/>
                    </w:rPr>
                    <w:t>56</w:t>
                  </w:r>
                </w:p>
              </w:tc>
            </w:tr>
            <w:tr w14:paraId="0F5218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6986655A">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螺旋输送机</w:t>
                  </w:r>
                </w:p>
              </w:tc>
              <w:tc>
                <w:tcPr>
                  <w:tcW w:w="1559" w:type="dxa"/>
                  <w:tcBorders>
                    <w:tl2br w:val="nil"/>
                    <w:tr2bl w:val="nil"/>
                  </w:tcBorders>
                  <w:noWrap w:val="0"/>
                  <w:vAlign w:val="center"/>
                </w:tcPr>
                <w:p w14:paraId="330FDAF0">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70</w:t>
                  </w:r>
                  <w:r>
                    <w:rPr>
                      <w:rFonts w:ascii="宋体" w:hAnsi="宋体"/>
                      <w:color w:val="auto"/>
                      <w:highlight w:val="none"/>
                    </w:rPr>
                    <w:t>（正常工况）</w:t>
                  </w:r>
                </w:p>
              </w:tc>
              <w:tc>
                <w:tcPr>
                  <w:tcW w:w="3402" w:type="dxa"/>
                  <w:tcBorders>
                    <w:tl2br w:val="nil"/>
                    <w:tr2bl w:val="nil"/>
                  </w:tcBorders>
                  <w:noWrap w:val="0"/>
                  <w:vAlign w:val="center"/>
                </w:tcPr>
                <w:p w14:paraId="14D79C1C">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减振</w:t>
                  </w:r>
                </w:p>
              </w:tc>
              <w:tc>
                <w:tcPr>
                  <w:tcW w:w="1276" w:type="dxa"/>
                  <w:tcBorders>
                    <w:tl2br w:val="nil"/>
                    <w:tr2bl w:val="nil"/>
                  </w:tcBorders>
                  <w:noWrap w:val="0"/>
                  <w:vAlign w:val="center"/>
                </w:tcPr>
                <w:p w14:paraId="17F872A2">
                  <w:pPr>
                    <w:keepNext w:val="0"/>
                    <w:keepLines w:val="0"/>
                    <w:pageBreakBefore w:val="0"/>
                    <w:widowControl w:val="0"/>
                    <w:kinsoku/>
                    <w:wordWrap/>
                    <w:overflowPunct/>
                    <w:topLinePunct w:val="0"/>
                    <w:autoSpaceDE/>
                    <w:autoSpaceDN/>
                    <w:bidi w:val="0"/>
                    <w:snapToGrid w:val="0"/>
                    <w:jc w:val="center"/>
                    <w:rPr>
                      <w:color w:val="auto"/>
                      <w:highlight w:val="none"/>
                    </w:rPr>
                  </w:pPr>
                  <w:r>
                    <w:rPr>
                      <w:rFonts w:hint="eastAsia"/>
                      <w:color w:val="auto"/>
                      <w:highlight w:val="none"/>
                    </w:rPr>
                    <w:t>58</w:t>
                  </w:r>
                </w:p>
              </w:tc>
            </w:tr>
            <w:tr w14:paraId="1C0D35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5F0664AC">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水泵</w:t>
                  </w:r>
                </w:p>
              </w:tc>
              <w:tc>
                <w:tcPr>
                  <w:tcW w:w="1559" w:type="dxa"/>
                  <w:tcBorders>
                    <w:tl2br w:val="nil"/>
                    <w:tr2bl w:val="nil"/>
                  </w:tcBorders>
                  <w:noWrap w:val="0"/>
                  <w:vAlign w:val="center"/>
                </w:tcPr>
                <w:p w14:paraId="615C06C1">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68</w:t>
                  </w:r>
                </w:p>
              </w:tc>
              <w:tc>
                <w:tcPr>
                  <w:tcW w:w="3402" w:type="dxa"/>
                  <w:tcBorders>
                    <w:tl2br w:val="nil"/>
                    <w:tr2bl w:val="nil"/>
                  </w:tcBorders>
                  <w:noWrap w:val="0"/>
                  <w:vAlign w:val="center"/>
                </w:tcPr>
                <w:p w14:paraId="5D1969C5">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减振、隔声、设备置于车间内</w:t>
                  </w:r>
                </w:p>
              </w:tc>
              <w:tc>
                <w:tcPr>
                  <w:tcW w:w="1276" w:type="dxa"/>
                  <w:tcBorders>
                    <w:tl2br w:val="nil"/>
                    <w:tr2bl w:val="nil"/>
                  </w:tcBorders>
                  <w:noWrap w:val="0"/>
                  <w:vAlign w:val="center"/>
                </w:tcPr>
                <w:p w14:paraId="6284C128">
                  <w:pPr>
                    <w:keepNext w:val="0"/>
                    <w:keepLines w:val="0"/>
                    <w:pageBreakBefore w:val="0"/>
                    <w:widowControl w:val="0"/>
                    <w:kinsoku/>
                    <w:wordWrap/>
                    <w:overflowPunct/>
                    <w:topLinePunct w:val="0"/>
                    <w:autoSpaceDE/>
                    <w:autoSpaceDN/>
                    <w:bidi w:val="0"/>
                    <w:snapToGrid w:val="0"/>
                    <w:jc w:val="center"/>
                    <w:rPr>
                      <w:rFonts w:hint="default"/>
                      <w:color w:val="auto"/>
                      <w:highlight w:val="none"/>
                      <w:lang w:val="en-US"/>
                    </w:rPr>
                  </w:pPr>
                  <w:r>
                    <w:rPr>
                      <w:rFonts w:hint="eastAsia"/>
                      <w:color w:val="auto"/>
                      <w:highlight w:val="none"/>
                      <w:lang w:val="en-US" w:eastAsia="zh-CN"/>
                    </w:rPr>
                    <w:t>55</w:t>
                  </w:r>
                </w:p>
              </w:tc>
            </w:tr>
            <w:tr w14:paraId="7855D4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1A480705">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砂石分离机</w:t>
                  </w:r>
                </w:p>
              </w:tc>
              <w:tc>
                <w:tcPr>
                  <w:tcW w:w="1559" w:type="dxa"/>
                  <w:tcBorders>
                    <w:tl2br w:val="nil"/>
                    <w:tr2bl w:val="nil"/>
                  </w:tcBorders>
                  <w:noWrap w:val="0"/>
                  <w:vAlign w:val="center"/>
                </w:tcPr>
                <w:p w14:paraId="6113E5C3">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72</w:t>
                  </w:r>
                </w:p>
              </w:tc>
              <w:tc>
                <w:tcPr>
                  <w:tcW w:w="3402" w:type="dxa"/>
                  <w:tcBorders>
                    <w:tl2br w:val="nil"/>
                    <w:tr2bl w:val="nil"/>
                  </w:tcBorders>
                  <w:noWrap w:val="0"/>
                  <w:vAlign w:val="center"/>
                </w:tcPr>
                <w:p w14:paraId="2CAAE82F">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减振</w:t>
                  </w:r>
                </w:p>
              </w:tc>
              <w:tc>
                <w:tcPr>
                  <w:tcW w:w="1276" w:type="dxa"/>
                  <w:tcBorders>
                    <w:tl2br w:val="nil"/>
                    <w:tr2bl w:val="nil"/>
                  </w:tcBorders>
                  <w:noWrap w:val="0"/>
                  <w:vAlign w:val="center"/>
                </w:tcPr>
                <w:p w14:paraId="31A38205">
                  <w:pPr>
                    <w:keepNext w:val="0"/>
                    <w:keepLines w:val="0"/>
                    <w:pageBreakBefore w:val="0"/>
                    <w:widowControl w:val="0"/>
                    <w:kinsoku/>
                    <w:wordWrap/>
                    <w:overflowPunct/>
                    <w:topLinePunct w:val="0"/>
                    <w:autoSpaceDE/>
                    <w:autoSpaceDN/>
                    <w:bidi w:val="0"/>
                    <w:snapToGrid w:val="0"/>
                    <w:jc w:val="center"/>
                    <w:rPr>
                      <w:color w:val="auto"/>
                      <w:highlight w:val="none"/>
                    </w:rPr>
                  </w:pPr>
                  <w:r>
                    <w:rPr>
                      <w:rFonts w:hint="eastAsia"/>
                      <w:color w:val="auto"/>
                      <w:highlight w:val="none"/>
                    </w:rPr>
                    <w:t>66</w:t>
                  </w:r>
                </w:p>
              </w:tc>
            </w:tr>
            <w:tr w14:paraId="2A46AD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06BF0994">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空压机</w:t>
                  </w:r>
                </w:p>
              </w:tc>
              <w:tc>
                <w:tcPr>
                  <w:tcW w:w="1559" w:type="dxa"/>
                  <w:tcBorders>
                    <w:tl2br w:val="nil"/>
                    <w:tr2bl w:val="nil"/>
                  </w:tcBorders>
                  <w:noWrap w:val="0"/>
                  <w:vAlign w:val="center"/>
                </w:tcPr>
                <w:p w14:paraId="5F0B166E">
                  <w:pPr>
                    <w:keepNext w:val="0"/>
                    <w:keepLines w:val="0"/>
                    <w:pageBreakBefore w:val="0"/>
                    <w:widowControl w:val="0"/>
                    <w:kinsoku/>
                    <w:wordWrap/>
                    <w:overflowPunct/>
                    <w:topLinePunct w:val="0"/>
                    <w:autoSpaceDE/>
                    <w:autoSpaceDN/>
                    <w:bidi w:val="0"/>
                    <w:snapToGrid w:val="0"/>
                    <w:jc w:val="center"/>
                    <w:rPr>
                      <w:color w:val="auto"/>
                      <w:highlight w:val="none"/>
                    </w:rPr>
                  </w:pPr>
                  <w:r>
                    <w:rPr>
                      <w:color w:val="auto"/>
                      <w:highlight w:val="none"/>
                    </w:rPr>
                    <w:t>75</w:t>
                  </w:r>
                </w:p>
              </w:tc>
              <w:tc>
                <w:tcPr>
                  <w:tcW w:w="3402" w:type="dxa"/>
                  <w:tcBorders>
                    <w:tl2br w:val="nil"/>
                    <w:tr2bl w:val="nil"/>
                  </w:tcBorders>
                  <w:noWrap w:val="0"/>
                  <w:vAlign w:val="center"/>
                </w:tcPr>
                <w:p w14:paraId="27BECBE5">
                  <w:pPr>
                    <w:keepNext w:val="0"/>
                    <w:keepLines w:val="0"/>
                    <w:pageBreakBefore w:val="0"/>
                    <w:widowControl w:val="0"/>
                    <w:kinsoku/>
                    <w:wordWrap/>
                    <w:overflowPunct/>
                    <w:topLinePunct w:val="0"/>
                    <w:autoSpaceDE/>
                    <w:autoSpaceDN/>
                    <w:bidi w:val="0"/>
                    <w:snapToGrid w:val="0"/>
                    <w:jc w:val="center"/>
                    <w:rPr>
                      <w:color w:val="auto"/>
                      <w:highlight w:val="none"/>
                    </w:rPr>
                  </w:pPr>
                  <w:r>
                    <w:rPr>
                      <w:rFonts w:ascii="宋体" w:hAnsi="宋体"/>
                      <w:color w:val="auto"/>
                      <w:highlight w:val="none"/>
                    </w:rPr>
                    <w:t>减振、置于搅拌车间内</w:t>
                  </w:r>
                </w:p>
              </w:tc>
              <w:tc>
                <w:tcPr>
                  <w:tcW w:w="1276" w:type="dxa"/>
                  <w:tcBorders>
                    <w:tl2br w:val="nil"/>
                    <w:tr2bl w:val="nil"/>
                  </w:tcBorders>
                  <w:noWrap w:val="0"/>
                  <w:vAlign w:val="center"/>
                </w:tcPr>
                <w:p w14:paraId="0BFFC5EB">
                  <w:pPr>
                    <w:keepNext w:val="0"/>
                    <w:keepLines w:val="0"/>
                    <w:pageBreakBefore w:val="0"/>
                    <w:widowControl w:val="0"/>
                    <w:kinsoku/>
                    <w:wordWrap/>
                    <w:overflowPunct/>
                    <w:topLinePunct w:val="0"/>
                    <w:autoSpaceDE/>
                    <w:autoSpaceDN/>
                    <w:bidi w:val="0"/>
                    <w:snapToGrid w:val="0"/>
                    <w:jc w:val="center"/>
                    <w:rPr>
                      <w:color w:val="auto"/>
                      <w:highlight w:val="none"/>
                    </w:rPr>
                  </w:pPr>
                  <w:r>
                    <w:rPr>
                      <w:rFonts w:hint="eastAsia"/>
                      <w:color w:val="auto"/>
                      <w:highlight w:val="none"/>
                    </w:rPr>
                    <w:t>63</w:t>
                  </w:r>
                </w:p>
              </w:tc>
            </w:tr>
            <w:tr w14:paraId="577D9B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18" w:type="dxa"/>
                  <w:tcBorders>
                    <w:tl2br w:val="nil"/>
                    <w:tr2bl w:val="nil"/>
                  </w:tcBorders>
                  <w:noWrap w:val="0"/>
                  <w:vAlign w:val="center"/>
                </w:tcPr>
                <w:p w14:paraId="309DA882">
                  <w:pPr>
                    <w:keepNext w:val="0"/>
                    <w:keepLines w:val="0"/>
                    <w:pageBreakBefore w:val="0"/>
                    <w:widowControl w:val="0"/>
                    <w:kinsoku/>
                    <w:wordWrap/>
                    <w:overflowPunct/>
                    <w:topLinePunct w:val="0"/>
                    <w:autoSpaceDE/>
                    <w:autoSpaceDN/>
                    <w:bidi w:val="0"/>
                    <w:jc w:val="center"/>
                    <w:rPr>
                      <w:color w:val="auto"/>
                      <w:highlight w:val="none"/>
                    </w:rPr>
                  </w:pPr>
                  <w:r>
                    <w:rPr>
                      <w:rFonts w:ascii="宋体" w:hAnsi="宋体"/>
                      <w:color w:val="auto"/>
                      <w:highlight w:val="none"/>
                    </w:rPr>
                    <w:t>装载机</w:t>
                  </w:r>
                </w:p>
              </w:tc>
              <w:tc>
                <w:tcPr>
                  <w:tcW w:w="1559" w:type="dxa"/>
                  <w:tcBorders>
                    <w:tl2br w:val="nil"/>
                    <w:tr2bl w:val="nil"/>
                  </w:tcBorders>
                  <w:noWrap w:val="0"/>
                  <w:vAlign w:val="center"/>
                </w:tcPr>
                <w:p w14:paraId="4B35B248">
                  <w:pPr>
                    <w:keepNext w:val="0"/>
                    <w:keepLines w:val="0"/>
                    <w:pageBreakBefore w:val="0"/>
                    <w:widowControl w:val="0"/>
                    <w:kinsoku/>
                    <w:wordWrap/>
                    <w:overflowPunct/>
                    <w:topLinePunct w:val="0"/>
                    <w:autoSpaceDE/>
                    <w:autoSpaceDN/>
                    <w:bidi w:val="0"/>
                    <w:jc w:val="center"/>
                    <w:rPr>
                      <w:color w:val="auto"/>
                      <w:highlight w:val="none"/>
                    </w:rPr>
                  </w:pPr>
                  <w:r>
                    <w:rPr>
                      <w:color w:val="auto"/>
                      <w:highlight w:val="none"/>
                    </w:rPr>
                    <w:t>85</w:t>
                  </w:r>
                </w:p>
              </w:tc>
              <w:tc>
                <w:tcPr>
                  <w:tcW w:w="3402" w:type="dxa"/>
                  <w:tcBorders>
                    <w:tl2br w:val="nil"/>
                    <w:tr2bl w:val="nil"/>
                  </w:tcBorders>
                  <w:noWrap w:val="0"/>
                  <w:vAlign w:val="center"/>
                </w:tcPr>
                <w:p w14:paraId="1F9040D5">
                  <w:pPr>
                    <w:keepNext w:val="0"/>
                    <w:keepLines w:val="0"/>
                    <w:pageBreakBefore w:val="0"/>
                    <w:widowControl w:val="0"/>
                    <w:kinsoku/>
                    <w:wordWrap/>
                    <w:overflowPunct/>
                    <w:topLinePunct w:val="0"/>
                    <w:autoSpaceDE/>
                    <w:autoSpaceDN/>
                    <w:bidi w:val="0"/>
                    <w:snapToGrid w:val="0"/>
                    <w:jc w:val="center"/>
                    <w:rPr>
                      <w:rFonts w:ascii="宋体" w:hAnsi="宋体"/>
                      <w:color w:val="auto"/>
                      <w:highlight w:val="none"/>
                    </w:rPr>
                  </w:pPr>
                  <w:r>
                    <w:rPr>
                      <w:rFonts w:hint="eastAsia" w:ascii="宋体" w:hAnsi="宋体"/>
                      <w:color w:val="auto"/>
                      <w:highlight w:val="none"/>
                    </w:rPr>
                    <w:t>选用低噪声设备</w:t>
                  </w:r>
                </w:p>
              </w:tc>
              <w:tc>
                <w:tcPr>
                  <w:tcW w:w="1276" w:type="dxa"/>
                  <w:tcBorders>
                    <w:tl2br w:val="nil"/>
                    <w:tr2bl w:val="nil"/>
                  </w:tcBorders>
                  <w:noWrap w:val="0"/>
                  <w:vAlign w:val="center"/>
                </w:tcPr>
                <w:p w14:paraId="33B267FA">
                  <w:pPr>
                    <w:keepNext w:val="0"/>
                    <w:keepLines w:val="0"/>
                    <w:pageBreakBefore w:val="0"/>
                    <w:widowControl w:val="0"/>
                    <w:kinsoku/>
                    <w:wordWrap/>
                    <w:overflowPunct/>
                    <w:topLinePunct w:val="0"/>
                    <w:autoSpaceDE/>
                    <w:autoSpaceDN/>
                    <w:bidi w:val="0"/>
                    <w:snapToGrid w:val="0"/>
                    <w:jc w:val="center"/>
                    <w:rPr>
                      <w:rFonts w:hint="eastAsia"/>
                      <w:color w:val="auto"/>
                      <w:highlight w:val="none"/>
                    </w:rPr>
                  </w:pPr>
                  <w:r>
                    <w:rPr>
                      <w:rFonts w:hint="eastAsia"/>
                      <w:color w:val="auto"/>
                      <w:highlight w:val="none"/>
                    </w:rPr>
                    <w:t>7</w:t>
                  </w:r>
                  <w:r>
                    <w:rPr>
                      <w:color w:val="auto"/>
                      <w:highlight w:val="none"/>
                    </w:rPr>
                    <w:t>0</w:t>
                  </w:r>
                </w:p>
              </w:tc>
            </w:tr>
          </w:tbl>
          <w:p w14:paraId="0015D5F0">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2、噪声达标排放分析</w:t>
            </w:r>
          </w:p>
          <w:p w14:paraId="37E84F9B">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（1）预测模式</w:t>
            </w:r>
          </w:p>
          <w:p w14:paraId="4790685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采用</w:t>
            </w:r>
            <w:r>
              <w:rPr>
                <w:rFonts w:hint="default" w:ascii="Times New Roman" w:hAnsi="Times New Roman" w:cs="Times New Roman"/>
                <w:color w:val="auto"/>
                <w:sz w:val="24"/>
                <w:highlight w:val="none"/>
              </w:rPr>
              <w:t>《环境影响评价技术导则声环境》（HJT2.4-20</w:t>
            </w:r>
            <w:r>
              <w:rPr>
                <w:rFonts w:hint="default" w:ascii="Times New Roman" w:hAnsi="Times New Roman" w:cs="Times New Roman"/>
                <w:color w:val="auto"/>
                <w:sz w:val="24"/>
                <w:highlight w:val="none"/>
                <w:lang w:val="en-US" w:eastAsia="zh-CN"/>
              </w:rPr>
              <w:t>21</w:t>
            </w:r>
            <w:r>
              <w:rPr>
                <w:rFonts w:hint="default" w:ascii="Times New Roman" w:hAnsi="Times New Roman" w:cs="Times New Roman"/>
                <w:color w:val="auto"/>
                <w:sz w:val="24"/>
                <w:highlight w:val="none"/>
              </w:rPr>
              <w:t>）中工业噪声预测模式。</w:t>
            </w:r>
          </w:p>
          <w:p w14:paraId="6B37F605">
            <w:pPr>
              <w:adjustRightInd w:val="0"/>
              <w:snapToGrid w:val="0"/>
              <w:spacing w:line="360" w:lineRule="auto"/>
              <w:ind w:left="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①单个室外点声源在预测点产生的声级计算基本公式</w:t>
            </w:r>
          </w:p>
          <w:p w14:paraId="4D6BE65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如已知声源的倍频带声功率级，预测点位置的倍频带声压级Lp（r）可按公式（1）计算：</w:t>
            </w:r>
          </w:p>
          <w:p w14:paraId="0FD9399B">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516505" cy="392430"/>
                  <wp:effectExtent l="0" t="0" r="10795" b="1270"/>
                  <wp:docPr id="74" name="图片 4" descr="截图_2021372405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 descr="截图_20213724053732"/>
                          <pic:cNvPicPr>
                            <a:picLocks noChangeAspect="1"/>
                          </pic:cNvPicPr>
                        </pic:nvPicPr>
                        <pic:blipFill>
                          <a:blip r:embed="rId18"/>
                          <a:stretch>
                            <a:fillRect/>
                          </a:stretch>
                        </pic:blipFill>
                        <pic:spPr>
                          <a:xfrm>
                            <a:off x="0" y="0"/>
                            <a:ext cx="2516505" cy="392430"/>
                          </a:xfrm>
                          <a:prstGeom prst="rect">
                            <a:avLst/>
                          </a:prstGeom>
                          <a:noFill/>
                          <a:ln>
                            <a:noFill/>
                          </a:ln>
                        </pic:spPr>
                      </pic:pic>
                    </a:graphicData>
                  </a:graphic>
                </wp:inline>
              </w:drawing>
            </w:r>
          </w:p>
          <w:p w14:paraId="6FC02624">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7143372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Lw—倍频带声功率级，dB；</w:t>
            </w:r>
          </w:p>
          <w:p w14:paraId="43B8FAD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Dc—指向性校正，dB，对辐射到自由空间的全向点声源，为0；</w:t>
            </w:r>
          </w:p>
          <w:p w14:paraId="0D4D005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倍频带衰减，dB；</w:t>
            </w:r>
          </w:p>
          <w:p w14:paraId="793668B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Adiv—几何发散引起的倍频带衰减，dB；</w:t>
            </w:r>
          </w:p>
          <w:p w14:paraId="2622C86A">
            <w:pPr>
              <w:adjustRightInd w:val="0"/>
              <w:snapToGrid w:val="0"/>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Aatm—大气吸收引起的倍频带衰减，dB；</w:t>
            </w:r>
          </w:p>
          <w:p w14:paraId="4526066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Agr—地面效应吸收引起的倍频带衰减，dB；</w:t>
            </w:r>
          </w:p>
          <w:p w14:paraId="1BFC7C11">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Abar—声屏障引起的倍频带衰减，dB；</w:t>
            </w:r>
          </w:p>
          <w:p w14:paraId="3647326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Amisc—其他多方面效应引起的倍频带衰减，dB。</w:t>
            </w:r>
          </w:p>
          <w:p w14:paraId="105A3ED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如已知靠近声源处某点的倍频带声压级Lp（r0）时，相同方向预测点位置的倍频带声压级Lp（r）可按公式（2）计算：</w:t>
            </w:r>
          </w:p>
          <w:p w14:paraId="4250C152">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517775" cy="368300"/>
                  <wp:effectExtent l="0" t="0" r="9525" b="0"/>
                  <wp:docPr id="71" name="图片 5" descr="截图_2021032511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 descr="截图_20210325110311"/>
                          <pic:cNvPicPr>
                            <a:picLocks noChangeAspect="1"/>
                          </pic:cNvPicPr>
                        </pic:nvPicPr>
                        <pic:blipFill>
                          <a:blip r:embed="rId19"/>
                          <a:stretch>
                            <a:fillRect/>
                          </a:stretch>
                        </pic:blipFill>
                        <pic:spPr>
                          <a:xfrm>
                            <a:off x="0" y="0"/>
                            <a:ext cx="2517775" cy="368300"/>
                          </a:xfrm>
                          <a:prstGeom prst="rect">
                            <a:avLst/>
                          </a:prstGeom>
                          <a:noFill/>
                          <a:ln>
                            <a:noFill/>
                          </a:ln>
                        </pic:spPr>
                      </pic:pic>
                    </a:graphicData>
                  </a:graphic>
                </wp:inline>
              </w:drawing>
            </w:r>
          </w:p>
          <w:p w14:paraId="066E016C">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预测点的A声级LA（r），可利用8个倍频带的声压级公式（3）计算</w:t>
            </w:r>
          </w:p>
          <w:p w14:paraId="73E9D570">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3101975" cy="671195"/>
                  <wp:effectExtent l="0" t="0" r="9525" b="1905"/>
                  <wp:docPr id="72" name="图片 6" descr="截图_2021042511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 descr="截图_20210425110434"/>
                          <pic:cNvPicPr>
                            <a:picLocks noChangeAspect="1"/>
                          </pic:cNvPicPr>
                        </pic:nvPicPr>
                        <pic:blipFill>
                          <a:blip r:embed="rId20"/>
                          <a:stretch>
                            <a:fillRect/>
                          </a:stretch>
                        </pic:blipFill>
                        <pic:spPr>
                          <a:xfrm>
                            <a:off x="0" y="0"/>
                            <a:ext cx="3101975" cy="671195"/>
                          </a:xfrm>
                          <a:prstGeom prst="rect">
                            <a:avLst/>
                          </a:prstGeom>
                          <a:noFill/>
                          <a:ln>
                            <a:noFill/>
                          </a:ln>
                        </pic:spPr>
                      </pic:pic>
                    </a:graphicData>
                  </a:graphic>
                </wp:inline>
              </w:drawing>
            </w:r>
          </w:p>
          <w:p w14:paraId="5ECA905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3B33E08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LPi（r）—预测点（r）处，第i倍频带声压级，dB；</w:t>
            </w:r>
          </w:p>
          <w:p w14:paraId="58EF67A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△Li—第i倍频带的A计权网络修正值，dB；</w:t>
            </w:r>
          </w:p>
          <w:p w14:paraId="1383DBF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在不能取得声源倍频带声功率级或倍频带声压级，只能获得A声功率级或某点的A声级时，可按公式（4）做近似计算：</w:t>
            </w:r>
          </w:p>
          <w:p w14:paraId="57DC12A6">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532380" cy="798195"/>
                  <wp:effectExtent l="0" t="0" r="7620" b="1905"/>
                  <wp:docPr id="75" name="图片 7" descr="截图_2021062511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descr="截图_20210625110615"/>
                          <pic:cNvPicPr>
                            <a:picLocks noChangeAspect="1"/>
                          </pic:cNvPicPr>
                        </pic:nvPicPr>
                        <pic:blipFill>
                          <a:blip r:embed="rId21"/>
                          <a:stretch>
                            <a:fillRect/>
                          </a:stretch>
                        </pic:blipFill>
                        <pic:spPr>
                          <a:xfrm>
                            <a:off x="0" y="0"/>
                            <a:ext cx="2532380" cy="798195"/>
                          </a:xfrm>
                          <a:prstGeom prst="rect">
                            <a:avLst/>
                          </a:prstGeom>
                          <a:noFill/>
                          <a:ln>
                            <a:noFill/>
                          </a:ln>
                        </pic:spPr>
                      </pic:pic>
                    </a:graphicData>
                  </a:graphic>
                </wp:inline>
              </w:drawing>
            </w:r>
          </w:p>
          <w:p w14:paraId="7034050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A可选择对A声级影响最大的倍频带计算，一般可</w:t>
            </w:r>
            <w:r>
              <w:rPr>
                <w:rFonts w:hint="eastAsia" w:cs="Times New Roman"/>
                <w:color w:val="auto"/>
                <w:sz w:val="24"/>
                <w:highlight w:val="none"/>
                <w:lang w:eastAsia="zh-CN"/>
              </w:rPr>
              <w:t>选择</w:t>
            </w:r>
            <w:r>
              <w:rPr>
                <w:rFonts w:hint="default" w:ascii="Times New Roman" w:hAnsi="Times New Roman" w:cs="Times New Roman"/>
                <w:color w:val="auto"/>
                <w:sz w:val="24"/>
                <w:highlight w:val="none"/>
              </w:rPr>
              <w:t>中心频率为500Hz的倍频带估算。</w:t>
            </w:r>
          </w:p>
          <w:p w14:paraId="4C00664E">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②室内声源等效室外声源声功率级计算方法</w:t>
            </w:r>
          </w:p>
          <w:p w14:paraId="38DFD1C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设靠近开口处（或窗户）室内，室外某倍频带的声压级分别为LP1和LP2。</w:t>
            </w:r>
          </w:p>
          <w:p w14:paraId="204989EC">
            <w:pPr>
              <w:adjustRightInd w:val="0"/>
              <w:snapToGrid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若声源所在室内声场为近似扩散声场，则室外倍频声压级可</w:t>
            </w:r>
            <w:r>
              <w:rPr>
                <w:rFonts w:hint="eastAsia" w:ascii="Times New Roman" w:hAnsi="Times New Roman" w:cs="Times New Roman"/>
                <w:color w:val="auto"/>
                <w:sz w:val="24"/>
                <w:highlight w:val="none"/>
                <w:lang w:eastAsia="zh-CN"/>
              </w:rPr>
              <w:t>按以下公式</w:t>
            </w:r>
            <w:r>
              <w:rPr>
                <w:rFonts w:hint="default" w:ascii="Times New Roman" w:hAnsi="Times New Roman" w:cs="Times New Roman"/>
                <w:color w:val="auto"/>
                <w:sz w:val="24"/>
                <w:highlight w:val="none"/>
              </w:rPr>
              <w:t>近似求出：</w:t>
            </w:r>
          </w:p>
          <w:p w14:paraId="33D2A925">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259330" cy="389890"/>
                  <wp:effectExtent l="0" t="0" r="1270" b="3810"/>
                  <wp:docPr id="70" name="图片 8" descr="截图_2021072511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8" descr="截图_20210725110748"/>
                          <pic:cNvPicPr>
                            <a:picLocks noChangeAspect="1"/>
                          </pic:cNvPicPr>
                        </pic:nvPicPr>
                        <pic:blipFill>
                          <a:blip r:embed="rId22"/>
                          <a:stretch>
                            <a:fillRect/>
                          </a:stretch>
                        </pic:blipFill>
                        <pic:spPr>
                          <a:xfrm>
                            <a:off x="0" y="0"/>
                            <a:ext cx="2259330" cy="389890"/>
                          </a:xfrm>
                          <a:prstGeom prst="rect">
                            <a:avLst/>
                          </a:prstGeom>
                          <a:noFill/>
                          <a:ln>
                            <a:noFill/>
                          </a:ln>
                        </pic:spPr>
                      </pic:pic>
                    </a:graphicData>
                  </a:graphic>
                </wp:inline>
              </w:drawing>
            </w:r>
          </w:p>
          <w:p w14:paraId="100E6927">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p>
          <w:p w14:paraId="06C0289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TL—隔墙或窗户倍频带的隔声量，dB。</w:t>
            </w:r>
          </w:p>
          <w:p w14:paraId="694A259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③有限长线声源</w:t>
            </w:r>
          </w:p>
          <w:p w14:paraId="4428132D">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356485" cy="490220"/>
                  <wp:effectExtent l="0" t="0" r="5715" b="5080"/>
                  <wp:docPr id="73" name="图片 9" descr="截图_20210925110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9" descr="截图_20210925110930"/>
                          <pic:cNvPicPr>
                            <a:picLocks noChangeAspect="1"/>
                          </pic:cNvPicPr>
                        </pic:nvPicPr>
                        <pic:blipFill>
                          <a:blip r:embed="rId23"/>
                          <a:stretch>
                            <a:fillRect/>
                          </a:stretch>
                        </pic:blipFill>
                        <pic:spPr>
                          <a:xfrm>
                            <a:off x="0" y="0"/>
                            <a:ext cx="2356485" cy="490220"/>
                          </a:xfrm>
                          <a:prstGeom prst="rect">
                            <a:avLst/>
                          </a:prstGeom>
                          <a:noFill/>
                          <a:ln>
                            <a:noFill/>
                          </a:ln>
                        </pic:spPr>
                      </pic:pic>
                    </a:graphicData>
                  </a:graphic>
                </wp:inline>
              </w:drawing>
            </w:r>
            <w:r>
              <w:rPr>
                <w:rFonts w:hint="default" w:ascii="Times New Roman" w:hAnsi="Times New Roman" w:cs="Times New Roman"/>
                <w:color w:val="auto"/>
                <w:sz w:val="24"/>
                <w:highlight w:val="none"/>
              </w:rPr>
              <w:t>（7）</w:t>
            </w:r>
          </w:p>
          <w:p w14:paraId="792D23C0">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④噪声贡献值计算：</w:t>
            </w:r>
          </w:p>
          <w:p w14:paraId="648B5C65">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设第i个室外声源在预测点产生的A声级为LAi，在T时间内该声源工作时间为ti；第j个等效室外声源在预测点产生的A声级为LAj，在T时间内该声源工作时间为tj；则拟建工程声源对预测点产生的贡献值为（Leqg）：</w:t>
            </w:r>
          </w:p>
          <w:p w14:paraId="7D866D53">
            <w:pPr>
              <w:adjustRightInd w:val="0"/>
              <w:snapToGrid w:val="0"/>
              <w:spacing w:line="360" w:lineRule="auto"/>
              <w:ind w:firstLine="480" w:firstLineChars="200"/>
              <w:jc w:val="center"/>
              <w:rPr>
                <w:rFonts w:hint="default" w:ascii="Times New Roman" w:hAnsi="Times New Roman" w:cs="Times New Roman"/>
                <w:color w:val="auto"/>
                <w:sz w:val="24"/>
                <w:highlight w:val="none"/>
              </w:rPr>
            </w:pPr>
          </w:p>
          <w:p w14:paraId="019941C5">
            <w:pPr>
              <w:adjustRightInd w:val="0"/>
              <w:snapToGrid w:val="0"/>
              <w:spacing w:line="360" w:lineRule="auto"/>
              <w:ind w:firstLine="480" w:firstLineChars="20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114300" distR="114300">
                  <wp:extent cx="2879090" cy="568325"/>
                  <wp:effectExtent l="0" t="0" r="3810" b="3175"/>
                  <wp:docPr id="76" name="图片 10" descr="截图_2021112511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0" descr="截图_20211125111104"/>
                          <pic:cNvPicPr>
                            <a:picLocks noChangeAspect="1"/>
                          </pic:cNvPicPr>
                        </pic:nvPicPr>
                        <pic:blipFill>
                          <a:blip r:embed="rId24"/>
                          <a:stretch>
                            <a:fillRect/>
                          </a:stretch>
                        </pic:blipFill>
                        <pic:spPr>
                          <a:xfrm>
                            <a:off x="0" y="0"/>
                            <a:ext cx="2879090" cy="568325"/>
                          </a:xfrm>
                          <a:prstGeom prst="rect">
                            <a:avLst/>
                          </a:prstGeom>
                          <a:noFill/>
                          <a:ln>
                            <a:noFill/>
                          </a:ln>
                        </pic:spPr>
                      </pic:pic>
                    </a:graphicData>
                  </a:graphic>
                </wp:inline>
              </w:drawing>
            </w:r>
            <w:r>
              <w:rPr>
                <w:rFonts w:hint="default" w:ascii="Times New Roman" w:hAnsi="Times New Roman" w:cs="Times New Roman"/>
                <w:color w:val="auto"/>
                <w:sz w:val="24"/>
                <w:highlight w:val="none"/>
              </w:rPr>
              <w:t>（8）</w:t>
            </w:r>
          </w:p>
          <w:p w14:paraId="04DA50EA">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w:t>
            </w:r>
            <w:r>
              <w:rPr>
                <w:rFonts w:hint="eastAsia" w:ascii="Times New Roman" w:hAnsi="Times New Roman" w:cs="Times New Roman"/>
                <w:color w:val="auto"/>
                <w:sz w:val="24"/>
                <w:highlight w:val="none"/>
                <w:lang w:eastAsia="zh-CN"/>
              </w:rPr>
              <w:t>：</w:t>
            </w:r>
          </w:p>
          <w:p w14:paraId="0A41614D">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tj—在T时间内j声源工作时间，s；</w:t>
            </w:r>
          </w:p>
          <w:p w14:paraId="6E7AB122">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ti—在T时间内i声源工作时间，s；</w:t>
            </w:r>
          </w:p>
          <w:p w14:paraId="1B4827E9">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T—用于计算等效声级的时间，s；</w:t>
            </w:r>
          </w:p>
          <w:p w14:paraId="28BE1526">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N—室外声源个数；</w:t>
            </w:r>
          </w:p>
          <w:p w14:paraId="0F398A90">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M—等效室外声源个数。</w:t>
            </w:r>
          </w:p>
          <w:p w14:paraId="626D3C47">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（2）预测结果</w:t>
            </w:r>
          </w:p>
          <w:p w14:paraId="4280A2CE">
            <w:pPr>
              <w:adjustRightInd w:val="0"/>
              <w:snapToGrid w:val="0"/>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次环评中为了更准确、快速地进行噪声预测分析，采用了宁波环科院六五软件工作室开发的EIAN2.0噪声预测评价软件。预测点高度为15m。预测区内测算点的间隔为25m。坐标原点为厂界西南处，原点以东方向为ⅹ轴正方向，原点以北方向为Y轴正方向。</w:t>
            </w:r>
          </w:p>
          <w:p w14:paraId="72FD364B">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按导则中的噪声衰减模式预测噪声源对厂界的影响。各预测受声点的噪声评价值为受声点的贡献值，详见下表。</w:t>
            </w:r>
          </w:p>
          <w:p w14:paraId="11197A45">
            <w:pPr>
              <w:adjustRightInd w:val="0"/>
              <w:snapToGrid w:val="0"/>
              <w:jc w:val="center"/>
              <w:rPr>
                <w:rFonts w:hint="eastAsia"/>
                <w:b/>
                <w:color w:val="auto"/>
                <w:highlight w:val="yellow"/>
              </w:rPr>
            </w:pPr>
            <w:r>
              <w:rPr>
                <w:rFonts w:hint="eastAsia"/>
                <w:b/>
                <w:color w:val="auto"/>
                <w:sz w:val="24"/>
                <w:highlight w:val="yellow"/>
              </w:rPr>
              <w:t>表</w:t>
            </w:r>
            <w:r>
              <w:rPr>
                <w:rFonts w:hint="eastAsia"/>
                <w:b/>
                <w:color w:val="auto"/>
                <w:sz w:val="24"/>
                <w:highlight w:val="yellow"/>
                <w:lang w:val="en-US" w:eastAsia="zh-CN"/>
              </w:rPr>
              <w:t>4-6</w:t>
            </w:r>
            <w:r>
              <w:rPr>
                <w:rFonts w:hint="eastAsia"/>
                <w:b/>
                <w:color w:val="auto"/>
                <w:sz w:val="24"/>
                <w:highlight w:val="yellow"/>
              </w:rPr>
              <w:t>厂界噪声预测结果表单位：dB（A）</w:t>
            </w:r>
          </w:p>
          <w:tbl>
            <w:tblPr>
              <w:tblStyle w:val="22"/>
              <w:tblW w:w="4998" w:type="pct"/>
              <w:tblInd w:w="0" w:type="dxa"/>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2180"/>
              <w:gridCol w:w="2093"/>
              <w:gridCol w:w="1867"/>
              <w:gridCol w:w="1816"/>
            </w:tblGrid>
            <w:tr w14:paraId="17ED6B67">
              <w:tblPrEx>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CellMar>
                  <w:top w:w="0" w:type="dxa"/>
                  <w:left w:w="0" w:type="dxa"/>
                  <w:bottom w:w="0" w:type="dxa"/>
                  <w:right w:w="0" w:type="dxa"/>
                </w:tblCellMar>
              </w:tblPrEx>
              <w:trPr>
                <w:trHeight w:val="682" w:hRule="atLeast"/>
              </w:trPr>
              <w:tc>
                <w:tcPr>
                  <w:tcW w:w="1370" w:type="pct"/>
                  <w:tcBorders>
                    <w:tl2br w:val="nil"/>
                    <w:tr2bl w:val="nil"/>
                  </w:tcBorders>
                  <w:noWrap w:val="0"/>
                  <w:vAlign w:val="center"/>
                </w:tcPr>
                <w:p w14:paraId="385C2314">
                  <w:pPr>
                    <w:pStyle w:val="76"/>
                    <w:rPr>
                      <w:rFonts w:cs="Times New Roman"/>
                      <w:color w:val="auto"/>
                      <w:highlight w:val="yellow"/>
                    </w:rPr>
                  </w:pPr>
                  <w:r>
                    <w:rPr>
                      <w:rFonts w:cs="Times New Roman"/>
                      <w:color w:val="auto"/>
                      <w:highlight w:val="yellow"/>
                    </w:rPr>
                    <w:t>监测点</w:t>
                  </w:r>
                </w:p>
              </w:tc>
              <w:tc>
                <w:tcPr>
                  <w:tcW w:w="1315" w:type="pct"/>
                  <w:tcBorders>
                    <w:tl2br w:val="nil"/>
                    <w:tr2bl w:val="nil"/>
                  </w:tcBorders>
                  <w:noWrap w:val="0"/>
                  <w:vAlign w:val="center"/>
                </w:tcPr>
                <w:p w14:paraId="37FFFD53">
                  <w:pPr>
                    <w:pStyle w:val="76"/>
                    <w:rPr>
                      <w:rFonts w:cs="Times New Roman"/>
                      <w:color w:val="auto"/>
                      <w:highlight w:val="yellow"/>
                    </w:rPr>
                  </w:pPr>
                  <w:r>
                    <w:rPr>
                      <w:rFonts w:cs="Times New Roman"/>
                      <w:color w:val="auto"/>
                      <w:highlight w:val="yellow"/>
                    </w:rPr>
                    <w:t>贡献值</w:t>
                  </w:r>
                </w:p>
                <w:p w14:paraId="31D76B15">
                  <w:pPr>
                    <w:pStyle w:val="76"/>
                    <w:rPr>
                      <w:rFonts w:cs="Times New Roman"/>
                      <w:color w:val="auto"/>
                      <w:highlight w:val="yellow"/>
                    </w:rPr>
                  </w:pPr>
                  <w:r>
                    <w:rPr>
                      <w:rFonts w:cs="Times New Roman"/>
                      <w:color w:val="auto"/>
                      <w:highlight w:val="yellow"/>
                    </w:rPr>
                    <w:t>dB(A)</w:t>
                  </w:r>
                </w:p>
              </w:tc>
              <w:tc>
                <w:tcPr>
                  <w:tcW w:w="1173" w:type="pct"/>
                  <w:tcBorders>
                    <w:tl2br w:val="nil"/>
                    <w:tr2bl w:val="nil"/>
                  </w:tcBorders>
                  <w:noWrap w:val="0"/>
                  <w:vAlign w:val="center"/>
                </w:tcPr>
                <w:p w14:paraId="7E1BE308">
                  <w:pPr>
                    <w:pStyle w:val="76"/>
                    <w:rPr>
                      <w:rFonts w:cs="Times New Roman"/>
                      <w:color w:val="auto"/>
                      <w:highlight w:val="yellow"/>
                    </w:rPr>
                  </w:pPr>
                  <w:r>
                    <w:rPr>
                      <w:rFonts w:cs="Times New Roman"/>
                      <w:color w:val="auto"/>
                      <w:highlight w:val="yellow"/>
                    </w:rPr>
                    <w:t>标准限值</w:t>
                  </w:r>
                </w:p>
              </w:tc>
              <w:tc>
                <w:tcPr>
                  <w:tcW w:w="1141" w:type="pct"/>
                  <w:tcBorders>
                    <w:tl2br w:val="nil"/>
                    <w:tr2bl w:val="nil"/>
                  </w:tcBorders>
                  <w:noWrap w:val="0"/>
                  <w:vAlign w:val="center"/>
                </w:tcPr>
                <w:p w14:paraId="2676DD61">
                  <w:pPr>
                    <w:pStyle w:val="76"/>
                    <w:rPr>
                      <w:rFonts w:cs="Times New Roman"/>
                      <w:color w:val="auto"/>
                      <w:highlight w:val="yellow"/>
                    </w:rPr>
                  </w:pPr>
                  <w:r>
                    <w:rPr>
                      <w:rFonts w:cs="Times New Roman"/>
                      <w:color w:val="auto"/>
                      <w:highlight w:val="yellow"/>
                    </w:rPr>
                    <w:t>达标情况</w:t>
                  </w:r>
                </w:p>
              </w:tc>
            </w:tr>
            <w:tr w14:paraId="75EE28C7">
              <w:tblPrEx>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1370" w:type="pct"/>
                  <w:tcBorders>
                    <w:tl2br w:val="nil"/>
                    <w:tr2bl w:val="nil"/>
                  </w:tcBorders>
                  <w:noWrap w:val="0"/>
                  <w:vAlign w:val="center"/>
                </w:tcPr>
                <w:p w14:paraId="7BFE350C">
                  <w:pPr>
                    <w:pStyle w:val="76"/>
                    <w:rPr>
                      <w:rFonts w:cs="Times New Roman"/>
                      <w:color w:val="auto"/>
                      <w:highlight w:val="yellow"/>
                    </w:rPr>
                  </w:pPr>
                  <w:r>
                    <w:rPr>
                      <w:rFonts w:cs="Times New Roman"/>
                      <w:color w:val="auto"/>
                      <w:highlight w:val="yellow"/>
                    </w:rPr>
                    <w:t>东厂界1#</w:t>
                  </w:r>
                </w:p>
              </w:tc>
              <w:tc>
                <w:tcPr>
                  <w:tcW w:w="1315" w:type="pct"/>
                  <w:tcBorders>
                    <w:tl2br w:val="nil"/>
                    <w:tr2bl w:val="nil"/>
                  </w:tcBorders>
                  <w:noWrap w:val="0"/>
                  <w:vAlign w:val="center"/>
                </w:tcPr>
                <w:p w14:paraId="739BA7CD">
                  <w:pPr>
                    <w:pStyle w:val="76"/>
                    <w:rPr>
                      <w:rFonts w:hint="default" w:cs="Times New Roman"/>
                      <w:color w:val="auto"/>
                      <w:highlight w:val="yellow"/>
                      <w:lang w:val="en-US"/>
                    </w:rPr>
                  </w:pPr>
                  <w:r>
                    <w:rPr>
                      <w:rFonts w:hint="eastAsia" w:cs="Times New Roman"/>
                      <w:color w:val="auto"/>
                      <w:highlight w:val="yellow"/>
                      <w:lang w:val="en-US" w:eastAsia="zh-CN"/>
                    </w:rPr>
                    <w:t>41.5</w:t>
                  </w:r>
                </w:p>
              </w:tc>
              <w:tc>
                <w:tcPr>
                  <w:tcW w:w="1173" w:type="pct"/>
                  <w:vMerge w:val="restart"/>
                  <w:tcBorders>
                    <w:tl2br w:val="nil"/>
                    <w:tr2bl w:val="nil"/>
                  </w:tcBorders>
                  <w:noWrap w:val="0"/>
                  <w:vAlign w:val="center"/>
                </w:tcPr>
                <w:p w14:paraId="676AFC84">
                  <w:pPr>
                    <w:pStyle w:val="76"/>
                    <w:rPr>
                      <w:rFonts w:cs="Times New Roman"/>
                      <w:color w:val="auto"/>
                      <w:highlight w:val="yellow"/>
                    </w:rPr>
                  </w:pPr>
                  <w:r>
                    <w:rPr>
                      <w:rFonts w:cs="Times New Roman"/>
                      <w:color w:val="auto"/>
                      <w:highlight w:val="yellow"/>
                    </w:rPr>
                    <w:t>昼间</w:t>
                  </w:r>
                  <w:r>
                    <w:rPr>
                      <w:rFonts w:hint="eastAsia" w:cs="Times New Roman"/>
                      <w:color w:val="auto"/>
                      <w:highlight w:val="yellow"/>
                      <w:lang w:val="en-US" w:eastAsia="zh-CN"/>
                    </w:rPr>
                    <w:t>60</w:t>
                  </w:r>
                  <w:r>
                    <w:rPr>
                      <w:rFonts w:cs="Times New Roman"/>
                      <w:color w:val="auto"/>
                      <w:highlight w:val="yellow"/>
                    </w:rPr>
                    <w:t>dB（A）</w:t>
                  </w:r>
                </w:p>
                <w:p w14:paraId="40DE4781">
                  <w:pPr>
                    <w:pStyle w:val="76"/>
                    <w:rPr>
                      <w:rFonts w:hint="default" w:eastAsia="宋体" w:cs="Times New Roman"/>
                      <w:color w:val="auto"/>
                      <w:highlight w:val="yellow"/>
                      <w:lang w:val="en-US" w:eastAsia="zh-CN"/>
                    </w:rPr>
                  </w:pPr>
                  <w:r>
                    <w:rPr>
                      <w:rFonts w:hint="eastAsia" w:cs="Times New Roman"/>
                      <w:color w:val="auto"/>
                      <w:highlight w:val="yellow"/>
                      <w:lang w:val="en-US" w:eastAsia="zh-CN"/>
                    </w:rPr>
                    <w:t>夜间50</w:t>
                  </w:r>
                  <w:r>
                    <w:rPr>
                      <w:rFonts w:cs="Times New Roman"/>
                      <w:color w:val="auto"/>
                      <w:highlight w:val="yellow"/>
                    </w:rPr>
                    <w:t>dB（A）</w:t>
                  </w:r>
                </w:p>
              </w:tc>
              <w:tc>
                <w:tcPr>
                  <w:tcW w:w="1141" w:type="pct"/>
                  <w:tcBorders>
                    <w:tl2br w:val="nil"/>
                    <w:tr2bl w:val="nil"/>
                  </w:tcBorders>
                  <w:noWrap w:val="0"/>
                  <w:vAlign w:val="center"/>
                </w:tcPr>
                <w:p w14:paraId="38AD400B">
                  <w:pPr>
                    <w:pStyle w:val="76"/>
                    <w:rPr>
                      <w:rFonts w:cs="Times New Roman"/>
                      <w:color w:val="auto"/>
                      <w:highlight w:val="yellow"/>
                    </w:rPr>
                  </w:pPr>
                  <w:r>
                    <w:rPr>
                      <w:rFonts w:cs="Times New Roman"/>
                      <w:color w:val="auto"/>
                      <w:highlight w:val="yellow"/>
                    </w:rPr>
                    <w:t>达标</w:t>
                  </w:r>
                </w:p>
              </w:tc>
            </w:tr>
            <w:tr w14:paraId="3D214C95">
              <w:tblPrEx>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70" w:type="pct"/>
                  <w:tcBorders>
                    <w:tl2br w:val="nil"/>
                    <w:tr2bl w:val="nil"/>
                  </w:tcBorders>
                  <w:noWrap w:val="0"/>
                  <w:vAlign w:val="center"/>
                </w:tcPr>
                <w:p w14:paraId="69E2C470">
                  <w:pPr>
                    <w:pStyle w:val="76"/>
                    <w:rPr>
                      <w:rFonts w:cs="Times New Roman"/>
                      <w:color w:val="auto"/>
                      <w:highlight w:val="yellow"/>
                    </w:rPr>
                  </w:pPr>
                  <w:r>
                    <w:rPr>
                      <w:rFonts w:cs="Times New Roman"/>
                      <w:color w:val="auto"/>
                      <w:highlight w:val="yellow"/>
                    </w:rPr>
                    <w:t>南厂界2#</w:t>
                  </w:r>
                </w:p>
              </w:tc>
              <w:tc>
                <w:tcPr>
                  <w:tcW w:w="1315" w:type="pct"/>
                  <w:tcBorders>
                    <w:tl2br w:val="nil"/>
                    <w:tr2bl w:val="nil"/>
                  </w:tcBorders>
                  <w:noWrap w:val="0"/>
                  <w:vAlign w:val="center"/>
                </w:tcPr>
                <w:p w14:paraId="4837EADB">
                  <w:pPr>
                    <w:pStyle w:val="76"/>
                    <w:rPr>
                      <w:rFonts w:hint="default" w:eastAsia="宋体" w:cs="Times New Roman"/>
                      <w:color w:val="auto"/>
                      <w:highlight w:val="yellow"/>
                      <w:lang w:val="en-US" w:eastAsia="zh-CN"/>
                    </w:rPr>
                  </w:pPr>
                  <w:r>
                    <w:rPr>
                      <w:rFonts w:hint="eastAsia" w:cs="Times New Roman"/>
                      <w:color w:val="auto"/>
                      <w:highlight w:val="yellow"/>
                      <w:lang w:val="en-US" w:eastAsia="zh-CN"/>
                    </w:rPr>
                    <w:t>44.8</w:t>
                  </w:r>
                </w:p>
              </w:tc>
              <w:tc>
                <w:tcPr>
                  <w:tcW w:w="1173" w:type="pct"/>
                  <w:vMerge w:val="continue"/>
                  <w:tcBorders>
                    <w:tl2br w:val="nil"/>
                    <w:tr2bl w:val="nil"/>
                  </w:tcBorders>
                  <w:noWrap w:val="0"/>
                  <w:vAlign w:val="center"/>
                </w:tcPr>
                <w:p w14:paraId="7B6234BD">
                  <w:pPr>
                    <w:pStyle w:val="76"/>
                    <w:rPr>
                      <w:rFonts w:cs="Times New Roman"/>
                      <w:color w:val="auto"/>
                      <w:highlight w:val="yellow"/>
                    </w:rPr>
                  </w:pPr>
                </w:p>
              </w:tc>
              <w:tc>
                <w:tcPr>
                  <w:tcW w:w="1141" w:type="pct"/>
                  <w:tcBorders>
                    <w:tl2br w:val="nil"/>
                    <w:tr2bl w:val="nil"/>
                  </w:tcBorders>
                  <w:noWrap w:val="0"/>
                  <w:vAlign w:val="center"/>
                </w:tcPr>
                <w:p w14:paraId="42C95251">
                  <w:pPr>
                    <w:pStyle w:val="76"/>
                    <w:rPr>
                      <w:rFonts w:cs="Times New Roman"/>
                      <w:color w:val="auto"/>
                      <w:highlight w:val="yellow"/>
                    </w:rPr>
                  </w:pPr>
                  <w:r>
                    <w:rPr>
                      <w:rFonts w:cs="Times New Roman"/>
                      <w:color w:val="auto"/>
                      <w:highlight w:val="yellow"/>
                    </w:rPr>
                    <w:t>达标</w:t>
                  </w:r>
                </w:p>
              </w:tc>
            </w:tr>
            <w:tr w14:paraId="4BE3AC30">
              <w:tblPrEx>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370" w:type="pct"/>
                  <w:tcBorders>
                    <w:tl2br w:val="nil"/>
                    <w:tr2bl w:val="nil"/>
                  </w:tcBorders>
                  <w:noWrap w:val="0"/>
                  <w:vAlign w:val="center"/>
                </w:tcPr>
                <w:p w14:paraId="059EA134">
                  <w:pPr>
                    <w:pStyle w:val="76"/>
                    <w:rPr>
                      <w:rFonts w:cs="Times New Roman"/>
                      <w:color w:val="auto"/>
                      <w:highlight w:val="yellow"/>
                    </w:rPr>
                  </w:pPr>
                  <w:r>
                    <w:rPr>
                      <w:rFonts w:cs="Times New Roman"/>
                      <w:color w:val="auto"/>
                      <w:highlight w:val="yellow"/>
                    </w:rPr>
                    <w:t>西厂界3#</w:t>
                  </w:r>
                </w:p>
              </w:tc>
              <w:tc>
                <w:tcPr>
                  <w:tcW w:w="1315" w:type="pct"/>
                  <w:tcBorders>
                    <w:tl2br w:val="nil"/>
                    <w:tr2bl w:val="nil"/>
                  </w:tcBorders>
                  <w:noWrap w:val="0"/>
                  <w:vAlign w:val="center"/>
                </w:tcPr>
                <w:p w14:paraId="58BDA57D">
                  <w:pPr>
                    <w:pStyle w:val="76"/>
                    <w:rPr>
                      <w:rFonts w:hint="default" w:eastAsia="宋体" w:cs="Times New Roman"/>
                      <w:color w:val="auto"/>
                      <w:highlight w:val="yellow"/>
                      <w:lang w:val="en-US" w:eastAsia="zh-CN"/>
                    </w:rPr>
                  </w:pPr>
                  <w:r>
                    <w:rPr>
                      <w:rFonts w:hint="eastAsia" w:cs="Times New Roman"/>
                      <w:color w:val="auto"/>
                      <w:highlight w:val="yellow"/>
                      <w:lang w:val="en-US" w:eastAsia="zh-CN"/>
                    </w:rPr>
                    <w:t>44.1</w:t>
                  </w:r>
                </w:p>
              </w:tc>
              <w:tc>
                <w:tcPr>
                  <w:tcW w:w="1173" w:type="pct"/>
                  <w:vMerge w:val="continue"/>
                  <w:tcBorders>
                    <w:tl2br w:val="nil"/>
                    <w:tr2bl w:val="nil"/>
                  </w:tcBorders>
                  <w:noWrap w:val="0"/>
                  <w:vAlign w:val="center"/>
                </w:tcPr>
                <w:p w14:paraId="5BB961B1">
                  <w:pPr>
                    <w:pStyle w:val="76"/>
                    <w:rPr>
                      <w:rFonts w:cs="Times New Roman"/>
                      <w:color w:val="auto"/>
                      <w:highlight w:val="yellow"/>
                    </w:rPr>
                  </w:pPr>
                </w:p>
              </w:tc>
              <w:tc>
                <w:tcPr>
                  <w:tcW w:w="1141" w:type="pct"/>
                  <w:tcBorders>
                    <w:tl2br w:val="nil"/>
                    <w:tr2bl w:val="nil"/>
                  </w:tcBorders>
                  <w:noWrap w:val="0"/>
                  <w:vAlign w:val="center"/>
                </w:tcPr>
                <w:p w14:paraId="04690BEC">
                  <w:pPr>
                    <w:pStyle w:val="76"/>
                    <w:rPr>
                      <w:rFonts w:cs="Times New Roman"/>
                      <w:color w:val="auto"/>
                      <w:highlight w:val="yellow"/>
                    </w:rPr>
                  </w:pPr>
                  <w:r>
                    <w:rPr>
                      <w:rFonts w:cs="Times New Roman"/>
                      <w:color w:val="auto"/>
                      <w:highlight w:val="yellow"/>
                    </w:rPr>
                    <w:t>达标</w:t>
                  </w:r>
                </w:p>
              </w:tc>
            </w:tr>
            <w:tr w14:paraId="3BE2D877">
              <w:tblPrEx>
                <w:tblBorders>
                  <w:top w:val="single" w:color="000000" w:sz="12" w:space="0"/>
                  <w:left w:val="dotted" w:color="auto" w:sz="4" w:space="0"/>
                  <w:bottom w:val="single" w:color="000000" w:sz="12" w:space="0"/>
                  <w:right w:val="dotted" w:color="auto"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370" w:type="pct"/>
                  <w:tcBorders>
                    <w:tl2br w:val="nil"/>
                    <w:tr2bl w:val="nil"/>
                  </w:tcBorders>
                  <w:noWrap w:val="0"/>
                  <w:vAlign w:val="center"/>
                </w:tcPr>
                <w:p w14:paraId="10F9E37D">
                  <w:pPr>
                    <w:pStyle w:val="76"/>
                    <w:rPr>
                      <w:rFonts w:cs="Times New Roman"/>
                      <w:color w:val="auto"/>
                      <w:highlight w:val="yellow"/>
                    </w:rPr>
                  </w:pPr>
                  <w:r>
                    <w:rPr>
                      <w:rFonts w:cs="Times New Roman"/>
                      <w:color w:val="auto"/>
                      <w:highlight w:val="yellow"/>
                    </w:rPr>
                    <w:t>北厂界4#</w:t>
                  </w:r>
                </w:p>
              </w:tc>
              <w:tc>
                <w:tcPr>
                  <w:tcW w:w="1315" w:type="pct"/>
                  <w:tcBorders>
                    <w:tl2br w:val="nil"/>
                    <w:tr2bl w:val="nil"/>
                  </w:tcBorders>
                  <w:noWrap w:val="0"/>
                  <w:vAlign w:val="center"/>
                </w:tcPr>
                <w:p w14:paraId="71F9E86A">
                  <w:pPr>
                    <w:pStyle w:val="76"/>
                    <w:rPr>
                      <w:rFonts w:hint="default" w:cs="Times New Roman"/>
                      <w:color w:val="auto"/>
                      <w:highlight w:val="yellow"/>
                      <w:lang w:val="en-US"/>
                    </w:rPr>
                  </w:pPr>
                  <w:r>
                    <w:rPr>
                      <w:rFonts w:hint="eastAsia" w:cs="Times New Roman"/>
                      <w:color w:val="auto"/>
                      <w:highlight w:val="yellow"/>
                      <w:lang w:val="en-US" w:eastAsia="zh-CN"/>
                    </w:rPr>
                    <w:t>43.4</w:t>
                  </w:r>
                </w:p>
              </w:tc>
              <w:tc>
                <w:tcPr>
                  <w:tcW w:w="1173" w:type="pct"/>
                  <w:vMerge w:val="continue"/>
                  <w:tcBorders>
                    <w:tl2br w:val="nil"/>
                    <w:tr2bl w:val="nil"/>
                  </w:tcBorders>
                  <w:noWrap w:val="0"/>
                  <w:vAlign w:val="center"/>
                </w:tcPr>
                <w:p w14:paraId="39536315">
                  <w:pPr>
                    <w:pStyle w:val="76"/>
                    <w:rPr>
                      <w:rFonts w:cs="Times New Roman"/>
                      <w:color w:val="auto"/>
                      <w:highlight w:val="yellow"/>
                    </w:rPr>
                  </w:pPr>
                </w:p>
              </w:tc>
              <w:tc>
                <w:tcPr>
                  <w:tcW w:w="1141" w:type="pct"/>
                  <w:tcBorders>
                    <w:tl2br w:val="nil"/>
                    <w:tr2bl w:val="nil"/>
                  </w:tcBorders>
                  <w:noWrap w:val="0"/>
                  <w:vAlign w:val="center"/>
                </w:tcPr>
                <w:p w14:paraId="1FC2AEE1">
                  <w:pPr>
                    <w:pStyle w:val="76"/>
                    <w:rPr>
                      <w:rFonts w:cs="Times New Roman"/>
                      <w:color w:val="auto"/>
                      <w:highlight w:val="yellow"/>
                    </w:rPr>
                  </w:pPr>
                  <w:r>
                    <w:rPr>
                      <w:rFonts w:cs="Times New Roman"/>
                      <w:color w:val="auto"/>
                      <w:highlight w:val="yellow"/>
                    </w:rPr>
                    <w:t>达标</w:t>
                  </w:r>
                </w:p>
              </w:tc>
            </w:tr>
          </w:tbl>
          <w:p w14:paraId="1B4BDC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rPr>
                <w:rFonts w:hint="eastAsia" w:ascii="Times New Roman" w:hAnsi="Times New Roman" w:eastAsia="宋体" w:cs="Times New Roman"/>
                <w:b/>
                <w:bCs/>
                <w:color w:val="auto"/>
                <w:sz w:val="24"/>
                <w:highlight w:val="none"/>
                <w:lang w:val="en-US" w:eastAsia="zh-CN"/>
              </w:rPr>
            </w:pPr>
            <w:r>
              <w:rPr>
                <w:color w:val="auto"/>
                <w:sz w:val="24"/>
                <w:highlight w:val="none"/>
              </w:rPr>
              <w:t>由表</w:t>
            </w:r>
            <w:r>
              <w:rPr>
                <w:rFonts w:hint="eastAsia"/>
                <w:color w:val="auto"/>
                <w:sz w:val="24"/>
                <w:highlight w:val="none"/>
                <w:lang w:val="en-US" w:eastAsia="zh-CN"/>
              </w:rPr>
              <w:t>4-8</w:t>
            </w:r>
            <w:r>
              <w:rPr>
                <w:color w:val="auto"/>
                <w:sz w:val="24"/>
                <w:highlight w:val="none"/>
              </w:rPr>
              <w:t>的结果可知，本项目投产后，设备运行噪声对厂界噪声的贡献值在</w:t>
            </w:r>
            <w:r>
              <w:rPr>
                <w:rFonts w:hint="eastAsia"/>
                <w:color w:val="auto"/>
                <w:sz w:val="24"/>
                <w:highlight w:val="none"/>
                <w:lang w:val="en-US" w:eastAsia="zh-CN"/>
              </w:rPr>
              <w:t>41.5</w:t>
            </w:r>
            <w:r>
              <w:rPr>
                <w:color w:val="auto"/>
                <w:sz w:val="24"/>
                <w:highlight w:val="none"/>
              </w:rPr>
              <w:t>~</w:t>
            </w:r>
            <w:r>
              <w:rPr>
                <w:rFonts w:hint="eastAsia"/>
                <w:color w:val="auto"/>
                <w:sz w:val="24"/>
                <w:highlight w:val="none"/>
                <w:lang w:val="en-US" w:eastAsia="zh-CN"/>
              </w:rPr>
              <w:t>44.8</w:t>
            </w:r>
            <w:r>
              <w:rPr>
                <w:color w:val="auto"/>
                <w:sz w:val="24"/>
                <w:highlight w:val="none"/>
              </w:rPr>
              <w:t>dB</w:t>
            </w:r>
            <w:r>
              <w:rPr>
                <w:rFonts w:hint="eastAsia"/>
                <w:color w:val="auto"/>
                <w:sz w:val="24"/>
                <w:highlight w:val="none"/>
                <w:lang w:eastAsia="zh-CN"/>
              </w:rPr>
              <w:t>（</w:t>
            </w:r>
            <w:r>
              <w:rPr>
                <w:color w:val="auto"/>
                <w:sz w:val="24"/>
                <w:highlight w:val="none"/>
              </w:rPr>
              <w:t>A</w:t>
            </w:r>
            <w:r>
              <w:rPr>
                <w:rFonts w:hint="eastAsia"/>
                <w:color w:val="auto"/>
                <w:sz w:val="24"/>
                <w:highlight w:val="none"/>
                <w:lang w:eastAsia="zh-CN"/>
              </w:rPr>
              <w:t>）</w:t>
            </w:r>
            <w:r>
              <w:rPr>
                <w:color w:val="auto"/>
                <w:sz w:val="24"/>
                <w:highlight w:val="none"/>
              </w:rPr>
              <w:t>之间满足《工业企业厂界环境噪声排放标准》（GB12348-2008）中</w:t>
            </w:r>
            <w:r>
              <w:rPr>
                <w:rFonts w:hint="eastAsia"/>
                <w:color w:val="auto"/>
                <w:sz w:val="24"/>
                <w:highlight w:val="none"/>
                <w:lang w:val="en-US" w:eastAsia="zh-CN"/>
              </w:rPr>
              <w:t>2</w:t>
            </w:r>
            <w:r>
              <w:rPr>
                <w:color w:val="auto"/>
                <w:sz w:val="24"/>
                <w:highlight w:val="none"/>
              </w:rPr>
              <w:t>类区标准限值要求。厂界</w:t>
            </w:r>
            <w:r>
              <w:rPr>
                <w:rFonts w:hint="eastAsia"/>
                <w:color w:val="auto"/>
                <w:sz w:val="24"/>
                <w:highlight w:val="none"/>
              </w:rPr>
              <w:t>50m范围内无声环境保护目标。</w:t>
            </w:r>
          </w:p>
          <w:p w14:paraId="037CDFEE">
            <w:pPr>
              <w:pStyle w:val="70"/>
              <w:keepNext w:val="0"/>
              <w:keepLines w:val="0"/>
              <w:pageBreakBefore w:val="0"/>
              <w:widowControl w:val="0"/>
              <w:kinsoku/>
              <w:wordWrap/>
              <w:overflowPunct/>
              <w:topLinePunct w:val="0"/>
              <w:autoSpaceDE/>
              <w:autoSpaceDN/>
              <w:bidi w:val="0"/>
              <w:spacing w:line="360" w:lineRule="auto"/>
              <w:ind w:firstLine="482" w:firstLineChars="200"/>
              <w:jc w:val="left"/>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四、运营期固体废物环境影响和保护措施</w:t>
            </w:r>
          </w:p>
          <w:p w14:paraId="33AFBE17">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本项目固体废物主要有：布袋除尘器收集的除尘灰、</w:t>
            </w:r>
            <w:r>
              <w:rPr>
                <w:rFonts w:hint="eastAsia" w:cs="Times New Roman"/>
                <w:color w:val="auto"/>
                <w:sz w:val="24"/>
                <w:highlight w:val="none"/>
                <w:lang w:val="en-US" w:eastAsia="zh-CN"/>
              </w:rPr>
              <w:t>废布袋、</w:t>
            </w:r>
            <w:r>
              <w:rPr>
                <w:rFonts w:hint="default" w:ascii="Times New Roman" w:hAnsi="Times New Roman" w:cs="Times New Roman"/>
                <w:color w:val="auto"/>
                <w:sz w:val="24"/>
                <w:highlight w:val="none"/>
              </w:rPr>
              <w:t>沉淀池沉渣、实验室混凝土块及遗散混凝土、生活垃圾等</w:t>
            </w:r>
            <w:r>
              <w:rPr>
                <w:rFonts w:hint="eastAsia" w:cs="Times New Roman"/>
                <w:color w:val="auto"/>
                <w:sz w:val="24"/>
                <w:highlight w:val="none"/>
                <w:lang w:eastAsia="zh-CN"/>
              </w:rPr>
              <w:t>，</w:t>
            </w:r>
            <w:r>
              <w:rPr>
                <w:rFonts w:hint="eastAsia" w:cs="Times New Roman"/>
                <w:color w:val="auto"/>
                <w:sz w:val="24"/>
                <w:highlight w:val="none"/>
                <w:lang w:val="en-US" w:eastAsia="zh-CN"/>
              </w:rPr>
              <w:t>设备检修、维护时产生的废矿物油和废油桶</w:t>
            </w:r>
            <w:r>
              <w:rPr>
                <w:rFonts w:hint="default" w:ascii="Times New Roman" w:hAnsi="Times New Roman" w:cs="Times New Roman"/>
                <w:color w:val="auto"/>
                <w:sz w:val="24"/>
                <w:highlight w:val="none"/>
              </w:rPr>
              <w:t>。</w:t>
            </w:r>
          </w:p>
          <w:p w14:paraId="2FD2F2E7">
            <w:pPr>
              <w:keepNext w:val="0"/>
              <w:keepLines w:val="0"/>
              <w:pageBreakBefore w:val="0"/>
              <w:widowControl w:val="0"/>
              <w:kinsoku/>
              <w:wordWrap/>
              <w:overflowPunct/>
              <w:topLinePunct w:val="0"/>
              <w:autoSpaceDE/>
              <w:autoSpaceDN/>
              <w:bidi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1、源强分析</w:t>
            </w:r>
          </w:p>
          <w:p w14:paraId="0D960DD9">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（1）布袋除尘器收集的除尘灰</w:t>
            </w:r>
          </w:p>
          <w:p w14:paraId="556F7CDC">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本项目仓顶滤芯除尘器工作时拦截的粉尘</w:t>
            </w:r>
            <w:r>
              <w:rPr>
                <w:rFonts w:hint="eastAsia" w:cs="Times New Roman"/>
                <w:color w:val="auto"/>
                <w:sz w:val="24"/>
                <w:highlight w:val="none"/>
                <w:lang w:val="en-US" w:eastAsia="zh-CN"/>
              </w:rPr>
              <w:t>量为7.247/a，</w:t>
            </w:r>
            <w:r>
              <w:rPr>
                <w:rFonts w:hint="eastAsia" w:ascii="Times New Roman" w:hAnsi="Times New Roman" w:eastAsia="宋体" w:cs="Times New Roman"/>
                <w:color w:val="auto"/>
                <w:spacing w:val="-2"/>
                <w:sz w:val="24"/>
                <w:highlight w:val="none"/>
                <w:lang w:val="en-US" w:eastAsia="zh-CN"/>
              </w:rPr>
              <w:t>属于一般固体废物，</w:t>
            </w:r>
            <w:r>
              <w:rPr>
                <w:rFonts w:hint="eastAsia" w:cs="Times New Roman"/>
                <w:color w:val="auto"/>
                <w:sz w:val="24"/>
                <w:highlight w:val="none"/>
                <w:lang w:val="en-US" w:eastAsia="zh-CN"/>
              </w:rPr>
              <w:t>可</w:t>
            </w:r>
            <w:r>
              <w:rPr>
                <w:rFonts w:hint="default" w:ascii="Times New Roman" w:hAnsi="Times New Roman" w:cs="Times New Roman"/>
                <w:color w:val="auto"/>
                <w:sz w:val="24"/>
                <w:highlight w:val="none"/>
              </w:rPr>
              <w:t>直接回落至</w:t>
            </w:r>
            <w:r>
              <w:rPr>
                <w:rFonts w:hint="eastAsia" w:cs="Times New Roman"/>
                <w:color w:val="auto"/>
                <w:sz w:val="24"/>
                <w:highlight w:val="none"/>
                <w:lang w:val="en-US" w:eastAsia="zh-CN"/>
              </w:rPr>
              <w:t>各</w:t>
            </w:r>
            <w:r>
              <w:rPr>
                <w:rFonts w:hint="default" w:ascii="Times New Roman" w:hAnsi="Times New Roman" w:cs="Times New Roman"/>
                <w:color w:val="auto"/>
                <w:sz w:val="24"/>
                <w:highlight w:val="none"/>
              </w:rPr>
              <w:t>筒仓内，</w:t>
            </w:r>
            <w:r>
              <w:rPr>
                <w:rFonts w:hint="eastAsia" w:cs="Times New Roman"/>
                <w:color w:val="auto"/>
                <w:sz w:val="24"/>
                <w:highlight w:val="none"/>
                <w:lang w:val="en-US" w:eastAsia="zh-CN"/>
              </w:rPr>
              <w:t>搅拌时脉冲</w:t>
            </w:r>
            <w:r>
              <w:rPr>
                <w:rFonts w:hint="default" w:ascii="Times New Roman" w:hAnsi="Times New Roman" w:cs="Times New Roman"/>
                <w:color w:val="auto"/>
                <w:sz w:val="24"/>
                <w:highlight w:val="none"/>
              </w:rPr>
              <w:t>布袋除尘器内收集有除尘灰</w:t>
            </w:r>
            <w:r>
              <w:rPr>
                <w:rFonts w:hint="eastAsia" w:cs="Times New Roman"/>
                <w:color w:val="auto"/>
                <w:sz w:val="24"/>
                <w:highlight w:val="none"/>
                <w:lang w:val="en-US" w:eastAsia="zh-CN"/>
              </w:rPr>
              <w:t>收集量为40.371t/a</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共计47.618t/a，</w:t>
            </w:r>
            <w:r>
              <w:rPr>
                <w:rFonts w:hint="default" w:ascii="Times New Roman" w:hAnsi="Times New Roman" w:cs="Times New Roman"/>
                <w:color w:val="auto"/>
                <w:sz w:val="24"/>
                <w:highlight w:val="none"/>
              </w:rPr>
              <w:t>其主要成原辅料，回用于生产，不外排。</w:t>
            </w:r>
          </w:p>
          <w:p w14:paraId="3E9C7CB8">
            <w:pPr>
              <w:keepNext w:val="0"/>
              <w:keepLines w:val="0"/>
              <w:pageBreakBefore w:val="0"/>
              <w:widowControl w:val="0"/>
              <w:kinsoku/>
              <w:wordWrap/>
              <w:overflowPunct/>
              <w:topLinePunct w:val="0"/>
              <w:autoSpaceDE/>
              <w:autoSpaceDN/>
              <w:bidi w:val="0"/>
              <w:spacing w:line="360" w:lineRule="auto"/>
              <w:ind w:firstLine="480" w:firstLineChars="200"/>
              <w:rPr>
                <w:rFonts w:hint="default"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2</w:t>
            </w:r>
            <w:r>
              <w:rPr>
                <w:rFonts w:hint="eastAsia" w:cs="Times New Roman"/>
                <w:color w:val="auto"/>
                <w:sz w:val="24"/>
                <w:highlight w:val="none"/>
                <w:lang w:eastAsia="zh-CN"/>
              </w:rPr>
              <w:t>）</w:t>
            </w:r>
            <w:r>
              <w:rPr>
                <w:rFonts w:hint="eastAsia" w:cs="Times New Roman"/>
                <w:color w:val="auto"/>
                <w:sz w:val="24"/>
                <w:highlight w:val="none"/>
                <w:lang w:val="en-US" w:eastAsia="zh-CN"/>
              </w:rPr>
              <w:t>废布袋</w:t>
            </w:r>
          </w:p>
          <w:p w14:paraId="29704C44">
            <w:pPr>
              <w:keepNext w:val="0"/>
              <w:keepLines w:val="0"/>
              <w:pageBreakBefore w:val="0"/>
              <w:widowControl w:val="0"/>
              <w:kinsoku/>
              <w:wordWrap/>
              <w:overflowPunct/>
              <w:topLinePunct w:val="0"/>
              <w:autoSpaceDE/>
              <w:autoSpaceDN/>
              <w:bidi w:val="0"/>
              <w:spacing w:line="360" w:lineRule="auto"/>
              <w:ind w:firstLine="472"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pacing w:val="-2"/>
                <w:sz w:val="24"/>
                <w:highlight w:val="none"/>
                <w:lang w:val="en-US" w:eastAsia="zh-CN"/>
              </w:rPr>
              <w:t>本项目布袋除尘器会定期产生废布袋，属于一般固体废物，根据厂家提供资料，项目更换布袋周期为</w:t>
            </w:r>
            <w:r>
              <w:rPr>
                <w:rFonts w:hint="eastAsia" w:cs="Times New Roman"/>
                <w:color w:val="auto"/>
                <w:spacing w:val="-2"/>
                <w:sz w:val="24"/>
                <w:highlight w:val="none"/>
                <w:lang w:val="en-US" w:eastAsia="zh-CN"/>
              </w:rPr>
              <w:t>半</w:t>
            </w:r>
            <w:r>
              <w:rPr>
                <w:rFonts w:hint="eastAsia" w:ascii="Times New Roman" w:hAnsi="Times New Roman" w:eastAsia="宋体" w:cs="Times New Roman"/>
                <w:color w:val="auto"/>
                <w:spacing w:val="-2"/>
                <w:sz w:val="24"/>
                <w:highlight w:val="none"/>
                <w:lang w:val="en-US" w:eastAsia="zh-CN"/>
              </w:rPr>
              <w:t>年/次，每个布袋重500g，每次更换布袋为48个，废布袋产生量约</w:t>
            </w:r>
            <w:r>
              <w:rPr>
                <w:rFonts w:hint="eastAsia" w:cs="Times New Roman"/>
                <w:color w:val="auto"/>
                <w:spacing w:val="-2"/>
                <w:sz w:val="24"/>
                <w:highlight w:val="none"/>
                <w:lang w:val="en-US" w:eastAsia="zh-CN"/>
              </w:rPr>
              <w:t>48</w:t>
            </w:r>
            <w:r>
              <w:rPr>
                <w:rFonts w:hint="eastAsia" w:ascii="Times New Roman" w:hAnsi="Times New Roman" w:eastAsia="宋体" w:cs="Times New Roman"/>
                <w:color w:val="auto"/>
                <w:spacing w:val="-2"/>
                <w:sz w:val="24"/>
                <w:highlight w:val="none"/>
                <w:lang w:val="en-US" w:eastAsia="zh-CN"/>
              </w:rPr>
              <w:t>kg/a，</w:t>
            </w:r>
            <w:r>
              <w:rPr>
                <w:rFonts w:hint="eastAsia" w:cs="Times New Roman"/>
                <w:color w:val="auto"/>
                <w:spacing w:val="-2"/>
                <w:sz w:val="24"/>
                <w:highlight w:val="none"/>
                <w:lang w:val="en-US" w:eastAsia="zh-CN"/>
              </w:rPr>
              <w:t>废</w:t>
            </w:r>
            <w:r>
              <w:rPr>
                <w:rFonts w:hint="eastAsia" w:ascii="Times New Roman" w:hAnsi="Times New Roman" w:eastAsia="宋体" w:cs="Times New Roman"/>
                <w:color w:val="auto"/>
                <w:spacing w:val="-2"/>
                <w:sz w:val="24"/>
                <w:highlight w:val="none"/>
                <w:lang w:val="en-US" w:eastAsia="zh-CN"/>
              </w:rPr>
              <w:t>布袋定期由厂家更换带走，不在厂区暂存。</w:t>
            </w:r>
          </w:p>
          <w:p w14:paraId="0474B96B">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rPr>
              <w:t>）沉淀池沉渣</w:t>
            </w:r>
          </w:p>
          <w:p w14:paraId="2B7974B1">
            <w:pPr>
              <w:keepNext w:val="0"/>
              <w:keepLines w:val="0"/>
              <w:pageBreakBefore w:val="0"/>
              <w:widowControl w:val="0"/>
              <w:kinsoku/>
              <w:wordWrap/>
              <w:overflowPunct/>
              <w:topLinePunct w:val="0"/>
              <w:autoSpaceDE/>
              <w:autoSpaceDN/>
              <w:bidi w:val="0"/>
              <w:spacing w:line="360" w:lineRule="auto"/>
              <w:ind w:firstLine="480" w:firstLineChars="200"/>
              <w:rPr>
                <w:rFonts w:hint="eastAsia" w:cs="Times New Roman"/>
                <w:color w:val="auto"/>
                <w:sz w:val="24"/>
                <w:highlight w:val="none"/>
                <w:vertAlign w:val="baseline"/>
                <w:lang w:val="en-US" w:eastAsia="zh-CN"/>
              </w:rPr>
            </w:pPr>
            <w:r>
              <w:rPr>
                <w:rFonts w:hint="default" w:ascii="Times New Roman" w:hAnsi="Times New Roman" w:cs="Times New Roman"/>
                <w:color w:val="auto"/>
                <w:sz w:val="24"/>
                <w:highlight w:val="none"/>
              </w:rPr>
              <w:t>沉淀池收集的运输车辆清洗、实验室等生产废水中含有大量的泥沙及混凝土，</w:t>
            </w:r>
            <w:r>
              <w:rPr>
                <w:rFonts w:hint="eastAsia" w:ascii="Times New Roman" w:hAnsi="Times New Roman" w:eastAsia="宋体" w:cs="Times New Roman"/>
                <w:color w:val="auto"/>
                <w:spacing w:val="-2"/>
                <w:sz w:val="24"/>
                <w:highlight w:val="none"/>
                <w:lang w:val="en-US" w:eastAsia="zh-CN"/>
              </w:rPr>
              <w:t>属于一般固体废物，</w:t>
            </w:r>
            <w:r>
              <w:rPr>
                <w:rFonts w:hint="eastAsia" w:cs="Times New Roman"/>
                <w:color w:val="auto"/>
                <w:sz w:val="24"/>
                <w:highlight w:val="none"/>
                <w:lang w:val="en-US" w:eastAsia="zh-CN"/>
              </w:rPr>
              <w:t>本项目沉淀池处理水量为</w:t>
            </w:r>
            <w:r>
              <w:rPr>
                <w:rFonts w:hint="eastAsia" w:cs="Times New Roman"/>
                <w:color w:val="auto"/>
                <w:sz w:val="24"/>
                <w:highlight w:val="none"/>
                <w:vertAlign w:val="baseline"/>
                <w:lang w:val="en-US" w:eastAsia="zh-CN"/>
              </w:rPr>
              <w:t>6955.2</w:t>
            </w:r>
            <w:r>
              <w:rPr>
                <w:rFonts w:hint="eastAsia" w:cs="Times New Roman"/>
                <w:color w:val="auto"/>
                <w:sz w:val="24"/>
                <w:highlight w:val="none"/>
                <w:lang w:val="en-US" w:eastAsia="zh-CN"/>
              </w:rPr>
              <w:t>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/a，沉淀池沉渣产生量为废水量的1%计，则产生量为</w:t>
            </w:r>
            <w:r>
              <w:rPr>
                <w:rFonts w:hint="eastAsia" w:cs="Times New Roman"/>
                <w:color w:val="auto"/>
                <w:sz w:val="24"/>
                <w:highlight w:val="none"/>
                <w:lang w:val="en-US" w:eastAsia="zh-CN"/>
              </w:rPr>
              <w:t>69.552</w:t>
            </w:r>
            <w:r>
              <w:rPr>
                <w:rFonts w:hint="default" w:ascii="Times New Roman" w:hAnsi="Times New Roman" w:cs="Times New Roman"/>
                <w:color w:val="auto"/>
                <w:sz w:val="24"/>
                <w:highlight w:val="none"/>
              </w:rPr>
              <w:t>t/a</w:t>
            </w:r>
            <w:r>
              <w:rPr>
                <w:rFonts w:hint="eastAsia" w:ascii="Times New Roman" w:hAnsi="Times New Roman" w:cs="Times New Roman"/>
                <w:color w:val="auto"/>
                <w:sz w:val="24"/>
                <w:highlight w:val="none"/>
                <w:lang w:eastAsia="zh-CN"/>
              </w:rPr>
              <w:t>，</w:t>
            </w:r>
            <w:r>
              <w:rPr>
                <w:rFonts w:hint="eastAsia" w:cs="Times New Roman"/>
                <w:color w:val="auto"/>
                <w:sz w:val="24"/>
                <w:highlight w:val="none"/>
                <w:vertAlign w:val="baseline"/>
                <w:lang w:val="en-US" w:eastAsia="zh-CN"/>
              </w:rPr>
              <w:t>其主要成分仍为原辅料，因此分离沉渣可</w:t>
            </w:r>
            <w:r>
              <w:rPr>
                <w:rFonts w:hint="default" w:ascii="Times New Roman" w:hAnsi="Times New Roman" w:cs="Times New Roman"/>
                <w:color w:val="auto"/>
                <w:sz w:val="24"/>
                <w:highlight w:val="none"/>
              </w:rPr>
              <w:t>定期捞取后</w:t>
            </w:r>
            <w:r>
              <w:rPr>
                <w:rFonts w:hint="eastAsia" w:cs="Times New Roman"/>
                <w:color w:val="auto"/>
                <w:sz w:val="24"/>
                <w:highlight w:val="none"/>
                <w:vertAlign w:val="baseline"/>
                <w:lang w:val="en-US" w:eastAsia="zh-CN"/>
              </w:rPr>
              <w:t>回用于生产，不外排，不在场内暂存。</w:t>
            </w:r>
          </w:p>
          <w:p w14:paraId="11E6CEE2">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4</w:t>
            </w:r>
            <w:r>
              <w:rPr>
                <w:rFonts w:hint="default" w:ascii="Times New Roman" w:hAnsi="Times New Roman" w:cs="Times New Roman"/>
                <w:color w:val="auto"/>
                <w:sz w:val="24"/>
                <w:highlight w:val="none"/>
              </w:rPr>
              <w:t>）实验室混凝土块及遗散混凝土</w:t>
            </w:r>
          </w:p>
          <w:p w14:paraId="7F442B99">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实验室实验过程中会产生混凝土块，运输车辆会遗</w:t>
            </w:r>
            <w:r>
              <w:rPr>
                <w:rFonts w:hint="eastAsia" w:cs="Times New Roman"/>
                <w:color w:val="auto"/>
                <w:sz w:val="24"/>
                <w:highlight w:val="none"/>
                <w:lang w:eastAsia="zh-CN"/>
              </w:rPr>
              <w:t>撒</w:t>
            </w:r>
            <w:r>
              <w:rPr>
                <w:rFonts w:hint="default" w:ascii="Times New Roman" w:hAnsi="Times New Roman" w:cs="Times New Roman"/>
                <w:color w:val="auto"/>
                <w:sz w:val="24"/>
                <w:highlight w:val="none"/>
              </w:rPr>
              <w:t>混凝土，</w:t>
            </w:r>
            <w:r>
              <w:rPr>
                <w:rFonts w:hint="eastAsia" w:ascii="Times New Roman" w:hAnsi="Times New Roman" w:eastAsia="宋体" w:cs="Times New Roman"/>
                <w:color w:val="auto"/>
                <w:spacing w:val="-2"/>
                <w:sz w:val="24"/>
                <w:highlight w:val="none"/>
                <w:lang w:val="en-US" w:eastAsia="zh-CN"/>
              </w:rPr>
              <w:t>属于一般固体废物，</w:t>
            </w:r>
            <w:r>
              <w:rPr>
                <w:rFonts w:hint="eastAsia" w:cs="Times New Roman"/>
                <w:color w:val="auto"/>
                <w:sz w:val="24"/>
                <w:highlight w:val="none"/>
                <w:lang w:val="en-US" w:eastAsia="zh-CN"/>
              </w:rPr>
              <w:t>产生量约为10t/a，集中收集在石料库一般固废暂存区中暂存，再回用于生产。</w:t>
            </w:r>
          </w:p>
          <w:p w14:paraId="06709E4D">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5</w:t>
            </w:r>
            <w:r>
              <w:rPr>
                <w:rFonts w:hint="default" w:ascii="Times New Roman" w:hAnsi="Times New Roman" w:cs="Times New Roman"/>
                <w:color w:val="auto"/>
                <w:sz w:val="24"/>
                <w:highlight w:val="none"/>
              </w:rPr>
              <w:t>）生活垃圾</w:t>
            </w:r>
          </w:p>
          <w:p w14:paraId="0BDDCB3A">
            <w:pPr>
              <w:keepNext w:val="0"/>
              <w:keepLines w:val="0"/>
              <w:pageBreakBefore w:val="0"/>
              <w:widowControl w:val="0"/>
              <w:kinsoku/>
              <w:wordWrap/>
              <w:overflowPunct/>
              <w:topLinePunct w:val="0"/>
              <w:autoSpaceDE/>
              <w:autoSpaceDN/>
              <w:bidi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本项目定员</w:t>
            </w:r>
            <w:r>
              <w:rPr>
                <w:rFonts w:hint="eastAsia" w:cs="Times New Roman"/>
                <w:color w:val="auto"/>
                <w:sz w:val="24"/>
                <w:highlight w:val="none"/>
                <w:lang w:val="en-US" w:eastAsia="zh-CN"/>
              </w:rPr>
              <w:t>20</w:t>
            </w:r>
            <w:r>
              <w:rPr>
                <w:rFonts w:hint="default" w:ascii="Times New Roman" w:hAnsi="Times New Roman" w:cs="Times New Roman"/>
                <w:color w:val="auto"/>
                <w:sz w:val="24"/>
                <w:highlight w:val="none"/>
              </w:rPr>
              <w:t>人，生活垃圾按0.5kg/</w:t>
            </w:r>
            <w:r>
              <w:rPr>
                <w:rFonts w:hint="eastAsia" w:cs="Times New Roman"/>
                <w:color w:val="auto"/>
                <w:sz w:val="24"/>
                <w:highlight w:val="none"/>
                <w:lang w:val="en-US" w:eastAsia="zh-CN"/>
              </w:rPr>
              <w:t>人</w:t>
            </w:r>
            <w:r>
              <w:rPr>
                <w:rFonts w:hint="default" w:ascii="Times New Roman" w:hAnsi="Times New Roman" w:cs="Times New Roman"/>
                <w:color w:val="auto"/>
                <w:sz w:val="24"/>
                <w:highlight w:val="none"/>
              </w:rPr>
              <w:t>·d计，全年按2</w:t>
            </w:r>
            <w:r>
              <w:rPr>
                <w:rFonts w:hint="eastAsia" w:cs="Times New Roman"/>
                <w:color w:val="auto"/>
                <w:sz w:val="24"/>
                <w:highlight w:val="none"/>
                <w:lang w:val="en-US" w:eastAsia="zh-CN"/>
              </w:rPr>
              <w:t>0</w:t>
            </w:r>
            <w:r>
              <w:rPr>
                <w:rFonts w:hint="default" w:ascii="Times New Roman" w:hAnsi="Times New Roman" w:cs="Times New Roman"/>
                <w:color w:val="auto"/>
                <w:sz w:val="24"/>
                <w:highlight w:val="none"/>
              </w:rPr>
              <w:t>0天计，则生活垃圾产生量</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t/a。集中收集后委托</w:t>
            </w:r>
            <w:r>
              <w:rPr>
                <w:rFonts w:hint="eastAsia" w:ascii="Times New Roman" w:hAnsi="Times New Roman" w:cs="Times New Roman"/>
                <w:color w:val="auto"/>
                <w:sz w:val="24"/>
                <w:highlight w:val="none"/>
                <w:lang w:val="en-US" w:eastAsia="zh-CN"/>
              </w:rPr>
              <w:t>当地</w:t>
            </w:r>
            <w:r>
              <w:rPr>
                <w:rFonts w:hint="default" w:ascii="Times New Roman" w:hAnsi="Times New Roman" w:cs="Times New Roman"/>
                <w:color w:val="auto"/>
                <w:sz w:val="24"/>
                <w:highlight w:val="none"/>
              </w:rPr>
              <w:t>市政环卫部门统一拉运处置。</w:t>
            </w:r>
          </w:p>
          <w:p w14:paraId="66CA43E6">
            <w:pPr>
              <w:keepNext w:val="0"/>
              <w:keepLines w:val="0"/>
              <w:pageBreakBefore w:val="0"/>
              <w:widowControl w:val="0"/>
              <w:kinsoku/>
              <w:wordWrap/>
              <w:overflowPunct/>
              <w:topLinePunct w:val="0"/>
              <w:autoSpaceDE/>
              <w:autoSpaceDN/>
              <w:bidi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6</w:t>
            </w:r>
            <w:r>
              <w:rPr>
                <w:rFonts w:hint="eastAsia" w:cs="Times New Roman"/>
                <w:color w:val="auto"/>
                <w:sz w:val="24"/>
                <w:highlight w:val="none"/>
                <w:lang w:eastAsia="zh-CN"/>
              </w:rPr>
              <w:t>）</w:t>
            </w:r>
            <w:r>
              <w:rPr>
                <w:rFonts w:hint="eastAsia" w:cs="Times New Roman"/>
                <w:color w:val="auto"/>
                <w:sz w:val="24"/>
                <w:highlight w:val="none"/>
                <w:lang w:val="en-US" w:eastAsia="zh-CN"/>
              </w:rPr>
              <w:t>废矿物油、废油桶</w:t>
            </w:r>
          </w:p>
          <w:p w14:paraId="43910227">
            <w:pPr>
              <w:keepNext w:val="0"/>
              <w:keepLines w:val="0"/>
              <w:pageBreakBefore w:val="0"/>
              <w:widowControl w:val="0"/>
              <w:kinsoku/>
              <w:wordWrap/>
              <w:overflowPunct/>
              <w:topLinePunct w:val="0"/>
              <w:autoSpaceDE/>
              <w:autoSpaceDN/>
              <w:bidi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根据建设单位提供资料，本项目废矿物油产生量为1t/a，根据《国家危险废物名录》（2025年版），属于HW08废矿物油与含矿物油废物类别，废物代码为900-217-08。废油桶产生量为0.5t/a，属于HW08</w:t>
            </w:r>
            <w:r>
              <w:rPr>
                <w:rFonts w:ascii="宋体" w:hAnsi="宋体" w:eastAsia="宋体" w:cs="宋体"/>
                <w:color w:val="auto"/>
                <w:sz w:val="24"/>
                <w:szCs w:val="24"/>
                <w:highlight w:val="none"/>
              </w:rPr>
              <w:t>废矿物油与含矿物油废物</w:t>
            </w:r>
            <w:r>
              <w:rPr>
                <w:rFonts w:hint="eastAsia" w:cs="Times New Roman"/>
                <w:color w:val="auto"/>
                <w:sz w:val="24"/>
                <w:highlight w:val="none"/>
                <w:lang w:val="en-US" w:eastAsia="zh-CN"/>
              </w:rPr>
              <w:t>，废物代码为900-249-08。废油桶加盖密闭，上述危险废物暂存于危废暂存间，定期交由具有危险废物处理资质的公司处理。</w:t>
            </w:r>
          </w:p>
          <w:p w14:paraId="23A8C22A">
            <w:pPr>
              <w:keepNext w:val="0"/>
              <w:keepLines w:val="0"/>
              <w:pageBreakBefore w:val="0"/>
              <w:widowControl w:val="0"/>
              <w:numPr>
                <w:ilvl w:val="0"/>
                <w:numId w:val="3"/>
              </w:numPr>
              <w:kinsoku/>
              <w:wordWrap/>
              <w:overflowPunct/>
              <w:topLinePunct w:val="0"/>
              <w:autoSpaceDE/>
              <w:autoSpaceDN/>
              <w:bidi w:val="0"/>
              <w:spacing w:line="360" w:lineRule="auto"/>
              <w:ind w:firstLine="480" w:firstLineChars="200"/>
              <w:rPr>
                <w:rFonts w:hint="eastAsia" w:cs="Times New Roman"/>
                <w:color w:val="auto"/>
                <w:sz w:val="24"/>
                <w:highlight w:val="yellow"/>
                <w:lang w:val="en-US" w:eastAsia="zh-CN"/>
              </w:rPr>
            </w:pPr>
            <w:r>
              <w:rPr>
                <w:rFonts w:hint="eastAsia" w:cs="Times New Roman"/>
                <w:color w:val="auto"/>
                <w:sz w:val="24"/>
                <w:highlight w:val="yellow"/>
                <w:lang w:val="en-US" w:eastAsia="zh-CN"/>
              </w:rPr>
              <w:t>含油废手套、废抹布</w:t>
            </w:r>
          </w:p>
          <w:p w14:paraId="0E0DB564">
            <w:pPr>
              <w:keepNext w:val="0"/>
              <w:keepLines w:val="0"/>
              <w:pageBreakBefore w:val="0"/>
              <w:widowControl w:val="0"/>
              <w:kinsoku/>
              <w:wordWrap/>
              <w:overflowPunct/>
              <w:topLinePunct w:val="0"/>
              <w:autoSpaceDE/>
              <w:autoSpaceDN/>
              <w:bidi w:val="0"/>
              <w:spacing w:line="360" w:lineRule="auto"/>
              <w:ind w:firstLine="480" w:firstLineChars="200"/>
              <w:rPr>
                <w:rFonts w:hint="default" w:cs="Times New Roman"/>
                <w:color w:val="auto"/>
                <w:sz w:val="24"/>
                <w:highlight w:val="yellow"/>
                <w:lang w:val="en-US" w:eastAsia="zh-CN"/>
              </w:rPr>
            </w:pPr>
            <w:r>
              <w:rPr>
                <w:rFonts w:hint="eastAsia" w:cs="Times New Roman"/>
                <w:color w:val="auto"/>
                <w:sz w:val="24"/>
                <w:highlight w:val="yellow"/>
                <w:lang w:val="en-US" w:eastAsia="zh-CN"/>
              </w:rPr>
              <w:t>项目设备检修维护产生含油废手套、废抹布，产生量约为0.1t/a，废物代码900</w:t>
            </w:r>
            <w:r>
              <w:rPr>
                <w:rFonts w:hint="eastAsia" w:cs="Times New Roman"/>
                <w:color w:val="auto"/>
                <w:sz w:val="24"/>
                <w:highlight w:val="yellow"/>
                <w:lang w:val="en-US" w:eastAsia="zh-CN"/>
              </w:rPr>
              <w:noBreakHyphen/>
            </w:r>
            <w:r>
              <w:rPr>
                <w:rFonts w:hint="eastAsia" w:cs="Times New Roman"/>
                <w:color w:val="auto"/>
                <w:sz w:val="24"/>
                <w:highlight w:val="yellow"/>
                <w:lang w:val="en-US" w:eastAsia="zh-CN"/>
              </w:rPr>
              <w:t>041</w:t>
            </w:r>
            <w:r>
              <w:rPr>
                <w:rFonts w:hint="eastAsia" w:cs="Times New Roman"/>
                <w:color w:val="auto"/>
                <w:sz w:val="24"/>
                <w:highlight w:val="yellow"/>
                <w:lang w:val="en-US" w:eastAsia="zh-CN"/>
              </w:rPr>
              <w:noBreakHyphen/>
            </w:r>
            <w:r>
              <w:rPr>
                <w:rFonts w:hint="eastAsia" w:cs="Times New Roman"/>
                <w:color w:val="auto"/>
                <w:sz w:val="24"/>
                <w:highlight w:val="yellow"/>
                <w:lang w:val="en-US" w:eastAsia="zh-CN"/>
              </w:rPr>
              <w:t>49（HW49其他废物），属于危险废物。依据《国家危险废物名录（2021年版）》附录《危险废物豁免管理清单》：废弃的含油抹布、劳保用品，在未分类收集（混入生活垃圾）条件下，全过程不按危险废物管理。本项目生产过程中产生的含油废手套、废抹布应设置专用容器分类收集，按危险废物进行管理，交由具备资质危险废物处置单位处置；仅当该类废物被动混入生活垃圾时，方可执行豁免管理，企业不得主动将该类危险废物混入生活垃圾。</w:t>
            </w:r>
          </w:p>
          <w:p w14:paraId="25948D78">
            <w:pPr>
              <w:pStyle w:val="8"/>
              <w:keepNext/>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b w:val="0"/>
                <w:bCs/>
                <w:color w:val="auto"/>
                <w:sz w:val="24"/>
                <w:highlight w:val="none"/>
              </w:rPr>
            </w:pPr>
            <w:r>
              <w:rPr>
                <w:rFonts w:hint="default" w:ascii="Times New Roman" w:hAnsi="Times New Roman" w:cs="Times New Roman"/>
                <w:b w:val="0"/>
                <w:bCs/>
                <w:color w:val="auto"/>
                <w:sz w:val="24"/>
                <w:highlight w:val="none"/>
              </w:rPr>
              <w:t>各类固体废物产生量及处置措施见下表。</w:t>
            </w:r>
          </w:p>
          <w:p w14:paraId="56477DF2">
            <w:pPr>
              <w:pStyle w:val="8"/>
              <w:keepNex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表4-</w:t>
            </w: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固体废物产污环节及利用或处置情况一览表</w:t>
            </w:r>
          </w:p>
          <w:tbl>
            <w:tblPr>
              <w:tblStyle w:val="22"/>
              <w:tblW w:w="4996"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189"/>
              <w:gridCol w:w="814"/>
              <w:gridCol w:w="1737"/>
              <w:gridCol w:w="1021"/>
              <w:gridCol w:w="1187"/>
              <w:gridCol w:w="1242"/>
            </w:tblGrid>
            <w:tr w14:paraId="4D5231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tcBorders>
                    <w:tl2br w:val="nil"/>
                    <w:tr2bl w:val="nil"/>
                  </w:tcBorders>
                  <w:noWrap w:val="0"/>
                  <w:vAlign w:val="center"/>
                </w:tcPr>
                <w:p w14:paraId="714BC8E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w:t>
                  </w:r>
                </w:p>
                <w:p w14:paraId="1688448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环节</w:t>
                  </w:r>
                </w:p>
              </w:tc>
              <w:tc>
                <w:tcPr>
                  <w:tcW w:w="746" w:type="pct"/>
                  <w:tcBorders>
                    <w:tl2br w:val="nil"/>
                    <w:tr2bl w:val="nil"/>
                  </w:tcBorders>
                  <w:noWrap w:val="0"/>
                  <w:vAlign w:val="center"/>
                </w:tcPr>
                <w:p w14:paraId="7E865C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p w14:paraId="08A5D4C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511" w:type="pct"/>
                  <w:tcBorders>
                    <w:tl2br w:val="nil"/>
                    <w:tr2bl w:val="nil"/>
                  </w:tcBorders>
                  <w:noWrap w:val="0"/>
                  <w:vAlign w:val="center"/>
                </w:tcPr>
                <w:p w14:paraId="113D602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p w14:paraId="4080407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属性</w:t>
                  </w:r>
                </w:p>
              </w:tc>
              <w:tc>
                <w:tcPr>
                  <w:tcW w:w="1090" w:type="pct"/>
                  <w:tcBorders>
                    <w:tl2br w:val="nil"/>
                    <w:tr2bl w:val="nil"/>
                  </w:tcBorders>
                  <w:noWrap w:val="0"/>
                  <w:vAlign w:val="center"/>
                </w:tcPr>
                <w:p w14:paraId="54118EFA">
                  <w:pPr>
                    <w:adjustRightInd w:val="0"/>
                    <w:snapToGrid w:val="0"/>
                    <w:jc w:val="center"/>
                    <w:rPr>
                      <w:rFonts w:hint="eastAsia" w:ascii="Times New Roman" w:hAnsi="Times New Roman" w:eastAsia="宋体" w:cs="Times New Roman"/>
                      <w:bCs/>
                      <w:color w:val="auto"/>
                      <w:szCs w:val="21"/>
                      <w:highlight w:val="none"/>
                      <w:lang w:val="en-US" w:eastAsia="zh-CN"/>
                    </w:rPr>
                  </w:pPr>
                  <w:r>
                    <w:rPr>
                      <w:color w:val="auto"/>
                      <w:szCs w:val="21"/>
                      <w:highlight w:val="none"/>
                    </w:rPr>
                    <w:t>废物类别及代码</w:t>
                  </w:r>
                </w:p>
              </w:tc>
              <w:tc>
                <w:tcPr>
                  <w:tcW w:w="641" w:type="pct"/>
                  <w:tcBorders>
                    <w:tl2br w:val="nil"/>
                    <w:tr2bl w:val="nil"/>
                  </w:tcBorders>
                  <w:noWrap w:val="0"/>
                  <w:vAlign w:val="center"/>
                </w:tcPr>
                <w:p w14:paraId="65B5E372">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年产生量（t/a）</w:t>
                  </w:r>
                </w:p>
              </w:tc>
              <w:tc>
                <w:tcPr>
                  <w:tcW w:w="745" w:type="pct"/>
                  <w:tcBorders>
                    <w:tl2br w:val="nil"/>
                    <w:tr2bl w:val="nil"/>
                  </w:tcBorders>
                  <w:noWrap w:val="0"/>
                  <w:vAlign w:val="center"/>
                </w:tcPr>
                <w:p w14:paraId="71DD43F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贮存方式</w:t>
                  </w:r>
                </w:p>
              </w:tc>
              <w:tc>
                <w:tcPr>
                  <w:tcW w:w="779" w:type="pct"/>
                  <w:tcBorders>
                    <w:tl2br w:val="nil"/>
                    <w:tr2bl w:val="nil"/>
                  </w:tcBorders>
                  <w:noWrap w:val="0"/>
                  <w:vAlign w:val="center"/>
                </w:tcPr>
                <w:p w14:paraId="7F8295A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利用方式或去向</w:t>
                  </w:r>
                </w:p>
              </w:tc>
            </w:tr>
            <w:tr w14:paraId="63B980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restart"/>
                  <w:tcBorders>
                    <w:tl2br w:val="nil"/>
                    <w:tr2bl w:val="nil"/>
                  </w:tcBorders>
                  <w:noWrap w:val="0"/>
                  <w:vAlign w:val="center"/>
                </w:tcPr>
                <w:p w14:paraId="6EFDE97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布袋除尘器</w:t>
                  </w:r>
                </w:p>
              </w:tc>
              <w:tc>
                <w:tcPr>
                  <w:tcW w:w="746" w:type="pct"/>
                  <w:tcBorders>
                    <w:tl2br w:val="nil"/>
                    <w:tr2bl w:val="nil"/>
                  </w:tcBorders>
                  <w:noWrap w:val="0"/>
                  <w:vAlign w:val="center"/>
                </w:tcPr>
                <w:p w14:paraId="1E9213F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除尘灰</w:t>
                  </w:r>
                </w:p>
              </w:tc>
              <w:tc>
                <w:tcPr>
                  <w:tcW w:w="511" w:type="pct"/>
                  <w:tcBorders>
                    <w:tl2br w:val="nil"/>
                    <w:tr2bl w:val="nil"/>
                  </w:tcBorders>
                  <w:noWrap w:val="0"/>
                  <w:vAlign w:val="center"/>
                </w:tcPr>
                <w:p w14:paraId="029D21D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一般</w:t>
                  </w:r>
                </w:p>
                <w:p w14:paraId="6665110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固废</w:t>
                  </w:r>
                </w:p>
              </w:tc>
              <w:tc>
                <w:tcPr>
                  <w:tcW w:w="1090" w:type="pct"/>
                  <w:tcBorders>
                    <w:tl2br w:val="nil"/>
                    <w:tr2bl w:val="nil"/>
                  </w:tcBorders>
                  <w:noWrap w:val="0"/>
                  <w:vAlign w:val="center"/>
                </w:tcPr>
                <w:p w14:paraId="0C9034F5">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SW59</w:t>
                  </w:r>
                </w:p>
                <w:p w14:paraId="5A0B07C5">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（900-099-S59）</w:t>
                  </w:r>
                </w:p>
              </w:tc>
              <w:tc>
                <w:tcPr>
                  <w:tcW w:w="641" w:type="pct"/>
                  <w:tcBorders>
                    <w:tl2br w:val="nil"/>
                    <w:tr2bl w:val="nil"/>
                  </w:tcBorders>
                  <w:noWrap w:val="0"/>
                  <w:vAlign w:val="center"/>
                </w:tcPr>
                <w:p w14:paraId="10ACDF30">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47.618</w:t>
                  </w:r>
                </w:p>
              </w:tc>
              <w:tc>
                <w:tcPr>
                  <w:tcW w:w="745" w:type="pct"/>
                  <w:tcBorders>
                    <w:tl2br w:val="nil"/>
                    <w:tr2bl w:val="nil"/>
                  </w:tcBorders>
                  <w:noWrap w:val="0"/>
                  <w:vAlign w:val="center"/>
                </w:tcPr>
                <w:p w14:paraId="39C5058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布袋</w:t>
                  </w:r>
                </w:p>
              </w:tc>
              <w:tc>
                <w:tcPr>
                  <w:tcW w:w="779" w:type="pct"/>
                  <w:tcBorders>
                    <w:tl2br w:val="nil"/>
                    <w:tr2bl w:val="nil"/>
                  </w:tcBorders>
                  <w:noWrap w:val="0"/>
                  <w:vAlign w:val="center"/>
                </w:tcPr>
                <w:p w14:paraId="29CCE8D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直接回用于生产</w:t>
                  </w:r>
                </w:p>
              </w:tc>
            </w:tr>
            <w:tr w14:paraId="532FDA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continue"/>
                  <w:tcBorders>
                    <w:tl2br w:val="nil"/>
                    <w:tr2bl w:val="nil"/>
                  </w:tcBorders>
                  <w:noWrap w:val="0"/>
                  <w:vAlign w:val="center"/>
                </w:tcPr>
                <w:p w14:paraId="55EF7516">
                  <w:pPr>
                    <w:adjustRightInd w:val="0"/>
                    <w:snapToGrid w:val="0"/>
                    <w:jc w:val="center"/>
                    <w:rPr>
                      <w:rFonts w:hint="default" w:ascii="Times New Roman" w:hAnsi="Times New Roman" w:cs="Times New Roman"/>
                      <w:bCs/>
                      <w:color w:val="auto"/>
                      <w:szCs w:val="21"/>
                      <w:highlight w:val="none"/>
                    </w:rPr>
                  </w:pPr>
                </w:p>
              </w:tc>
              <w:tc>
                <w:tcPr>
                  <w:tcW w:w="746" w:type="pct"/>
                  <w:tcBorders>
                    <w:tl2br w:val="nil"/>
                    <w:tr2bl w:val="nil"/>
                  </w:tcBorders>
                  <w:noWrap w:val="0"/>
                  <w:vAlign w:val="center"/>
                </w:tcPr>
                <w:p w14:paraId="29456D71">
                  <w:pPr>
                    <w:adjustRightInd w:val="0"/>
                    <w:snapToGrid w:val="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废布袋</w:t>
                  </w:r>
                </w:p>
              </w:tc>
              <w:tc>
                <w:tcPr>
                  <w:tcW w:w="511" w:type="pct"/>
                  <w:tcBorders>
                    <w:tl2br w:val="nil"/>
                    <w:tr2bl w:val="nil"/>
                  </w:tcBorders>
                  <w:noWrap w:val="0"/>
                  <w:vAlign w:val="center"/>
                </w:tcPr>
                <w:p w14:paraId="47DE145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一般</w:t>
                  </w:r>
                </w:p>
                <w:p w14:paraId="48BF9B40">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固废</w:t>
                  </w:r>
                </w:p>
              </w:tc>
              <w:tc>
                <w:tcPr>
                  <w:tcW w:w="1090" w:type="pct"/>
                  <w:tcBorders>
                    <w:tl2br w:val="nil"/>
                    <w:tr2bl w:val="nil"/>
                  </w:tcBorders>
                  <w:noWrap w:val="0"/>
                  <w:vAlign w:val="center"/>
                </w:tcPr>
                <w:p w14:paraId="59F9075F">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SW59</w:t>
                  </w:r>
                </w:p>
                <w:p w14:paraId="46FEFBD9">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（900-099-S59）</w:t>
                  </w:r>
                </w:p>
              </w:tc>
              <w:tc>
                <w:tcPr>
                  <w:tcW w:w="641" w:type="pct"/>
                  <w:tcBorders>
                    <w:tl2br w:val="nil"/>
                    <w:tr2bl w:val="nil"/>
                  </w:tcBorders>
                  <w:noWrap w:val="0"/>
                  <w:vAlign w:val="center"/>
                </w:tcPr>
                <w:p w14:paraId="1EB3FE8E">
                  <w:pPr>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0.0</w:t>
                  </w:r>
                  <w:r>
                    <w:rPr>
                      <w:rFonts w:hint="eastAsia" w:cs="Times New Roman"/>
                      <w:color w:val="auto"/>
                      <w:szCs w:val="21"/>
                      <w:highlight w:val="none"/>
                      <w:lang w:val="en-US" w:eastAsia="zh-CN"/>
                    </w:rPr>
                    <w:t>48</w:t>
                  </w:r>
                </w:p>
              </w:tc>
              <w:tc>
                <w:tcPr>
                  <w:tcW w:w="745" w:type="pct"/>
                  <w:tcBorders>
                    <w:tl2br w:val="nil"/>
                    <w:tr2bl w:val="nil"/>
                  </w:tcBorders>
                  <w:noWrap w:val="0"/>
                  <w:vAlign w:val="center"/>
                </w:tcPr>
                <w:p w14:paraId="36A64E58">
                  <w:pPr>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不暂存</w:t>
                  </w:r>
                </w:p>
              </w:tc>
              <w:tc>
                <w:tcPr>
                  <w:tcW w:w="779" w:type="pct"/>
                  <w:tcBorders>
                    <w:tl2br w:val="nil"/>
                    <w:tr2bl w:val="nil"/>
                  </w:tcBorders>
                  <w:noWrap w:val="0"/>
                  <w:vAlign w:val="center"/>
                </w:tcPr>
                <w:p w14:paraId="7C72102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布袋定期由厂家更换带走，不在厂区暂存</w:t>
                  </w:r>
                </w:p>
              </w:tc>
            </w:tr>
            <w:tr w14:paraId="0B9E8B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tcBorders>
                    <w:tl2br w:val="nil"/>
                    <w:tr2bl w:val="nil"/>
                  </w:tcBorders>
                  <w:noWrap w:val="0"/>
                  <w:vAlign w:val="center"/>
                </w:tcPr>
                <w:p w14:paraId="3A8042EA">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沉淀池</w:t>
                  </w:r>
                </w:p>
              </w:tc>
              <w:tc>
                <w:tcPr>
                  <w:tcW w:w="746" w:type="pct"/>
                  <w:tcBorders>
                    <w:tl2br w:val="nil"/>
                    <w:tr2bl w:val="nil"/>
                  </w:tcBorders>
                  <w:noWrap w:val="0"/>
                  <w:vAlign w:val="center"/>
                </w:tcPr>
                <w:p w14:paraId="234CDF5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沉淀池沉渣</w:t>
                  </w:r>
                </w:p>
              </w:tc>
              <w:tc>
                <w:tcPr>
                  <w:tcW w:w="511" w:type="pct"/>
                  <w:tcBorders>
                    <w:tl2br w:val="nil"/>
                    <w:tr2bl w:val="nil"/>
                  </w:tcBorders>
                  <w:noWrap w:val="0"/>
                  <w:vAlign w:val="center"/>
                </w:tcPr>
                <w:p w14:paraId="00F7B50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一般</w:t>
                  </w:r>
                </w:p>
                <w:p w14:paraId="7E2B14C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固废</w:t>
                  </w:r>
                </w:p>
              </w:tc>
              <w:tc>
                <w:tcPr>
                  <w:tcW w:w="1090" w:type="pct"/>
                  <w:tcBorders>
                    <w:tl2br w:val="nil"/>
                    <w:tr2bl w:val="nil"/>
                  </w:tcBorders>
                  <w:noWrap w:val="0"/>
                  <w:vAlign w:val="center"/>
                </w:tcPr>
                <w:p w14:paraId="07453096">
                  <w:pPr>
                    <w:adjustRightInd w:val="0"/>
                    <w:snapToGrid w:val="0"/>
                    <w:jc w:val="center"/>
                    <w:rPr>
                      <w:rFonts w:hint="eastAsia"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SW07</w:t>
                  </w:r>
                </w:p>
                <w:p w14:paraId="15077A05">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（900-099-S07）</w:t>
                  </w:r>
                </w:p>
              </w:tc>
              <w:tc>
                <w:tcPr>
                  <w:tcW w:w="641" w:type="pct"/>
                  <w:tcBorders>
                    <w:tl2br w:val="nil"/>
                    <w:tr2bl w:val="nil"/>
                  </w:tcBorders>
                  <w:noWrap w:val="0"/>
                  <w:vAlign w:val="center"/>
                </w:tcPr>
                <w:p w14:paraId="4E0654F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69.552</w:t>
                  </w:r>
                </w:p>
              </w:tc>
              <w:tc>
                <w:tcPr>
                  <w:tcW w:w="745" w:type="pct"/>
                  <w:tcBorders>
                    <w:tl2br w:val="nil"/>
                    <w:tr2bl w:val="nil"/>
                  </w:tcBorders>
                  <w:noWrap w:val="0"/>
                  <w:vAlign w:val="center"/>
                </w:tcPr>
                <w:p w14:paraId="73C7D4E7">
                  <w:pPr>
                    <w:adjustRightInd w:val="0"/>
                    <w:snapToGrid w:val="0"/>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不暂存</w:t>
                  </w:r>
                </w:p>
              </w:tc>
              <w:tc>
                <w:tcPr>
                  <w:tcW w:w="779" w:type="pct"/>
                  <w:tcBorders>
                    <w:tl2br w:val="nil"/>
                    <w:tr2bl w:val="nil"/>
                  </w:tcBorders>
                  <w:noWrap w:val="0"/>
                  <w:vAlign w:val="center"/>
                </w:tcPr>
                <w:p w14:paraId="5E19A1F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回用于生产</w:t>
                  </w:r>
                </w:p>
              </w:tc>
            </w:tr>
            <w:tr w14:paraId="6E9D34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tcBorders>
                    <w:tl2br w:val="nil"/>
                    <w:tr2bl w:val="nil"/>
                  </w:tcBorders>
                  <w:noWrap w:val="0"/>
                  <w:vAlign w:val="center"/>
                </w:tcPr>
                <w:p w14:paraId="34AEDE6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实验室、厂区</w:t>
                  </w:r>
                </w:p>
              </w:tc>
              <w:tc>
                <w:tcPr>
                  <w:tcW w:w="746" w:type="pct"/>
                  <w:tcBorders>
                    <w:tl2br w:val="nil"/>
                    <w:tr2bl w:val="nil"/>
                  </w:tcBorders>
                  <w:noWrap w:val="0"/>
                  <w:vAlign w:val="center"/>
                </w:tcPr>
                <w:p w14:paraId="4347E39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实验室混凝土块、逸散混凝土</w:t>
                  </w:r>
                </w:p>
              </w:tc>
              <w:tc>
                <w:tcPr>
                  <w:tcW w:w="511" w:type="pct"/>
                  <w:tcBorders>
                    <w:tl2br w:val="nil"/>
                    <w:tr2bl w:val="nil"/>
                  </w:tcBorders>
                  <w:noWrap w:val="0"/>
                  <w:vAlign w:val="center"/>
                </w:tcPr>
                <w:p w14:paraId="04BD9F9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一般</w:t>
                  </w:r>
                </w:p>
                <w:p w14:paraId="241202B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固废</w:t>
                  </w:r>
                </w:p>
              </w:tc>
              <w:tc>
                <w:tcPr>
                  <w:tcW w:w="1090" w:type="pct"/>
                  <w:tcBorders>
                    <w:tl2br w:val="nil"/>
                    <w:tr2bl w:val="nil"/>
                  </w:tcBorders>
                  <w:noWrap w:val="0"/>
                  <w:vAlign w:val="center"/>
                </w:tcPr>
                <w:p w14:paraId="46AE41CC">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SW59</w:t>
                  </w:r>
                </w:p>
                <w:p w14:paraId="150BD335">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（900-099-S59）</w:t>
                  </w:r>
                </w:p>
              </w:tc>
              <w:tc>
                <w:tcPr>
                  <w:tcW w:w="641" w:type="pct"/>
                  <w:tcBorders>
                    <w:tl2br w:val="nil"/>
                    <w:tr2bl w:val="nil"/>
                  </w:tcBorders>
                  <w:noWrap w:val="0"/>
                  <w:vAlign w:val="center"/>
                </w:tcPr>
                <w:p w14:paraId="0D31A63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745" w:type="pct"/>
                  <w:tcBorders>
                    <w:tl2br w:val="nil"/>
                    <w:tr2bl w:val="nil"/>
                  </w:tcBorders>
                  <w:noWrap w:val="0"/>
                  <w:vAlign w:val="center"/>
                </w:tcPr>
                <w:p w14:paraId="533879B9">
                  <w:pPr>
                    <w:adjustRightInd w:val="0"/>
                    <w:snapToGrid w:val="0"/>
                    <w:jc w:val="center"/>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石</w:t>
                  </w:r>
                  <w:r>
                    <w:rPr>
                      <w:rFonts w:hint="default" w:ascii="Times New Roman" w:hAnsi="Times New Roman" w:cs="Times New Roman"/>
                      <w:color w:val="auto"/>
                      <w:szCs w:val="21"/>
                      <w:highlight w:val="none"/>
                    </w:rPr>
                    <w:t>料棚</w:t>
                  </w:r>
                  <w:r>
                    <w:rPr>
                      <w:rFonts w:hint="eastAsia" w:cs="Times New Roman"/>
                      <w:color w:val="auto"/>
                      <w:szCs w:val="21"/>
                      <w:highlight w:val="none"/>
                      <w:lang w:val="en-US" w:eastAsia="zh-CN"/>
                    </w:rPr>
                    <w:t>中一般固废暂存区</w:t>
                  </w:r>
                  <w:r>
                    <w:rPr>
                      <w:rFonts w:hint="default" w:ascii="Times New Roman" w:hAnsi="Times New Roman" w:cs="Times New Roman"/>
                      <w:color w:val="auto"/>
                      <w:szCs w:val="21"/>
                      <w:highlight w:val="none"/>
                    </w:rPr>
                    <w:t>暂存</w:t>
                  </w:r>
                </w:p>
              </w:tc>
              <w:tc>
                <w:tcPr>
                  <w:tcW w:w="779" w:type="pct"/>
                  <w:tcBorders>
                    <w:tl2br w:val="nil"/>
                    <w:tr2bl w:val="nil"/>
                  </w:tcBorders>
                  <w:noWrap w:val="0"/>
                  <w:vAlign w:val="center"/>
                </w:tcPr>
                <w:p w14:paraId="67B5812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集中收集在石料库一般固废暂存区中暂存，再回用于生产</w:t>
                  </w:r>
                </w:p>
              </w:tc>
            </w:tr>
            <w:tr w14:paraId="14CA99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tcBorders>
                    <w:tl2br w:val="nil"/>
                    <w:tr2bl w:val="nil"/>
                  </w:tcBorders>
                  <w:noWrap w:val="0"/>
                  <w:vAlign w:val="center"/>
                </w:tcPr>
                <w:p w14:paraId="21DD9A4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职工</w:t>
                  </w:r>
                </w:p>
              </w:tc>
              <w:tc>
                <w:tcPr>
                  <w:tcW w:w="746" w:type="pct"/>
                  <w:tcBorders>
                    <w:tl2br w:val="nil"/>
                    <w:tr2bl w:val="nil"/>
                  </w:tcBorders>
                  <w:noWrap w:val="0"/>
                  <w:vAlign w:val="center"/>
                </w:tcPr>
                <w:p w14:paraId="451626B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生活垃圾</w:t>
                  </w:r>
                </w:p>
              </w:tc>
              <w:tc>
                <w:tcPr>
                  <w:tcW w:w="511" w:type="pct"/>
                  <w:tcBorders>
                    <w:tl2br w:val="nil"/>
                    <w:tr2bl w:val="nil"/>
                  </w:tcBorders>
                  <w:noWrap w:val="0"/>
                  <w:vAlign w:val="center"/>
                </w:tcPr>
                <w:p w14:paraId="5CF13DF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生活</w:t>
                  </w:r>
                </w:p>
                <w:p w14:paraId="7F34E406">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垃圾</w:t>
                  </w:r>
                </w:p>
              </w:tc>
              <w:tc>
                <w:tcPr>
                  <w:tcW w:w="1090" w:type="pct"/>
                  <w:tcBorders>
                    <w:tl2br w:val="nil"/>
                    <w:tr2bl w:val="nil"/>
                  </w:tcBorders>
                  <w:noWrap w:val="0"/>
                  <w:vAlign w:val="center"/>
                </w:tcPr>
                <w:p w14:paraId="61F97F9D">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SW64</w:t>
                  </w:r>
                </w:p>
                <w:p w14:paraId="2C12AE3D">
                  <w:pPr>
                    <w:adjustRightInd w:val="0"/>
                    <w:snapToGrid w:val="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（900-099-S64）</w:t>
                  </w:r>
                </w:p>
              </w:tc>
              <w:tc>
                <w:tcPr>
                  <w:tcW w:w="641" w:type="pct"/>
                  <w:tcBorders>
                    <w:tl2br w:val="nil"/>
                    <w:tr2bl w:val="nil"/>
                  </w:tcBorders>
                  <w:noWrap w:val="0"/>
                  <w:vAlign w:val="center"/>
                </w:tcPr>
                <w:p w14:paraId="1AF2601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eastAsia" w:cs="Times New Roman"/>
                      <w:color w:val="auto"/>
                      <w:szCs w:val="21"/>
                      <w:highlight w:val="none"/>
                      <w:lang w:val="en-US" w:eastAsia="zh-CN"/>
                    </w:rPr>
                    <w:t>2</w:t>
                  </w:r>
                </w:p>
              </w:tc>
              <w:tc>
                <w:tcPr>
                  <w:tcW w:w="745" w:type="pct"/>
                  <w:tcBorders>
                    <w:tl2br w:val="nil"/>
                    <w:tr2bl w:val="nil"/>
                  </w:tcBorders>
                  <w:noWrap w:val="0"/>
                  <w:vAlign w:val="center"/>
                </w:tcPr>
                <w:p w14:paraId="7F868C1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垃圾桶</w:t>
                  </w:r>
                </w:p>
              </w:tc>
              <w:tc>
                <w:tcPr>
                  <w:tcW w:w="779" w:type="pct"/>
                  <w:tcBorders>
                    <w:tl2br w:val="nil"/>
                    <w:tr2bl w:val="nil"/>
                  </w:tcBorders>
                  <w:noWrap w:val="0"/>
                  <w:vAlign w:val="center"/>
                </w:tcPr>
                <w:p w14:paraId="587CE21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统一收集于有盖垃圾箱内，委托环卫部门定期处理。</w:t>
                  </w:r>
                </w:p>
              </w:tc>
            </w:tr>
            <w:tr w14:paraId="70585F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restart"/>
                  <w:tcBorders>
                    <w:tl2br w:val="nil"/>
                    <w:tr2bl w:val="nil"/>
                  </w:tcBorders>
                  <w:noWrap w:val="0"/>
                  <w:vAlign w:val="center"/>
                </w:tcPr>
                <w:p w14:paraId="0041040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设备检修、维护</w:t>
                  </w:r>
                </w:p>
              </w:tc>
              <w:tc>
                <w:tcPr>
                  <w:tcW w:w="746" w:type="pct"/>
                  <w:tcBorders>
                    <w:tl2br w:val="nil"/>
                    <w:tr2bl w:val="nil"/>
                  </w:tcBorders>
                  <w:noWrap w:val="0"/>
                  <w:vAlign w:val="center"/>
                </w:tcPr>
                <w:p w14:paraId="15283242">
                  <w:pPr>
                    <w:adjustRightInd w:val="0"/>
                    <w:snapToGrid w:val="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废矿物油</w:t>
                  </w:r>
                </w:p>
              </w:tc>
              <w:tc>
                <w:tcPr>
                  <w:tcW w:w="511" w:type="pct"/>
                  <w:tcBorders>
                    <w:tl2br w:val="nil"/>
                    <w:tr2bl w:val="nil"/>
                  </w:tcBorders>
                  <w:noWrap w:val="0"/>
                  <w:vAlign w:val="center"/>
                </w:tcPr>
                <w:p w14:paraId="4ABA2B87">
                  <w:pPr>
                    <w:adjustRightInd w:val="0"/>
                    <w:snapToGrid w:val="0"/>
                    <w:jc w:val="center"/>
                    <w:rPr>
                      <w:rFonts w:hint="eastAsia" w:cs="Times New Roman"/>
                      <w:bCs/>
                      <w:color w:val="auto"/>
                      <w:szCs w:val="21"/>
                      <w:highlight w:val="none"/>
                      <w:lang w:val="en-US" w:eastAsia="zh-CN"/>
                    </w:rPr>
                  </w:pPr>
                  <w:r>
                    <w:rPr>
                      <w:rFonts w:hint="eastAsia" w:cs="Times New Roman"/>
                      <w:bCs/>
                      <w:color w:val="auto"/>
                      <w:szCs w:val="21"/>
                      <w:highlight w:val="none"/>
                      <w:lang w:val="en-US" w:eastAsia="zh-CN"/>
                    </w:rPr>
                    <w:t>危险</w:t>
                  </w:r>
                </w:p>
                <w:p w14:paraId="5B0BE37E">
                  <w:pPr>
                    <w:adjustRightInd w:val="0"/>
                    <w:snapToGrid w:val="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废物</w:t>
                  </w:r>
                </w:p>
              </w:tc>
              <w:tc>
                <w:tcPr>
                  <w:tcW w:w="1090" w:type="pct"/>
                  <w:tcBorders>
                    <w:tl2br w:val="nil"/>
                    <w:tr2bl w:val="nil"/>
                  </w:tcBorders>
                  <w:noWrap w:val="0"/>
                  <w:vAlign w:val="center"/>
                </w:tcPr>
                <w:p w14:paraId="29860BD6">
                  <w:pPr>
                    <w:adjustRightInd w:val="0"/>
                    <w:snapToGrid w:val="0"/>
                    <w:jc w:val="center"/>
                    <w:rPr>
                      <w:rFonts w:hint="eastAsia" w:cs="Times New Roman"/>
                      <w:color w:val="auto"/>
                      <w:szCs w:val="21"/>
                      <w:highlight w:val="none"/>
                      <w:lang w:val="en-US" w:eastAsia="zh-CN"/>
                    </w:rPr>
                  </w:pPr>
                  <w:r>
                    <w:rPr>
                      <w:rFonts w:hint="eastAsia"/>
                      <w:color w:val="auto"/>
                      <w:kern w:val="0"/>
                      <w:szCs w:val="21"/>
                      <w:highlight w:val="none"/>
                    </w:rPr>
                    <w:t>HW08</w:t>
                  </w:r>
                  <w:r>
                    <w:rPr>
                      <w:rFonts w:hint="eastAsia"/>
                      <w:color w:val="auto"/>
                      <w:kern w:val="0"/>
                      <w:szCs w:val="21"/>
                      <w:highlight w:val="none"/>
                      <w:lang w:eastAsia="zh-CN"/>
                    </w:rPr>
                    <w:t>（</w:t>
                  </w:r>
                  <w:r>
                    <w:rPr>
                      <w:color w:val="auto"/>
                      <w:szCs w:val="21"/>
                      <w:highlight w:val="none"/>
                    </w:rPr>
                    <w:t>900</w:t>
                  </w:r>
                  <w:r>
                    <w:rPr>
                      <w:rFonts w:hint="eastAsia"/>
                      <w:color w:val="auto"/>
                      <w:szCs w:val="21"/>
                      <w:highlight w:val="none"/>
                    </w:rPr>
                    <w:t>-</w:t>
                  </w:r>
                  <w:r>
                    <w:rPr>
                      <w:color w:val="auto"/>
                      <w:szCs w:val="21"/>
                      <w:highlight w:val="none"/>
                    </w:rPr>
                    <w:t>21</w:t>
                  </w:r>
                  <w:r>
                    <w:rPr>
                      <w:rFonts w:hint="eastAsia"/>
                      <w:color w:val="auto"/>
                      <w:szCs w:val="21"/>
                      <w:highlight w:val="none"/>
                    </w:rPr>
                    <w:t>7-</w:t>
                  </w:r>
                  <w:r>
                    <w:rPr>
                      <w:color w:val="auto"/>
                      <w:szCs w:val="21"/>
                      <w:highlight w:val="none"/>
                    </w:rPr>
                    <w:t>08</w:t>
                  </w:r>
                  <w:r>
                    <w:rPr>
                      <w:rFonts w:hint="eastAsia"/>
                      <w:color w:val="auto"/>
                      <w:kern w:val="0"/>
                      <w:szCs w:val="21"/>
                      <w:highlight w:val="none"/>
                      <w:lang w:eastAsia="zh-CN"/>
                    </w:rPr>
                    <w:t>）</w:t>
                  </w:r>
                </w:p>
              </w:tc>
              <w:tc>
                <w:tcPr>
                  <w:tcW w:w="641" w:type="pct"/>
                  <w:tcBorders>
                    <w:tl2br w:val="nil"/>
                    <w:tr2bl w:val="nil"/>
                  </w:tcBorders>
                  <w:noWrap w:val="0"/>
                  <w:vAlign w:val="center"/>
                </w:tcPr>
                <w:p w14:paraId="69D80A7D">
                  <w:pPr>
                    <w:adjustRightInd w:val="0"/>
                    <w:snapToGrid w:val="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w:t>
                  </w:r>
                </w:p>
              </w:tc>
              <w:tc>
                <w:tcPr>
                  <w:tcW w:w="745" w:type="pct"/>
                  <w:vMerge w:val="restart"/>
                  <w:tcBorders>
                    <w:tl2br w:val="nil"/>
                    <w:tr2bl w:val="nil"/>
                  </w:tcBorders>
                  <w:noWrap w:val="0"/>
                  <w:vAlign w:val="center"/>
                </w:tcPr>
                <w:p w14:paraId="04329C5A">
                  <w:pPr>
                    <w:adjustRightInd w:val="0"/>
                    <w:snapToGrid w:val="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危废暂存间</w:t>
                  </w:r>
                </w:p>
              </w:tc>
              <w:tc>
                <w:tcPr>
                  <w:tcW w:w="779" w:type="pct"/>
                  <w:vMerge w:val="restart"/>
                  <w:tcBorders>
                    <w:tl2br w:val="nil"/>
                    <w:tr2bl w:val="nil"/>
                  </w:tcBorders>
                  <w:noWrap w:val="0"/>
                  <w:vAlign w:val="center"/>
                </w:tcPr>
                <w:p w14:paraId="5DC894B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交由具有危险废物处理资质的公司处理</w:t>
                  </w:r>
                </w:p>
              </w:tc>
            </w:tr>
            <w:tr w14:paraId="411E26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continue"/>
                  <w:tcBorders>
                    <w:tl2br w:val="nil"/>
                    <w:tr2bl w:val="nil"/>
                  </w:tcBorders>
                  <w:noWrap w:val="0"/>
                  <w:vAlign w:val="center"/>
                </w:tcPr>
                <w:p w14:paraId="6C5037D6">
                  <w:pPr>
                    <w:adjustRightInd w:val="0"/>
                    <w:snapToGrid w:val="0"/>
                    <w:jc w:val="center"/>
                    <w:rPr>
                      <w:rFonts w:hint="default" w:ascii="Times New Roman" w:hAnsi="Times New Roman" w:cs="Times New Roman"/>
                      <w:bCs/>
                      <w:color w:val="auto"/>
                      <w:szCs w:val="21"/>
                      <w:highlight w:val="none"/>
                    </w:rPr>
                  </w:pPr>
                </w:p>
              </w:tc>
              <w:tc>
                <w:tcPr>
                  <w:tcW w:w="746" w:type="pct"/>
                  <w:tcBorders>
                    <w:tl2br w:val="nil"/>
                    <w:tr2bl w:val="nil"/>
                  </w:tcBorders>
                  <w:noWrap w:val="0"/>
                  <w:vAlign w:val="center"/>
                </w:tcPr>
                <w:p w14:paraId="0C7BA558">
                  <w:pPr>
                    <w:adjustRightInd w:val="0"/>
                    <w:snapToGrid w:val="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废油桶</w:t>
                  </w:r>
                </w:p>
              </w:tc>
              <w:tc>
                <w:tcPr>
                  <w:tcW w:w="511" w:type="pct"/>
                  <w:tcBorders>
                    <w:tl2br w:val="nil"/>
                    <w:tr2bl w:val="nil"/>
                  </w:tcBorders>
                  <w:noWrap w:val="0"/>
                  <w:vAlign w:val="center"/>
                </w:tcPr>
                <w:p w14:paraId="4A552174">
                  <w:pPr>
                    <w:adjustRightInd w:val="0"/>
                    <w:snapToGrid w:val="0"/>
                    <w:jc w:val="center"/>
                    <w:rPr>
                      <w:rFonts w:hint="default" w:ascii="Times New Roman" w:hAnsi="Times New Roman" w:cs="Times New Roman"/>
                      <w:bCs/>
                      <w:color w:val="auto"/>
                      <w:szCs w:val="21"/>
                      <w:highlight w:val="none"/>
                    </w:rPr>
                  </w:pPr>
                  <w:r>
                    <w:rPr>
                      <w:rFonts w:hint="eastAsia" w:cs="Times New Roman"/>
                      <w:bCs/>
                      <w:color w:val="auto"/>
                      <w:szCs w:val="21"/>
                      <w:highlight w:val="none"/>
                      <w:lang w:val="en-US" w:eastAsia="zh-CN"/>
                    </w:rPr>
                    <w:t>危险废物</w:t>
                  </w:r>
                </w:p>
              </w:tc>
              <w:tc>
                <w:tcPr>
                  <w:tcW w:w="1090" w:type="pct"/>
                  <w:tcBorders>
                    <w:tl2br w:val="nil"/>
                    <w:tr2bl w:val="nil"/>
                  </w:tcBorders>
                  <w:noWrap w:val="0"/>
                  <w:vAlign w:val="center"/>
                </w:tcPr>
                <w:p w14:paraId="7E7411C6">
                  <w:pPr>
                    <w:adjustRightInd w:val="0"/>
                    <w:snapToGrid w:val="0"/>
                    <w:jc w:val="center"/>
                    <w:rPr>
                      <w:rFonts w:hint="eastAsia" w:eastAsia="宋体"/>
                      <w:color w:val="auto"/>
                      <w:kern w:val="0"/>
                      <w:szCs w:val="21"/>
                      <w:highlight w:val="none"/>
                      <w:lang w:val="en-US" w:eastAsia="zh-CN"/>
                    </w:rPr>
                  </w:pPr>
                  <w:r>
                    <w:rPr>
                      <w:rFonts w:hint="eastAsia"/>
                      <w:color w:val="auto"/>
                      <w:kern w:val="0"/>
                      <w:szCs w:val="21"/>
                      <w:highlight w:val="none"/>
                    </w:rPr>
                    <w:t>HW08</w:t>
                  </w:r>
                  <w:r>
                    <w:rPr>
                      <w:rFonts w:hint="eastAsia"/>
                      <w:color w:val="auto"/>
                      <w:kern w:val="0"/>
                      <w:szCs w:val="21"/>
                      <w:highlight w:val="none"/>
                      <w:lang w:eastAsia="zh-CN"/>
                    </w:rPr>
                    <w:t>（900-249-08）</w:t>
                  </w:r>
                </w:p>
              </w:tc>
              <w:tc>
                <w:tcPr>
                  <w:tcW w:w="641" w:type="pct"/>
                  <w:tcBorders>
                    <w:tl2br w:val="nil"/>
                    <w:tr2bl w:val="nil"/>
                  </w:tcBorders>
                  <w:noWrap w:val="0"/>
                  <w:vAlign w:val="center"/>
                </w:tcPr>
                <w:p w14:paraId="51462A16">
                  <w:pPr>
                    <w:adjustRightInd w:val="0"/>
                    <w:snapToGrid w:val="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0.5</w:t>
                  </w:r>
                </w:p>
              </w:tc>
              <w:tc>
                <w:tcPr>
                  <w:tcW w:w="745" w:type="pct"/>
                  <w:vMerge w:val="continue"/>
                  <w:tcBorders>
                    <w:tl2br w:val="nil"/>
                    <w:tr2bl w:val="nil"/>
                  </w:tcBorders>
                  <w:noWrap w:val="0"/>
                  <w:vAlign w:val="center"/>
                </w:tcPr>
                <w:p w14:paraId="12405092">
                  <w:pPr>
                    <w:adjustRightInd w:val="0"/>
                    <w:snapToGrid w:val="0"/>
                    <w:jc w:val="center"/>
                    <w:rPr>
                      <w:rFonts w:hint="default" w:ascii="Times New Roman" w:hAnsi="Times New Roman" w:cs="Times New Roman"/>
                      <w:color w:val="auto"/>
                      <w:szCs w:val="21"/>
                      <w:highlight w:val="none"/>
                    </w:rPr>
                  </w:pPr>
                </w:p>
              </w:tc>
              <w:tc>
                <w:tcPr>
                  <w:tcW w:w="779" w:type="pct"/>
                  <w:vMerge w:val="continue"/>
                  <w:tcBorders>
                    <w:tl2br w:val="nil"/>
                    <w:tr2bl w:val="nil"/>
                  </w:tcBorders>
                  <w:noWrap w:val="0"/>
                  <w:vAlign w:val="center"/>
                </w:tcPr>
                <w:p w14:paraId="077D6048">
                  <w:pPr>
                    <w:adjustRightInd w:val="0"/>
                    <w:snapToGrid w:val="0"/>
                    <w:jc w:val="center"/>
                    <w:rPr>
                      <w:rFonts w:hint="default" w:ascii="Times New Roman" w:hAnsi="Times New Roman" w:cs="Times New Roman"/>
                      <w:color w:val="auto"/>
                      <w:szCs w:val="21"/>
                      <w:highlight w:val="none"/>
                    </w:rPr>
                  </w:pPr>
                </w:p>
              </w:tc>
            </w:tr>
            <w:tr w14:paraId="303F33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5" w:type="pct"/>
                  <w:vMerge w:val="continue"/>
                  <w:tcBorders>
                    <w:tl2br w:val="nil"/>
                    <w:tr2bl w:val="nil"/>
                  </w:tcBorders>
                  <w:noWrap w:val="0"/>
                  <w:vAlign w:val="center"/>
                </w:tcPr>
                <w:p w14:paraId="349CD934">
                  <w:pPr>
                    <w:adjustRightInd w:val="0"/>
                    <w:snapToGrid w:val="0"/>
                    <w:jc w:val="center"/>
                    <w:rPr>
                      <w:rFonts w:hint="default" w:ascii="Times New Roman" w:hAnsi="Times New Roman" w:cs="Times New Roman"/>
                      <w:bCs/>
                      <w:color w:val="auto"/>
                      <w:szCs w:val="21"/>
                      <w:highlight w:val="none"/>
                    </w:rPr>
                  </w:pPr>
                </w:p>
              </w:tc>
              <w:tc>
                <w:tcPr>
                  <w:tcW w:w="746" w:type="pct"/>
                  <w:tcBorders>
                    <w:tl2br w:val="nil"/>
                    <w:tr2bl w:val="nil"/>
                  </w:tcBorders>
                  <w:noWrap w:val="0"/>
                  <w:vAlign w:val="center"/>
                </w:tcPr>
                <w:p w14:paraId="41C75E0D">
                  <w:pPr>
                    <w:adjustRightInd w:val="0"/>
                    <w:snapToGrid w:val="0"/>
                    <w:jc w:val="center"/>
                    <w:rPr>
                      <w:rFonts w:hint="eastAsia" w:cs="Times New Roman"/>
                      <w:bCs/>
                      <w:color w:val="auto"/>
                      <w:szCs w:val="21"/>
                      <w:highlight w:val="none"/>
                      <w:lang w:val="en-US" w:eastAsia="zh-CN"/>
                    </w:rPr>
                  </w:pPr>
                  <w:r>
                    <w:rPr>
                      <w:rFonts w:hint="eastAsia" w:cs="Times New Roman"/>
                      <w:bCs/>
                      <w:color w:val="auto"/>
                      <w:szCs w:val="21"/>
                      <w:highlight w:val="yellow"/>
                      <w:lang w:val="en-US" w:eastAsia="zh-CN"/>
                    </w:rPr>
                    <w:t>含油废手套、废抹布</w:t>
                  </w:r>
                </w:p>
              </w:tc>
              <w:tc>
                <w:tcPr>
                  <w:tcW w:w="511" w:type="pct"/>
                  <w:tcBorders>
                    <w:tl2br w:val="nil"/>
                    <w:tr2bl w:val="nil"/>
                  </w:tcBorders>
                  <w:noWrap w:val="0"/>
                  <w:vAlign w:val="center"/>
                </w:tcPr>
                <w:p w14:paraId="7225E8C1">
                  <w:pPr>
                    <w:adjustRightInd w:val="0"/>
                    <w:snapToGrid w:val="0"/>
                    <w:jc w:val="center"/>
                    <w:rPr>
                      <w:rFonts w:hint="eastAsia" w:cs="Times New Roman"/>
                      <w:bCs/>
                      <w:color w:val="auto"/>
                      <w:szCs w:val="21"/>
                      <w:highlight w:val="none"/>
                      <w:lang w:val="en-US" w:eastAsia="zh-CN"/>
                    </w:rPr>
                  </w:pPr>
                  <w:r>
                    <w:rPr>
                      <w:rFonts w:hint="eastAsia" w:cs="Times New Roman"/>
                      <w:bCs/>
                      <w:color w:val="auto"/>
                      <w:szCs w:val="21"/>
                      <w:highlight w:val="yellow"/>
                      <w:lang w:val="en-US" w:eastAsia="zh-CN"/>
                    </w:rPr>
                    <w:t>危险废物</w:t>
                  </w:r>
                </w:p>
              </w:tc>
              <w:tc>
                <w:tcPr>
                  <w:tcW w:w="1090" w:type="pct"/>
                  <w:tcBorders>
                    <w:tl2br w:val="nil"/>
                    <w:tr2bl w:val="nil"/>
                  </w:tcBorders>
                  <w:noWrap w:val="0"/>
                  <w:vAlign w:val="center"/>
                </w:tcPr>
                <w:p w14:paraId="72A5128F">
                  <w:pPr>
                    <w:adjustRightInd w:val="0"/>
                    <w:snapToGrid w:val="0"/>
                    <w:jc w:val="center"/>
                    <w:rPr>
                      <w:rFonts w:hint="eastAsia"/>
                      <w:color w:val="auto"/>
                      <w:kern w:val="0"/>
                      <w:szCs w:val="21"/>
                      <w:highlight w:val="yellow"/>
                    </w:rPr>
                  </w:pPr>
                  <w:r>
                    <w:rPr>
                      <w:rFonts w:hint="eastAsia"/>
                      <w:color w:val="auto"/>
                      <w:kern w:val="0"/>
                      <w:szCs w:val="21"/>
                      <w:highlight w:val="yellow"/>
                    </w:rPr>
                    <w:t>HW49</w:t>
                  </w:r>
                </w:p>
                <w:p w14:paraId="2D02B5B6">
                  <w:pPr>
                    <w:adjustRightInd w:val="0"/>
                    <w:snapToGrid w:val="0"/>
                    <w:jc w:val="center"/>
                    <w:rPr>
                      <w:rFonts w:hint="eastAsia"/>
                      <w:color w:val="auto"/>
                      <w:kern w:val="0"/>
                      <w:szCs w:val="21"/>
                      <w:highlight w:val="none"/>
                    </w:rPr>
                  </w:pPr>
                  <w:r>
                    <w:rPr>
                      <w:rFonts w:hint="eastAsia"/>
                      <w:color w:val="auto"/>
                      <w:kern w:val="0"/>
                      <w:szCs w:val="21"/>
                      <w:highlight w:val="yellow"/>
                      <w:lang w:eastAsia="zh-CN"/>
                    </w:rPr>
                    <w:t>（</w:t>
                  </w:r>
                  <w:r>
                    <w:rPr>
                      <w:rFonts w:hint="eastAsia"/>
                      <w:color w:val="auto"/>
                      <w:szCs w:val="21"/>
                      <w:highlight w:val="yellow"/>
                    </w:rPr>
                    <w:t>900-041-49</w:t>
                  </w:r>
                  <w:r>
                    <w:rPr>
                      <w:rFonts w:hint="eastAsia"/>
                      <w:color w:val="auto"/>
                      <w:kern w:val="0"/>
                      <w:szCs w:val="21"/>
                      <w:highlight w:val="yellow"/>
                      <w:lang w:eastAsia="zh-CN"/>
                    </w:rPr>
                    <w:t>）</w:t>
                  </w:r>
                </w:p>
              </w:tc>
              <w:tc>
                <w:tcPr>
                  <w:tcW w:w="641" w:type="pct"/>
                  <w:tcBorders>
                    <w:tl2br w:val="nil"/>
                    <w:tr2bl w:val="nil"/>
                  </w:tcBorders>
                  <w:noWrap w:val="0"/>
                  <w:vAlign w:val="center"/>
                </w:tcPr>
                <w:p w14:paraId="4F5A9CB6">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yellow"/>
                      <w:lang w:val="en-US" w:eastAsia="zh-CN"/>
                    </w:rPr>
                    <w:t>0.1</w:t>
                  </w:r>
                </w:p>
              </w:tc>
              <w:tc>
                <w:tcPr>
                  <w:tcW w:w="745" w:type="pct"/>
                  <w:vMerge w:val="continue"/>
                  <w:tcBorders>
                    <w:tl2br w:val="nil"/>
                    <w:tr2bl w:val="nil"/>
                  </w:tcBorders>
                  <w:noWrap w:val="0"/>
                  <w:vAlign w:val="center"/>
                </w:tcPr>
                <w:p w14:paraId="2FEB9593">
                  <w:pPr>
                    <w:adjustRightInd w:val="0"/>
                    <w:snapToGrid w:val="0"/>
                    <w:jc w:val="center"/>
                    <w:rPr>
                      <w:rFonts w:hint="default" w:ascii="Times New Roman" w:hAnsi="Times New Roman" w:cs="Times New Roman"/>
                      <w:color w:val="auto"/>
                      <w:szCs w:val="21"/>
                      <w:highlight w:val="none"/>
                    </w:rPr>
                  </w:pPr>
                </w:p>
              </w:tc>
              <w:tc>
                <w:tcPr>
                  <w:tcW w:w="779" w:type="pct"/>
                  <w:vMerge w:val="continue"/>
                  <w:tcBorders>
                    <w:tl2br w:val="nil"/>
                    <w:tr2bl w:val="nil"/>
                  </w:tcBorders>
                  <w:noWrap w:val="0"/>
                  <w:vAlign w:val="center"/>
                </w:tcPr>
                <w:p w14:paraId="5D966A14">
                  <w:pPr>
                    <w:adjustRightInd w:val="0"/>
                    <w:snapToGrid w:val="0"/>
                    <w:jc w:val="center"/>
                    <w:rPr>
                      <w:rFonts w:hint="default" w:ascii="Times New Roman" w:hAnsi="Times New Roman" w:cs="Times New Roman"/>
                      <w:color w:val="auto"/>
                      <w:szCs w:val="21"/>
                      <w:highlight w:val="none"/>
                    </w:rPr>
                  </w:pPr>
                </w:p>
              </w:tc>
            </w:tr>
          </w:tbl>
          <w:p w14:paraId="6297962B">
            <w:pPr>
              <w:pStyle w:val="7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kern w:val="2"/>
                <w:sz w:val="24"/>
                <w:highlight w:val="none"/>
              </w:rPr>
              <w:t>2、固体废物管理要求</w:t>
            </w:r>
          </w:p>
          <w:p w14:paraId="13457104">
            <w:pPr>
              <w:pStyle w:val="7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b/>
                <w:bCs/>
                <w:color w:val="auto"/>
                <w:kern w:val="2"/>
                <w:sz w:val="24"/>
                <w:highlight w:val="none"/>
              </w:rPr>
              <w:t>（1）一般固废</w:t>
            </w:r>
          </w:p>
          <w:p w14:paraId="5CFAFD62">
            <w:pPr>
              <w:pStyle w:val="70"/>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cs="Times New Roman"/>
                <w:b w:val="0"/>
                <w:bCs w:val="0"/>
                <w:color w:val="auto"/>
                <w:sz w:val="24"/>
                <w:highlight w:val="none"/>
                <w:lang w:val="en-US" w:eastAsia="zh-CN"/>
              </w:rPr>
            </w:pPr>
            <w:r>
              <w:rPr>
                <w:rFonts w:hint="eastAsia"/>
                <w:b/>
                <w:bCs/>
                <w:color w:val="auto"/>
                <w:kern w:val="2"/>
                <w:sz w:val="24"/>
                <w:highlight w:val="none"/>
                <w:lang w:val="en-US" w:eastAsia="zh-CN"/>
              </w:rPr>
              <w:t>①一</w:t>
            </w:r>
            <w:r>
              <w:rPr>
                <w:rFonts w:hint="eastAsia"/>
                <w:b/>
                <w:bCs/>
                <w:color w:val="auto"/>
                <w:kern w:val="2"/>
                <w:sz w:val="24"/>
                <w:highlight w:val="none"/>
              </w:rPr>
              <w:t>般固废暂存区建设方案</w:t>
            </w:r>
          </w:p>
          <w:p w14:paraId="01879778">
            <w:pPr>
              <w:pStyle w:val="70"/>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cs="Times New Roman"/>
                <w:b w:val="0"/>
                <w:bCs w:val="0"/>
                <w:color w:val="auto"/>
                <w:sz w:val="24"/>
                <w:highlight w:val="none"/>
                <w:lang w:val="en-US" w:eastAsia="zh-CN"/>
              </w:rPr>
              <w:t>本项目运营期产生的一般固废中，</w:t>
            </w:r>
            <w:r>
              <w:rPr>
                <w:rFonts w:hint="default" w:ascii="Times New Roman" w:hAnsi="Times New Roman" w:cs="Times New Roman"/>
                <w:color w:val="auto"/>
                <w:sz w:val="24"/>
                <w:highlight w:val="none"/>
              </w:rPr>
              <w:t>除尘灰</w:t>
            </w:r>
            <w:r>
              <w:rPr>
                <w:rFonts w:hint="eastAsia" w:cs="Times New Roman"/>
                <w:color w:val="auto"/>
                <w:sz w:val="24"/>
                <w:highlight w:val="none"/>
                <w:lang w:val="en-US" w:eastAsia="zh-CN"/>
              </w:rPr>
              <w:t>可</w:t>
            </w:r>
            <w:r>
              <w:rPr>
                <w:rFonts w:hint="default" w:ascii="Times New Roman" w:hAnsi="Times New Roman" w:cs="Times New Roman"/>
                <w:color w:val="auto"/>
                <w:sz w:val="24"/>
                <w:highlight w:val="none"/>
              </w:rPr>
              <w:t>直接回落至</w:t>
            </w:r>
            <w:r>
              <w:rPr>
                <w:rFonts w:hint="eastAsia" w:cs="Times New Roman"/>
                <w:color w:val="auto"/>
                <w:sz w:val="24"/>
                <w:highlight w:val="none"/>
                <w:lang w:val="en-US" w:eastAsia="zh-CN"/>
              </w:rPr>
              <w:t>各</w:t>
            </w:r>
            <w:r>
              <w:rPr>
                <w:rFonts w:hint="default" w:ascii="Times New Roman" w:hAnsi="Times New Roman" w:cs="Times New Roman"/>
                <w:color w:val="auto"/>
                <w:sz w:val="24"/>
                <w:highlight w:val="none"/>
              </w:rPr>
              <w:t>筒仓内</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回用于生产，不外排</w:t>
            </w:r>
            <w:r>
              <w:rPr>
                <w:rFonts w:hint="eastAsia" w:ascii="Times New Roman" w:hAnsi="Times New Roman" w:cs="Times New Roman"/>
                <w:color w:val="auto"/>
                <w:sz w:val="24"/>
                <w:highlight w:val="none"/>
                <w:lang w:eastAsia="zh-CN"/>
              </w:rPr>
              <w:t>；</w:t>
            </w:r>
            <w:r>
              <w:rPr>
                <w:rFonts w:hint="eastAsia" w:cs="Times New Roman"/>
                <w:color w:val="auto"/>
                <w:spacing w:val="-2"/>
                <w:sz w:val="24"/>
                <w:highlight w:val="none"/>
                <w:lang w:val="en-US" w:eastAsia="zh-CN"/>
              </w:rPr>
              <w:t>废</w:t>
            </w:r>
            <w:r>
              <w:rPr>
                <w:rFonts w:hint="eastAsia" w:ascii="Times New Roman" w:hAnsi="Times New Roman" w:eastAsia="宋体" w:cs="Times New Roman"/>
                <w:color w:val="auto"/>
                <w:spacing w:val="-2"/>
                <w:sz w:val="24"/>
                <w:highlight w:val="none"/>
                <w:lang w:val="en-US" w:eastAsia="zh-CN"/>
              </w:rPr>
              <w:t>布袋定期由厂家更换带走，不在厂区暂存。</w:t>
            </w:r>
            <w:r>
              <w:rPr>
                <w:rFonts w:hint="default" w:ascii="Times New Roman" w:hAnsi="Times New Roman" w:cs="Times New Roman"/>
                <w:color w:val="auto"/>
                <w:sz w:val="24"/>
                <w:highlight w:val="none"/>
              </w:rPr>
              <w:t>沉淀池沉渣</w:t>
            </w:r>
            <w:r>
              <w:rPr>
                <w:rFonts w:hint="eastAsia" w:ascii="Times New Roman" w:hAnsi="Times New Roman" w:cs="Times New Roman"/>
                <w:color w:val="auto"/>
                <w:sz w:val="24"/>
                <w:highlight w:val="none"/>
                <w:lang w:val="en-US" w:eastAsia="zh-CN"/>
              </w:rPr>
              <w:t>作为混凝土生产的主要原辅料，</w:t>
            </w:r>
            <w:r>
              <w:rPr>
                <w:rFonts w:hint="default" w:ascii="Times New Roman" w:hAnsi="Times New Roman" w:cs="Times New Roman"/>
                <w:color w:val="auto"/>
                <w:sz w:val="24"/>
                <w:highlight w:val="none"/>
              </w:rPr>
              <w:t>定期捞取后</w:t>
            </w:r>
            <w:r>
              <w:rPr>
                <w:rFonts w:hint="eastAsia" w:cs="Times New Roman"/>
                <w:color w:val="auto"/>
                <w:sz w:val="24"/>
                <w:highlight w:val="none"/>
                <w:vertAlign w:val="baseline"/>
                <w:lang w:val="en-US" w:eastAsia="zh-CN"/>
              </w:rPr>
              <w:t>回用于生产，不外排。</w:t>
            </w:r>
            <w:r>
              <w:rPr>
                <w:rFonts w:hint="default" w:ascii="Times New Roman" w:hAnsi="Times New Roman" w:cs="Times New Roman"/>
                <w:color w:val="auto"/>
                <w:sz w:val="24"/>
                <w:highlight w:val="none"/>
              </w:rPr>
              <w:t>实验室混凝土块及遗散混凝土</w:t>
            </w:r>
            <w:r>
              <w:rPr>
                <w:rFonts w:hint="eastAsia"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集中收集在</w:t>
            </w:r>
            <w:r>
              <w:rPr>
                <w:rFonts w:hint="eastAsia" w:ascii="Times New Roman" w:hAnsi="Times New Roman" w:cs="Times New Roman"/>
                <w:color w:val="auto"/>
                <w:sz w:val="24"/>
                <w:highlight w:val="none"/>
                <w:lang w:val="en-US" w:eastAsia="zh-CN"/>
              </w:rPr>
              <w:t>石</w:t>
            </w:r>
            <w:r>
              <w:rPr>
                <w:rFonts w:hint="default" w:ascii="Times New Roman" w:hAnsi="Times New Roman" w:cs="Times New Roman"/>
                <w:color w:val="auto"/>
                <w:sz w:val="24"/>
                <w:highlight w:val="none"/>
              </w:rPr>
              <w:t>料库</w:t>
            </w:r>
            <w:r>
              <w:rPr>
                <w:rFonts w:hint="eastAsia" w:ascii="Times New Roman" w:hAnsi="Times New Roman" w:cs="Times New Roman"/>
                <w:color w:val="auto"/>
                <w:sz w:val="24"/>
                <w:highlight w:val="none"/>
                <w:lang w:val="en-US" w:eastAsia="zh-CN"/>
              </w:rPr>
              <w:t>一般固废暂存区</w:t>
            </w:r>
            <w:r>
              <w:rPr>
                <w:rFonts w:hint="default" w:ascii="Times New Roman" w:hAnsi="Times New Roman" w:cs="Times New Roman"/>
                <w:color w:val="auto"/>
                <w:sz w:val="24"/>
                <w:highlight w:val="none"/>
              </w:rPr>
              <w:t>中暂存，再</w:t>
            </w:r>
            <w:r>
              <w:rPr>
                <w:rFonts w:hint="eastAsia" w:ascii="Times New Roman" w:hAnsi="Times New Roman" w:cs="Times New Roman"/>
                <w:color w:val="auto"/>
                <w:sz w:val="24"/>
                <w:highlight w:val="none"/>
                <w:lang w:val="en-US" w:eastAsia="zh-CN"/>
              </w:rPr>
              <w:t>回用于生产</w:t>
            </w:r>
            <w:r>
              <w:rPr>
                <w:rFonts w:hint="default" w:ascii="Times New Roman" w:hAnsi="Times New Roman" w:cs="Times New Roman"/>
                <w:color w:val="auto"/>
                <w:sz w:val="24"/>
                <w:highlight w:val="none"/>
              </w:rPr>
              <w:t>。</w:t>
            </w:r>
          </w:p>
          <w:p w14:paraId="3BC41415">
            <w:pPr>
              <w:pStyle w:val="70"/>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highlight w:val="none"/>
                <w:vertAlign w:val="baseline"/>
                <w:lang w:val="en-US" w:eastAsia="zh-CN"/>
              </w:rPr>
            </w:pPr>
            <w:r>
              <w:rPr>
                <w:rFonts w:hint="eastAsia" w:ascii="Times New Roman" w:hAnsi="Times New Roman" w:eastAsia="宋体" w:cs="Times New Roman"/>
                <w:b w:val="0"/>
                <w:bCs w:val="0"/>
                <w:color w:val="auto"/>
                <w:sz w:val="24"/>
                <w:highlight w:val="none"/>
                <w:lang w:val="en-US" w:eastAsia="zh-CN"/>
              </w:rPr>
              <w:t>综上所述，</w:t>
            </w:r>
            <w:r>
              <w:rPr>
                <w:rFonts w:hint="eastAsia" w:ascii="Times New Roman" w:hAnsi="Times New Roman" w:cs="Times New Roman"/>
                <w:color w:val="auto"/>
                <w:sz w:val="24"/>
                <w:highlight w:val="none"/>
                <w:lang w:val="en-US" w:eastAsia="zh-CN"/>
              </w:rPr>
              <w:t>项目在砂、石料棚内设置一般固废暂存区，占地面积20m</w:t>
            </w:r>
            <w:r>
              <w:rPr>
                <w:rFonts w:hint="eastAsia" w:ascii="Times New Roman" w:hAnsi="Times New Roman" w:cs="Times New Roman"/>
                <w:color w:val="auto"/>
                <w:sz w:val="24"/>
                <w:highlight w:val="none"/>
                <w:vertAlign w:val="superscript"/>
                <w:lang w:val="en-US" w:eastAsia="zh-CN"/>
              </w:rPr>
              <w:t>2</w:t>
            </w:r>
            <w:r>
              <w:rPr>
                <w:rFonts w:hint="eastAsia" w:ascii="Times New Roman" w:hAnsi="Times New Roman" w:cs="Times New Roman"/>
                <w:color w:val="auto"/>
                <w:sz w:val="24"/>
                <w:highlight w:val="none"/>
                <w:vertAlign w:val="baseline"/>
                <w:lang w:val="en-US" w:eastAsia="zh-CN"/>
              </w:rPr>
              <w:t>，石料棚为全封闭结构，</w:t>
            </w:r>
            <w:r>
              <w:rPr>
                <w:rFonts w:hint="eastAsia"/>
                <w:color w:val="auto"/>
                <w:kern w:val="2"/>
                <w:sz w:val="24"/>
                <w:highlight w:val="none"/>
              </w:rPr>
              <w:t>具有防风、防雨、防晒功能</w:t>
            </w:r>
            <w:r>
              <w:rPr>
                <w:rFonts w:hint="eastAsia"/>
                <w:color w:val="auto"/>
                <w:kern w:val="2"/>
                <w:sz w:val="24"/>
                <w:highlight w:val="none"/>
                <w:lang w:eastAsia="zh-CN"/>
              </w:rPr>
              <w:t>，</w:t>
            </w:r>
            <w:r>
              <w:rPr>
                <w:rFonts w:hint="eastAsia"/>
                <w:color w:val="auto"/>
                <w:kern w:val="2"/>
                <w:sz w:val="24"/>
                <w:highlight w:val="none"/>
                <w:lang w:val="en-US" w:eastAsia="zh-CN"/>
              </w:rPr>
              <w:t>该区域防渗采用一般防渗，</w:t>
            </w:r>
            <w:r>
              <w:rPr>
                <w:rFonts w:hint="default" w:ascii="Times New Roman" w:hAnsi="Times New Roman" w:cs="Times New Roman"/>
                <w:color w:val="auto"/>
                <w:sz w:val="24"/>
                <w:szCs w:val="24"/>
                <w:highlight w:val="none"/>
              </w:rPr>
              <w:t>等效黏土防渗层Mb≥1.5m，K≤1×10</w:t>
            </w:r>
            <w:r>
              <w:rPr>
                <w:rFonts w:hint="default" w:ascii="Times New Roman" w:hAnsi="Times New Roman" w:cs="Times New Roman"/>
                <w:color w:val="auto"/>
                <w:sz w:val="24"/>
                <w:szCs w:val="24"/>
                <w:highlight w:val="none"/>
                <w:vertAlign w:val="superscript"/>
              </w:rPr>
              <w:t>-7</w:t>
            </w:r>
            <w:r>
              <w:rPr>
                <w:rFonts w:hint="default" w:ascii="Times New Roman" w:hAnsi="Times New Roman" w:cs="Times New Roman"/>
                <w:color w:val="auto"/>
                <w:sz w:val="24"/>
                <w:szCs w:val="24"/>
                <w:highlight w:val="none"/>
              </w:rPr>
              <w:t>cm/s</w:t>
            </w:r>
            <w:r>
              <w:rPr>
                <w:rFonts w:hint="eastAsia"/>
                <w:color w:val="auto"/>
                <w:kern w:val="2"/>
                <w:sz w:val="24"/>
                <w:szCs w:val="24"/>
                <w:highlight w:val="none"/>
                <w:lang w:val="en-US" w:eastAsia="zh-CN"/>
              </w:rPr>
              <w:t>。</w:t>
            </w:r>
          </w:p>
          <w:p w14:paraId="203B356D">
            <w:pPr>
              <w:pStyle w:val="6"/>
              <w:spacing w:after="0" w:line="360" w:lineRule="auto"/>
              <w:ind w:left="0" w:leftChars="0" w:firstLine="482" w:firstLineChars="200"/>
              <w:rPr>
                <w:b/>
                <w:bCs/>
                <w:color w:val="auto"/>
                <w:kern w:val="2"/>
                <w:sz w:val="24"/>
                <w:highlight w:val="none"/>
              </w:rPr>
            </w:pPr>
            <w:r>
              <w:rPr>
                <w:rFonts w:hint="eastAsia"/>
                <w:b/>
                <w:bCs/>
                <w:color w:val="auto"/>
                <w:kern w:val="2"/>
                <w:sz w:val="24"/>
                <w:highlight w:val="none"/>
              </w:rPr>
              <w:t>②管理要求</w:t>
            </w:r>
          </w:p>
          <w:p w14:paraId="48DD8B75">
            <w:pPr>
              <w:pStyle w:val="6"/>
              <w:spacing w:after="0" w:line="360" w:lineRule="auto"/>
              <w:ind w:left="0" w:leftChars="0" w:firstLine="480" w:firstLineChars="200"/>
              <w:rPr>
                <w:b/>
                <w:bCs/>
                <w:color w:val="auto"/>
                <w:kern w:val="2"/>
                <w:sz w:val="24"/>
                <w:highlight w:val="none"/>
              </w:rPr>
            </w:pPr>
            <w:r>
              <w:rPr>
                <w:rFonts w:hint="eastAsia"/>
                <w:color w:val="auto"/>
                <w:kern w:val="2"/>
                <w:sz w:val="24"/>
                <w:highlight w:val="none"/>
              </w:rPr>
              <w:t>A加快周转频次，要求转运周期不超过7天。</w:t>
            </w:r>
          </w:p>
          <w:p w14:paraId="28F57D90">
            <w:pPr>
              <w:pStyle w:val="6"/>
              <w:spacing w:after="0" w:line="360" w:lineRule="auto"/>
              <w:ind w:left="0" w:leftChars="0" w:firstLine="480" w:firstLineChars="200"/>
              <w:rPr>
                <w:rFonts w:hint="eastAsia"/>
                <w:color w:val="auto"/>
                <w:kern w:val="2"/>
                <w:sz w:val="24"/>
                <w:highlight w:val="none"/>
              </w:rPr>
            </w:pPr>
            <w:r>
              <w:rPr>
                <w:rFonts w:hint="eastAsia"/>
                <w:color w:val="auto"/>
                <w:kern w:val="2"/>
                <w:sz w:val="24"/>
                <w:highlight w:val="none"/>
              </w:rPr>
              <w:t>B一般固体废物装卸时尽量减少散落，采用密闭运输，不得超载，禁止与不同类型固废混装运输。</w:t>
            </w:r>
          </w:p>
          <w:p w14:paraId="30FD891A">
            <w:pPr>
              <w:pStyle w:val="6"/>
              <w:spacing w:after="0" w:line="360" w:lineRule="auto"/>
              <w:ind w:left="0" w:leftChars="0" w:firstLine="480" w:firstLineChars="200"/>
              <w:rPr>
                <w:rFonts w:hint="eastAsia"/>
                <w:color w:val="auto"/>
                <w:kern w:val="2"/>
                <w:sz w:val="24"/>
                <w:highlight w:val="none"/>
              </w:rPr>
            </w:pPr>
            <w:r>
              <w:rPr>
                <w:rFonts w:hint="eastAsia"/>
                <w:color w:val="auto"/>
                <w:kern w:val="2"/>
                <w:sz w:val="24"/>
                <w:highlight w:val="none"/>
              </w:rPr>
              <w:t>C禁止危险废物和生活垃圾混入；</w:t>
            </w:r>
          </w:p>
          <w:p w14:paraId="7E3F97AD">
            <w:pPr>
              <w:pStyle w:val="6"/>
              <w:spacing w:after="0" w:line="360" w:lineRule="auto"/>
              <w:ind w:left="0" w:leftChars="0" w:firstLine="480" w:firstLineChars="200"/>
              <w:rPr>
                <w:color w:val="auto"/>
                <w:kern w:val="2"/>
                <w:sz w:val="24"/>
                <w:highlight w:val="none"/>
              </w:rPr>
            </w:pPr>
            <w:r>
              <w:rPr>
                <w:rFonts w:hint="eastAsia"/>
                <w:color w:val="auto"/>
                <w:kern w:val="2"/>
                <w:sz w:val="24"/>
                <w:highlight w:val="none"/>
              </w:rPr>
              <w:t>D建立检查维护制度，加强管理；</w:t>
            </w:r>
          </w:p>
          <w:p w14:paraId="178321A1">
            <w:pPr>
              <w:pStyle w:val="6"/>
              <w:spacing w:after="0" w:line="360" w:lineRule="auto"/>
              <w:ind w:left="0" w:leftChars="0" w:firstLine="480" w:firstLineChars="200"/>
              <w:rPr>
                <w:color w:val="auto"/>
                <w:kern w:val="2"/>
                <w:sz w:val="24"/>
                <w:highlight w:val="none"/>
              </w:rPr>
            </w:pPr>
            <w:r>
              <w:rPr>
                <w:rFonts w:hint="eastAsia"/>
                <w:color w:val="auto"/>
                <w:kern w:val="2"/>
                <w:sz w:val="24"/>
                <w:highlight w:val="none"/>
              </w:rPr>
              <w:t>E应建立档案制度，将出入场的一般固体废物的数量详细记录在案，长期保存，供随时查阅。</w:t>
            </w:r>
          </w:p>
          <w:p w14:paraId="22FCD565">
            <w:pPr>
              <w:pStyle w:val="6"/>
              <w:spacing w:after="0" w:line="360" w:lineRule="auto"/>
              <w:ind w:left="0" w:leftChars="0" w:firstLine="480" w:firstLineChars="200"/>
              <w:rPr>
                <w:rFonts w:hint="eastAsia" w:ascii="Times New Roman" w:hAnsi="Times New Roman" w:eastAsia="宋体" w:cs="Times New Roman"/>
                <w:color w:val="auto"/>
                <w:kern w:val="2"/>
                <w:sz w:val="24"/>
                <w:highlight w:val="none"/>
                <w:lang w:val="en-US" w:eastAsia="zh-CN"/>
              </w:rPr>
            </w:pPr>
            <w:r>
              <w:rPr>
                <w:rFonts w:hint="eastAsia" w:ascii="Times New Roman" w:hAnsi="Times New Roman" w:eastAsia="宋体" w:cs="Times New Roman"/>
                <w:color w:val="auto"/>
                <w:kern w:val="2"/>
                <w:sz w:val="24"/>
                <w:highlight w:val="none"/>
              </w:rPr>
              <w:t>F暂存区域需划线分区存放，不得乱堆乱放。</w:t>
            </w:r>
          </w:p>
          <w:p w14:paraId="42E2D026">
            <w:pPr>
              <w:pStyle w:val="70"/>
              <w:spacing w:before="120" w:beforeLines="50" w:line="360" w:lineRule="auto"/>
              <w:ind w:firstLine="482" w:firstLineChars="200"/>
              <w:jc w:val="left"/>
              <w:rPr>
                <w:rFonts w:hint="eastAsia" w:ascii="Times New Roman" w:hAnsi="Times New Roman"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（2）危险废物</w:t>
            </w:r>
          </w:p>
          <w:p w14:paraId="68F33A43">
            <w:pPr>
              <w:pStyle w:val="6"/>
              <w:spacing w:after="0" w:line="360" w:lineRule="auto"/>
              <w:ind w:left="0" w:leftChars="0" w:firstLine="482" w:firstLineChars="200"/>
              <w:rPr>
                <w:rFonts w:hint="eastAsia"/>
                <w:b/>
                <w:bCs/>
                <w:color w:val="auto"/>
                <w:kern w:val="2"/>
                <w:sz w:val="24"/>
                <w:highlight w:val="none"/>
              </w:rPr>
            </w:pPr>
            <w:r>
              <w:rPr>
                <w:rFonts w:hint="eastAsia"/>
                <w:b/>
                <w:bCs/>
                <w:color w:val="auto"/>
                <w:kern w:val="2"/>
                <w:sz w:val="24"/>
                <w:highlight w:val="none"/>
                <w:lang w:val="en-US" w:eastAsia="zh-CN"/>
              </w:rPr>
              <w:t>①</w:t>
            </w:r>
            <w:r>
              <w:rPr>
                <w:rFonts w:hint="eastAsia"/>
                <w:b/>
                <w:bCs/>
                <w:color w:val="auto"/>
                <w:kern w:val="2"/>
                <w:sz w:val="24"/>
                <w:highlight w:val="none"/>
                <w:lang w:eastAsia="zh-CN"/>
              </w:rPr>
              <w:t>危废暂存间</w:t>
            </w:r>
            <w:r>
              <w:rPr>
                <w:rFonts w:hint="eastAsia"/>
                <w:b/>
                <w:bCs/>
                <w:color w:val="auto"/>
                <w:kern w:val="2"/>
                <w:sz w:val="24"/>
                <w:highlight w:val="none"/>
              </w:rPr>
              <w:t>建设方案</w:t>
            </w:r>
          </w:p>
          <w:p w14:paraId="4D336A94">
            <w:pPr>
              <w:pStyle w:val="6"/>
              <w:spacing w:after="0" w:line="360" w:lineRule="auto"/>
              <w:ind w:left="0" w:leftChars="0" w:firstLine="480" w:firstLineChars="200"/>
              <w:rPr>
                <w:rFonts w:hint="eastAsia"/>
                <w:color w:val="auto"/>
                <w:kern w:val="2"/>
                <w:sz w:val="24"/>
                <w:highlight w:val="none"/>
              </w:rPr>
            </w:pPr>
            <w:r>
              <w:rPr>
                <w:rFonts w:hint="eastAsia"/>
                <w:color w:val="auto"/>
                <w:kern w:val="2"/>
                <w:sz w:val="24"/>
                <w:highlight w:val="none"/>
              </w:rPr>
              <w:t>本项目新建一间</w:t>
            </w:r>
            <w:r>
              <w:rPr>
                <w:rFonts w:hint="eastAsia"/>
                <w:color w:val="auto"/>
                <w:kern w:val="2"/>
                <w:sz w:val="24"/>
                <w:highlight w:val="none"/>
                <w:lang w:val="en-US" w:eastAsia="zh-CN"/>
              </w:rPr>
              <w:t>18</w:t>
            </w:r>
            <w:r>
              <w:rPr>
                <w:rFonts w:hint="eastAsia"/>
                <w:color w:val="auto"/>
                <w:kern w:val="2"/>
                <w:sz w:val="24"/>
                <w:highlight w:val="none"/>
              </w:rPr>
              <w:t>m</w:t>
            </w:r>
            <w:r>
              <w:rPr>
                <w:rFonts w:hint="eastAsia"/>
                <w:color w:val="auto"/>
                <w:kern w:val="2"/>
                <w:sz w:val="24"/>
                <w:highlight w:val="none"/>
                <w:vertAlign w:val="superscript"/>
              </w:rPr>
              <w:t>2</w:t>
            </w:r>
            <w:r>
              <w:rPr>
                <w:rFonts w:hint="eastAsia"/>
                <w:color w:val="auto"/>
                <w:kern w:val="2"/>
                <w:sz w:val="24"/>
                <w:highlight w:val="none"/>
                <w:lang w:eastAsia="zh-CN"/>
              </w:rPr>
              <w:t>危废暂存间</w:t>
            </w:r>
            <w:r>
              <w:rPr>
                <w:rFonts w:hint="eastAsia"/>
                <w:color w:val="auto"/>
                <w:kern w:val="2"/>
                <w:sz w:val="24"/>
                <w:highlight w:val="none"/>
              </w:rPr>
              <w:t>，位于</w:t>
            </w:r>
            <w:r>
              <w:rPr>
                <w:rFonts w:hint="eastAsia"/>
                <w:color w:val="auto"/>
                <w:kern w:val="2"/>
                <w:sz w:val="24"/>
                <w:highlight w:val="none"/>
                <w:lang w:val="en-US" w:eastAsia="zh-CN"/>
              </w:rPr>
              <w:t>厂区东侧</w:t>
            </w:r>
            <w:r>
              <w:rPr>
                <w:rFonts w:hint="eastAsia"/>
                <w:color w:val="auto"/>
                <w:kern w:val="2"/>
                <w:sz w:val="24"/>
                <w:highlight w:val="none"/>
              </w:rPr>
              <w:t>，根据《危险废物贮存污染控制标准》（GB18597-2023），</w:t>
            </w:r>
            <w:r>
              <w:rPr>
                <w:rFonts w:hint="eastAsia" w:ascii="Times New Roman" w:hAnsi="Times New Roman" w:cs="Times New Roman"/>
                <w:color w:val="auto"/>
                <w:sz w:val="24"/>
                <w:szCs w:val="24"/>
                <w:highlight w:val="none"/>
                <w:lang w:val="en-US" w:eastAsia="zh-CN"/>
              </w:rPr>
              <w:t>危废</w:t>
            </w:r>
            <w:r>
              <w:rPr>
                <w:rStyle w:val="78"/>
                <w:rFonts w:hint="eastAsia" w:cs="Times New Roman"/>
                <w:color w:val="auto"/>
                <w:kern w:val="2"/>
                <w:szCs w:val="24"/>
                <w:highlight w:val="none"/>
                <w:lang w:val="en-US" w:eastAsia="zh-CN"/>
              </w:rPr>
              <w:t>暂存间</w:t>
            </w:r>
            <w:r>
              <w:rPr>
                <w:rFonts w:hint="eastAsia" w:ascii="Times New Roman" w:hAnsi="Times New Roman" w:cs="Times New Roman"/>
                <w:color w:val="auto"/>
                <w:sz w:val="24"/>
                <w:szCs w:val="24"/>
                <w:highlight w:val="none"/>
                <w:lang w:val="en-US" w:eastAsia="zh-CN"/>
              </w:rPr>
              <w:t>4周设置导流槽</w:t>
            </w:r>
            <w:r>
              <w:rPr>
                <w:rFonts w:hint="eastAsia" w:ascii="Times New Roman" w:hAnsi="Times New Roman" w:eastAsia="宋体" w:cs="Times New Roman"/>
                <w:color w:val="auto"/>
                <w:sz w:val="24"/>
                <w:szCs w:val="24"/>
                <w:highlight w:val="none"/>
                <w:lang w:val="en-US" w:eastAsia="zh-CN"/>
              </w:rPr>
              <w:t>，导流槽规格为宽30cm，深度为20cm</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导流槽</w:t>
            </w:r>
            <w:r>
              <w:rPr>
                <w:rFonts w:ascii="Times New Roman" w:hAnsi="Times New Roman" w:cs="Times New Roman"/>
                <w:bCs/>
                <w:color w:val="auto"/>
                <w:sz w:val="24"/>
                <w:szCs w:val="24"/>
                <w:highlight w:val="none"/>
              </w:rPr>
              <w:t>与</w:t>
            </w:r>
            <w:r>
              <w:rPr>
                <w:rFonts w:hint="eastAsia" w:ascii="Times New Roman" w:hAnsi="Times New Roman" w:cs="Times New Roman"/>
                <w:bCs/>
                <w:color w:val="auto"/>
                <w:sz w:val="24"/>
                <w:szCs w:val="24"/>
                <w:highlight w:val="none"/>
                <w:lang w:val="en-US" w:eastAsia="zh-CN"/>
              </w:rPr>
              <w:t>集液</w:t>
            </w:r>
            <w:r>
              <w:rPr>
                <w:rFonts w:ascii="Times New Roman" w:hAnsi="Times New Roman" w:cs="Times New Roman"/>
                <w:bCs/>
                <w:color w:val="auto"/>
                <w:sz w:val="24"/>
                <w:szCs w:val="24"/>
                <w:highlight w:val="none"/>
              </w:rPr>
              <w:t>池相连</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集液池位于</w:t>
            </w:r>
            <w:r>
              <w:rPr>
                <w:rFonts w:hint="eastAsia" w:cs="Times New Roman"/>
                <w:bCs/>
                <w:color w:val="auto"/>
                <w:sz w:val="24"/>
                <w:szCs w:val="24"/>
                <w:highlight w:val="none"/>
                <w:lang w:val="en-US" w:eastAsia="zh-CN"/>
              </w:rPr>
              <w:t>危废暂存间</w:t>
            </w:r>
            <w:r>
              <w:rPr>
                <w:rFonts w:hint="eastAsia" w:ascii="Times New Roman" w:hAnsi="Times New Roman" w:cs="Times New Roman"/>
                <w:bCs/>
                <w:color w:val="auto"/>
                <w:sz w:val="24"/>
                <w:szCs w:val="24"/>
                <w:highlight w:val="none"/>
                <w:lang w:val="en-US" w:eastAsia="zh-CN"/>
              </w:rPr>
              <w:t>西南角，集液池规格为长1m×宽1m×深1m，容积为1m</w:t>
            </w:r>
            <w:r>
              <w:rPr>
                <w:rFonts w:hint="eastAsia" w:ascii="Times New Roman" w:hAnsi="Times New Roman" w:cs="Times New Roman"/>
                <w:bCs/>
                <w:color w:val="auto"/>
                <w:sz w:val="24"/>
                <w:szCs w:val="24"/>
                <w:highlight w:val="none"/>
                <w:vertAlign w:val="superscript"/>
                <w:lang w:val="en-US" w:eastAsia="zh-CN"/>
              </w:rPr>
              <w:t>3</w:t>
            </w:r>
            <w:r>
              <w:rPr>
                <w:rFonts w:ascii="Times New Roman" w:hAnsi="Times New Roman" w:cs="Times New Roman"/>
                <w:bCs/>
                <w:color w:val="auto"/>
                <w:sz w:val="24"/>
                <w:szCs w:val="24"/>
                <w:highlight w:val="none"/>
              </w:rPr>
              <w:t>，主要用于将泄漏的</w:t>
            </w:r>
            <w:r>
              <w:rPr>
                <w:rFonts w:hint="eastAsia" w:ascii="Times New Roman" w:hAnsi="Times New Roman" w:cs="Times New Roman"/>
                <w:bCs/>
                <w:color w:val="auto"/>
                <w:sz w:val="24"/>
                <w:szCs w:val="24"/>
                <w:highlight w:val="none"/>
                <w:lang w:val="en-US" w:eastAsia="zh-CN"/>
              </w:rPr>
              <w:t>废矿物油污</w:t>
            </w:r>
            <w:r>
              <w:rPr>
                <w:rFonts w:ascii="Times New Roman" w:hAnsi="Times New Roman" w:cs="Times New Roman"/>
                <w:bCs/>
                <w:color w:val="auto"/>
                <w:sz w:val="24"/>
                <w:szCs w:val="24"/>
                <w:highlight w:val="none"/>
              </w:rPr>
              <w:t>收集至</w:t>
            </w:r>
            <w:r>
              <w:rPr>
                <w:rFonts w:hint="eastAsia" w:ascii="Times New Roman" w:hAnsi="Times New Roman" w:cs="Times New Roman"/>
                <w:bCs/>
                <w:color w:val="auto"/>
                <w:sz w:val="24"/>
                <w:szCs w:val="24"/>
                <w:highlight w:val="none"/>
                <w:lang w:val="en-US" w:eastAsia="zh-CN"/>
              </w:rPr>
              <w:t>集液池，</w:t>
            </w:r>
            <w:r>
              <w:rPr>
                <w:rFonts w:hint="eastAsia" w:cs="Times New Roman"/>
                <w:color w:val="auto"/>
                <w:sz w:val="24"/>
                <w:szCs w:val="24"/>
                <w:highlight w:val="none"/>
                <w:lang w:eastAsia="zh-CN"/>
              </w:rPr>
              <w:t>危废暂存间</w:t>
            </w:r>
            <w:r>
              <w:rPr>
                <w:rFonts w:hint="default" w:ascii="Times New Roman" w:hAnsi="Times New Roman" w:eastAsia="宋体" w:cs="Times New Roman"/>
                <w:color w:val="auto"/>
                <w:sz w:val="24"/>
                <w:szCs w:val="24"/>
                <w:highlight w:val="none"/>
              </w:rPr>
              <w:t>地面</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导流槽、集液池、裙角</w:t>
            </w:r>
            <w:r>
              <w:rPr>
                <w:rFonts w:hint="default" w:ascii="Times New Roman" w:hAnsi="Times New Roman" w:cs="Times New Roman"/>
                <w:color w:val="auto"/>
                <w:sz w:val="24"/>
                <w:szCs w:val="24"/>
                <w:highlight w:val="none"/>
              </w:rPr>
              <w:t>按照要求进行防渗处理</w:t>
            </w:r>
            <w:r>
              <w:rPr>
                <w:rFonts w:hint="eastAsia" w:ascii="Times New Roman" w:hAnsi="Times New Roman"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防渗层为</w:t>
            </w:r>
            <w:r>
              <w:rPr>
                <w:rFonts w:hint="eastAsia" w:ascii="Times New Roman" w:hAnsi="Times New Roman" w:eastAsia="宋体" w:cs="Times New Roman"/>
                <w:b w:val="0"/>
                <w:bCs w:val="0"/>
                <w:color w:val="auto"/>
                <w:kern w:val="2"/>
                <w:sz w:val="24"/>
                <w:szCs w:val="24"/>
                <w:highlight w:val="none"/>
                <w:lang w:val="en-US" w:eastAsia="zh-CN" w:bidi="ar-SA"/>
              </w:rPr>
              <w:t>至少1m厚黏土层（渗透系数不大于10</w:t>
            </w:r>
            <w:r>
              <w:rPr>
                <w:rFonts w:hint="eastAsia" w:ascii="Times New Roman" w:hAnsi="Times New Roman" w:eastAsia="宋体" w:cs="Times New Roman"/>
                <w:b w:val="0"/>
                <w:bCs w:val="0"/>
                <w:color w:val="auto"/>
                <w:kern w:val="2"/>
                <w:sz w:val="24"/>
                <w:szCs w:val="24"/>
                <w:highlight w:val="none"/>
                <w:vertAlign w:val="superscript"/>
                <w:lang w:val="en-US" w:eastAsia="zh-CN" w:bidi="ar-SA"/>
              </w:rPr>
              <w:t>-7</w:t>
            </w:r>
            <w:r>
              <w:rPr>
                <w:rFonts w:hint="eastAsia" w:ascii="Times New Roman" w:hAnsi="Times New Roman" w:eastAsia="宋体" w:cs="Times New Roman"/>
                <w:b w:val="0"/>
                <w:bCs w:val="0"/>
                <w:color w:val="auto"/>
                <w:kern w:val="2"/>
                <w:sz w:val="24"/>
                <w:szCs w:val="24"/>
                <w:highlight w:val="none"/>
                <w:lang w:val="en-US" w:eastAsia="zh-CN" w:bidi="ar-SA"/>
              </w:rPr>
              <w:t>cm/s），或至少2mm厚高密度聚乙烯膜等人工防渗材料（渗透系数不大于10</w:t>
            </w:r>
            <w:r>
              <w:rPr>
                <w:rFonts w:hint="eastAsia" w:ascii="Times New Roman" w:hAnsi="Times New Roman" w:eastAsia="宋体" w:cs="Times New Roman"/>
                <w:b w:val="0"/>
                <w:bCs w:val="0"/>
                <w:color w:val="auto"/>
                <w:kern w:val="2"/>
                <w:sz w:val="24"/>
                <w:szCs w:val="24"/>
                <w:highlight w:val="none"/>
                <w:vertAlign w:val="superscript"/>
                <w:lang w:val="en-US" w:eastAsia="zh-CN" w:bidi="ar-SA"/>
              </w:rPr>
              <w:t>-10</w:t>
            </w:r>
            <w:r>
              <w:rPr>
                <w:rFonts w:hint="eastAsia" w:ascii="Times New Roman" w:hAnsi="Times New Roman" w:eastAsia="宋体" w:cs="Times New Roman"/>
                <w:b w:val="0"/>
                <w:bCs w:val="0"/>
                <w:color w:val="auto"/>
                <w:kern w:val="2"/>
                <w:sz w:val="24"/>
                <w:szCs w:val="24"/>
                <w:highlight w:val="none"/>
                <w:lang w:val="en-US" w:eastAsia="zh-CN" w:bidi="ar-SA"/>
              </w:rPr>
              <w:t>cm/s），或其他防渗性能等效的材料</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并</w:t>
            </w:r>
            <w:r>
              <w:rPr>
                <w:rFonts w:hint="default" w:ascii="Times New Roman" w:hAnsi="Times New Roman" w:cs="Times New Roman"/>
                <w:color w:val="auto"/>
                <w:sz w:val="24"/>
                <w:szCs w:val="24"/>
                <w:highlight w:val="none"/>
              </w:rPr>
              <w:t>涂刷环氧树脂地坪漆</w:t>
            </w:r>
            <w:r>
              <w:rPr>
                <w:rFonts w:hint="eastAsia" w:ascii="Times New Roman" w:hAnsi="Times New Roman" w:cs="Times New Roman"/>
                <w:color w:val="auto"/>
                <w:sz w:val="24"/>
                <w:szCs w:val="24"/>
                <w:highlight w:val="none"/>
                <w:lang w:eastAsia="zh-CN"/>
              </w:rPr>
              <w:t>，</w:t>
            </w:r>
            <w:r>
              <w:rPr>
                <w:rFonts w:hint="eastAsia"/>
                <w:color w:val="auto"/>
                <w:kern w:val="2"/>
                <w:sz w:val="24"/>
                <w:highlight w:val="none"/>
              </w:rPr>
              <w:t>且表面无裂隙。</w:t>
            </w:r>
          </w:p>
          <w:p w14:paraId="7CBB616D">
            <w:pPr>
              <w:pStyle w:val="6"/>
              <w:spacing w:after="0" w:line="360" w:lineRule="auto"/>
              <w:ind w:left="0" w:leftChars="0" w:firstLine="480" w:firstLineChars="200"/>
              <w:rPr>
                <w:rFonts w:hint="eastAsia" w:eastAsia="宋体"/>
                <w:color w:val="auto"/>
                <w:kern w:val="2"/>
                <w:sz w:val="24"/>
                <w:highlight w:val="none"/>
                <w:lang w:val="en-US" w:eastAsia="zh-CN"/>
              </w:rPr>
            </w:pPr>
            <w:r>
              <w:rPr>
                <w:rFonts w:hint="eastAsia"/>
                <w:color w:val="auto"/>
                <w:kern w:val="2"/>
                <w:sz w:val="24"/>
                <w:highlight w:val="none"/>
                <w:lang w:val="en-US" w:eastAsia="zh-CN"/>
              </w:rPr>
              <w:t>危废暂存间内分区建设，分为废油桶区（5m</w:t>
            </w:r>
            <w:r>
              <w:rPr>
                <w:rFonts w:hint="eastAsia"/>
                <w:color w:val="auto"/>
                <w:kern w:val="2"/>
                <w:sz w:val="24"/>
                <w:highlight w:val="none"/>
                <w:vertAlign w:val="superscript"/>
                <w:lang w:val="en-US" w:eastAsia="zh-CN"/>
              </w:rPr>
              <w:t>2</w:t>
            </w:r>
            <w:r>
              <w:rPr>
                <w:rFonts w:hint="eastAsia"/>
                <w:color w:val="auto"/>
                <w:kern w:val="2"/>
                <w:sz w:val="24"/>
                <w:highlight w:val="none"/>
                <w:lang w:val="en-US" w:eastAsia="zh-CN"/>
              </w:rPr>
              <w:t>）、废矿物油区（5m</w:t>
            </w:r>
            <w:r>
              <w:rPr>
                <w:rFonts w:hint="eastAsia"/>
                <w:color w:val="auto"/>
                <w:kern w:val="2"/>
                <w:sz w:val="24"/>
                <w:highlight w:val="none"/>
                <w:vertAlign w:val="superscript"/>
                <w:lang w:val="en-US" w:eastAsia="zh-CN"/>
              </w:rPr>
              <w:t>2</w:t>
            </w:r>
            <w:r>
              <w:rPr>
                <w:rFonts w:hint="eastAsia"/>
                <w:color w:val="auto"/>
                <w:kern w:val="2"/>
                <w:sz w:val="24"/>
                <w:highlight w:val="none"/>
                <w:lang w:val="en-US" w:eastAsia="zh-CN"/>
              </w:rPr>
              <w:t>）三个区域，</w:t>
            </w:r>
            <w:r>
              <w:rPr>
                <w:rFonts w:hint="default" w:ascii="Times New Roman" w:hAnsi="Times New Roman" w:eastAsia="宋体" w:cs="Times New Roman"/>
                <w:color w:val="auto"/>
                <w:sz w:val="24"/>
                <w:szCs w:val="24"/>
                <w:highlight w:val="none"/>
              </w:rPr>
              <w:t>中间</w:t>
            </w:r>
            <w:r>
              <w:rPr>
                <w:rFonts w:hint="eastAsia" w:ascii="Times New Roman" w:hAnsi="Times New Roman" w:eastAsia="宋体" w:cs="Times New Roman"/>
                <w:color w:val="auto"/>
                <w:sz w:val="24"/>
                <w:szCs w:val="24"/>
                <w:highlight w:val="none"/>
                <w:lang w:val="en-US" w:eastAsia="zh-CN"/>
              </w:rPr>
              <w:t>需</w:t>
            </w:r>
            <w:r>
              <w:rPr>
                <w:rFonts w:hint="default" w:ascii="Times New Roman" w:hAnsi="Times New Roman" w:eastAsia="宋体" w:cs="Times New Roman"/>
                <w:color w:val="auto"/>
                <w:sz w:val="24"/>
                <w:szCs w:val="24"/>
                <w:highlight w:val="none"/>
              </w:rPr>
              <w:t>设置隔断</w:t>
            </w:r>
            <w:r>
              <w:rPr>
                <w:rFonts w:hint="eastAsia" w:ascii="Times New Roman" w:hAnsi="Times New Roman" w:eastAsia="宋体" w:cs="Times New Roman"/>
                <w:color w:val="auto"/>
                <w:sz w:val="24"/>
                <w:szCs w:val="24"/>
                <w:highlight w:val="none"/>
                <w:lang w:eastAsia="zh-CN"/>
              </w:rPr>
              <w:t>。</w:t>
            </w:r>
          </w:p>
          <w:p w14:paraId="300782CD">
            <w:pPr>
              <w:pStyle w:val="6"/>
              <w:spacing w:after="0" w:line="360" w:lineRule="auto"/>
              <w:ind w:left="0" w:leftChars="0" w:firstLine="480" w:firstLineChars="200"/>
              <w:rPr>
                <w:rFonts w:hint="eastAsia"/>
                <w:b/>
                <w:bCs/>
                <w:color w:val="auto"/>
                <w:kern w:val="2"/>
                <w:sz w:val="24"/>
                <w:highlight w:val="none"/>
              </w:rPr>
            </w:pPr>
            <w:r>
              <w:rPr>
                <w:rFonts w:hint="eastAsia"/>
                <w:color w:val="auto"/>
                <w:kern w:val="2"/>
                <w:sz w:val="24"/>
                <w:highlight w:val="none"/>
                <w:lang w:eastAsia="zh-CN"/>
              </w:rPr>
              <w:t>危废暂存间</w:t>
            </w:r>
            <w:r>
              <w:rPr>
                <w:rFonts w:hint="eastAsia"/>
                <w:color w:val="auto"/>
                <w:kern w:val="2"/>
                <w:sz w:val="24"/>
                <w:highlight w:val="none"/>
              </w:rPr>
              <w:t>内应有安全照明设施</w:t>
            </w:r>
            <w:r>
              <w:rPr>
                <w:rFonts w:hint="eastAsia"/>
                <w:color w:val="auto"/>
                <w:kern w:val="2"/>
                <w:sz w:val="24"/>
                <w:highlight w:val="none"/>
                <w:lang w:eastAsia="zh-CN"/>
              </w:rPr>
              <w:t>、</w:t>
            </w:r>
            <w:r>
              <w:rPr>
                <w:rFonts w:hint="eastAsia"/>
                <w:color w:val="auto"/>
                <w:kern w:val="2"/>
                <w:sz w:val="24"/>
                <w:highlight w:val="none"/>
              </w:rPr>
              <w:t>观察窗口</w:t>
            </w:r>
            <w:r>
              <w:rPr>
                <w:rFonts w:hint="eastAsia"/>
                <w:color w:val="auto"/>
                <w:kern w:val="2"/>
                <w:sz w:val="24"/>
                <w:highlight w:val="none"/>
                <w:lang w:val="en-US" w:eastAsia="zh-CN"/>
              </w:rPr>
              <w:t>及通风设施</w:t>
            </w:r>
            <w:r>
              <w:rPr>
                <w:rFonts w:hint="eastAsia"/>
                <w:color w:val="auto"/>
                <w:kern w:val="2"/>
                <w:sz w:val="24"/>
                <w:highlight w:val="none"/>
              </w:rPr>
              <w:t>，所有危废容器均放置在</w:t>
            </w:r>
            <w:r>
              <w:rPr>
                <w:rFonts w:hint="eastAsia"/>
                <w:b w:val="0"/>
                <w:bCs/>
                <w:color w:val="auto"/>
                <w:kern w:val="2"/>
                <w:sz w:val="24"/>
                <w:highlight w:val="none"/>
              </w:rPr>
              <w:t>专用防泄漏托盘</w:t>
            </w:r>
            <w:r>
              <w:rPr>
                <w:rFonts w:hint="eastAsia"/>
                <w:color w:val="auto"/>
                <w:kern w:val="2"/>
                <w:sz w:val="24"/>
                <w:highlight w:val="none"/>
              </w:rPr>
              <w:t>上，用于收集可能</w:t>
            </w:r>
            <w:r>
              <w:rPr>
                <w:rFonts w:hint="eastAsia"/>
                <w:color w:val="auto"/>
                <w:kern w:val="2"/>
                <w:sz w:val="24"/>
                <w:highlight w:val="none"/>
                <w:lang w:eastAsia="zh-CN"/>
              </w:rPr>
              <w:t>泄漏</w:t>
            </w:r>
            <w:r>
              <w:rPr>
                <w:rFonts w:hint="eastAsia"/>
                <w:color w:val="auto"/>
                <w:kern w:val="2"/>
                <w:sz w:val="24"/>
                <w:highlight w:val="none"/>
              </w:rPr>
              <w:t>、遗撒的少量废液，不直接接触地面。</w:t>
            </w:r>
          </w:p>
          <w:p w14:paraId="681714E9">
            <w:pPr>
              <w:pStyle w:val="6"/>
              <w:spacing w:after="0" w:line="360" w:lineRule="auto"/>
              <w:ind w:left="0" w:leftChars="0" w:firstLine="482" w:firstLineChars="200"/>
              <w:rPr>
                <w:rFonts w:hint="default" w:eastAsia="宋体"/>
                <w:b/>
                <w:bCs/>
                <w:color w:val="auto"/>
                <w:kern w:val="2"/>
                <w:sz w:val="24"/>
                <w:highlight w:val="none"/>
                <w:lang w:val="en-US" w:eastAsia="zh-CN"/>
              </w:rPr>
            </w:pPr>
            <w:r>
              <w:rPr>
                <w:rFonts w:hint="eastAsia"/>
                <w:b/>
                <w:bCs/>
                <w:color w:val="auto"/>
                <w:kern w:val="2"/>
                <w:sz w:val="24"/>
                <w:highlight w:val="none"/>
                <w:lang w:val="en-US" w:eastAsia="zh-CN"/>
              </w:rPr>
              <w:t>②</w:t>
            </w:r>
            <w:r>
              <w:rPr>
                <w:rFonts w:hint="eastAsia"/>
                <w:b/>
                <w:bCs/>
                <w:color w:val="auto"/>
                <w:kern w:val="2"/>
                <w:sz w:val="24"/>
                <w:highlight w:val="none"/>
                <w:lang w:eastAsia="zh-CN"/>
              </w:rPr>
              <w:t>危废暂存间</w:t>
            </w:r>
            <w:r>
              <w:rPr>
                <w:rFonts w:hint="eastAsia"/>
                <w:b/>
                <w:bCs/>
                <w:color w:val="auto"/>
                <w:kern w:val="2"/>
                <w:sz w:val="24"/>
                <w:highlight w:val="none"/>
                <w:lang w:val="en-US" w:eastAsia="zh-CN"/>
              </w:rPr>
              <w:t>环境管理措施</w:t>
            </w:r>
          </w:p>
          <w:p w14:paraId="47F7C63D">
            <w:pPr>
              <w:pStyle w:val="6"/>
              <w:spacing w:after="0" w:line="360" w:lineRule="auto"/>
              <w:ind w:left="0" w:leftChars="0" w:firstLine="480" w:firstLineChars="200"/>
              <w:rPr>
                <w:rFonts w:hint="eastAsia"/>
                <w:b/>
                <w:bCs/>
                <w:color w:val="auto"/>
                <w:kern w:val="2"/>
                <w:sz w:val="24"/>
                <w:highlight w:val="none"/>
              </w:rPr>
            </w:pPr>
            <w:r>
              <w:rPr>
                <w:rFonts w:hint="eastAsia"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本项目需设立专门的环境管理机构及专职负责人员</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名，负责项目的日常环境管理工作。</w:t>
            </w:r>
          </w:p>
          <w:p w14:paraId="37AE27C2">
            <w:pPr>
              <w:pStyle w:val="6"/>
              <w:spacing w:after="0" w:line="360" w:lineRule="auto"/>
              <w:ind w:left="0" w:leftChars="0" w:firstLine="480" w:firstLineChars="200"/>
              <w:rPr>
                <w:rFonts w:hint="eastAsia"/>
                <w:b/>
                <w:bCs/>
                <w:color w:val="auto"/>
                <w:kern w:val="2"/>
                <w:sz w:val="24"/>
                <w:highlight w:val="none"/>
              </w:rPr>
            </w:pPr>
            <w:r>
              <w:rPr>
                <w:rFonts w:hint="eastAsia" w:cs="Times New Roman"/>
                <w:color w:val="auto"/>
                <w:sz w:val="24"/>
                <w:szCs w:val="24"/>
                <w:highlight w:val="none"/>
                <w:lang w:val="en-US" w:eastAsia="zh-CN"/>
              </w:rPr>
              <w:t>B</w:t>
            </w:r>
            <w:r>
              <w:rPr>
                <w:rFonts w:hint="eastAsia"/>
                <w:color w:val="auto"/>
                <w:kern w:val="2"/>
                <w:sz w:val="24"/>
                <w:highlight w:val="none"/>
              </w:rPr>
              <w:t>排污单位委托他人运输、利用、处置危险废物的，应落实《中华人民共和国固体废物污染环境防治法》</w:t>
            </w:r>
            <w:r>
              <w:rPr>
                <w:rFonts w:hint="eastAsia"/>
                <w:color w:val="auto"/>
                <w:kern w:val="2"/>
                <w:sz w:val="24"/>
                <w:highlight w:val="none"/>
                <w:lang w:eastAsia="zh-CN"/>
              </w:rPr>
              <w:t>、</w:t>
            </w:r>
            <w:r>
              <w:rPr>
                <w:rFonts w:hint="default" w:ascii="Times New Roman" w:hAnsi="Times New Roman" w:eastAsia="宋体" w:cs="Times New Roman"/>
                <w:color w:val="auto"/>
                <w:sz w:val="24"/>
                <w:szCs w:val="24"/>
                <w:highlight w:val="none"/>
                <w:lang w:val="en-US" w:eastAsia="zh-CN"/>
              </w:rPr>
              <w:t>《危险废物转移管理办法》</w:t>
            </w:r>
            <w:r>
              <w:rPr>
                <w:rFonts w:hint="eastAsia" w:ascii="Times New Roman" w:hAnsi="Times New Roman" w:eastAsia="宋体" w:cs="Times New Roman"/>
                <w:color w:val="auto"/>
                <w:sz w:val="24"/>
                <w:szCs w:val="24"/>
                <w:highlight w:val="none"/>
                <w:lang w:val="en-US" w:eastAsia="zh-CN"/>
              </w:rPr>
              <w:t>（2022年1月1日）</w:t>
            </w:r>
            <w:r>
              <w:rPr>
                <w:rFonts w:hint="eastAsia"/>
                <w:color w:val="auto"/>
                <w:kern w:val="2"/>
                <w:sz w:val="24"/>
                <w:highlight w:val="none"/>
              </w:rPr>
              <w:t>等法律法规要求，对受托方的主体资格和技术能力进行核实，依法签订书面合同，在合同中约定污染防治要求；转移危险废物的，应当按照国家有关规定填写、运行危险废物转移联单等。</w:t>
            </w:r>
          </w:p>
          <w:p w14:paraId="79278944">
            <w:pPr>
              <w:autoSpaceDE w:val="0"/>
              <w:autoSpaceDN w:val="0"/>
              <w:adjustRightInd w:val="0"/>
              <w:spacing w:line="360" w:lineRule="auto"/>
              <w:ind w:firstLine="482" w:firstLineChars="200"/>
              <w:rPr>
                <w:rFonts w:hint="default" w:ascii="Times New Roman" w:hAnsi="Times New Roman" w:eastAsia="宋体" w:cs="Times New Roman"/>
                <w:color w:val="auto"/>
                <w:sz w:val="24"/>
                <w:szCs w:val="24"/>
                <w:highlight w:val="none"/>
                <w:lang w:val="en-US" w:eastAsia="zh-CN"/>
              </w:rPr>
            </w:pPr>
            <w:r>
              <w:rPr>
                <w:rFonts w:hint="eastAsia"/>
                <w:b/>
                <w:bCs/>
                <w:color w:val="auto"/>
                <w:kern w:val="2"/>
                <w:sz w:val="24"/>
                <w:highlight w:val="none"/>
                <w:lang w:val="en-US" w:eastAsia="zh-CN"/>
              </w:rPr>
              <w:t>C</w:t>
            </w:r>
            <w:r>
              <w:rPr>
                <w:rFonts w:hint="eastAsia"/>
                <w:b w:val="0"/>
                <w:bCs w:val="0"/>
                <w:color w:val="auto"/>
                <w:kern w:val="2"/>
                <w:sz w:val="24"/>
                <w:highlight w:val="none"/>
                <w:lang w:val="en-US" w:eastAsia="zh-CN"/>
              </w:rPr>
              <w:t>建设单位严格按照</w:t>
            </w:r>
            <w:r>
              <w:rPr>
                <w:rFonts w:hint="eastAsia" w:ascii="Times New Roman" w:hAnsi="Times New Roman" w:eastAsia="宋体" w:cs="Times New Roman"/>
                <w:color w:val="auto"/>
                <w:sz w:val="24"/>
                <w:szCs w:val="24"/>
                <w:highlight w:val="none"/>
                <w:lang w:val="en-US" w:eastAsia="zh-CN"/>
              </w:rPr>
              <w:t>《危险废物识别标志设置技术规范》（HJ1276-2022），危险废物暂存库危险废物标识管理如下：</w:t>
            </w:r>
          </w:p>
          <w:p w14:paraId="10FAFEA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ascii="Times New Roman" w:hAnsi="Times New Roman" w:eastAsia="宋体" w:cs="Times New Roman"/>
                <w:color w:val="auto"/>
                <w:kern w:val="2"/>
                <w:sz w:val="24"/>
                <w:szCs w:val="22"/>
                <w:highlight w:val="none"/>
                <w:lang w:val="en-US" w:eastAsia="zh-CN" w:bidi="ar-SA"/>
              </w:rPr>
            </w:pPr>
            <w:r>
              <w:rPr>
                <w:color w:val="auto"/>
                <w:highlight w:val="none"/>
              </w:rPr>
              <w:drawing>
                <wp:inline distT="0" distB="0" distL="114300" distR="114300">
                  <wp:extent cx="2228850" cy="2210435"/>
                  <wp:effectExtent l="0" t="0" r="6350" b="1206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25"/>
                          <a:stretch>
                            <a:fillRect/>
                          </a:stretch>
                        </pic:blipFill>
                        <pic:spPr>
                          <a:xfrm>
                            <a:off x="0" y="0"/>
                            <a:ext cx="2228850" cy="2210435"/>
                          </a:xfrm>
                          <a:prstGeom prst="rect">
                            <a:avLst/>
                          </a:prstGeom>
                          <a:noFill/>
                          <a:ln>
                            <a:noFill/>
                          </a:ln>
                        </pic:spPr>
                      </pic:pic>
                    </a:graphicData>
                  </a:graphic>
                </wp:inline>
              </w:drawing>
            </w:r>
          </w:p>
          <w:p w14:paraId="700845FF">
            <w:pPr>
              <w:pStyle w:val="18"/>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color w:val="auto"/>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bidi="ar-SA"/>
              </w:rPr>
              <w:t>图</w:t>
            </w:r>
            <w:r>
              <w:rPr>
                <w:rFonts w:hint="eastAsia" w:cs="Times New Roman"/>
                <w:b/>
                <w:color w:val="auto"/>
                <w:sz w:val="21"/>
                <w:szCs w:val="21"/>
                <w:highlight w:val="none"/>
                <w:lang w:val="en-US" w:eastAsia="zh-CN" w:bidi="ar-SA"/>
              </w:rPr>
              <w:t>4-</w:t>
            </w:r>
            <w:r>
              <w:rPr>
                <w:rFonts w:hint="eastAsia" w:ascii="Times New Roman" w:hAnsi="Times New Roman" w:eastAsia="宋体" w:cs="Times New Roman"/>
                <w:b/>
                <w:color w:val="auto"/>
                <w:sz w:val="21"/>
                <w:szCs w:val="21"/>
                <w:highlight w:val="none"/>
                <w:lang w:val="en-US" w:eastAsia="zh-CN" w:bidi="ar-SA"/>
              </w:rPr>
              <w:t>1危险废物标识牌</w:t>
            </w:r>
          </w:p>
          <w:tbl>
            <w:tblPr>
              <w:tblStyle w:val="2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16"/>
              <w:gridCol w:w="1988"/>
              <w:gridCol w:w="1975"/>
              <w:gridCol w:w="1990"/>
            </w:tblGrid>
            <w:tr w14:paraId="6263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92" w:type="dxa"/>
                  <w:vAlign w:val="center"/>
                </w:tcPr>
                <w:p w14:paraId="1AEEC9E4">
                  <w:pPr>
                    <w:jc w:val="center"/>
                    <w:rPr>
                      <w:rFonts w:hint="default"/>
                      <w:color w:val="auto"/>
                      <w:highlight w:val="none"/>
                      <w:vertAlign w:val="baseline"/>
                      <w:lang w:val="en-US" w:eastAsia="zh-CN"/>
                    </w:rPr>
                  </w:pPr>
                  <w:r>
                    <w:rPr>
                      <w:color w:val="auto"/>
                      <w:highlight w:val="none"/>
                    </w:rPr>
                    <w:drawing>
                      <wp:inline distT="0" distB="0" distL="114300" distR="114300">
                        <wp:extent cx="1142365" cy="970915"/>
                        <wp:effectExtent l="0" t="0" r="635" b="6985"/>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26"/>
                                <a:stretch>
                                  <a:fillRect/>
                                </a:stretch>
                              </pic:blipFill>
                              <pic:spPr>
                                <a:xfrm>
                                  <a:off x="0" y="0"/>
                                  <a:ext cx="1142365" cy="970915"/>
                                </a:xfrm>
                                <a:prstGeom prst="rect">
                                  <a:avLst/>
                                </a:prstGeom>
                                <a:noFill/>
                                <a:ln>
                                  <a:noFill/>
                                </a:ln>
                              </pic:spPr>
                            </pic:pic>
                          </a:graphicData>
                        </a:graphic>
                      </wp:inline>
                    </w:drawing>
                  </w:r>
                </w:p>
              </w:tc>
              <w:tc>
                <w:tcPr>
                  <w:tcW w:w="1992" w:type="dxa"/>
                  <w:vAlign w:val="center"/>
                </w:tcPr>
                <w:p w14:paraId="5E202E9D">
                  <w:pPr>
                    <w:jc w:val="center"/>
                    <w:rPr>
                      <w:rFonts w:hint="default"/>
                      <w:color w:val="auto"/>
                      <w:highlight w:val="none"/>
                      <w:vertAlign w:val="baseline"/>
                      <w:lang w:val="en-US" w:eastAsia="zh-CN"/>
                    </w:rPr>
                  </w:pPr>
                  <w:r>
                    <w:rPr>
                      <w:color w:val="auto"/>
                      <w:highlight w:val="none"/>
                    </w:rPr>
                    <w:drawing>
                      <wp:inline distT="0" distB="0" distL="114300" distR="114300">
                        <wp:extent cx="1083945" cy="923290"/>
                        <wp:effectExtent l="0" t="0" r="8255" b="3810"/>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27"/>
                                <a:stretch>
                                  <a:fillRect/>
                                </a:stretch>
                              </pic:blipFill>
                              <pic:spPr>
                                <a:xfrm>
                                  <a:off x="0" y="0"/>
                                  <a:ext cx="1083945" cy="923290"/>
                                </a:xfrm>
                                <a:prstGeom prst="rect">
                                  <a:avLst/>
                                </a:prstGeom>
                                <a:noFill/>
                                <a:ln>
                                  <a:noFill/>
                                </a:ln>
                              </pic:spPr>
                            </pic:pic>
                          </a:graphicData>
                        </a:graphic>
                      </wp:inline>
                    </w:drawing>
                  </w:r>
                </w:p>
              </w:tc>
              <w:tc>
                <w:tcPr>
                  <w:tcW w:w="1992" w:type="dxa"/>
                  <w:vAlign w:val="center"/>
                </w:tcPr>
                <w:p w14:paraId="3CADE7F4">
                  <w:pPr>
                    <w:jc w:val="center"/>
                    <w:rPr>
                      <w:rFonts w:hint="default"/>
                      <w:color w:val="auto"/>
                      <w:highlight w:val="none"/>
                      <w:vertAlign w:val="baseline"/>
                      <w:lang w:val="en-US" w:eastAsia="zh-CN"/>
                    </w:rPr>
                  </w:pPr>
                  <w:r>
                    <w:rPr>
                      <w:color w:val="auto"/>
                      <w:highlight w:val="none"/>
                    </w:rPr>
                    <w:drawing>
                      <wp:inline distT="0" distB="0" distL="114300" distR="114300">
                        <wp:extent cx="988695" cy="974725"/>
                        <wp:effectExtent l="0" t="0" r="1905" b="3175"/>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28"/>
                                <a:stretch>
                                  <a:fillRect/>
                                </a:stretch>
                              </pic:blipFill>
                              <pic:spPr>
                                <a:xfrm>
                                  <a:off x="0" y="0"/>
                                  <a:ext cx="988695" cy="974725"/>
                                </a:xfrm>
                                <a:prstGeom prst="rect">
                                  <a:avLst/>
                                </a:prstGeom>
                                <a:noFill/>
                                <a:ln>
                                  <a:noFill/>
                                </a:ln>
                              </pic:spPr>
                            </pic:pic>
                          </a:graphicData>
                        </a:graphic>
                      </wp:inline>
                    </w:drawing>
                  </w:r>
                </w:p>
              </w:tc>
              <w:tc>
                <w:tcPr>
                  <w:tcW w:w="1993" w:type="dxa"/>
                  <w:vAlign w:val="center"/>
                </w:tcPr>
                <w:p w14:paraId="1085E5CC">
                  <w:pPr>
                    <w:jc w:val="center"/>
                    <w:rPr>
                      <w:rFonts w:hint="default"/>
                      <w:color w:val="auto"/>
                      <w:highlight w:val="none"/>
                      <w:vertAlign w:val="baseline"/>
                      <w:lang w:val="en-US" w:eastAsia="zh-CN"/>
                    </w:rPr>
                  </w:pPr>
                  <w:r>
                    <w:rPr>
                      <w:color w:val="auto"/>
                      <w:highlight w:val="none"/>
                    </w:rPr>
                    <w:drawing>
                      <wp:inline distT="0" distB="0" distL="114300" distR="114300">
                        <wp:extent cx="1099185" cy="983615"/>
                        <wp:effectExtent l="0" t="0" r="5715" b="698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29"/>
                                <a:stretch>
                                  <a:fillRect/>
                                </a:stretch>
                              </pic:blipFill>
                              <pic:spPr>
                                <a:xfrm>
                                  <a:off x="0" y="0"/>
                                  <a:ext cx="1099185" cy="983615"/>
                                </a:xfrm>
                                <a:prstGeom prst="rect">
                                  <a:avLst/>
                                </a:prstGeom>
                                <a:noFill/>
                                <a:ln>
                                  <a:noFill/>
                                </a:ln>
                              </pic:spPr>
                            </pic:pic>
                          </a:graphicData>
                        </a:graphic>
                      </wp:inline>
                    </w:drawing>
                  </w:r>
                </w:p>
              </w:tc>
            </w:tr>
            <w:tr w14:paraId="68150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992" w:type="dxa"/>
                  <w:vAlign w:val="center"/>
                </w:tcPr>
                <w:p w14:paraId="0163B061">
                  <w:pPr>
                    <w:jc w:val="center"/>
                    <w:rPr>
                      <w:rFonts w:hint="default"/>
                      <w:color w:val="auto"/>
                      <w:highlight w:val="none"/>
                      <w:vertAlign w:val="baseline"/>
                      <w:lang w:val="en-US" w:eastAsia="zh-CN"/>
                    </w:rPr>
                  </w:pPr>
                  <w:r>
                    <w:rPr>
                      <w:rFonts w:hint="eastAsia" w:ascii="Times New Roman" w:hAnsi="Times New Roman" w:eastAsia="宋体" w:cs="Times New Roman"/>
                      <w:b/>
                      <w:color w:val="auto"/>
                      <w:sz w:val="21"/>
                      <w:szCs w:val="21"/>
                      <w:highlight w:val="none"/>
                      <w:lang w:val="en-US" w:eastAsia="zh-CN" w:bidi="ar-SA"/>
                    </w:rPr>
                    <w:t>腐蚀性危险废物</w:t>
                  </w:r>
                </w:p>
              </w:tc>
              <w:tc>
                <w:tcPr>
                  <w:tcW w:w="1992" w:type="dxa"/>
                  <w:vAlign w:val="center"/>
                </w:tcPr>
                <w:p w14:paraId="64842429">
                  <w:pPr>
                    <w:jc w:val="center"/>
                    <w:rPr>
                      <w:rFonts w:hint="default"/>
                      <w:color w:val="auto"/>
                      <w:highlight w:val="none"/>
                      <w:vertAlign w:val="baseline"/>
                      <w:lang w:val="en-US" w:eastAsia="zh-CN"/>
                    </w:rPr>
                  </w:pPr>
                  <w:r>
                    <w:rPr>
                      <w:rFonts w:hint="eastAsia" w:ascii="Times New Roman" w:hAnsi="Times New Roman" w:eastAsia="宋体" w:cs="Times New Roman"/>
                      <w:b/>
                      <w:color w:val="auto"/>
                      <w:sz w:val="21"/>
                      <w:szCs w:val="21"/>
                      <w:highlight w:val="none"/>
                      <w:lang w:val="en-US" w:eastAsia="zh-CN" w:bidi="ar-SA"/>
                    </w:rPr>
                    <w:t>毒性危险废物</w:t>
                  </w:r>
                </w:p>
              </w:tc>
              <w:tc>
                <w:tcPr>
                  <w:tcW w:w="1992" w:type="dxa"/>
                  <w:vAlign w:val="center"/>
                </w:tcPr>
                <w:p w14:paraId="568D5FD5">
                  <w:pPr>
                    <w:jc w:val="center"/>
                    <w:rPr>
                      <w:rFonts w:hint="default"/>
                      <w:color w:val="auto"/>
                      <w:highlight w:val="none"/>
                      <w:vertAlign w:val="baseline"/>
                      <w:lang w:val="en-US" w:eastAsia="zh-CN"/>
                    </w:rPr>
                  </w:pPr>
                  <w:r>
                    <w:rPr>
                      <w:rFonts w:hint="eastAsia" w:ascii="Times New Roman" w:hAnsi="Times New Roman" w:eastAsia="宋体" w:cs="Times New Roman"/>
                      <w:b/>
                      <w:color w:val="auto"/>
                      <w:sz w:val="21"/>
                      <w:szCs w:val="21"/>
                      <w:highlight w:val="none"/>
                      <w:lang w:val="en-US" w:eastAsia="zh-CN" w:bidi="ar-SA"/>
                    </w:rPr>
                    <w:t>易燃性危险废物</w:t>
                  </w:r>
                </w:p>
              </w:tc>
              <w:tc>
                <w:tcPr>
                  <w:tcW w:w="1993" w:type="dxa"/>
                  <w:vAlign w:val="center"/>
                </w:tcPr>
                <w:p w14:paraId="7D6E594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olor w:val="auto"/>
                      <w:highlight w:val="none"/>
                      <w:vertAlign w:val="baseline"/>
                      <w:lang w:val="en-US" w:eastAsia="zh-CN"/>
                    </w:rPr>
                  </w:pPr>
                  <w:r>
                    <w:rPr>
                      <w:rFonts w:hint="eastAsia" w:ascii="Times New Roman" w:hAnsi="Times New Roman" w:eastAsia="宋体" w:cs="Times New Roman"/>
                      <w:b/>
                      <w:color w:val="auto"/>
                      <w:sz w:val="21"/>
                      <w:szCs w:val="21"/>
                      <w:highlight w:val="none"/>
                      <w:lang w:val="en-US" w:eastAsia="zh-CN" w:bidi="ar-SA"/>
                    </w:rPr>
                    <w:t>反应性危险废物</w:t>
                  </w:r>
                </w:p>
              </w:tc>
            </w:tr>
          </w:tbl>
          <w:p w14:paraId="137E967E">
            <w:pPr>
              <w:keepNext w:val="0"/>
              <w:keepLines w:val="0"/>
              <w:pageBreakBefore w:val="0"/>
              <w:widowControl w:val="0"/>
              <w:kinsoku/>
              <w:wordWrap/>
              <w:overflowPunct/>
              <w:topLinePunct w:val="0"/>
              <w:autoSpaceDE/>
              <w:autoSpaceDN/>
              <w:bidi w:val="0"/>
              <w:adjustRightInd w:val="0"/>
              <w:snapToGrid w:val="0"/>
              <w:spacing w:before="157" w:beforeLines="50" w:line="360" w:lineRule="auto"/>
              <w:ind w:left="0" w:leftChars="0" w:firstLine="0" w:firstLineChars="0"/>
              <w:jc w:val="center"/>
              <w:textAlignment w:val="auto"/>
              <w:rPr>
                <w:rFonts w:hint="default" w:ascii="Times New Roman" w:hAnsi="Times New Roman" w:eastAsia="宋体" w:cs="Times New Roman"/>
                <w:b/>
                <w:color w:val="auto"/>
                <w:sz w:val="24"/>
                <w:szCs w:val="24"/>
                <w:highlight w:val="none"/>
                <w:lang w:val="en-US" w:eastAsia="zh-CN"/>
              </w:rPr>
            </w:pPr>
            <w:r>
              <w:rPr>
                <w:rFonts w:ascii="Times New Roman" w:hAnsi="Times New Roman" w:eastAsia="宋体" w:cs="Times New Roman"/>
                <w:b/>
                <w:color w:val="auto"/>
                <w:sz w:val="24"/>
                <w:szCs w:val="24"/>
                <w:highlight w:val="none"/>
              </w:rPr>
              <w:t>图</w:t>
            </w:r>
            <w:r>
              <w:rPr>
                <w:rFonts w:hint="eastAsia" w:ascii="Times New Roman" w:hAnsi="Times New Roman" w:eastAsia="宋体" w:cs="Times New Roman"/>
                <w:b/>
                <w:color w:val="auto"/>
                <w:sz w:val="24"/>
                <w:szCs w:val="24"/>
                <w:highlight w:val="none"/>
                <w:lang w:val="en-US" w:eastAsia="zh-CN"/>
              </w:rPr>
              <w:t>4</w:t>
            </w:r>
            <w:r>
              <w:rPr>
                <w:rFonts w:ascii="Times New Roman" w:hAnsi="Times New Roman" w:eastAsia="宋体" w:cs="Times New Roman"/>
                <w:b/>
                <w:color w:val="auto"/>
                <w:sz w:val="24"/>
                <w:szCs w:val="24"/>
                <w:highlight w:val="none"/>
              </w:rPr>
              <w:t>-</w:t>
            </w:r>
            <w:r>
              <w:rPr>
                <w:rFonts w:hint="eastAsia" w:cs="Times New Roman"/>
                <w:b/>
                <w:color w:val="auto"/>
                <w:sz w:val="24"/>
                <w:szCs w:val="24"/>
                <w:highlight w:val="none"/>
                <w:lang w:val="en-US" w:eastAsia="zh-CN"/>
              </w:rPr>
              <w:t>2</w:t>
            </w:r>
            <w:r>
              <w:rPr>
                <w:rFonts w:hint="eastAsia" w:ascii="Times New Roman" w:hAnsi="Times New Roman" w:eastAsia="宋体" w:cs="Times New Roman"/>
                <w:b/>
                <w:color w:val="auto"/>
                <w:sz w:val="24"/>
                <w:szCs w:val="24"/>
                <w:highlight w:val="none"/>
                <w:lang w:val="en-US" w:eastAsia="zh-CN"/>
              </w:rPr>
              <w:t>危险废物标识图</w:t>
            </w:r>
          </w:p>
          <w:p w14:paraId="0042E875">
            <w:pPr>
              <w:pStyle w:val="6"/>
              <w:spacing w:after="0" w:line="360" w:lineRule="auto"/>
              <w:ind w:left="0" w:leftChars="0" w:firstLine="480" w:firstLineChars="200"/>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D</w:t>
            </w:r>
            <w:r>
              <w:rPr>
                <w:rFonts w:hint="eastAsia" w:ascii="Times New Roman" w:hAnsi="Times New Roman" w:eastAsia="宋体" w:cs="Times New Roman"/>
                <w:b w:val="0"/>
                <w:bCs w:val="0"/>
                <w:color w:val="auto"/>
                <w:sz w:val="24"/>
                <w:szCs w:val="24"/>
                <w:highlight w:val="none"/>
                <w:lang w:val="en-US" w:eastAsia="zh-CN"/>
              </w:rPr>
              <w:t>根据《危险废物管理计划和管理台账制定技术导则》（HJ1259—2022）规范危险废物管理计划与管理台账</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应当按规定的分类管理要求，制定危险废物管理计划，内容应当包括减少危险废物产生量和降低危险废物危害性的措施以及危险废物贮存、利用、处置措施；建立危险废物管理台账，如实记录危险废物的种类、产生量、流向、贮存、利用、处置等有关信息；通过国家危险废物信息管理系统向所在地生态环境主管部门备案危险废物管理计划，申报危险废物有关资料。</w:t>
            </w:r>
          </w:p>
          <w:p w14:paraId="253A793B">
            <w:pPr>
              <w:pStyle w:val="70"/>
              <w:spacing w:before="120" w:beforeLines="50" w:line="360" w:lineRule="auto"/>
              <w:ind w:firstLine="482" w:firstLineChars="200"/>
              <w:jc w:val="left"/>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五、</w:t>
            </w:r>
            <w:r>
              <w:rPr>
                <w:rFonts w:hint="default" w:ascii="Times New Roman" w:hAnsi="Times New Roman" w:eastAsia="宋体" w:cs="Times New Roman"/>
                <w:b/>
                <w:bCs/>
                <w:color w:val="auto"/>
                <w:sz w:val="24"/>
                <w:highlight w:val="none"/>
                <w:lang w:val="en-US" w:eastAsia="zh-CN"/>
              </w:rPr>
              <w:t>地下水、土壤环境影响和保护措施</w:t>
            </w:r>
          </w:p>
          <w:p w14:paraId="5B51F6A6">
            <w:pPr>
              <w:pStyle w:val="79"/>
              <w:spacing w:line="360" w:lineRule="auto"/>
              <w:ind w:firstLine="480"/>
              <w:rPr>
                <w:rStyle w:val="78"/>
                <w:rFonts w:hint="default" w:ascii="Times New Roman" w:hAnsi="Times New Roman" w:eastAsia="宋体" w:cs="Times New Roman"/>
                <w:b/>
                <w:bCs/>
                <w:color w:val="auto"/>
                <w:kern w:val="2"/>
                <w:szCs w:val="24"/>
                <w:highlight w:val="none"/>
                <w:lang w:val="en-US" w:eastAsia="zh-CN"/>
              </w:rPr>
            </w:pPr>
            <w:bookmarkStart w:id="6" w:name="_Toc13826"/>
            <w:r>
              <w:rPr>
                <w:rStyle w:val="78"/>
                <w:rFonts w:hint="eastAsia" w:ascii="Times New Roman" w:hAnsi="Times New Roman" w:eastAsia="宋体" w:cs="Times New Roman"/>
                <w:b/>
                <w:bCs/>
                <w:color w:val="auto"/>
                <w:kern w:val="2"/>
                <w:szCs w:val="24"/>
                <w:highlight w:val="none"/>
                <w:lang w:val="en-US" w:eastAsia="zh-CN"/>
              </w:rPr>
              <w:t>（1）</w:t>
            </w:r>
            <w:r>
              <w:rPr>
                <w:rStyle w:val="78"/>
                <w:rFonts w:hint="default" w:ascii="Times New Roman" w:hAnsi="Times New Roman" w:eastAsia="宋体" w:cs="Times New Roman"/>
                <w:b/>
                <w:bCs/>
                <w:color w:val="auto"/>
                <w:kern w:val="2"/>
                <w:szCs w:val="24"/>
                <w:highlight w:val="none"/>
                <w:lang w:val="en-US" w:eastAsia="zh-CN"/>
              </w:rPr>
              <w:t>地下水和土壤污染途径</w:t>
            </w:r>
          </w:p>
          <w:p w14:paraId="5E09DB10">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default" w:ascii="Times New Roman" w:hAnsi="Times New Roman" w:eastAsia="宋体" w:cs="Times New Roman"/>
                <w:color w:val="auto"/>
                <w:kern w:val="2"/>
                <w:szCs w:val="24"/>
                <w:highlight w:val="none"/>
                <w:lang w:val="en-US" w:eastAsia="zh-CN"/>
              </w:rPr>
              <w:t>本项目污染物对浅层地下水和土壤的污染主要通过以下途径：</w:t>
            </w:r>
          </w:p>
          <w:p w14:paraId="2468FB6A">
            <w:pPr>
              <w:pStyle w:val="79"/>
              <w:spacing w:line="360" w:lineRule="auto"/>
              <w:ind w:firstLine="480"/>
              <w:rPr>
                <w:rStyle w:val="78"/>
                <w:rFonts w:hint="eastAsia" w:ascii="Times New Roman" w:hAnsi="Times New Roman" w:eastAsia="宋体" w:cs="Times New Roman"/>
                <w:color w:val="auto"/>
                <w:kern w:val="2"/>
                <w:szCs w:val="24"/>
                <w:highlight w:val="none"/>
                <w:lang w:val="en-US" w:eastAsia="zh-CN"/>
              </w:rPr>
            </w:pPr>
            <w:r>
              <w:rPr>
                <w:rStyle w:val="78"/>
                <w:rFonts w:hint="eastAsia" w:ascii="Times New Roman" w:hAnsi="Times New Roman" w:eastAsia="宋体" w:cs="Times New Roman"/>
                <w:color w:val="auto"/>
                <w:kern w:val="2"/>
                <w:szCs w:val="24"/>
                <w:highlight w:val="none"/>
                <w:lang w:val="en-US" w:eastAsia="zh-CN"/>
              </w:rPr>
              <w:t>①</w:t>
            </w:r>
            <w:r>
              <w:rPr>
                <w:rFonts w:hint="default"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val="en-US" w:eastAsia="zh-CN"/>
              </w:rPr>
              <w:t>按照《危险废物贮存污染控制标准》（GB18597-2023）设置了导流槽和集液池，即使废矿物油发生泄漏，也会沿导流槽截留至集液池中，且</w:t>
            </w:r>
            <w:r>
              <w:rPr>
                <w:rFonts w:hint="eastAsia" w:cs="Times New Roman"/>
                <w:color w:val="auto"/>
                <w:sz w:val="24"/>
                <w:highlight w:val="none"/>
                <w:lang w:eastAsia="zh-CN"/>
              </w:rPr>
              <w:t>危废暂存间</w:t>
            </w:r>
            <w:r>
              <w:rPr>
                <w:rFonts w:hint="default" w:ascii="Times New Roman" w:hAnsi="Times New Roman" w:cs="Times New Roman"/>
                <w:color w:val="auto"/>
                <w:sz w:val="24"/>
                <w:highlight w:val="none"/>
              </w:rPr>
              <w:t>地面做重点防渗</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因此正常工况下</w:t>
            </w:r>
            <w:r>
              <w:rPr>
                <w:rFonts w:hint="default" w:ascii="Times New Roman" w:hAnsi="Times New Roman" w:cs="Times New Roman"/>
                <w:color w:val="auto"/>
                <w:sz w:val="24"/>
                <w:highlight w:val="none"/>
              </w:rPr>
              <w:t>不会对区域地下水、土壤环境造成影响</w:t>
            </w:r>
            <w:r>
              <w:rPr>
                <w:rFonts w:hint="eastAsia" w:ascii="Times New Roman" w:hAnsi="Times New Roman" w:cs="Times New Roman"/>
                <w:color w:val="auto"/>
                <w:sz w:val="24"/>
                <w:highlight w:val="none"/>
                <w:lang w:eastAsia="zh-CN"/>
              </w:rPr>
              <w:t>。</w:t>
            </w:r>
            <w:r>
              <w:rPr>
                <w:rStyle w:val="78"/>
                <w:rFonts w:hint="eastAsia" w:ascii="Times New Roman" w:hAnsi="Times New Roman" w:eastAsia="宋体" w:cs="Times New Roman"/>
                <w:color w:val="auto"/>
                <w:kern w:val="2"/>
                <w:szCs w:val="24"/>
                <w:highlight w:val="none"/>
                <w:lang w:val="en-US" w:eastAsia="zh-CN"/>
              </w:rPr>
              <w:t>但在事故状态下，</w:t>
            </w:r>
            <w:r>
              <w:rPr>
                <w:rStyle w:val="78"/>
                <w:rFonts w:hint="default" w:ascii="Times New Roman" w:hAnsi="Times New Roman" w:eastAsia="宋体" w:cs="Times New Roman"/>
                <w:color w:val="auto"/>
                <w:kern w:val="2"/>
                <w:szCs w:val="24"/>
                <w:highlight w:val="none"/>
                <w:lang w:val="en-US" w:eastAsia="zh-CN"/>
              </w:rPr>
              <w:t>由于</w:t>
            </w:r>
            <w:r>
              <w:rPr>
                <w:rStyle w:val="78"/>
                <w:rFonts w:hint="eastAsia" w:cs="Times New Roman"/>
                <w:color w:val="auto"/>
                <w:kern w:val="2"/>
                <w:szCs w:val="24"/>
                <w:highlight w:val="none"/>
                <w:lang w:val="en-US" w:eastAsia="zh-CN"/>
              </w:rPr>
              <w:t>危废暂存间</w:t>
            </w:r>
            <w:r>
              <w:rPr>
                <w:rStyle w:val="78"/>
                <w:rFonts w:hint="default" w:ascii="Times New Roman" w:hAnsi="Times New Roman" w:eastAsia="宋体" w:cs="Times New Roman"/>
                <w:color w:val="auto"/>
                <w:kern w:val="2"/>
                <w:szCs w:val="24"/>
                <w:highlight w:val="none"/>
                <w:lang w:val="en-US" w:eastAsia="zh-CN"/>
              </w:rPr>
              <w:t>内防渗措施的破裂、老</w:t>
            </w:r>
            <w:r>
              <w:rPr>
                <w:rStyle w:val="78"/>
                <w:rFonts w:hint="eastAsia" w:cs="Times New Roman"/>
                <w:color w:val="auto"/>
                <w:kern w:val="2"/>
                <w:szCs w:val="24"/>
                <w:highlight w:val="none"/>
                <w:lang w:val="en-US" w:eastAsia="zh-CN"/>
              </w:rPr>
              <w:t>化等</w:t>
            </w:r>
            <w:r>
              <w:rPr>
                <w:rStyle w:val="78"/>
                <w:rFonts w:hint="default" w:ascii="Times New Roman" w:hAnsi="Times New Roman" w:eastAsia="宋体" w:cs="Times New Roman"/>
                <w:color w:val="auto"/>
                <w:kern w:val="2"/>
                <w:szCs w:val="24"/>
                <w:highlight w:val="none"/>
                <w:lang w:val="en-US" w:eastAsia="zh-CN"/>
              </w:rPr>
              <w:t>原因，油品</w:t>
            </w:r>
            <w:r>
              <w:rPr>
                <w:rStyle w:val="78"/>
                <w:rFonts w:hint="eastAsia" w:ascii="Times New Roman" w:hAnsi="Times New Roman" w:eastAsia="宋体" w:cs="Times New Roman"/>
                <w:color w:val="auto"/>
                <w:kern w:val="2"/>
                <w:szCs w:val="24"/>
                <w:highlight w:val="none"/>
                <w:lang w:val="en-US" w:eastAsia="zh-CN"/>
              </w:rPr>
              <w:t>可能</w:t>
            </w:r>
            <w:r>
              <w:rPr>
                <w:rStyle w:val="78"/>
                <w:rFonts w:hint="default" w:ascii="Times New Roman" w:hAnsi="Times New Roman" w:eastAsia="宋体" w:cs="Times New Roman"/>
                <w:color w:val="auto"/>
                <w:kern w:val="2"/>
                <w:szCs w:val="24"/>
                <w:highlight w:val="none"/>
                <w:lang w:val="en-US" w:eastAsia="zh-CN"/>
              </w:rPr>
              <w:t>通过防渗层的裂缝，进入地下水和土壤从而造成污染。</w:t>
            </w:r>
          </w:p>
          <w:p w14:paraId="5FF3F388">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eastAsia" w:ascii="Times New Roman" w:hAnsi="Times New Roman" w:eastAsia="宋体" w:cs="Times New Roman"/>
                <w:color w:val="auto"/>
                <w:kern w:val="2"/>
                <w:szCs w:val="24"/>
                <w:highlight w:val="none"/>
                <w:lang w:val="en-US" w:eastAsia="zh-CN"/>
              </w:rPr>
              <w:t>②</w:t>
            </w:r>
            <w:r>
              <w:rPr>
                <w:rStyle w:val="78"/>
                <w:rFonts w:hint="eastAsia" w:cs="Times New Roman"/>
                <w:color w:val="auto"/>
                <w:kern w:val="2"/>
                <w:szCs w:val="24"/>
                <w:highlight w:val="none"/>
                <w:lang w:val="en-US" w:eastAsia="zh-CN"/>
              </w:rPr>
              <w:t>化粪池、沉淀池破损，导致污水通过地表渗入，污染土壤及地下水。</w:t>
            </w:r>
          </w:p>
          <w:p w14:paraId="22E6E65D">
            <w:pPr>
              <w:pStyle w:val="79"/>
              <w:spacing w:line="360" w:lineRule="auto"/>
              <w:ind w:firstLine="480"/>
              <w:rPr>
                <w:rStyle w:val="78"/>
                <w:rFonts w:hint="default" w:ascii="Times New Roman" w:hAnsi="Times New Roman" w:eastAsia="宋体" w:cs="Times New Roman"/>
                <w:b/>
                <w:bCs/>
                <w:color w:val="auto"/>
                <w:kern w:val="2"/>
                <w:szCs w:val="24"/>
                <w:highlight w:val="none"/>
                <w:lang w:val="en-US" w:eastAsia="zh-CN"/>
              </w:rPr>
            </w:pPr>
            <w:r>
              <w:rPr>
                <w:rStyle w:val="78"/>
                <w:rFonts w:hint="eastAsia" w:ascii="Times New Roman" w:hAnsi="Times New Roman" w:eastAsia="宋体" w:cs="Times New Roman"/>
                <w:b/>
                <w:bCs/>
                <w:color w:val="auto"/>
                <w:kern w:val="2"/>
                <w:szCs w:val="24"/>
                <w:highlight w:val="none"/>
                <w:lang w:val="en-US" w:eastAsia="zh-CN"/>
              </w:rPr>
              <w:t>（2）</w:t>
            </w:r>
            <w:r>
              <w:rPr>
                <w:rStyle w:val="78"/>
                <w:rFonts w:hint="default" w:ascii="Times New Roman" w:hAnsi="Times New Roman" w:eastAsia="宋体" w:cs="Times New Roman"/>
                <w:b/>
                <w:bCs/>
                <w:color w:val="auto"/>
                <w:kern w:val="2"/>
                <w:szCs w:val="24"/>
                <w:highlight w:val="none"/>
                <w:lang w:val="en-US" w:eastAsia="zh-CN"/>
              </w:rPr>
              <w:t>污染防治措施</w:t>
            </w:r>
          </w:p>
          <w:p w14:paraId="7D20CB26">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default" w:ascii="Times New Roman" w:hAnsi="Times New Roman" w:eastAsia="宋体" w:cs="Times New Roman"/>
                <w:color w:val="auto"/>
                <w:kern w:val="2"/>
                <w:szCs w:val="24"/>
                <w:highlight w:val="none"/>
                <w:lang w:val="en-US" w:eastAsia="zh-CN"/>
              </w:rPr>
              <w:t>依据建设项目行业特点与占地范围内地下水和土壤特性，本项目严格按照“源头控制、分区防控、污染监控、应急响应”的原则进行了地下水和土壤环境保护措施及管理措施，具体如下：</w:t>
            </w:r>
          </w:p>
          <w:p w14:paraId="646B73F0">
            <w:pPr>
              <w:pStyle w:val="79"/>
              <w:spacing w:line="360" w:lineRule="auto"/>
              <w:ind w:firstLine="480"/>
              <w:rPr>
                <w:rStyle w:val="78"/>
                <w:rFonts w:hint="eastAsia" w:ascii="Times New Roman" w:hAnsi="Times New Roman" w:cs="Times New Roman"/>
                <w:color w:val="auto"/>
                <w:kern w:val="2"/>
                <w:szCs w:val="24"/>
                <w:highlight w:val="none"/>
                <w:lang w:val="en-US" w:eastAsia="zh-CN"/>
              </w:rPr>
            </w:pPr>
            <w:r>
              <w:rPr>
                <w:rStyle w:val="78"/>
                <w:rFonts w:hint="eastAsia" w:ascii="Times New Roman" w:hAnsi="Times New Roman" w:eastAsia="宋体" w:cs="Times New Roman"/>
                <w:b/>
                <w:bCs/>
                <w:color w:val="auto"/>
                <w:kern w:val="2"/>
                <w:szCs w:val="24"/>
                <w:highlight w:val="none"/>
                <w:lang w:val="en-US" w:eastAsia="zh-CN"/>
              </w:rPr>
              <w:t>①</w:t>
            </w:r>
            <w:r>
              <w:rPr>
                <w:rStyle w:val="78"/>
                <w:rFonts w:hint="eastAsia" w:ascii="Times New Roman" w:hAnsi="Times New Roman" w:cs="Times New Roman"/>
                <w:b/>
                <w:bCs/>
                <w:color w:val="auto"/>
                <w:kern w:val="2"/>
                <w:szCs w:val="24"/>
                <w:highlight w:val="none"/>
                <w:lang w:val="en-US" w:eastAsia="zh-CN"/>
              </w:rPr>
              <w:t>重点防渗区</w:t>
            </w:r>
          </w:p>
          <w:p w14:paraId="6796CAFB">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Fonts w:hint="eastAsia" w:ascii="Times New Roman" w:hAnsi="Times New Roman" w:cs="Times New Roman"/>
                <w:color w:val="auto"/>
                <w:sz w:val="24"/>
                <w:szCs w:val="24"/>
                <w:highlight w:val="none"/>
                <w:lang w:val="en-US" w:eastAsia="zh-CN"/>
              </w:rPr>
              <w:t>危废</w:t>
            </w:r>
            <w:r>
              <w:rPr>
                <w:rStyle w:val="78"/>
                <w:rFonts w:hint="eastAsia" w:cs="Times New Roman"/>
                <w:color w:val="auto"/>
                <w:kern w:val="2"/>
                <w:szCs w:val="24"/>
                <w:highlight w:val="none"/>
                <w:lang w:val="en-US" w:eastAsia="zh-CN"/>
              </w:rPr>
              <w:t>暂存间</w:t>
            </w:r>
            <w:r>
              <w:rPr>
                <w:rFonts w:hint="eastAsia" w:ascii="Times New Roman" w:hAnsi="Times New Roman" w:cs="Times New Roman"/>
                <w:color w:val="auto"/>
                <w:sz w:val="24"/>
                <w:szCs w:val="24"/>
                <w:highlight w:val="none"/>
                <w:lang w:val="en-US" w:eastAsia="zh-CN"/>
              </w:rPr>
              <w:t>4周设置导流槽</w:t>
            </w:r>
            <w:r>
              <w:rPr>
                <w:rFonts w:hint="eastAsia" w:ascii="Times New Roman" w:hAnsi="Times New Roman" w:eastAsia="宋体" w:cs="Times New Roman"/>
                <w:color w:val="auto"/>
                <w:sz w:val="24"/>
                <w:szCs w:val="24"/>
                <w:highlight w:val="none"/>
                <w:lang w:val="en-US" w:eastAsia="zh-CN"/>
              </w:rPr>
              <w:t>，导流槽规格为宽30cm，深度为20cm</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导流槽</w:t>
            </w:r>
            <w:r>
              <w:rPr>
                <w:rFonts w:ascii="Times New Roman" w:hAnsi="Times New Roman" w:cs="Times New Roman"/>
                <w:bCs/>
                <w:color w:val="auto"/>
                <w:sz w:val="24"/>
                <w:szCs w:val="24"/>
                <w:highlight w:val="none"/>
              </w:rPr>
              <w:t>与</w:t>
            </w:r>
            <w:r>
              <w:rPr>
                <w:rFonts w:hint="eastAsia" w:ascii="Times New Roman" w:hAnsi="Times New Roman" w:cs="Times New Roman"/>
                <w:bCs/>
                <w:color w:val="auto"/>
                <w:sz w:val="24"/>
                <w:szCs w:val="24"/>
                <w:highlight w:val="none"/>
                <w:lang w:val="en-US" w:eastAsia="zh-CN"/>
              </w:rPr>
              <w:t>集液</w:t>
            </w:r>
            <w:r>
              <w:rPr>
                <w:rFonts w:ascii="Times New Roman" w:hAnsi="Times New Roman" w:cs="Times New Roman"/>
                <w:bCs/>
                <w:color w:val="auto"/>
                <w:sz w:val="24"/>
                <w:szCs w:val="24"/>
                <w:highlight w:val="none"/>
              </w:rPr>
              <w:t>池相连</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集液池位于</w:t>
            </w:r>
            <w:r>
              <w:rPr>
                <w:rFonts w:hint="eastAsia" w:cs="Times New Roman"/>
                <w:bCs/>
                <w:color w:val="auto"/>
                <w:sz w:val="24"/>
                <w:szCs w:val="24"/>
                <w:highlight w:val="none"/>
                <w:lang w:val="en-US" w:eastAsia="zh-CN"/>
              </w:rPr>
              <w:t>危废暂存间</w:t>
            </w:r>
            <w:r>
              <w:rPr>
                <w:rFonts w:hint="eastAsia" w:ascii="Times New Roman" w:hAnsi="Times New Roman" w:cs="Times New Roman"/>
                <w:bCs/>
                <w:color w:val="auto"/>
                <w:sz w:val="24"/>
                <w:szCs w:val="24"/>
                <w:highlight w:val="none"/>
                <w:lang w:val="en-US" w:eastAsia="zh-CN"/>
              </w:rPr>
              <w:t>西南角，集液池规格为长1m×宽1m×深1m，容积为1m</w:t>
            </w:r>
            <w:r>
              <w:rPr>
                <w:rFonts w:hint="eastAsia" w:ascii="Times New Roman" w:hAnsi="Times New Roman" w:cs="Times New Roman"/>
                <w:bCs/>
                <w:color w:val="auto"/>
                <w:sz w:val="24"/>
                <w:szCs w:val="24"/>
                <w:highlight w:val="none"/>
                <w:vertAlign w:val="superscript"/>
                <w:lang w:val="en-US" w:eastAsia="zh-CN"/>
              </w:rPr>
              <w:t>3</w:t>
            </w:r>
            <w:r>
              <w:rPr>
                <w:rFonts w:ascii="Times New Roman" w:hAnsi="Times New Roman" w:cs="Times New Roman"/>
                <w:bCs/>
                <w:color w:val="auto"/>
                <w:sz w:val="24"/>
                <w:szCs w:val="24"/>
                <w:highlight w:val="none"/>
              </w:rPr>
              <w:t>，主要用于将泄漏的</w:t>
            </w:r>
            <w:r>
              <w:rPr>
                <w:rFonts w:hint="eastAsia" w:ascii="Times New Roman" w:hAnsi="Times New Roman" w:cs="Times New Roman"/>
                <w:bCs/>
                <w:color w:val="auto"/>
                <w:sz w:val="24"/>
                <w:szCs w:val="24"/>
                <w:highlight w:val="none"/>
                <w:lang w:val="en-US" w:eastAsia="zh-CN"/>
              </w:rPr>
              <w:t>废矿物油污</w:t>
            </w:r>
            <w:r>
              <w:rPr>
                <w:rFonts w:ascii="Times New Roman" w:hAnsi="Times New Roman" w:cs="Times New Roman"/>
                <w:bCs/>
                <w:color w:val="auto"/>
                <w:sz w:val="24"/>
                <w:szCs w:val="24"/>
                <w:highlight w:val="none"/>
              </w:rPr>
              <w:t>收集至</w:t>
            </w:r>
            <w:r>
              <w:rPr>
                <w:rFonts w:hint="eastAsia" w:ascii="Times New Roman" w:hAnsi="Times New Roman" w:cs="Times New Roman"/>
                <w:bCs/>
                <w:color w:val="auto"/>
                <w:sz w:val="24"/>
                <w:szCs w:val="24"/>
                <w:highlight w:val="none"/>
                <w:lang w:val="en-US" w:eastAsia="zh-CN"/>
              </w:rPr>
              <w:t>集液池，</w:t>
            </w:r>
            <w:r>
              <w:rPr>
                <w:rFonts w:hint="eastAsia" w:cs="Times New Roman"/>
                <w:color w:val="auto"/>
                <w:sz w:val="24"/>
                <w:szCs w:val="24"/>
                <w:highlight w:val="none"/>
                <w:lang w:eastAsia="zh-CN"/>
              </w:rPr>
              <w:t>危废暂存间</w:t>
            </w:r>
            <w:r>
              <w:rPr>
                <w:rFonts w:hint="default" w:ascii="Times New Roman" w:hAnsi="Times New Roman" w:eastAsia="宋体" w:cs="Times New Roman"/>
                <w:color w:val="auto"/>
                <w:sz w:val="24"/>
                <w:szCs w:val="24"/>
                <w:highlight w:val="none"/>
              </w:rPr>
              <w:t>地面</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导流槽、集液池、裙角</w:t>
            </w:r>
            <w:r>
              <w:rPr>
                <w:rFonts w:hint="default" w:ascii="Times New Roman" w:hAnsi="Times New Roman" w:cs="Times New Roman"/>
                <w:color w:val="auto"/>
                <w:sz w:val="24"/>
                <w:szCs w:val="24"/>
                <w:highlight w:val="none"/>
              </w:rPr>
              <w:t>按照要求进行防渗处理</w:t>
            </w:r>
            <w:r>
              <w:rPr>
                <w:rFonts w:hint="eastAsia" w:ascii="Times New Roman" w:hAnsi="Times New Roman" w:cs="Times New Roman"/>
                <w:color w:val="auto"/>
                <w:sz w:val="24"/>
                <w:szCs w:val="24"/>
                <w:highlight w:val="none"/>
                <w:lang w:eastAsia="zh-CN"/>
              </w:rPr>
              <w:t>，</w:t>
            </w:r>
            <w:r>
              <w:rPr>
                <w:rFonts w:hint="eastAsia" w:cs="Times New Roman"/>
                <w:color w:val="auto"/>
                <w:szCs w:val="21"/>
                <w:highlight w:val="none"/>
                <w:vertAlign w:val="baseline"/>
                <w:lang w:val="en-US" w:eastAsia="zh-CN"/>
              </w:rPr>
              <w:t>沉淀池、化粪池、一般固废暂存区</w:t>
            </w:r>
            <w:r>
              <w:rPr>
                <w:rFonts w:hint="eastAsia" w:cs="Times New Roman"/>
                <w:color w:val="auto"/>
                <w:highlight w:val="none"/>
                <w:lang w:val="en-US" w:eastAsia="zh-CN"/>
              </w:rPr>
              <w:t>为</w:t>
            </w:r>
            <w:r>
              <w:rPr>
                <w:rFonts w:hint="default" w:ascii="Times New Roman" w:hAnsi="Times New Roman" w:cs="Times New Roman"/>
                <w:color w:val="auto"/>
                <w:highlight w:val="none"/>
              </w:rPr>
              <w:t>一般防渗</w:t>
            </w:r>
            <w:r>
              <w:rPr>
                <w:rFonts w:hint="eastAsia" w:cs="Times New Roman"/>
                <w:color w:val="auto"/>
                <w:highlight w:val="none"/>
                <w:lang w:val="en-US" w:eastAsia="zh-CN"/>
              </w:rPr>
              <w:t>区</w:t>
            </w:r>
            <w:r>
              <w:rPr>
                <w:rFonts w:hint="default" w:ascii="Times New Roman" w:hAnsi="Times New Roman" w:cs="Times New Roman"/>
                <w:color w:val="auto"/>
                <w:highlight w:val="none"/>
              </w:rPr>
              <w:t>，采用150mm厚的C30P6抗渗混凝土进行防渗</w:t>
            </w:r>
            <w:r>
              <w:rPr>
                <w:rFonts w:hint="eastAsia" w:cs="Times New Roman"/>
                <w:color w:val="auto"/>
                <w:highlight w:val="none"/>
                <w:lang w:eastAsia="zh-CN"/>
              </w:rPr>
              <w:t>，</w:t>
            </w:r>
            <w:r>
              <w:rPr>
                <w:rFonts w:hint="eastAsia" w:cs="Times New Roman"/>
                <w:color w:val="auto"/>
                <w:highlight w:val="none"/>
                <w:lang w:val="en-US" w:eastAsia="zh-CN"/>
              </w:rPr>
              <w:t>满足</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r>
              <w:rPr>
                <w:rFonts w:hint="default" w:ascii="Times New Roman" w:hAnsi="Times New Roman" w:cs="Times New Roman"/>
                <w:color w:val="auto"/>
                <w:sz w:val="24"/>
                <w:szCs w:val="24"/>
                <w:highlight w:val="none"/>
                <w:lang w:eastAsia="zh-CN"/>
              </w:rPr>
              <w:t>。</w:t>
            </w:r>
          </w:p>
          <w:p w14:paraId="4A69556C">
            <w:pPr>
              <w:pStyle w:val="79"/>
              <w:spacing w:line="360" w:lineRule="auto"/>
              <w:ind w:firstLine="480"/>
              <w:rPr>
                <w:rStyle w:val="78"/>
                <w:rFonts w:hint="default" w:ascii="Times New Roman" w:hAnsi="Times New Roman" w:cs="Times New Roman"/>
                <w:b/>
                <w:bCs/>
                <w:color w:val="auto"/>
                <w:kern w:val="2"/>
                <w:szCs w:val="24"/>
                <w:highlight w:val="none"/>
                <w:lang w:val="en-US" w:eastAsia="zh-CN"/>
              </w:rPr>
            </w:pPr>
            <w:r>
              <w:rPr>
                <w:rStyle w:val="78"/>
                <w:rFonts w:hint="eastAsia" w:ascii="Times New Roman" w:hAnsi="Times New Roman" w:cs="Times New Roman"/>
                <w:b/>
                <w:bCs/>
                <w:color w:val="auto"/>
                <w:kern w:val="2"/>
                <w:szCs w:val="24"/>
                <w:highlight w:val="none"/>
                <w:lang w:val="en-US" w:eastAsia="zh-CN"/>
              </w:rPr>
              <w:t>②一般防渗区</w:t>
            </w:r>
          </w:p>
          <w:p w14:paraId="7817F1BC">
            <w:pPr>
              <w:pStyle w:val="79"/>
              <w:spacing w:line="360" w:lineRule="auto"/>
              <w:ind w:firstLine="480"/>
              <w:rPr>
                <w:rStyle w:val="78"/>
                <w:rFonts w:hint="eastAsia" w:ascii="Times New Roman" w:hAnsi="Times New Roman" w:cs="Times New Roman"/>
                <w:b/>
                <w:bCs/>
                <w:color w:val="auto"/>
                <w:kern w:val="2"/>
                <w:szCs w:val="24"/>
                <w:highlight w:val="none"/>
                <w:lang w:val="en-US" w:eastAsia="zh-CN"/>
              </w:rPr>
            </w:pPr>
            <w:r>
              <w:rPr>
                <w:rFonts w:hint="eastAsia" w:cs="Times New Roman"/>
                <w:color w:val="auto"/>
                <w:szCs w:val="21"/>
                <w:highlight w:val="none"/>
                <w:vertAlign w:val="baseline"/>
                <w:lang w:val="en-US" w:eastAsia="zh-CN"/>
              </w:rPr>
              <w:t>沉淀池、化粪池、一般固废暂存区</w:t>
            </w:r>
            <w:r>
              <w:rPr>
                <w:rFonts w:hint="eastAsia" w:cs="Times New Roman"/>
                <w:color w:val="auto"/>
                <w:highlight w:val="none"/>
                <w:lang w:val="en-US" w:eastAsia="zh-CN"/>
              </w:rPr>
              <w:t>为</w:t>
            </w:r>
            <w:r>
              <w:rPr>
                <w:rFonts w:hint="default" w:ascii="Times New Roman" w:hAnsi="Times New Roman" w:cs="Times New Roman"/>
                <w:color w:val="auto"/>
                <w:highlight w:val="none"/>
              </w:rPr>
              <w:t>一般防渗</w:t>
            </w:r>
            <w:r>
              <w:rPr>
                <w:rFonts w:hint="eastAsia" w:cs="Times New Roman"/>
                <w:color w:val="auto"/>
                <w:highlight w:val="none"/>
                <w:lang w:val="en-US" w:eastAsia="zh-CN"/>
              </w:rPr>
              <w:t>区</w:t>
            </w:r>
            <w:r>
              <w:rPr>
                <w:rFonts w:hint="default" w:ascii="Times New Roman" w:hAnsi="Times New Roman" w:cs="Times New Roman"/>
                <w:color w:val="auto"/>
                <w:highlight w:val="none"/>
              </w:rPr>
              <w:t>，采用150mm厚的C30P6抗渗混凝土进行防渗</w:t>
            </w:r>
            <w:r>
              <w:rPr>
                <w:rFonts w:hint="eastAsia" w:cs="Times New Roman"/>
                <w:color w:val="auto"/>
                <w:highlight w:val="none"/>
                <w:lang w:eastAsia="zh-CN"/>
              </w:rPr>
              <w:t>，</w:t>
            </w:r>
            <w:r>
              <w:rPr>
                <w:rFonts w:hint="eastAsia" w:cs="Times New Roman"/>
                <w:color w:val="auto"/>
                <w:highlight w:val="none"/>
                <w:lang w:val="en-US" w:eastAsia="zh-CN"/>
              </w:rPr>
              <w:t>满足</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p>
          <w:p w14:paraId="145D6944">
            <w:pPr>
              <w:pStyle w:val="79"/>
              <w:spacing w:line="360" w:lineRule="auto"/>
              <w:ind w:firstLine="480"/>
              <w:rPr>
                <w:rStyle w:val="78"/>
                <w:rFonts w:hint="default" w:ascii="Times New Roman" w:hAnsi="Times New Roman" w:cs="Times New Roman"/>
                <w:color w:val="auto"/>
                <w:kern w:val="2"/>
                <w:szCs w:val="24"/>
                <w:highlight w:val="none"/>
                <w:lang w:val="en-US" w:eastAsia="zh-CN"/>
              </w:rPr>
            </w:pPr>
            <w:r>
              <w:rPr>
                <w:rStyle w:val="78"/>
                <w:rFonts w:hint="eastAsia" w:ascii="Times New Roman" w:hAnsi="Times New Roman" w:cs="Times New Roman"/>
                <w:b/>
                <w:bCs/>
                <w:color w:val="auto"/>
                <w:kern w:val="2"/>
                <w:szCs w:val="24"/>
                <w:highlight w:val="none"/>
                <w:lang w:val="en-US" w:eastAsia="zh-CN"/>
              </w:rPr>
              <w:t>③简单防渗区</w:t>
            </w:r>
          </w:p>
          <w:p w14:paraId="0F478E45">
            <w:pPr>
              <w:pStyle w:val="79"/>
              <w:spacing w:line="360" w:lineRule="auto"/>
              <w:ind w:firstLine="480"/>
              <w:rPr>
                <w:rStyle w:val="78"/>
                <w:rFonts w:hint="eastAsia" w:ascii="Times New Roman" w:hAnsi="Times New Roman" w:eastAsia="宋体" w:cs="Times New Roman"/>
                <w:color w:val="auto"/>
                <w:kern w:val="2"/>
                <w:szCs w:val="24"/>
                <w:highlight w:val="none"/>
                <w:lang w:val="en-US" w:eastAsia="zh-CN"/>
              </w:rPr>
            </w:pPr>
            <w:r>
              <w:rPr>
                <w:rFonts w:hint="eastAsia" w:cs="Times New Roman"/>
                <w:color w:val="auto"/>
                <w:szCs w:val="21"/>
                <w:highlight w:val="none"/>
                <w:lang w:val="en-US" w:eastAsia="zh-CN"/>
              </w:rPr>
              <w:t>砂石料棚、</w:t>
            </w:r>
            <w:r>
              <w:rPr>
                <w:rFonts w:hint="eastAsia" w:ascii="Times New Roman" w:hAnsi="Times New Roman" w:cs="Times New Roman"/>
                <w:color w:val="auto"/>
                <w:szCs w:val="21"/>
                <w:highlight w:val="none"/>
                <w:lang w:val="en-US" w:eastAsia="zh-CN"/>
              </w:rPr>
              <w:t>厂区</w:t>
            </w:r>
            <w:r>
              <w:rPr>
                <w:rFonts w:hint="default" w:ascii="Times New Roman" w:hAnsi="Times New Roman" w:cs="Times New Roman"/>
                <w:color w:val="auto"/>
                <w:szCs w:val="21"/>
                <w:highlight w:val="none"/>
              </w:rPr>
              <w:t>道路</w:t>
            </w:r>
            <w:r>
              <w:rPr>
                <w:rFonts w:hint="eastAsia" w:cs="Times New Roman"/>
                <w:color w:val="auto"/>
                <w:szCs w:val="21"/>
                <w:highlight w:val="none"/>
                <w:lang w:val="en-US" w:eastAsia="zh-CN"/>
              </w:rPr>
              <w:t>及除上述区域外</w:t>
            </w:r>
            <w:r>
              <w:rPr>
                <w:rFonts w:hint="default" w:ascii="Times New Roman" w:hAnsi="Times New Roman" w:cs="Times New Roman"/>
                <w:color w:val="auto"/>
                <w:szCs w:val="21"/>
                <w:highlight w:val="none"/>
              </w:rPr>
              <w:t>全部</w:t>
            </w:r>
            <w:r>
              <w:rPr>
                <w:rFonts w:hint="eastAsia" w:ascii="Times New Roman" w:hAnsi="Times New Roman" w:cs="Times New Roman"/>
                <w:color w:val="auto"/>
                <w:szCs w:val="21"/>
                <w:highlight w:val="none"/>
                <w:lang w:val="en-US" w:eastAsia="zh-CN"/>
              </w:rPr>
              <w:t>采用一般混凝土</w:t>
            </w:r>
            <w:r>
              <w:rPr>
                <w:rFonts w:hint="default" w:ascii="Times New Roman" w:hAnsi="Times New Roman" w:cs="Times New Roman"/>
                <w:color w:val="auto"/>
                <w:szCs w:val="21"/>
                <w:highlight w:val="none"/>
              </w:rPr>
              <w:t>硬化</w:t>
            </w:r>
            <w:r>
              <w:rPr>
                <w:rFonts w:hint="eastAsia" w:ascii="宋体" w:hAnsi="宋体"/>
                <w:color w:val="auto"/>
                <w:sz w:val="24"/>
                <w:highlight w:val="none"/>
                <w:lang w:eastAsia="zh-CN"/>
              </w:rPr>
              <w:t>。</w:t>
            </w:r>
          </w:p>
          <w:p w14:paraId="57C9073F">
            <w:pPr>
              <w:spacing w:line="240" w:lineRule="atLeast"/>
              <w:jc w:val="center"/>
              <w:rPr>
                <w:rFonts w:ascii="Times New Roman" w:hAnsi="Times New Roman" w:eastAsia="宋体" w:cs="Times New Roman"/>
                <w:b/>
                <w:bCs/>
                <w:color w:val="auto"/>
                <w:sz w:val="24"/>
                <w:highlight w:val="none"/>
              </w:rPr>
            </w:pPr>
            <w:r>
              <w:rPr>
                <w:rFonts w:ascii="Times New Roman" w:hAnsi="Times New Roman" w:eastAsia="宋体" w:cs="Times New Roman"/>
                <w:b/>
                <w:bCs/>
                <w:color w:val="auto"/>
                <w:sz w:val="24"/>
                <w:highlight w:val="none"/>
              </w:rPr>
              <w:t>表4-</w:t>
            </w:r>
            <w:r>
              <w:rPr>
                <w:rFonts w:hint="eastAsia" w:ascii="Times New Roman" w:hAnsi="Times New Roman" w:cs="Times New Roman"/>
                <w:b/>
                <w:bCs/>
                <w:color w:val="auto"/>
                <w:sz w:val="24"/>
                <w:highlight w:val="none"/>
                <w:lang w:val="en-US" w:eastAsia="zh-CN"/>
              </w:rPr>
              <w:t>8</w:t>
            </w:r>
            <w:r>
              <w:rPr>
                <w:rFonts w:ascii="Times New Roman" w:hAnsi="Times New Roman" w:eastAsia="宋体" w:cs="Times New Roman"/>
                <w:b/>
                <w:bCs/>
                <w:color w:val="auto"/>
                <w:sz w:val="24"/>
                <w:highlight w:val="none"/>
              </w:rPr>
              <w:t>项目分区防渗要求表</w:t>
            </w:r>
          </w:p>
          <w:tbl>
            <w:tblPr>
              <w:tblStyle w:val="22"/>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508"/>
              <w:gridCol w:w="4918"/>
            </w:tblGrid>
            <w:tr w14:paraId="2163B4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dxa"/>
                  <w:tcBorders>
                    <w:left w:val="nil"/>
                  </w:tcBorders>
                  <w:noWrap w:val="0"/>
                  <w:vAlign w:val="center"/>
                </w:tcPr>
                <w:p w14:paraId="3292D571">
                  <w:pPr>
                    <w:jc w:val="center"/>
                    <w:rPr>
                      <w:color w:val="auto"/>
                      <w:kern w:val="0"/>
                      <w:szCs w:val="21"/>
                      <w:highlight w:val="none"/>
                    </w:rPr>
                  </w:pPr>
                  <w:r>
                    <w:rPr>
                      <w:color w:val="auto"/>
                      <w:kern w:val="0"/>
                      <w:szCs w:val="21"/>
                      <w:highlight w:val="none"/>
                    </w:rPr>
                    <w:t>防渗等级</w:t>
                  </w:r>
                </w:p>
              </w:tc>
              <w:tc>
                <w:tcPr>
                  <w:tcW w:w="950" w:type="pct"/>
                  <w:tcBorders>
                    <w:left w:val="nil"/>
                  </w:tcBorders>
                  <w:noWrap w:val="0"/>
                  <w:vAlign w:val="center"/>
                </w:tcPr>
                <w:p w14:paraId="64CC74D1">
                  <w:pPr>
                    <w:jc w:val="center"/>
                    <w:rPr>
                      <w:color w:val="auto"/>
                      <w:kern w:val="0"/>
                      <w:szCs w:val="21"/>
                      <w:highlight w:val="none"/>
                    </w:rPr>
                  </w:pPr>
                  <w:r>
                    <w:rPr>
                      <w:color w:val="auto"/>
                      <w:kern w:val="0"/>
                      <w:szCs w:val="21"/>
                      <w:highlight w:val="none"/>
                    </w:rPr>
                    <w:t>防渗区域</w:t>
                  </w:r>
                </w:p>
              </w:tc>
              <w:tc>
                <w:tcPr>
                  <w:tcW w:w="3098" w:type="pct"/>
                  <w:tcBorders>
                    <w:right w:val="nil"/>
                  </w:tcBorders>
                  <w:noWrap w:val="0"/>
                  <w:vAlign w:val="center"/>
                </w:tcPr>
                <w:p w14:paraId="62FFD0B4">
                  <w:pPr>
                    <w:jc w:val="center"/>
                    <w:rPr>
                      <w:color w:val="auto"/>
                      <w:kern w:val="0"/>
                      <w:szCs w:val="21"/>
                      <w:highlight w:val="none"/>
                    </w:rPr>
                  </w:pPr>
                  <w:r>
                    <w:rPr>
                      <w:color w:val="auto"/>
                      <w:kern w:val="0"/>
                      <w:szCs w:val="21"/>
                      <w:highlight w:val="none"/>
                    </w:rPr>
                    <w:t>防渗技术要求</w:t>
                  </w:r>
                </w:p>
              </w:tc>
            </w:tr>
            <w:tr w14:paraId="42D3D4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dxa"/>
                  <w:tcBorders>
                    <w:left w:val="nil"/>
                  </w:tcBorders>
                  <w:noWrap w:val="0"/>
                  <w:vAlign w:val="center"/>
                </w:tcPr>
                <w:p w14:paraId="5458895A">
                  <w:pPr>
                    <w:jc w:val="center"/>
                    <w:rPr>
                      <w:rFonts w:hint="eastAsia"/>
                      <w:color w:val="auto"/>
                      <w:szCs w:val="21"/>
                      <w:highlight w:val="none"/>
                      <w:lang w:val="en-US" w:eastAsia="zh-CN"/>
                    </w:rPr>
                  </w:pPr>
                  <w:r>
                    <w:rPr>
                      <w:color w:val="auto"/>
                      <w:kern w:val="0"/>
                      <w:szCs w:val="21"/>
                      <w:highlight w:val="none"/>
                    </w:rPr>
                    <w:t>重点防渗区</w:t>
                  </w:r>
                </w:p>
              </w:tc>
              <w:tc>
                <w:tcPr>
                  <w:tcW w:w="950" w:type="pct"/>
                  <w:tcBorders>
                    <w:left w:val="nil"/>
                  </w:tcBorders>
                  <w:noWrap w:val="0"/>
                  <w:vAlign w:val="center"/>
                </w:tcPr>
                <w:p w14:paraId="559DBA7F">
                  <w:pPr>
                    <w:jc w:val="center"/>
                    <w:rPr>
                      <w:rFonts w:hint="eastAsia" w:eastAsia="宋体"/>
                      <w:color w:val="auto"/>
                      <w:kern w:val="0"/>
                      <w:szCs w:val="21"/>
                      <w:highlight w:val="none"/>
                      <w:lang w:eastAsia="zh-CN"/>
                    </w:rPr>
                  </w:pPr>
                  <w:r>
                    <w:rPr>
                      <w:rFonts w:hint="eastAsia"/>
                      <w:color w:val="auto"/>
                      <w:szCs w:val="21"/>
                      <w:highlight w:val="none"/>
                      <w:lang w:val="en-US" w:eastAsia="zh-CN"/>
                    </w:rPr>
                    <w:t>危废暂存间</w:t>
                  </w:r>
                </w:p>
              </w:tc>
              <w:tc>
                <w:tcPr>
                  <w:tcW w:w="3098" w:type="pct"/>
                  <w:tcBorders>
                    <w:right w:val="nil"/>
                  </w:tcBorders>
                  <w:noWrap w:val="0"/>
                  <w:vAlign w:val="center"/>
                </w:tcPr>
                <w:p w14:paraId="2EAAF980">
                  <w:pPr>
                    <w:jc w:val="left"/>
                    <w:rPr>
                      <w:rFonts w:hint="eastAsia" w:eastAsia="宋体"/>
                      <w:color w:val="auto"/>
                      <w:kern w:val="0"/>
                      <w:szCs w:val="21"/>
                      <w:highlight w:val="none"/>
                      <w:lang w:eastAsia="zh-CN"/>
                    </w:rPr>
                  </w:pPr>
                  <w:r>
                    <w:rPr>
                      <w:rFonts w:hint="eastAsia" w:cs="Times New Roman"/>
                      <w:color w:val="auto"/>
                      <w:szCs w:val="21"/>
                      <w:highlight w:val="none"/>
                      <w:vertAlign w:val="baseline"/>
                      <w:lang w:val="en-US" w:eastAsia="zh-CN"/>
                    </w:rPr>
                    <w:t>危废暂存间地面、导流槽、集液池、裙角按照要求进行防渗处理，采用素土夯实、水泥砂浆保护层、1.5mmHDPE防渗膜、200mm厚C30P6抗渗钢筋混凝土及环氧树脂防腐地坪多层复合重点防渗结构，满足渗透系数不大于10</w:t>
                  </w:r>
                  <w:r>
                    <w:rPr>
                      <w:rFonts w:hint="eastAsia" w:cs="Times New Roman"/>
                      <w:color w:val="auto"/>
                      <w:szCs w:val="21"/>
                      <w:highlight w:val="none"/>
                      <w:vertAlign w:val="superscript"/>
                      <w:lang w:val="en-US" w:eastAsia="zh-CN"/>
                    </w:rPr>
                    <w:t>-10</w:t>
                  </w:r>
                  <w:r>
                    <w:rPr>
                      <w:rFonts w:hint="eastAsia" w:cs="Times New Roman"/>
                      <w:color w:val="auto"/>
                      <w:szCs w:val="21"/>
                      <w:highlight w:val="none"/>
                      <w:vertAlign w:val="baseline"/>
                      <w:lang w:val="en-US" w:eastAsia="zh-CN"/>
                    </w:rPr>
                    <w:t>cm/s。</w:t>
                  </w:r>
                </w:p>
              </w:tc>
            </w:tr>
            <w:tr w14:paraId="0C457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dxa"/>
                  <w:tcBorders>
                    <w:left w:val="nil"/>
                  </w:tcBorders>
                  <w:noWrap w:val="0"/>
                  <w:vAlign w:val="center"/>
                </w:tcPr>
                <w:p w14:paraId="37A2D39B">
                  <w:pPr>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一般防渗区</w:t>
                  </w:r>
                </w:p>
              </w:tc>
              <w:tc>
                <w:tcPr>
                  <w:tcW w:w="950" w:type="pct"/>
                  <w:tcBorders>
                    <w:left w:val="nil"/>
                  </w:tcBorders>
                  <w:noWrap w:val="0"/>
                  <w:vAlign w:val="center"/>
                </w:tcPr>
                <w:p w14:paraId="070DC000">
                  <w:pPr>
                    <w:jc w:val="center"/>
                    <w:rPr>
                      <w:rFonts w:hint="default"/>
                      <w:color w:val="auto"/>
                      <w:szCs w:val="21"/>
                      <w:highlight w:val="none"/>
                      <w:lang w:val="en-US" w:eastAsia="zh-CN"/>
                    </w:rPr>
                  </w:pPr>
                  <w:r>
                    <w:rPr>
                      <w:rFonts w:hint="eastAsia"/>
                      <w:color w:val="auto"/>
                      <w:szCs w:val="21"/>
                      <w:highlight w:val="none"/>
                      <w:lang w:val="en-US" w:eastAsia="zh-CN"/>
                    </w:rPr>
                    <w:t>沉淀池、化粪池、一般固废暂存区</w:t>
                  </w:r>
                </w:p>
              </w:tc>
              <w:tc>
                <w:tcPr>
                  <w:tcW w:w="3098" w:type="pct"/>
                  <w:tcBorders>
                    <w:right w:val="nil"/>
                  </w:tcBorders>
                  <w:noWrap w:val="0"/>
                  <w:vAlign w:val="center"/>
                </w:tcPr>
                <w:p w14:paraId="17656E7D">
                  <w:pPr>
                    <w:jc w:val="left"/>
                    <w:rPr>
                      <w:rFonts w:hint="eastAsia" w:cs="Times New Roman"/>
                      <w:color w:val="auto"/>
                      <w:sz w:val="21"/>
                      <w:szCs w:val="21"/>
                      <w:highlight w:val="none"/>
                      <w:lang w:eastAsia="zh-CN"/>
                    </w:rPr>
                  </w:pPr>
                  <w:r>
                    <w:rPr>
                      <w:rFonts w:hint="eastAsia" w:cs="Times New Roman"/>
                      <w:color w:val="auto"/>
                      <w:szCs w:val="21"/>
                      <w:highlight w:val="none"/>
                      <w:vertAlign w:val="baseline"/>
                      <w:lang w:val="en-US" w:eastAsia="zh-CN"/>
                    </w:rPr>
                    <w:t>沉淀池、化粪池、一般固废暂存区</w:t>
                  </w:r>
                  <w:r>
                    <w:rPr>
                      <w:rFonts w:hint="eastAsia" w:cs="Times New Roman"/>
                      <w:color w:val="auto"/>
                      <w:highlight w:val="none"/>
                      <w:lang w:val="en-US" w:eastAsia="zh-CN"/>
                    </w:rPr>
                    <w:t>为</w:t>
                  </w:r>
                  <w:r>
                    <w:rPr>
                      <w:rFonts w:hint="default" w:ascii="Times New Roman" w:hAnsi="Times New Roman" w:cs="Times New Roman"/>
                      <w:color w:val="auto"/>
                      <w:highlight w:val="none"/>
                    </w:rPr>
                    <w:t>一般防渗</w:t>
                  </w:r>
                  <w:r>
                    <w:rPr>
                      <w:rFonts w:hint="eastAsia" w:cs="Times New Roman"/>
                      <w:color w:val="auto"/>
                      <w:highlight w:val="none"/>
                      <w:lang w:val="en-US" w:eastAsia="zh-CN"/>
                    </w:rPr>
                    <w:t>区</w:t>
                  </w:r>
                  <w:r>
                    <w:rPr>
                      <w:rFonts w:hint="default" w:ascii="Times New Roman" w:hAnsi="Times New Roman" w:cs="Times New Roman"/>
                      <w:color w:val="auto"/>
                      <w:highlight w:val="none"/>
                    </w:rPr>
                    <w:t>，采用150mm厚的C30P6抗渗混凝土进行防渗</w:t>
                  </w:r>
                  <w:r>
                    <w:rPr>
                      <w:rFonts w:hint="eastAsia" w:cs="Times New Roman"/>
                      <w:color w:val="auto"/>
                      <w:highlight w:val="none"/>
                      <w:lang w:eastAsia="zh-CN"/>
                    </w:rPr>
                    <w:t>，</w:t>
                  </w:r>
                  <w:r>
                    <w:rPr>
                      <w:rFonts w:hint="eastAsia" w:cs="Times New Roman"/>
                      <w:color w:val="auto"/>
                      <w:highlight w:val="none"/>
                      <w:lang w:val="en-US" w:eastAsia="zh-CN"/>
                    </w:rPr>
                    <w:t>满足</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p>
              </w:tc>
            </w:tr>
            <w:tr w14:paraId="5FBEC5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507" w:type="dxa"/>
                  <w:tcBorders>
                    <w:left w:val="nil"/>
                  </w:tcBorders>
                  <w:noWrap w:val="0"/>
                  <w:vAlign w:val="center"/>
                </w:tcPr>
                <w:p w14:paraId="43D00B31">
                  <w:pPr>
                    <w:jc w:val="center"/>
                    <w:rPr>
                      <w:rFonts w:hint="default"/>
                      <w:color w:val="auto"/>
                      <w:kern w:val="0"/>
                      <w:szCs w:val="21"/>
                      <w:highlight w:val="none"/>
                      <w:lang w:val="en-US" w:eastAsia="zh-CN"/>
                    </w:rPr>
                  </w:pPr>
                  <w:r>
                    <w:rPr>
                      <w:rFonts w:hint="eastAsia"/>
                      <w:color w:val="auto"/>
                      <w:kern w:val="0"/>
                      <w:szCs w:val="21"/>
                      <w:highlight w:val="none"/>
                      <w:lang w:val="en-US" w:eastAsia="zh-CN"/>
                    </w:rPr>
                    <w:t>简单防渗区</w:t>
                  </w:r>
                </w:p>
              </w:tc>
              <w:tc>
                <w:tcPr>
                  <w:tcW w:w="950" w:type="pct"/>
                  <w:tcBorders>
                    <w:left w:val="nil"/>
                  </w:tcBorders>
                  <w:noWrap w:val="0"/>
                  <w:vAlign w:val="center"/>
                </w:tcPr>
                <w:p w14:paraId="0AB5C812">
                  <w:pPr>
                    <w:jc w:val="center"/>
                    <w:rPr>
                      <w:rFonts w:hint="eastAsia"/>
                      <w:color w:val="auto"/>
                      <w:szCs w:val="21"/>
                      <w:highlight w:val="none"/>
                      <w:lang w:val="en-US" w:eastAsia="zh-CN"/>
                    </w:rPr>
                  </w:pPr>
                  <w:r>
                    <w:rPr>
                      <w:rFonts w:hint="eastAsia" w:cs="Times New Roman"/>
                      <w:color w:val="auto"/>
                      <w:szCs w:val="21"/>
                      <w:highlight w:val="none"/>
                      <w:lang w:val="en-US" w:eastAsia="zh-CN"/>
                    </w:rPr>
                    <w:t>砂石料棚、</w:t>
                  </w:r>
                  <w:r>
                    <w:rPr>
                      <w:rFonts w:hint="eastAsia"/>
                      <w:color w:val="auto"/>
                      <w:szCs w:val="21"/>
                      <w:highlight w:val="none"/>
                      <w:lang w:val="en-US" w:eastAsia="zh-CN"/>
                    </w:rPr>
                    <w:t>厂区道路及除上述区域外</w:t>
                  </w:r>
                </w:p>
              </w:tc>
              <w:tc>
                <w:tcPr>
                  <w:tcW w:w="3098" w:type="pct"/>
                  <w:tcBorders>
                    <w:right w:val="nil"/>
                  </w:tcBorders>
                  <w:noWrap w:val="0"/>
                  <w:vAlign w:val="center"/>
                </w:tcPr>
                <w:p w14:paraId="6CEE9AE3">
                  <w:pPr>
                    <w:jc w:val="left"/>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采用一般混凝土硬化</w:t>
                  </w:r>
                </w:p>
              </w:tc>
            </w:tr>
          </w:tbl>
          <w:p w14:paraId="62DBBDB1">
            <w:pPr>
              <w:pStyle w:val="79"/>
              <w:spacing w:line="360" w:lineRule="auto"/>
              <w:ind w:firstLine="480"/>
              <w:rPr>
                <w:rStyle w:val="78"/>
                <w:rFonts w:hint="default" w:ascii="Times New Roman" w:hAnsi="Times New Roman" w:eastAsia="宋体" w:cs="Times New Roman"/>
                <w:b/>
                <w:bCs/>
                <w:color w:val="auto"/>
                <w:kern w:val="2"/>
                <w:szCs w:val="24"/>
                <w:highlight w:val="none"/>
                <w:lang w:val="en-US" w:eastAsia="zh-CN"/>
              </w:rPr>
            </w:pPr>
            <w:r>
              <w:rPr>
                <w:rStyle w:val="78"/>
                <w:rFonts w:hint="eastAsia" w:cs="Times New Roman"/>
                <w:b/>
                <w:bCs/>
                <w:color w:val="auto"/>
                <w:kern w:val="2"/>
                <w:szCs w:val="24"/>
                <w:highlight w:val="none"/>
                <w:lang w:val="en-US" w:eastAsia="zh-CN"/>
              </w:rPr>
              <w:t>（3）</w:t>
            </w:r>
            <w:r>
              <w:rPr>
                <w:rStyle w:val="78"/>
                <w:rFonts w:hint="default" w:ascii="Times New Roman" w:hAnsi="Times New Roman" w:eastAsia="宋体" w:cs="Times New Roman"/>
                <w:b/>
                <w:bCs/>
                <w:color w:val="auto"/>
                <w:kern w:val="2"/>
                <w:szCs w:val="24"/>
                <w:highlight w:val="none"/>
                <w:lang w:val="en-US" w:eastAsia="zh-CN"/>
              </w:rPr>
              <w:t>对地下水和土壤的影响分析</w:t>
            </w:r>
          </w:p>
          <w:p w14:paraId="4E08E3EC">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eastAsia" w:ascii="Times New Roman" w:hAnsi="Times New Roman" w:eastAsia="宋体" w:cs="Times New Roman"/>
                <w:color w:val="auto"/>
                <w:kern w:val="2"/>
                <w:szCs w:val="24"/>
                <w:highlight w:val="none"/>
                <w:lang w:val="en-US" w:eastAsia="zh-CN"/>
              </w:rPr>
              <w:t>①</w:t>
            </w:r>
            <w:r>
              <w:rPr>
                <w:rStyle w:val="78"/>
                <w:rFonts w:hint="default" w:ascii="Times New Roman" w:hAnsi="Times New Roman" w:eastAsia="宋体" w:cs="Times New Roman"/>
                <w:color w:val="auto"/>
                <w:kern w:val="2"/>
                <w:szCs w:val="24"/>
                <w:highlight w:val="none"/>
                <w:lang w:val="en-US" w:eastAsia="zh-CN"/>
              </w:rPr>
              <w:t>本项目</w:t>
            </w:r>
            <w:r>
              <w:rPr>
                <w:rStyle w:val="78"/>
                <w:rFonts w:hint="eastAsia" w:ascii="Times New Roman" w:hAnsi="Times New Roman" w:eastAsia="宋体" w:cs="Times New Roman"/>
                <w:color w:val="auto"/>
                <w:kern w:val="2"/>
                <w:szCs w:val="24"/>
                <w:highlight w:val="none"/>
                <w:lang w:val="en-US" w:eastAsia="zh-CN"/>
              </w:rPr>
              <w:t>废矿物油</w:t>
            </w:r>
            <w:r>
              <w:rPr>
                <w:rStyle w:val="78"/>
                <w:rFonts w:hint="default" w:ascii="Times New Roman" w:hAnsi="Times New Roman" w:eastAsia="宋体" w:cs="Times New Roman"/>
                <w:color w:val="auto"/>
                <w:kern w:val="2"/>
                <w:szCs w:val="24"/>
                <w:highlight w:val="none"/>
                <w:lang w:val="en-US" w:eastAsia="zh-CN"/>
              </w:rPr>
              <w:t>桶均使用密闭优质储油桶，</w:t>
            </w:r>
            <w:r>
              <w:rPr>
                <w:rStyle w:val="78"/>
                <w:rFonts w:hint="eastAsia" w:cs="Times New Roman"/>
                <w:color w:val="auto"/>
                <w:kern w:val="2"/>
                <w:szCs w:val="24"/>
                <w:highlight w:val="none"/>
                <w:lang w:val="en-US" w:eastAsia="zh-CN"/>
              </w:rPr>
              <w:t>危废暂存间</w:t>
            </w:r>
            <w:r>
              <w:rPr>
                <w:rStyle w:val="78"/>
                <w:rFonts w:hint="default" w:ascii="Times New Roman" w:hAnsi="Times New Roman" w:eastAsia="宋体" w:cs="Times New Roman"/>
                <w:color w:val="auto"/>
                <w:kern w:val="2"/>
                <w:szCs w:val="24"/>
                <w:highlight w:val="none"/>
                <w:lang w:val="en-US" w:eastAsia="zh-CN"/>
              </w:rPr>
              <w:t>、集液池和导流槽使用坚固的防渗防腐材料修建，防渗材料与本项目所涉及物料不发生反应，以防止储油桶渗漏对地下水和土壤造成影响。根据设计，</w:t>
            </w:r>
            <w:r>
              <w:rPr>
                <w:rStyle w:val="78"/>
                <w:rFonts w:hint="eastAsia" w:ascii="Times New Roman" w:hAnsi="Times New Roman" w:eastAsia="宋体" w:cs="Times New Roman"/>
                <w:color w:val="auto"/>
                <w:kern w:val="2"/>
                <w:szCs w:val="24"/>
                <w:highlight w:val="none"/>
                <w:lang w:val="en-US" w:eastAsia="zh-CN"/>
              </w:rPr>
              <w:t>废矿物油</w:t>
            </w:r>
            <w:r>
              <w:rPr>
                <w:rStyle w:val="78"/>
                <w:rFonts w:hint="default" w:ascii="Times New Roman" w:hAnsi="Times New Roman" w:eastAsia="宋体" w:cs="Times New Roman"/>
                <w:color w:val="auto"/>
                <w:kern w:val="2"/>
                <w:szCs w:val="24"/>
                <w:highlight w:val="none"/>
                <w:lang w:val="en-US" w:eastAsia="zh-CN"/>
              </w:rPr>
              <w:t>桶堆放位置较高，导流槽、集液池所处地势相对较低，发生泄漏时，</w:t>
            </w:r>
            <w:r>
              <w:rPr>
                <w:rStyle w:val="78"/>
                <w:rFonts w:hint="eastAsia" w:ascii="Times New Roman" w:hAnsi="Times New Roman" w:eastAsia="宋体" w:cs="Times New Roman"/>
                <w:color w:val="auto"/>
                <w:kern w:val="2"/>
                <w:szCs w:val="24"/>
                <w:highlight w:val="none"/>
                <w:lang w:val="en-US" w:eastAsia="zh-CN"/>
              </w:rPr>
              <w:t>废矿物油</w:t>
            </w:r>
            <w:r>
              <w:rPr>
                <w:rStyle w:val="78"/>
                <w:rFonts w:hint="default" w:ascii="Times New Roman" w:hAnsi="Times New Roman" w:eastAsia="宋体" w:cs="Times New Roman"/>
                <w:color w:val="auto"/>
                <w:kern w:val="2"/>
                <w:szCs w:val="24"/>
                <w:highlight w:val="none"/>
                <w:lang w:val="en-US" w:eastAsia="zh-CN"/>
              </w:rPr>
              <w:t>可以很快的汇入集液池，通过人工收集到完好的储油桶内，其余位置泄漏的</w:t>
            </w:r>
            <w:r>
              <w:rPr>
                <w:rStyle w:val="78"/>
                <w:rFonts w:hint="eastAsia" w:ascii="Times New Roman" w:hAnsi="Times New Roman" w:eastAsia="宋体" w:cs="Times New Roman"/>
                <w:color w:val="auto"/>
                <w:kern w:val="2"/>
                <w:szCs w:val="24"/>
                <w:highlight w:val="none"/>
                <w:lang w:val="en-US" w:eastAsia="zh-CN"/>
              </w:rPr>
              <w:t>废矿物油</w:t>
            </w:r>
            <w:r>
              <w:rPr>
                <w:rStyle w:val="78"/>
                <w:rFonts w:hint="default" w:ascii="Times New Roman" w:hAnsi="Times New Roman" w:eastAsia="宋体" w:cs="Times New Roman"/>
                <w:color w:val="auto"/>
                <w:kern w:val="2"/>
                <w:szCs w:val="24"/>
                <w:highlight w:val="none"/>
                <w:lang w:val="en-US" w:eastAsia="zh-CN"/>
              </w:rPr>
              <w:t>容易被发现并清理，渗漏量相对较少。因此，</w:t>
            </w:r>
            <w:r>
              <w:rPr>
                <w:rStyle w:val="78"/>
                <w:rFonts w:hint="eastAsia" w:ascii="Times New Roman" w:hAnsi="Times New Roman" w:eastAsia="宋体" w:cs="Times New Roman"/>
                <w:color w:val="auto"/>
                <w:kern w:val="2"/>
                <w:szCs w:val="24"/>
                <w:highlight w:val="none"/>
                <w:lang w:val="en-US" w:eastAsia="zh-CN"/>
              </w:rPr>
              <w:t>废矿物油</w:t>
            </w:r>
            <w:r>
              <w:rPr>
                <w:rStyle w:val="78"/>
                <w:rFonts w:hint="default" w:ascii="Times New Roman" w:hAnsi="Times New Roman" w:eastAsia="宋体" w:cs="Times New Roman"/>
                <w:color w:val="auto"/>
                <w:kern w:val="2"/>
                <w:szCs w:val="24"/>
                <w:highlight w:val="none"/>
                <w:lang w:val="en-US" w:eastAsia="zh-CN"/>
              </w:rPr>
              <w:t>泄漏对</w:t>
            </w:r>
            <w:r>
              <w:rPr>
                <w:rStyle w:val="78"/>
                <w:rFonts w:hint="eastAsia" w:ascii="Times New Roman" w:hAnsi="Times New Roman" w:eastAsia="宋体" w:cs="Times New Roman"/>
                <w:color w:val="auto"/>
                <w:kern w:val="2"/>
                <w:szCs w:val="24"/>
                <w:highlight w:val="none"/>
                <w:lang w:val="en-US" w:eastAsia="zh-CN"/>
              </w:rPr>
              <w:t>周围</w:t>
            </w:r>
            <w:r>
              <w:rPr>
                <w:rStyle w:val="78"/>
                <w:rFonts w:hint="default" w:ascii="Times New Roman" w:hAnsi="Times New Roman" w:eastAsia="宋体" w:cs="Times New Roman"/>
                <w:color w:val="auto"/>
                <w:kern w:val="2"/>
                <w:szCs w:val="24"/>
                <w:highlight w:val="none"/>
                <w:lang w:val="en-US" w:eastAsia="zh-CN"/>
              </w:rPr>
              <w:t>地下水和土壤造成的影响较小。</w:t>
            </w:r>
          </w:p>
          <w:p w14:paraId="1513A128">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eastAsia" w:cs="Times New Roman"/>
                <w:color w:val="auto"/>
                <w:kern w:val="2"/>
                <w:szCs w:val="24"/>
                <w:highlight w:val="none"/>
                <w:lang w:val="en-US" w:eastAsia="zh-CN"/>
              </w:rPr>
              <w:t>②危废暂存间</w:t>
            </w:r>
            <w:r>
              <w:rPr>
                <w:rStyle w:val="78"/>
                <w:rFonts w:hint="eastAsia" w:ascii="Times New Roman" w:hAnsi="Times New Roman" w:eastAsia="宋体" w:cs="Times New Roman"/>
                <w:color w:val="auto"/>
                <w:kern w:val="2"/>
                <w:szCs w:val="24"/>
                <w:highlight w:val="none"/>
                <w:lang w:val="en-US" w:eastAsia="zh-CN"/>
              </w:rPr>
              <w:t>外地面已进行硬化，周边无裸露地面，同时</w:t>
            </w:r>
            <w:r>
              <w:rPr>
                <w:rStyle w:val="78"/>
                <w:rFonts w:hint="default" w:ascii="Times New Roman" w:hAnsi="Times New Roman" w:eastAsia="宋体" w:cs="Times New Roman"/>
                <w:color w:val="auto"/>
                <w:kern w:val="2"/>
                <w:szCs w:val="24"/>
                <w:highlight w:val="none"/>
                <w:lang w:val="en-US" w:eastAsia="zh-CN"/>
              </w:rPr>
              <w:t>装卸过</w:t>
            </w:r>
            <w:r>
              <w:rPr>
                <w:rStyle w:val="78"/>
                <w:rFonts w:hint="eastAsia" w:cs="Times New Roman"/>
                <w:color w:val="auto"/>
                <w:kern w:val="2"/>
                <w:szCs w:val="24"/>
                <w:highlight w:val="none"/>
                <w:lang w:val="en-US" w:eastAsia="zh-CN"/>
              </w:rPr>
              <w:t>程中</w:t>
            </w:r>
            <w:r>
              <w:rPr>
                <w:rStyle w:val="78"/>
                <w:rFonts w:hint="default" w:ascii="Times New Roman" w:hAnsi="Times New Roman" w:eastAsia="宋体" w:cs="Times New Roman"/>
                <w:color w:val="auto"/>
                <w:kern w:val="2"/>
                <w:szCs w:val="24"/>
                <w:highlight w:val="none"/>
                <w:lang w:val="en-US" w:eastAsia="zh-CN"/>
              </w:rPr>
              <w:t>要轻装轻放，避免撞击、重压和摩擦</w:t>
            </w:r>
            <w:r>
              <w:rPr>
                <w:rStyle w:val="78"/>
                <w:rFonts w:hint="eastAsia" w:ascii="Times New Roman" w:hAnsi="Times New Roman" w:eastAsia="宋体" w:cs="Times New Roman"/>
                <w:color w:val="auto"/>
                <w:kern w:val="2"/>
                <w:szCs w:val="24"/>
                <w:highlight w:val="none"/>
                <w:lang w:val="en-US" w:eastAsia="zh-CN"/>
              </w:rPr>
              <w:t>，避免</w:t>
            </w:r>
            <w:r>
              <w:rPr>
                <w:rStyle w:val="78"/>
                <w:rFonts w:hint="eastAsia" w:cs="Times New Roman"/>
                <w:color w:val="auto"/>
                <w:kern w:val="2"/>
                <w:szCs w:val="24"/>
                <w:highlight w:val="none"/>
                <w:lang w:val="en-US" w:eastAsia="zh-CN"/>
              </w:rPr>
              <w:t>危废暂存间</w:t>
            </w:r>
            <w:r>
              <w:rPr>
                <w:rStyle w:val="78"/>
                <w:rFonts w:hint="eastAsia" w:ascii="Times New Roman" w:hAnsi="Times New Roman" w:eastAsia="宋体" w:cs="Times New Roman"/>
                <w:color w:val="auto"/>
                <w:kern w:val="2"/>
                <w:szCs w:val="24"/>
                <w:highlight w:val="none"/>
                <w:lang w:val="en-US" w:eastAsia="zh-CN"/>
              </w:rPr>
              <w:t>外废矿物油</w:t>
            </w:r>
            <w:r>
              <w:rPr>
                <w:rStyle w:val="78"/>
                <w:rFonts w:hint="default" w:ascii="Times New Roman" w:hAnsi="Times New Roman" w:eastAsia="宋体" w:cs="Times New Roman"/>
                <w:color w:val="auto"/>
                <w:kern w:val="2"/>
                <w:szCs w:val="24"/>
                <w:highlight w:val="none"/>
                <w:lang w:val="en-US" w:eastAsia="zh-CN"/>
              </w:rPr>
              <w:t>发生泄漏</w:t>
            </w:r>
            <w:r>
              <w:rPr>
                <w:rStyle w:val="78"/>
                <w:rFonts w:hint="eastAsia" w:ascii="Times New Roman" w:hAnsi="Times New Roman" w:eastAsia="宋体" w:cs="Times New Roman"/>
                <w:color w:val="auto"/>
                <w:kern w:val="2"/>
                <w:szCs w:val="24"/>
                <w:highlight w:val="none"/>
                <w:lang w:val="en-US" w:eastAsia="zh-CN"/>
              </w:rPr>
              <w:t>的</w:t>
            </w:r>
            <w:r>
              <w:rPr>
                <w:rStyle w:val="78"/>
                <w:rFonts w:hint="default" w:ascii="Times New Roman" w:hAnsi="Times New Roman" w:eastAsia="宋体" w:cs="Times New Roman"/>
                <w:color w:val="auto"/>
                <w:kern w:val="2"/>
                <w:szCs w:val="24"/>
                <w:highlight w:val="none"/>
                <w:lang w:val="en-US" w:eastAsia="zh-CN"/>
              </w:rPr>
              <w:t>情况</w:t>
            </w:r>
            <w:r>
              <w:rPr>
                <w:rStyle w:val="78"/>
                <w:rFonts w:hint="eastAsia" w:ascii="Times New Roman" w:hAnsi="Times New Roman" w:eastAsia="宋体" w:cs="Times New Roman"/>
                <w:color w:val="auto"/>
                <w:kern w:val="2"/>
                <w:szCs w:val="24"/>
                <w:highlight w:val="none"/>
                <w:lang w:val="en-US" w:eastAsia="zh-CN"/>
              </w:rPr>
              <w:t>。</w:t>
            </w:r>
          </w:p>
          <w:p w14:paraId="1771BDE5">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rStyle w:val="78"/>
                <w:rFonts w:hint="eastAsia" w:cs="Times New Roman"/>
                <w:color w:val="auto"/>
                <w:kern w:val="2"/>
                <w:szCs w:val="24"/>
                <w:highlight w:val="none"/>
                <w:lang w:val="en-US" w:eastAsia="zh-CN"/>
              </w:rPr>
              <w:t>③</w:t>
            </w:r>
            <w:r>
              <w:rPr>
                <w:rFonts w:hint="eastAsia"/>
                <w:color w:val="auto"/>
                <w:highlight w:val="none"/>
                <w:lang w:val="en-US" w:eastAsia="zh-CN"/>
              </w:rPr>
              <w:t>定期进行危废暂存间例行检查工作，主要</w:t>
            </w:r>
            <w:r>
              <w:rPr>
                <w:rStyle w:val="78"/>
                <w:rFonts w:hint="default" w:ascii="Times New Roman" w:hAnsi="Times New Roman" w:eastAsia="宋体" w:cs="Times New Roman"/>
                <w:color w:val="auto"/>
                <w:kern w:val="2"/>
                <w:szCs w:val="24"/>
                <w:highlight w:val="none"/>
                <w:lang w:val="en-US" w:eastAsia="zh-CN"/>
              </w:rPr>
              <w:t>检查储油桶、防渗层是否破损，若有破损及时进行修补，待防渗层修补好后，方可恢复运营。</w:t>
            </w:r>
          </w:p>
          <w:p w14:paraId="318EF7FF">
            <w:pPr>
              <w:pStyle w:val="79"/>
              <w:spacing w:line="360" w:lineRule="auto"/>
              <w:ind w:firstLine="480"/>
              <w:rPr>
                <w:rStyle w:val="78"/>
                <w:rFonts w:hint="default" w:ascii="Times New Roman" w:hAnsi="Times New Roman" w:eastAsia="宋体" w:cs="Times New Roman"/>
                <w:color w:val="auto"/>
                <w:kern w:val="2"/>
                <w:szCs w:val="24"/>
                <w:highlight w:val="none"/>
                <w:lang w:val="en-US" w:eastAsia="zh-CN"/>
              </w:rPr>
            </w:pPr>
            <w:r>
              <w:rPr>
                <w:color w:val="auto"/>
                <w:sz w:val="24"/>
                <w:szCs w:val="20"/>
                <w:highlight w:val="none"/>
              </w:rPr>
              <w:t>综上所述，在采取必要的地下水污染防治措施后，该项目的运营对地下水和土壤环境影响是可以接受的。</w:t>
            </w:r>
          </w:p>
          <w:bookmarkEnd w:id="6"/>
          <w:p w14:paraId="0746E4FB">
            <w:pPr>
              <w:pStyle w:val="70"/>
              <w:keepNext w:val="0"/>
              <w:keepLines w:val="0"/>
              <w:pageBreakBefore w:val="0"/>
              <w:widowControl w:val="0"/>
              <w:kinsoku/>
              <w:wordWrap/>
              <w:overflowPunct/>
              <w:topLinePunct w:val="0"/>
              <w:bidi w:val="0"/>
              <w:spacing w:line="360" w:lineRule="auto"/>
              <w:ind w:firstLine="482" w:firstLineChars="200"/>
              <w:jc w:val="left"/>
              <w:textAlignment w:val="auto"/>
              <w:rPr>
                <w:rFonts w:hint="eastAsia"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六、生态环境</w:t>
            </w:r>
            <w:r>
              <w:rPr>
                <w:rFonts w:hint="default" w:ascii="Times New Roman" w:hAnsi="Times New Roman" w:eastAsia="宋体" w:cs="Times New Roman"/>
                <w:b/>
                <w:bCs/>
                <w:color w:val="auto"/>
                <w:sz w:val="24"/>
                <w:highlight w:val="none"/>
                <w:lang w:val="en-US" w:eastAsia="zh-CN"/>
              </w:rPr>
              <w:t>影响和保护措施</w:t>
            </w:r>
          </w:p>
          <w:p w14:paraId="578D9C5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bCs/>
                <w:color w:val="auto"/>
                <w:kern w:val="0"/>
                <w:sz w:val="24"/>
                <w:highlight w:val="none"/>
              </w:rPr>
            </w:pPr>
            <w:r>
              <w:rPr>
                <w:rFonts w:hint="eastAsia" w:ascii="宋体" w:hAnsi="宋体"/>
                <w:bCs/>
                <w:color w:val="auto"/>
                <w:kern w:val="0"/>
                <w:sz w:val="24"/>
                <w:highlight w:val="none"/>
              </w:rPr>
              <w:t>本项目总占地面积</w:t>
            </w:r>
            <w:r>
              <w:rPr>
                <w:rFonts w:hint="eastAsia" w:cs="Times New Roman"/>
                <w:color w:val="auto"/>
                <w:sz w:val="24"/>
                <w:highlight w:val="none"/>
                <w:lang w:val="en-US" w:eastAsia="zh-CN"/>
              </w:rPr>
              <w:t>33217.8</w:t>
            </w:r>
            <w:r>
              <w:rPr>
                <w:rFonts w:hint="eastAsia"/>
                <w:bCs/>
                <w:color w:val="auto"/>
                <w:kern w:val="0"/>
                <w:sz w:val="24"/>
                <w:highlight w:val="none"/>
              </w:rPr>
              <w:t>m</w:t>
            </w:r>
            <w:r>
              <w:rPr>
                <w:rFonts w:hint="eastAsia"/>
                <w:bCs/>
                <w:color w:val="auto"/>
                <w:kern w:val="0"/>
                <w:sz w:val="24"/>
                <w:highlight w:val="none"/>
                <w:vertAlign w:val="superscript"/>
              </w:rPr>
              <w:t>2</w:t>
            </w:r>
            <w:r>
              <w:rPr>
                <w:rFonts w:hint="eastAsia" w:ascii="宋体" w:hAnsi="宋体"/>
                <w:bCs/>
                <w:color w:val="auto"/>
                <w:kern w:val="0"/>
                <w:sz w:val="24"/>
                <w:highlight w:val="none"/>
              </w:rPr>
              <w:t>，</w:t>
            </w:r>
            <w:r>
              <w:rPr>
                <w:rFonts w:hint="eastAsia" w:ascii="宋体" w:hAnsi="宋体"/>
                <w:bCs/>
                <w:color w:val="auto"/>
                <w:kern w:val="0"/>
                <w:sz w:val="24"/>
                <w:highlight w:val="none"/>
                <w:lang w:val="en-US" w:eastAsia="zh-CN"/>
              </w:rPr>
              <w:t>所占</w:t>
            </w:r>
            <w:r>
              <w:rPr>
                <w:rFonts w:hint="eastAsia" w:ascii="宋体" w:hAnsi="宋体"/>
                <w:bCs/>
                <w:color w:val="auto"/>
                <w:kern w:val="0"/>
                <w:sz w:val="24"/>
                <w:highlight w:val="none"/>
              </w:rPr>
              <w:t>用土地为工业用地，草地植被覆盖率较低，动物稀少，通过绿化措施进一步予以补偿，项目占地对动植物的影响较小。</w:t>
            </w:r>
          </w:p>
          <w:p w14:paraId="59DEBE9C">
            <w:pPr>
              <w:autoSpaceDE w:val="0"/>
              <w:autoSpaceDN w:val="0"/>
              <w:adjustRightInd w:val="0"/>
              <w:snapToGrid w:val="0"/>
              <w:spacing w:line="360" w:lineRule="auto"/>
              <w:ind w:firstLine="482" w:firstLineChars="200"/>
              <w:rPr>
                <w:rFonts w:hint="default" w:ascii="Times New Roman"/>
                <w:b/>
                <w:color w:val="auto"/>
                <w:kern w:val="0"/>
                <w:sz w:val="24"/>
                <w:highlight w:val="none"/>
                <w:lang w:val="en-US" w:eastAsia="zh-CN"/>
              </w:rPr>
            </w:pPr>
            <w:r>
              <w:rPr>
                <w:rFonts w:hint="eastAsia" w:ascii="Times New Roman"/>
                <w:b/>
                <w:color w:val="auto"/>
                <w:kern w:val="0"/>
                <w:sz w:val="24"/>
                <w:highlight w:val="none"/>
                <w:lang w:val="en-US" w:eastAsia="zh-CN"/>
              </w:rPr>
              <w:t>七、</w:t>
            </w:r>
            <w:r>
              <w:rPr>
                <w:rFonts w:hint="eastAsia" w:ascii="Times New Roman" w:hAnsi="Times New Roman" w:eastAsia="宋体" w:cs="Times New Roman"/>
                <w:b/>
                <w:bCs/>
                <w:color w:val="auto"/>
                <w:sz w:val="24"/>
                <w:szCs w:val="24"/>
                <w:highlight w:val="none"/>
                <w:lang w:val="en-US" w:eastAsia="zh-CN"/>
              </w:rPr>
              <w:t>环境风险影响与分析</w:t>
            </w:r>
          </w:p>
          <w:p w14:paraId="5605791E">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（1）评价依据</w:t>
            </w:r>
          </w:p>
          <w:p w14:paraId="00830E0C">
            <w:pPr>
              <w:autoSpaceDE w:val="0"/>
              <w:autoSpaceDN w:val="0"/>
              <w:adjustRightInd w:val="0"/>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fldChar w:fldCharType="begin"/>
            </w:r>
            <w:r>
              <w:rPr>
                <w:rFonts w:hint="eastAsia" w:ascii="Times New Roman" w:hAnsi="Times New Roman" w:eastAsia="宋体" w:cs="Times New Roman"/>
                <w:b/>
                <w:bCs/>
                <w:color w:val="auto"/>
                <w:sz w:val="24"/>
                <w:szCs w:val="24"/>
                <w:highlight w:val="none"/>
                <w:lang w:val="en-US" w:eastAsia="zh-CN"/>
              </w:rPr>
              <w:instrText xml:space="preserve"> = 1 \* GB3 </w:instrText>
            </w:r>
            <w:r>
              <w:rPr>
                <w:rFonts w:hint="eastAsia" w:ascii="Times New Roman" w:hAnsi="Times New Roman" w:eastAsia="宋体" w:cs="Times New Roman"/>
                <w:b/>
                <w:bCs/>
                <w:color w:val="auto"/>
                <w:sz w:val="24"/>
                <w:szCs w:val="24"/>
                <w:highlight w:val="none"/>
                <w:lang w:val="en-US" w:eastAsia="zh-CN"/>
              </w:rPr>
              <w:fldChar w:fldCharType="separate"/>
            </w:r>
            <w:r>
              <w:rPr>
                <w:rFonts w:hint="eastAsia" w:ascii="Times New Roman" w:hAnsi="Times New Roman" w:eastAsia="宋体" w:cs="Times New Roman"/>
                <w:b/>
                <w:bCs/>
                <w:color w:val="auto"/>
                <w:sz w:val="24"/>
                <w:szCs w:val="24"/>
                <w:highlight w:val="none"/>
                <w:lang w:val="en-US" w:eastAsia="zh-CN"/>
              </w:rPr>
              <w:t>①</w:t>
            </w:r>
            <w:r>
              <w:rPr>
                <w:rFonts w:hint="eastAsia" w:ascii="Times New Roman" w:hAnsi="Times New Roman" w:eastAsia="宋体" w:cs="Times New Roman"/>
                <w:b/>
                <w:bCs/>
                <w:color w:val="auto"/>
                <w:sz w:val="24"/>
                <w:szCs w:val="24"/>
                <w:highlight w:val="none"/>
                <w:lang w:val="en-US" w:eastAsia="zh-CN"/>
              </w:rPr>
              <w:fldChar w:fldCharType="end"/>
            </w:r>
            <w:r>
              <w:rPr>
                <w:rFonts w:hint="eastAsia" w:ascii="Times New Roman" w:hAnsi="Times New Roman" w:eastAsia="宋体" w:cs="Times New Roman"/>
                <w:b/>
                <w:bCs/>
                <w:color w:val="auto"/>
                <w:sz w:val="24"/>
                <w:szCs w:val="24"/>
                <w:highlight w:val="none"/>
                <w:lang w:val="en-US" w:eastAsia="zh-CN"/>
              </w:rPr>
              <w:t>风险调查</w:t>
            </w:r>
          </w:p>
          <w:p w14:paraId="137F2BD4">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本项目涉及的危险物质为废矿物油，项目废矿物油年最大暂存量1t/a，废矿物油产生位置在生产装置区，操作人员将废矿物油集中收</w:t>
            </w:r>
            <w:r>
              <w:rPr>
                <w:rFonts w:hint="eastAsia" w:cs="Times New Roman"/>
                <w:color w:val="auto"/>
                <w:sz w:val="24"/>
                <w:szCs w:val="24"/>
                <w:highlight w:val="none"/>
                <w:lang w:val="en-US" w:eastAsia="zh-CN"/>
              </w:rPr>
              <w:t>集在</w:t>
            </w:r>
            <w:r>
              <w:rPr>
                <w:rFonts w:hint="eastAsia" w:ascii="Times New Roman" w:hAnsi="Times New Roman" w:eastAsia="宋体" w:cs="Times New Roman"/>
                <w:color w:val="auto"/>
                <w:sz w:val="24"/>
                <w:szCs w:val="24"/>
                <w:highlight w:val="none"/>
                <w:lang w:val="en-US" w:eastAsia="zh-CN"/>
              </w:rPr>
              <w:t>密闭式容器中，集中由叉车运至</w:t>
            </w:r>
            <w:r>
              <w:rPr>
                <w:rFonts w:hint="eastAsia" w:cs="Times New Roman"/>
                <w:color w:val="auto"/>
                <w:sz w:val="24"/>
                <w:szCs w:val="24"/>
                <w:highlight w:val="none"/>
                <w:lang w:val="en-US" w:eastAsia="zh-CN"/>
              </w:rPr>
              <w:t>危废暂存间</w:t>
            </w:r>
            <w:r>
              <w:rPr>
                <w:rFonts w:hint="eastAsia" w:ascii="Times New Roman" w:hAnsi="Times New Roman" w:eastAsia="宋体" w:cs="Times New Roman"/>
                <w:color w:val="auto"/>
                <w:sz w:val="24"/>
                <w:szCs w:val="24"/>
                <w:highlight w:val="none"/>
                <w:lang w:val="en-US" w:eastAsia="zh-CN"/>
              </w:rPr>
              <w:t>。</w:t>
            </w:r>
          </w:p>
          <w:p w14:paraId="63080D90">
            <w:pPr>
              <w:autoSpaceDE w:val="0"/>
              <w:autoSpaceDN w:val="0"/>
              <w:adjustRightInd w:val="0"/>
              <w:spacing w:line="360" w:lineRule="auto"/>
              <w:ind w:firstLine="482" w:firstLineChars="200"/>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fldChar w:fldCharType="begin"/>
            </w:r>
            <w:r>
              <w:rPr>
                <w:rFonts w:hint="eastAsia" w:ascii="Times New Roman" w:hAnsi="Times New Roman" w:eastAsia="宋体" w:cs="Times New Roman"/>
                <w:b/>
                <w:bCs/>
                <w:color w:val="auto"/>
                <w:sz w:val="24"/>
                <w:szCs w:val="24"/>
                <w:highlight w:val="none"/>
                <w:lang w:val="en-US" w:eastAsia="zh-CN"/>
              </w:rPr>
              <w:instrText xml:space="preserve"> = 2 \* GB3 </w:instrText>
            </w:r>
            <w:r>
              <w:rPr>
                <w:rFonts w:hint="eastAsia" w:ascii="Times New Roman" w:hAnsi="Times New Roman" w:eastAsia="宋体" w:cs="Times New Roman"/>
                <w:b/>
                <w:bCs/>
                <w:color w:val="auto"/>
                <w:sz w:val="24"/>
                <w:szCs w:val="24"/>
                <w:highlight w:val="none"/>
                <w:lang w:val="en-US" w:eastAsia="zh-CN"/>
              </w:rPr>
              <w:fldChar w:fldCharType="separate"/>
            </w:r>
            <w:r>
              <w:rPr>
                <w:rFonts w:hint="eastAsia" w:ascii="Times New Roman" w:hAnsi="Times New Roman" w:eastAsia="宋体" w:cs="Times New Roman"/>
                <w:b/>
                <w:bCs/>
                <w:color w:val="auto"/>
                <w:sz w:val="24"/>
                <w:szCs w:val="24"/>
                <w:highlight w:val="none"/>
                <w:lang w:val="en-US" w:eastAsia="zh-CN"/>
              </w:rPr>
              <w:t>②</w:t>
            </w:r>
            <w:r>
              <w:rPr>
                <w:rFonts w:hint="eastAsia" w:ascii="Times New Roman" w:hAnsi="Times New Roman" w:eastAsia="宋体" w:cs="Times New Roman"/>
                <w:b/>
                <w:bCs/>
                <w:color w:val="auto"/>
                <w:sz w:val="24"/>
                <w:szCs w:val="24"/>
                <w:highlight w:val="none"/>
                <w:lang w:val="en-US" w:eastAsia="zh-CN"/>
              </w:rPr>
              <w:fldChar w:fldCharType="end"/>
            </w:r>
            <w:r>
              <w:rPr>
                <w:rFonts w:hint="eastAsia" w:ascii="Times New Roman" w:hAnsi="Times New Roman" w:eastAsia="宋体" w:cs="Times New Roman"/>
                <w:b/>
                <w:bCs/>
                <w:color w:val="auto"/>
                <w:sz w:val="24"/>
                <w:szCs w:val="24"/>
                <w:highlight w:val="none"/>
                <w:lang w:val="en-US" w:eastAsia="zh-CN"/>
              </w:rPr>
              <w:t>风险潜势初判</w:t>
            </w:r>
          </w:p>
          <w:p w14:paraId="427C2349">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涉及的主要危险物质为废矿物油。根据《建设项目环境风险评价技术导则》（H169-2018）表B.1、表B.2和《危险化学品重大危险源辨识》（GB18218-2018）中规定的临界量P的分级确定，按下式计算物质总量与其临界量比值（Q）。</w:t>
            </w:r>
          </w:p>
          <w:p w14:paraId="1E3AEF41">
            <w:pPr>
              <w:autoSpaceDE w:val="0"/>
              <w:autoSpaceDN w:val="0"/>
              <w:adjustRightInd w:val="0"/>
              <w:spacing w:line="360" w:lineRule="auto"/>
              <w:ind w:firstLine="480" w:firstLineChars="200"/>
              <w:jc w:val="center"/>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drawing>
                <wp:inline distT="0" distB="0" distL="114300" distR="114300">
                  <wp:extent cx="1762125" cy="561975"/>
                  <wp:effectExtent l="0" t="0" r="3175" b="952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30"/>
                          <a:stretch>
                            <a:fillRect/>
                          </a:stretch>
                        </pic:blipFill>
                        <pic:spPr>
                          <a:xfrm>
                            <a:off x="0" y="0"/>
                            <a:ext cx="1762125" cy="561975"/>
                          </a:xfrm>
                          <a:prstGeom prst="rect">
                            <a:avLst/>
                          </a:prstGeom>
                          <a:noFill/>
                          <a:ln>
                            <a:noFill/>
                          </a:ln>
                        </pic:spPr>
                      </pic:pic>
                    </a:graphicData>
                  </a:graphic>
                </wp:inline>
              </w:drawing>
            </w:r>
          </w:p>
          <w:p w14:paraId="2BAA4EE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式中：q1、q2…，qn为每种危险物质的最大存在量，t；</w:t>
            </w:r>
          </w:p>
          <w:p w14:paraId="64461532">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Q1、Q2…Qn为与每种危险物质的临界量，t。</w:t>
            </w:r>
          </w:p>
          <w:p w14:paraId="49F5248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当Q＜1时，该项目环境风险潜势为</w:t>
            </w: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1 \* ROMAN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I</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w:t>
            </w:r>
          </w:p>
          <w:p w14:paraId="4E13E5B3">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当Q≥1时，将Q值划分为：（1）1≤Q＜10；（2）10≤Q＜100；（3）Q≥100。</w:t>
            </w:r>
          </w:p>
          <w:p w14:paraId="2D4C9451">
            <w:pPr>
              <w:spacing w:line="240" w:lineRule="atLeast"/>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9</w:t>
            </w:r>
            <w:r>
              <w:rPr>
                <w:rFonts w:hint="eastAsia" w:ascii="Times New Roman" w:hAnsi="Times New Roman" w:eastAsia="宋体" w:cs="Times New Roman"/>
                <w:b/>
                <w:bCs/>
                <w:color w:val="auto"/>
                <w:sz w:val="24"/>
                <w:szCs w:val="24"/>
                <w:highlight w:val="none"/>
                <w:lang w:val="en-US" w:eastAsia="zh-CN"/>
              </w:rPr>
              <w:t>危险废物数量与临界量比值</w:t>
            </w:r>
          </w:p>
          <w:tbl>
            <w:tblPr>
              <w:tblStyle w:val="22"/>
              <w:tblW w:w="5000"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2585"/>
              <w:gridCol w:w="1895"/>
              <w:gridCol w:w="938"/>
              <w:gridCol w:w="1521"/>
            </w:tblGrid>
            <w:tr w14:paraId="2A3EDFB5">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41" w:type="pct"/>
                  <w:tcBorders>
                    <w:tl2br w:val="nil"/>
                    <w:tr2bl w:val="nil"/>
                  </w:tcBorders>
                  <w:noWrap w:val="0"/>
                  <w:tcMar>
                    <w:left w:w="28" w:type="dxa"/>
                    <w:right w:w="28" w:type="dxa"/>
                  </w:tcMar>
                  <w:vAlign w:val="center"/>
                </w:tcPr>
                <w:p w14:paraId="5DD5B0A2">
                  <w:pPr>
                    <w:snapToGrid w:val="0"/>
                    <w:spacing w:line="240" w:lineRule="auto"/>
                    <w:ind w:firstLine="0" w:firstLineChars="0"/>
                    <w:jc w:val="center"/>
                    <w:rPr>
                      <w:rFonts w:hint="eastAsia"/>
                      <w:color w:val="auto"/>
                      <w:highlight w:val="none"/>
                    </w:rPr>
                  </w:pPr>
                  <w:r>
                    <w:rPr>
                      <w:rFonts w:hint="eastAsia"/>
                      <w:color w:val="auto"/>
                      <w:highlight w:val="none"/>
                    </w:rPr>
                    <w:t>序号</w:t>
                  </w:r>
                </w:p>
              </w:tc>
              <w:tc>
                <w:tcPr>
                  <w:tcW w:w="1624" w:type="pct"/>
                  <w:tcBorders>
                    <w:tl2br w:val="nil"/>
                    <w:tr2bl w:val="nil"/>
                  </w:tcBorders>
                  <w:noWrap w:val="0"/>
                  <w:tcMar>
                    <w:left w:w="28" w:type="dxa"/>
                    <w:right w:w="28" w:type="dxa"/>
                  </w:tcMar>
                  <w:vAlign w:val="center"/>
                </w:tcPr>
                <w:p w14:paraId="0EF40957">
                  <w:pPr>
                    <w:snapToGrid w:val="0"/>
                    <w:spacing w:line="240" w:lineRule="auto"/>
                    <w:ind w:firstLine="0" w:firstLineChars="0"/>
                    <w:jc w:val="center"/>
                    <w:rPr>
                      <w:rFonts w:hint="eastAsia"/>
                      <w:color w:val="auto"/>
                      <w:highlight w:val="none"/>
                    </w:rPr>
                  </w:pPr>
                  <w:r>
                    <w:rPr>
                      <w:rFonts w:hint="eastAsia"/>
                      <w:color w:val="auto"/>
                      <w:highlight w:val="none"/>
                    </w:rPr>
                    <w:t>物质名称</w:t>
                  </w:r>
                </w:p>
              </w:tc>
              <w:tc>
                <w:tcPr>
                  <w:tcW w:w="1190" w:type="pct"/>
                  <w:tcBorders>
                    <w:tl2br w:val="nil"/>
                    <w:tr2bl w:val="nil"/>
                  </w:tcBorders>
                  <w:noWrap w:val="0"/>
                  <w:tcMar>
                    <w:left w:w="28" w:type="dxa"/>
                    <w:right w:w="28" w:type="dxa"/>
                  </w:tcMar>
                  <w:vAlign w:val="center"/>
                </w:tcPr>
                <w:p w14:paraId="7239832A">
                  <w:pPr>
                    <w:snapToGrid w:val="0"/>
                    <w:spacing w:line="240" w:lineRule="auto"/>
                    <w:ind w:firstLine="0" w:firstLineChars="0"/>
                    <w:jc w:val="center"/>
                    <w:rPr>
                      <w:rFonts w:hint="eastAsia"/>
                      <w:color w:val="auto"/>
                      <w:highlight w:val="none"/>
                    </w:rPr>
                  </w:pPr>
                  <w:r>
                    <w:rPr>
                      <w:rFonts w:hint="eastAsia"/>
                      <w:color w:val="auto"/>
                      <w:highlight w:val="none"/>
                    </w:rPr>
                    <w:t>临界量（Q，吨）</w:t>
                  </w:r>
                </w:p>
              </w:tc>
              <w:tc>
                <w:tcPr>
                  <w:tcW w:w="589" w:type="pct"/>
                  <w:tcBorders>
                    <w:tl2br w:val="nil"/>
                    <w:tr2bl w:val="nil"/>
                  </w:tcBorders>
                  <w:noWrap w:val="0"/>
                  <w:tcMar>
                    <w:left w:w="28" w:type="dxa"/>
                    <w:right w:w="28" w:type="dxa"/>
                  </w:tcMar>
                  <w:vAlign w:val="center"/>
                </w:tcPr>
                <w:p w14:paraId="48CE05A4">
                  <w:pPr>
                    <w:snapToGrid w:val="0"/>
                    <w:spacing w:line="240" w:lineRule="auto"/>
                    <w:ind w:firstLine="0" w:firstLineChars="0"/>
                    <w:jc w:val="center"/>
                    <w:rPr>
                      <w:rFonts w:hint="eastAsia"/>
                      <w:color w:val="auto"/>
                      <w:highlight w:val="none"/>
                    </w:rPr>
                  </w:pPr>
                  <w:r>
                    <w:rPr>
                      <w:rFonts w:hint="eastAsia"/>
                      <w:color w:val="auto"/>
                      <w:highlight w:val="none"/>
                    </w:rPr>
                    <w:t>实际量（q，吨）</w:t>
                  </w:r>
                </w:p>
              </w:tc>
              <w:tc>
                <w:tcPr>
                  <w:tcW w:w="955" w:type="pct"/>
                  <w:tcBorders>
                    <w:tl2br w:val="nil"/>
                    <w:tr2bl w:val="nil"/>
                  </w:tcBorders>
                  <w:noWrap w:val="0"/>
                  <w:vAlign w:val="center"/>
                </w:tcPr>
                <w:p w14:paraId="3FA3FA86">
                  <w:pPr>
                    <w:snapToGrid w:val="0"/>
                    <w:spacing w:line="240" w:lineRule="auto"/>
                    <w:ind w:firstLine="0" w:firstLineChars="0"/>
                    <w:jc w:val="center"/>
                    <w:rPr>
                      <w:rFonts w:hint="eastAsia"/>
                      <w:color w:val="auto"/>
                      <w:highlight w:val="none"/>
                    </w:rPr>
                  </w:pPr>
                  <w:r>
                    <w:rPr>
                      <w:rFonts w:hint="eastAsia"/>
                      <w:color w:val="auto"/>
                      <w:highlight w:val="none"/>
                    </w:rPr>
                    <w:t>q/Q</w:t>
                  </w:r>
                </w:p>
              </w:tc>
            </w:tr>
            <w:tr w14:paraId="75A956E2">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41" w:type="pct"/>
                  <w:tcBorders>
                    <w:tl2br w:val="nil"/>
                    <w:tr2bl w:val="nil"/>
                  </w:tcBorders>
                  <w:noWrap w:val="0"/>
                  <w:tcMar>
                    <w:left w:w="28" w:type="dxa"/>
                    <w:right w:w="28" w:type="dxa"/>
                  </w:tcMar>
                  <w:vAlign w:val="center"/>
                </w:tcPr>
                <w:p w14:paraId="38768350">
                  <w:pPr>
                    <w:snapToGrid w:val="0"/>
                    <w:spacing w:line="240" w:lineRule="auto"/>
                    <w:ind w:firstLine="0" w:firstLineChars="0"/>
                    <w:jc w:val="center"/>
                    <w:rPr>
                      <w:rFonts w:hint="eastAsia"/>
                      <w:color w:val="auto"/>
                      <w:highlight w:val="none"/>
                    </w:rPr>
                  </w:pPr>
                  <w:r>
                    <w:rPr>
                      <w:rFonts w:hint="eastAsia"/>
                      <w:color w:val="auto"/>
                      <w:highlight w:val="none"/>
                    </w:rPr>
                    <w:t>1</w:t>
                  </w:r>
                </w:p>
              </w:tc>
              <w:tc>
                <w:tcPr>
                  <w:tcW w:w="1624" w:type="pct"/>
                  <w:tcBorders>
                    <w:tl2br w:val="nil"/>
                    <w:tr2bl w:val="nil"/>
                  </w:tcBorders>
                  <w:noWrap w:val="0"/>
                  <w:tcMar>
                    <w:left w:w="28" w:type="dxa"/>
                    <w:right w:w="28" w:type="dxa"/>
                  </w:tcMar>
                  <w:vAlign w:val="center"/>
                </w:tcPr>
                <w:p w14:paraId="58187965">
                  <w:pPr>
                    <w:snapToGrid w:val="0"/>
                    <w:spacing w:line="240" w:lineRule="auto"/>
                    <w:ind w:firstLine="0" w:firstLineChars="0"/>
                    <w:jc w:val="center"/>
                    <w:rPr>
                      <w:rFonts w:hint="eastAsia" w:eastAsia="宋体"/>
                      <w:color w:val="auto"/>
                      <w:highlight w:val="none"/>
                      <w:lang w:val="en-US" w:eastAsia="zh-CN"/>
                    </w:rPr>
                  </w:pPr>
                  <w:r>
                    <w:rPr>
                      <w:rFonts w:hint="eastAsia"/>
                      <w:color w:val="auto"/>
                      <w:highlight w:val="none"/>
                    </w:rPr>
                    <w:t>矿物油</w:t>
                  </w:r>
                  <w:r>
                    <w:rPr>
                      <w:rFonts w:hint="eastAsia"/>
                      <w:color w:val="auto"/>
                      <w:highlight w:val="none"/>
                      <w:lang w:val="en-US" w:eastAsia="zh-CN"/>
                    </w:rPr>
                    <w:t>类</w:t>
                  </w:r>
                </w:p>
              </w:tc>
              <w:tc>
                <w:tcPr>
                  <w:tcW w:w="1190" w:type="pct"/>
                  <w:tcBorders>
                    <w:tl2br w:val="nil"/>
                    <w:tr2bl w:val="nil"/>
                  </w:tcBorders>
                  <w:noWrap w:val="0"/>
                  <w:tcMar>
                    <w:left w:w="28" w:type="dxa"/>
                    <w:right w:w="28" w:type="dxa"/>
                  </w:tcMar>
                  <w:vAlign w:val="center"/>
                </w:tcPr>
                <w:p w14:paraId="69D4D206">
                  <w:pPr>
                    <w:snapToGrid w:val="0"/>
                    <w:spacing w:line="240" w:lineRule="auto"/>
                    <w:ind w:firstLine="0" w:firstLineChars="0"/>
                    <w:jc w:val="center"/>
                    <w:rPr>
                      <w:rFonts w:hint="eastAsia"/>
                      <w:color w:val="auto"/>
                      <w:highlight w:val="none"/>
                    </w:rPr>
                  </w:pPr>
                  <w:r>
                    <w:rPr>
                      <w:rFonts w:hint="eastAsia"/>
                      <w:color w:val="auto"/>
                      <w:highlight w:val="none"/>
                    </w:rPr>
                    <w:t>2500</w:t>
                  </w:r>
                </w:p>
              </w:tc>
              <w:tc>
                <w:tcPr>
                  <w:tcW w:w="589" w:type="pct"/>
                  <w:tcBorders>
                    <w:tl2br w:val="nil"/>
                    <w:tr2bl w:val="nil"/>
                  </w:tcBorders>
                  <w:noWrap w:val="0"/>
                  <w:tcMar>
                    <w:left w:w="28" w:type="dxa"/>
                    <w:right w:w="28" w:type="dxa"/>
                  </w:tcMar>
                  <w:vAlign w:val="center"/>
                </w:tcPr>
                <w:p w14:paraId="7C54D4CA">
                  <w:pPr>
                    <w:snapToGrid w:val="0"/>
                    <w:spacing w:line="240" w:lineRule="auto"/>
                    <w:ind w:firstLine="0" w:firstLineChars="0"/>
                    <w:jc w:val="center"/>
                    <w:rPr>
                      <w:rFonts w:hint="default"/>
                      <w:color w:val="auto"/>
                      <w:highlight w:val="none"/>
                      <w:lang w:val="en-US" w:eastAsia="zh-CN"/>
                    </w:rPr>
                  </w:pPr>
                  <w:r>
                    <w:rPr>
                      <w:rFonts w:hint="eastAsia"/>
                      <w:color w:val="auto"/>
                      <w:highlight w:val="none"/>
                      <w:lang w:val="en-US" w:eastAsia="zh-CN"/>
                    </w:rPr>
                    <w:t>1</w:t>
                  </w:r>
                </w:p>
              </w:tc>
              <w:tc>
                <w:tcPr>
                  <w:tcW w:w="955" w:type="pct"/>
                  <w:tcBorders>
                    <w:tl2br w:val="nil"/>
                    <w:tr2bl w:val="nil"/>
                  </w:tcBorders>
                  <w:noWrap w:val="0"/>
                  <w:vAlign w:val="center"/>
                </w:tcPr>
                <w:p w14:paraId="1B355A77">
                  <w:pPr>
                    <w:snapToGrid w:val="0"/>
                    <w:spacing w:line="240" w:lineRule="auto"/>
                    <w:ind w:firstLine="0" w:firstLineChars="0"/>
                    <w:jc w:val="center"/>
                    <w:rPr>
                      <w:rFonts w:hint="default"/>
                      <w:color w:val="auto"/>
                      <w:highlight w:val="none"/>
                      <w:lang w:val="en-US" w:eastAsia="zh-CN"/>
                    </w:rPr>
                  </w:pPr>
                  <w:r>
                    <w:rPr>
                      <w:rFonts w:hint="eastAsia"/>
                      <w:color w:val="auto"/>
                      <w:highlight w:val="none"/>
                      <w:lang w:val="en-US" w:eastAsia="zh-CN"/>
                    </w:rPr>
                    <w:t>0.0004</w:t>
                  </w:r>
                </w:p>
              </w:tc>
            </w:tr>
            <w:tr w14:paraId="64DBF65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044" w:type="pct"/>
                  <w:gridSpan w:val="4"/>
                  <w:tcBorders>
                    <w:tl2br w:val="nil"/>
                    <w:tr2bl w:val="nil"/>
                  </w:tcBorders>
                  <w:noWrap w:val="0"/>
                  <w:tcMar>
                    <w:left w:w="28" w:type="dxa"/>
                    <w:right w:w="28" w:type="dxa"/>
                  </w:tcMar>
                  <w:vAlign w:val="center"/>
                </w:tcPr>
                <w:p w14:paraId="7B3B56F4">
                  <w:pPr>
                    <w:snapToGrid w:val="0"/>
                    <w:spacing w:line="240" w:lineRule="auto"/>
                    <w:ind w:firstLine="0" w:firstLineChars="0"/>
                    <w:jc w:val="center"/>
                    <w:rPr>
                      <w:rFonts w:hint="eastAsia"/>
                      <w:color w:val="auto"/>
                      <w:highlight w:val="none"/>
                    </w:rPr>
                  </w:pPr>
                  <w:r>
                    <w:rPr>
                      <w:rFonts w:hint="eastAsia"/>
                      <w:color w:val="auto"/>
                      <w:highlight w:val="none"/>
                    </w:rPr>
                    <w:t>Σq/Q</w:t>
                  </w:r>
                </w:p>
              </w:tc>
              <w:tc>
                <w:tcPr>
                  <w:tcW w:w="955" w:type="pct"/>
                  <w:tcBorders>
                    <w:tl2br w:val="nil"/>
                    <w:tr2bl w:val="nil"/>
                  </w:tcBorders>
                  <w:noWrap w:val="0"/>
                  <w:vAlign w:val="center"/>
                </w:tcPr>
                <w:p w14:paraId="40CCB3AD">
                  <w:pPr>
                    <w:snapToGrid w:val="0"/>
                    <w:spacing w:line="240" w:lineRule="auto"/>
                    <w:ind w:firstLine="0" w:firstLineChars="0"/>
                    <w:jc w:val="center"/>
                    <w:rPr>
                      <w:rFonts w:hint="default"/>
                      <w:color w:val="auto"/>
                      <w:highlight w:val="none"/>
                      <w:lang w:val="en-US" w:eastAsia="zh-CN"/>
                    </w:rPr>
                  </w:pPr>
                  <w:r>
                    <w:rPr>
                      <w:rFonts w:hint="eastAsia"/>
                      <w:color w:val="auto"/>
                      <w:highlight w:val="none"/>
                      <w:lang w:val="en-US" w:eastAsia="zh-CN"/>
                    </w:rPr>
                    <w:t>0.0004</w:t>
                  </w:r>
                </w:p>
              </w:tc>
            </w:tr>
          </w:tbl>
          <w:p w14:paraId="31CFB6A5">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由公式可得：∑q/Q=0.0004＜1，项目环境风险潜势为Ⅰ。</w:t>
            </w:r>
          </w:p>
          <w:p w14:paraId="5EE57F3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3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③</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评价等级</w:t>
            </w:r>
          </w:p>
          <w:p w14:paraId="4D82437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根据《建设项目环境风险评价技术导则》（HJ169－2018），本项目环境风险潜势为Ⅰ，对照评价工作等级，只需进行简单分析，评价等级划分见下表4-</w:t>
            </w:r>
            <w:r>
              <w:rPr>
                <w:rFonts w:hint="eastAsia"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lang w:val="en-US" w:eastAsia="zh-CN"/>
              </w:rPr>
              <w:t>。</w:t>
            </w:r>
          </w:p>
          <w:p w14:paraId="1D8C5E4E">
            <w:pPr>
              <w:spacing w:line="240" w:lineRule="atLeast"/>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10</w:t>
            </w:r>
            <w:r>
              <w:rPr>
                <w:rFonts w:hint="default" w:ascii="Times New Roman" w:hAnsi="Times New Roman" w:eastAsia="宋体" w:cs="Times New Roman"/>
                <w:b/>
                <w:bCs/>
                <w:color w:val="auto"/>
                <w:sz w:val="24"/>
                <w:szCs w:val="24"/>
                <w:highlight w:val="none"/>
                <w:lang w:val="en-US" w:eastAsia="zh-CN"/>
              </w:rPr>
              <w:t>评价工作等级划分表</w:t>
            </w:r>
          </w:p>
          <w:tbl>
            <w:tblPr>
              <w:tblStyle w:val="22"/>
              <w:tblW w:w="5000"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1"/>
              <w:gridCol w:w="1760"/>
              <w:gridCol w:w="833"/>
              <w:gridCol w:w="833"/>
              <w:gridCol w:w="2052"/>
            </w:tblGrid>
            <w:tr w14:paraId="0CB86F59">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988" w:type="dxa"/>
                  <w:tcBorders>
                    <w:tl2br w:val="nil"/>
                    <w:tr2bl w:val="nil"/>
                  </w:tcBorders>
                  <w:noWrap w:val="0"/>
                  <w:vAlign w:val="center"/>
                </w:tcPr>
                <w:p w14:paraId="7EE050A5">
                  <w:pPr>
                    <w:snapToGrid w:val="0"/>
                    <w:spacing w:line="240" w:lineRule="auto"/>
                    <w:ind w:firstLine="0" w:firstLineChars="0"/>
                    <w:jc w:val="center"/>
                    <w:rPr>
                      <w:rFonts w:hint="eastAsia"/>
                      <w:color w:val="auto"/>
                      <w:highlight w:val="none"/>
                    </w:rPr>
                  </w:pPr>
                  <w:r>
                    <w:rPr>
                      <w:rFonts w:hint="eastAsia"/>
                      <w:color w:val="auto"/>
                      <w:highlight w:val="none"/>
                    </w:rPr>
                    <w:t>环境风险潜势</w:t>
                  </w:r>
                </w:p>
              </w:tc>
              <w:tc>
                <w:tcPr>
                  <w:tcW w:w="2037" w:type="dxa"/>
                  <w:tcBorders>
                    <w:tl2br w:val="nil"/>
                    <w:tr2bl w:val="nil"/>
                  </w:tcBorders>
                  <w:noWrap w:val="0"/>
                  <w:vAlign w:val="center"/>
                </w:tcPr>
                <w:p w14:paraId="48232361">
                  <w:pPr>
                    <w:snapToGrid w:val="0"/>
                    <w:spacing w:line="240" w:lineRule="auto"/>
                    <w:ind w:firstLine="0" w:firstLineChars="0"/>
                    <w:jc w:val="center"/>
                    <w:rPr>
                      <w:rFonts w:hint="eastAsia"/>
                      <w:color w:val="auto"/>
                      <w:highlight w:val="none"/>
                    </w:rPr>
                  </w:pPr>
                  <w:r>
                    <w:rPr>
                      <w:rFonts w:hint="eastAsia"/>
                      <w:color w:val="auto"/>
                      <w:highlight w:val="none"/>
                    </w:rPr>
                    <w:t>Ⅳ、Ⅳ+</w:t>
                  </w:r>
                </w:p>
              </w:tc>
              <w:tc>
                <w:tcPr>
                  <w:tcW w:w="933" w:type="dxa"/>
                  <w:tcBorders>
                    <w:tl2br w:val="nil"/>
                    <w:tr2bl w:val="nil"/>
                  </w:tcBorders>
                  <w:noWrap w:val="0"/>
                  <w:vAlign w:val="center"/>
                </w:tcPr>
                <w:p w14:paraId="43EC1DAA">
                  <w:pPr>
                    <w:snapToGrid w:val="0"/>
                    <w:spacing w:line="240" w:lineRule="auto"/>
                    <w:ind w:firstLine="0" w:firstLineChars="0"/>
                    <w:jc w:val="center"/>
                    <w:rPr>
                      <w:rFonts w:hint="eastAsia"/>
                      <w:color w:val="auto"/>
                      <w:highlight w:val="none"/>
                    </w:rPr>
                  </w:pPr>
                  <w:r>
                    <w:rPr>
                      <w:rFonts w:hint="eastAsia"/>
                      <w:color w:val="auto"/>
                      <w:highlight w:val="none"/>
                    </w:rPr>
                    <w:t>Ⅲ</w:t>
                  </w:r>
                </w:p>
              </w:tc>
              <w:tc>
                <w:tcPr>
                  <w:tcW w:w="933" w:type="dxa"/>
                  <w:tcBorders>
                    <w:tl2br w:val="nil"/>
                    <w:tr2bl w:val="nil"/>
                  </w:tcBorders>
                  <w:noWrap w:val="0"/>
                  <w:vAlign w:val="center"/>
                </w:tcPr>
                <w:p w14:paraId="68E28D9A">
                  <w:pPr>
                    <w:snapToGrid w:val="0"/>
                    <w:spacing w:line="240" w:lineRule="auto"/>
                    <w:ind w:firstLine="0" w:firstLineChars="0"/>
                    <w:jc w:val="center"/>
                    <w:rPr>
                      <w:rFonts w:hint="eastAsia"/>
                      <w:color w:val="auto"/>
                      <w:highlight w:val="none"/>
                    </w:rPr>
                  </w:pPr>
                  <w:r>
                    <w:rPr>
                      <w:rFonts w:hint="eastAsia"/>
                      <w:color w:val="auto"/>
                      <w:highlight w:val="none"/>
                    </w:rPr>
                    <w:t>Ⅱ</w:t>
                  </w:r>
                </w:p>
              </w:tc>
              <w:tc>
                <w:tcPr>
                  <w:tcW w:w="2453" w:type="dxa"/>
                  <w:tcBorders>
                    <w:tl2br w:val="nil"/>
                    <w:tr2bl w:val="nil"/>
                  </w:tcBorders>
                  <w:noWrap w:val="0"/>
                  <w:vAlign w:val="center"/>
                </w:tcPr>
                <w:p w14:paraId="48EA1AD4">
                  <w:pPr>
                    <w:snapToGrid w:val="0"/>
                    <w:spacing w:line="240" w:lineRule="auto"/>
                    <w:ind w:firstLine="0" w:firstLineChars="0"/>
                    <w:jc w:val="center"/>
                    <w:rPr>
                      <w:rFonts w:hint="eastAsia"/>
                      <w:color w:val="auto"/>
                      <w:highlight w:val="none"/>
                    </w:rPr>
                  </w:pPr>
                  <w:r>
                    <w:rPr>
                      <w:rFonts w:hint="eastAsia"/>
                      <w:color w:val="auto"/>
                      <w:highlight w:val="none"/>
                    </w:rPr>
                    <w:t>Ⅰ</w:t>
                  </w:r>
                </w:p>
              </w:tc>
            </w:tr>
            <w:tr w14:paraId="486A78C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988" w:type="dxa"/>
                  <w:tcBorders>
                    <w:tl2br w:val="nil"/>
                    <w:tr2bl w:val="nil"/>
                  </w:tcBorders>
                  <w:noWrap w:val="0"/>
                  <w:vAlign w:val="center"/>
                </w:tcPr>
                <w:p w14:paraId="29C100D6">
                  <w:pPr>
                    <w:snapToGrid w:val="0"/>
                    <w:spacing w:line="240" w:lineRule="auto"/>
                    <w:ind w:firstLine="0" w:firstLineChars="0"/>
                    <w:jc w:val="center"/>
                    <w:rPr>
                      <w:rFonts w:hint="eastAsia"/>
                      <w:color w:val="auto"/>
                      <w:highlight w:val="none"/>
                    </w:rPr>
                  </w:pPr>
                  <w:r>
                    <w:rPr>
                      <w:rFonts w:hint="eastAsia"/>
                      <w:color w:val="auto"/>
                      <w:highlight w:val="none"/>
                    </w:rPr>
                    <w:t>评价工作等级</w:t>
                  </w:r>
                </w:p>
              </w:tc>
              <w:tc>
                <w:tcPr>
                  <w:tcW w:w="2037" w:type="dxa"/>
                  <w:tcBorders>
                    <w:tl2br w:val="nil"/>
                    <w:tr2bl w:val="nil"/>
                  </w:tcBorders>
                  <w:noWrap w:val="0"/>
                  <w:vAlign w:val="center"/>
                </w:tcPr>
                <w:p w14:paraId="45739BD3">
                  <w:pPr>
                    <w:snapToGrid w:val="0"/>
                    <w:spacing w:line="240" w:lineRule="auto"/>
                    <w:ind w:firstLine="0" w:firstLineChars="0"/>
                    <w:jc w:val="center"/>
                    <w:rPr>
                      <w:rFonts w:hint="eastAsia"/>
                      <w:color w:val="auto"/>
                      <w:highlight w:val="none"/>
                    </w:rPr>
                  </w:pPr>
                  <w:r>
                    <w:rPr>
                      <w:rFonts w:hint="eastAsia"/>
                      <w:color w:val="auto"/>
                      <w:highlight w:val="none"/>
                    </w:rPr>
                    <w:t>一</w:t>
                  </w:r>
                </w:p>
              </w:tc>
              <w:tc>
                <w:tcPr>
                  <w:tcW w:w="933" w:type="dxa"/>
                  <w:tcBorders>
                    <w:tl2br w:val="nil"/>
                    <w:tr2bl w:val="nil"/>
                  </w:tcBorders>
                  <w:noWrap w:val="0"/>
                  <w:vAlign w:val="center"/>
                </w:tcPr>
                <w:p w14:paraId="393AA5DE">
                  <w:pPr>
                    <w:snapToGrid w:val="0"/>
                    <w:spacing w:line="240" w:lineRule="auto"/>
                    <w:ind w:firstLine="0" w:firstLineChars="0"/>
                    <w:jc w:val="center"/>
                    <w:rPr>
                      <w:rFonts w:hint="eastAsia"/>
                      <w:color w:val="auto"/>
                      <w:highlight w:val="none"/>
                    </w:rPr>
                  </w:pPr>
                  <w:r>
                    <w:rPr>
                      <w:rFonts w:hint="eastAsia"/>
                      <w:color w:val="auto"/>
                      <w:highlight w:val="none"/>
                    </w:rPr>
                    <w:t>二</w:t>
                  </w:r>
                </w:p>
              </w:tc>
              <w:tc>
                <w:tcPr>
                  <w:tcW w:w="933" w:type="dxa"/>
                  <w:tcBorders>
                    <w:tl2br w:val="nil"/>
                    <w:tr2bl w:val="nil"/>
                  </w:tcBorders>
                  <w:noWrap w:val="0"/>
                  <w:vAlign w:val="center"/>
                </w:tcPr>
                <w:p w14:paraId="7671BB0F">
                  <w:pPr>
                    <w:snapToGrid w:val="0"/>
                    <w:spacing w:line="240" w:lineRule="auto"/>
                    <w:ind w:firstLine="0" w:firstLineChars="0"/>
                    <w:jc w:val="center"/>
                    <w:rPr>
                      <w:rFonts w:hint="eastAsia"/>
                      <w:color w:val="auto"/>
                      <w:highlight w:val="none"/>
                    </w:rPr>
                  </w:pPr>
                  <w:r>
                    <w:rPr>
                      <w:rFonts w:hint="eastAsia"/>
                      <w:color w:val="auto"/>
                      <w:highlight w:val="none"/>
                    </w:rPr>
                    <w:t>三</w:t>
                  </w:r>
                </w:p>
              </w:tc>
              <w:tc>
                <w:tcPr>
                  <w:tcW w:w="2453" w:type="dxa"/>
                  <w:tcBorders>
                    <w:tl2br w:val="nil"/>
                    <w:tr2bl w:val="nil"/>
                  </w:tcBorders>
                  <w:noWrap w:val="0"/>
                  <w:vAlign w:val="center"/>
                </w:tcPr>
                <w:p w14:paraId="3A3275C6">
                  <w:pPr>
                    <w:snapToGrid w:val="0"/>
                    <w:spacing w:line="240" w:lineRule="auto"/>
                    <w:ind w:firstLine="0" w:firstLineChars="0"/>
                    <w:jc w:val="center"/>
                    <w:rPr>
                      <w:rFonts w:hint="eastAsia"/>
                      <w:color w:val="auto"/>
                      <w:highlight w:val="none"/>
                    </w:rPr>
                  </w:pPr>
                  <w:r>
                    <w:rPr>
                      <w:rFonts w:hint="eastAsia"/>
                      <w:color w:val="auto"/>
                      <w:highlight w:val="none"/>
                    </w:rPr>
                    <w:t>简单分析a</w:t>
                  </w:r>
                </w:p>
              </w:tc>
            </w:tr>
            <w:tr w14:paraId="39DC9577">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9344" w:type="dxa"/>
                  <w:gridSpan w:val="5"/>
                  <w:tcBorders>
                    <w:tl2br w:val="nil"/>
                    <w:tr2bl w:val="nil"/>
                  </w:tcBorders>
                  <w:noWrap w:val="0"/>
                  <w:vAlign w:val="center"/>
                </w:tcPr>
                <w:p w14:paraId="258F7DCA">
                  <w:pPr>
                    <w:snapToGrid w:val="0"/>
                    <w:spacing w:line="240" w:lineRule="auto"/>
                    <w:ind w:firstLine="0" w:firstLineChars="0"/>
                    <w:jc w:val="center"/>
                    <w:rPr>
                      <w:rFonts w:hint="eastAsia"/>
                      <w:color w:val="auto"/>
                      <w:highlight w:val="none"/>
                    </w:rPr>
                  </w:pPr>
                  <w:r>
                    <w:rPr>
                      <w:rFonts w:hint="eastAsia"/>
                      <w:color w:val="auto"/>
                      <w:highlight w:val="none"/>
                    </w:rPr>
                    <w:t>a是相对详细评价工作内容而言，在描述危险物质、环境影响途径、环境危害后果、风险防范措施等方面给出定性的说明。</w:t>
                  </w:r>
                </w:p>
              </w:tc>
            </w:tr>
          </w:tbl>
          <w:p w14:paraId="750DA9F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（2）环境敏感目标概况</w:t>
            </w:r>
          </w:p>
          <w:p w14:paraId="5475F65B">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本项目周边环境敏感目标与环境保护目标相同。</w:t>
            </w:r>
          </w:p>
          <w:p w14:paraId="6D7471AD">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hAnsi="Times New Roman" w:eastAsia="宋体" w:cs="Times New Roman"/>
                <w:color w:val="auto"/>
                <w:sz w:val="24"/>
                <w:szCs w:val="24"/>
                <w:highlight w:val="none"/>
                <w:lang w:val="en-US" w:eastAsia="zh-CN"/>
              </w:rPr>
              <w:t>项目选址位于</w:t>
            </w:r>
            <w:r>
              <w:rPr>
                <w:rFonts w:hint="default" w:ascii="Times New Roman" w:hAnsi="Times New Roman" w:cs="Times New Roman"/>
                <w:color w:val="auto"/>
                <w:sz w:val="24"/>
                <w:highlight w:val="none"/>
              </w:rPr>
              <w:t>伊金霍洛旗伊金霍洛镇壕赖村5社商砼园区23号地块</w:t>
            </w:r>
            <w:r>
              <w:rPr>
                <w:rFonts w:hint="eastAsia" w:ascii="Times New Roman" w:hAnsi="Times New Roman" w:eastAsia="宋体" w:cs="Times New Roman"/>
                <w:color w:val="auto"/>
                <w:sz w:val="24"/>
                <w:szCs w:val="24"/>
                <w:highlight w:val="none"/>
                <w:lang w:val="en-US" w:eastAsia="zh-CN"/>
              </w:rPr>
              <w:t>，由现场调查可知，该区域内没有珍稀动植物资源、</w:t>
            </w:r>
            <w:r>
              <w:rPr>
                <w:rFonts w:hint="eastAsia" w:cs="Times New Roman"/>
                <w:color w:val="auto"/>
                <w:sz w:val="24"/>
                <w:szCs w:val="24"/>
                <w:highlight w:val="none"/>
                <w:lang w:val="en-US" w:eastAsia="zh-CN"/>
              </w:rPr>
              <w:t>饮用水水源保护区</w:t>
            </w:r>
            <w:r>
              <w:rPr>
                <w:rFonts w:hint="eastAsia" w:ascii="Times New Roman" w:hAnsi="Times New Roman" w:eastAsia="宋体" w:cs="Times New Roman"/>
                <w:color w:val="auto"/>
                <w:sz w:val="24"/>
                <w:szCs w:val="24"/>
                <w:highlight w:val="none"/>
                <w:lang w:val="en-US" w:eastAsia="zh-CN"/>
              </w:rPr>
              <w:t>、自然保护区、重点文物等重点保护目标。</w:t>
            </w:r>
          </w:p>
          <w:p w14:paraId="740662A4">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（3）环境风险识别</w:t>
            </w:r>
          </w:p>
          <w:p w14:paraId="32A383DF">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1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①</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本项目废矿物油属于《国家危险废物名录》（2025版）中HW08类，在暂存过程中按照危险化学品暂存火灾危险性的分类，属于丙类危险化学品。</w:t>
            </w:r>
          </w:p>
          <w:p w14:paraId="7DE9EA0B">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2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②</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环境影响途径</w:t>
            </w:r>
          </w:p>
          <w:p w14:paraId="31FDA19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A暂存中的风险事故</w:t>
            </w:r>
          </w:p>
          <w:p w14:paraId="19A947EF">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本项目为</w:t>
            </w:r>
            <w:r>
              <w:rPr>
                <w:rFonts w:hint="default" w:ascii="Times New Roman" w:hAnsi="Times New Roman" w:eastAsia="宋体" w:cs="Times New Roman"/>
                <w:bCs/>
                <w:color w:val="auto"/>
                <w:sz w:val="24"/>
                <w:szCs w:val="24"/>
                <w:highlight w:val="none"/>
              </w:rPr>
              <w:t>废油桶和废矿物油</w:t>
            </w:r>
            <w:r>
              <w:rPr>
                <w:rFonts w:hint="eastAsia" w:ascii="Times New Roman" w:hAnsi="Times New Roman" w:eastAsia="宋体" w:cs="Times New Roman"/>
                <w:color w:val="auto"/>
                <w:sz w:val="24"/>
                <w:szCs w:val="24"/>
                <w:highlight w:val="none"/>
                <w:lang w:val="en-US" w:eastAsia="zh-CN"/>
              </w:rPr>
              <w:t>收集、暂存及转运项目，废矿物油使用密闭性良好的油桶盛装，废油桶加盖密闭。以上物质在存储过程中存在泄漏风险，</w:t>
            </w:r>
            <w:r>
              <w:rPr>
                <w:rFonts w:hint="default" w:ascii="Times New Roman" w:hAnsi="Times New Roman" w:eastAsia="宋体" w:cs="Times New Roman"/>
                <w:bCs/>
                <w:color w:val="auto"/>
                <w:sz w:val="24"/>
                <w:szCs w:val="24"/>
                <w:highlight w:val="none"/>
              </w:rPr>
              <w:t>废</w:t>
            </w:r>
            <w:r>
              <w:rPr>
                <w:rFonts w:hint="eastAsia" w:ascii="Times New Roman" w:hAnsi="Times New Roman" w:eastAsia="宋体" w:cs="Times New Roman"/>
                <w:bCs/>
                <w:color w:val="auto"/>
                <w:sz w:val="24"/>
                <w:szCs w:val="24"/>
                <w:highlight w:val="none"/>
                <w:lang w:val="en-US" w:eastAsia="zh-CN"/>
              </w:rPr>
              <w:t>矿物油</w:t>
            </w:r>
            <w:r>
              <w:rPr>
                <w:rFonts w:hint="eastAsia" w:ascii="Times New Roman" w:hAnsi="Times New Roman" w:eastAsia="宋体" w:cs="Times New Roman"/>
                <w:color w:val="auto"/>
                <w:sz w:val="24"/>
                <w:szCs w:val="24"/>
                <w:highlight w:val="none"/>
                <w:lang w:val="en-US" w:eastAsia="zh-CN"/>
              </w:rPr>
              <w:t>一旦渗漏会渗入土壤并随雨水渗入地下水，造成土壤和水污染。废矿物油暂存过程中接触高热，可能导致火灾事故。</w:t>
            </w:r>
          </w:p>
          <w:p w14:paraId="43BB15E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B运输中的风险事故</w:t>
            </w:r>
          </w:p>
          <w:p w14:paraId="3B957D71">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hAnsi="Times New Roman" w:eastAsia="宋体" w:cs="Times New Roman"/>
                <w:color w:val="auto"/>
                <w:sz w:val="24"/>
                <w:szCs w:val="24"/>
                <w:highlight w:val="none"/>
                <w:lang w:val="en-US" w:eastAsia="zh-CN"/>
              </w:rPr>
              <w:t>项目</w:t>
            </w:r>
            <w:r>
              <w:rPr>
                <w:rFonts w:hint="default" w:ascii="Times New Roman" w:hAnsi="Times New Roman" w:eastAsia="宋体" w:cs="Times New Roman"/>
                <w:bCs/>
                <w:color w:val="auto"/>
                <w:sz w:val="24"/>
                <w:szCs w:val="24"/>
                <w:highlight w:val="none"/>
              </w:rPr>
              <w:t>废</w:t>
            </w:r>
            <w:r>
              <w:rPr>
                <w:rFonts w:hint="eastAsia" w:ascii="Times New Roman" w:hAnsi="Times New Roman" w:eastAsia="宋体" w:cs="Times New Roman"/>
                <w:bCs/>
                <w:color w:val="auto"/>
                <w:sz w:val="24"/>
                <w:szCs w:val="24"/>
                <w:highlight w:val="none"/>
                <w:lang w:val="en-US" w:eastAsia="zh-CN"/>
              </w:rPr>
              <w:t>矿物油</w:t>
            </w:r>
            <w:r>
              <w:rPr>
                <w:rFonts w:hint="eastAsia" w:ascii="Times New Roman" w:hAnsi="Times New Roman" w:eastAsia="宋体" w:cs="Times New Roman"/>
                <w:color w:val="auto"/>
                <w:sz w:val="24"/>
                <w:szCs w:val="24"/>
                <w:highlight w:val="none"/>
                <w:lang w:val="en-US" w:eastAsia="zh-CN"/>
              </w:rPr>
              <w:t>运输靠叉车，运输过程中事故隐患主要是事故性泄漏，其中主要风险因素是运输车因交通事故导致危险物料泄漏，危险物料大量溢出而对环境造成污染或人员伤害。</w:t>
            </w:r>
          </w:p>
          <w:p w14:paraId="662FEE76">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）环境风险防范措施及应急要求</w:t>
            </w:r>
          </w:p>
          <w:p w14:paraId="154CF50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1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①</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风险防范管理</w:t>
            </w:r>
          </w:p>
          <w:p w14:paraId="10BA0E9E">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环境风险管理的核心是降低风险度，可以从两个方面采取措施，一是降低事故发生概率，二是减轻事故危害强度，此外预先制定好切实可行的事故应急计划，可以大大减轻事故来临时可能受到的损失，针对本项目具体情况提出以下环境风险管理对策。</w:t>
            </w:r>
          </w:p>
          <w:p w14:paraId="5007E796">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加强安全、消防和环保管理，建立健全环保、安全、消防各项制度，设置环保、安全、消防设施专职管理人员，保证设施正常运行或处于良好的待命状态。</w:t>
            </w:r>
          </w:p>
          <w:p w14:paraId="5F81964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A本项目废矿物油的闪点大于60℃，因此项目危废品暂存库的火灾危险性为丙类。灭火方式为消防栓系统。</w:t>
            </w:r>
          </w:p>
          <w:p w14:paraId="7CC177BD">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B加强安全教育，企业内全体人员都认识安全、杜绝事故的意义和重要性，了解事故处理程序和要求，了解处理事故的措施和器材的使用方法，特别是明确自己在处理事故中的职责。</w:t>
            </w:r>
          </w:p>
          <w:p w14:paraId="3A9F39D4">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C在仓库中，危废品暂存库非操作人员不得随意进出；仓库入口处应有标识牌和安全使用说明。</w:t>
            </w:r>
          </w:p>
          <w:p w14:paraId="71F61CDB">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D加强管理，设有专人管理，制定严格的制度，进、出、存放和使用都必须有严格的记录，防止流失造成危害。</w:t>
            </w:r>
          </w:p>
          <w:p w14:paraId="6DE8956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E废矿物油与含矿物油废物的包装（废油桶）必须有专门的运输车辆运输，要求押运人员持有押运证，并携带安全资料表，装卸过程要轻装轻放，避免撞击、重压和摩擦。</w:t>
            </w:r>
          </w:p>
          <w:p w14:paraId="15BF246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F危险废物必须堆放在专用的场所，并按有关协议规定定期转移给有资质和有处理能力的固废处置中心处理。</w:t>
            </w:r>
          </w:p>
          <w:p w14:paraId="611BEC28">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G设立厂内急救指挥小组，并和当地事故应急救援部门建立正常联系，一旦出现事故能立刻采取有效救援措施。</w:t>
            </w:r>
          </w:p>
          <w:p w14:paraId="02405176">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2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②</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风险防范措施</w:t>
            </w:r>
          </w:p>
          <w:p w14:paraId="5EC462D2">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A加强仓库巡查，定时巡查，主要检查储油桶、防渗层是否破损，若有破损及时进行修补，待防渗层修补好后，方可恢复运营。</w:t>
            </w:r>
          </w:p>
          <w:p w14:paraId="21BBFE6F">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B强化管理，加强搬运人员的业务培训，完善各项规章制度，尽量避免废矿物油泄漏。</w:t>
            </w:r>
          </w:p>
          <w:p w14:paraId="47DDC6EF">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w:t>
            </w:r>
            <w:r>
              <w:rPr>
                <w:rFonts w:hint="eastAsia" w:cs="Times New Roman"/>
                <w:color w:val="auto"/>
                <w:sz w:val="24"/>
                <w:szCs w:val="24"/>
                <w:highlight w:val="none"/>
                <w:lang w:val="en-US" w:eastAsia="zh-CN"/>
              </w:rPr>
              <w:t>危废暂存间</w:t>
            </w:r>
            <w:r>
              <w:rPr>
                <w:rFonts w:hint="eastAsia" w:ascii="Times New Roman" w:hAnsi="Times New Roman" w:eastAsia="宋体" w:cs="Times New Roman"/>
                <w:color w:val="auto"/>
                <w:sz w:val="24"/>
                <w:szCs w:val="24"/>
                <w:highlight w:val="none"/>
                <w:lang w:val="en-US" w:eastAsia="zh-CN"/>
              </w:rPr>
              <w:t>内设置液体导流槽及集液池，油品装卸区设置导流槽，对发生泄漏的危险物质进行及时回收，并存储于防腐防渗容器中。</w:t>
            </w:r>
          </w:p>
          <w:p w14:paraId="289BA67F">
            <w:pPr>
              <w:autoSpaceDE w:val="0"/>
              <w:autoSpaceDN w:val="0"/>
              <w:adjustRightIn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③合理布置厂区</w:t>
            </w:r>
          </w:p>
          <w:p w14:paraId="5FBC4D0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A办公生活区应与暂存区之间明显分隔；</w:t>
            </w:r>
          </w:p>
          <w:p w14:paraId="4AF37437">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B合理布置仓库分区，对不同危险废物进行分区存放；</w:t>
            </w:r>
          </w:p>
          <w:p w14:paraId="75B9C376">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C该项目应留有足够的消防环形通道，并保证消防、急救车辆到达该区域畅通无阻。道路宽度应符合有关规范要求。</w:t>
            </w:r>
          </w:p>
          <w:p w14:paraId="5C64E0C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D厂外进入厂区的公用工程干线不应通过危险区；</w:t>
            </w:r>
          </w:p>
          <w:p w14:paraId="107C3AA8">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E按照有关规定考虑消防设施及火灾报警系统的设置；</w:t>
            </w:r>
          </w:p>
          <w:p w14:paraId="221CFDE4">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F按照有关规定考虑紧急救援站的设置。</w:t>
            </w:r>
          </w:p>
          <w:p w14:paraId="6351D215">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fldChar w:fldCharType="begin"/>
            </w:r>
            <w:r>
              <w:rPr>
                <w:rFonts w:hint="eastAsia" w:ascii="Times New Roman" w:hAnsi="Times New Roman" w:eastAsia="宋体" w:cs="Times New Roman"/>
                <w:color w:val="auto"/>
                <w:sz w:val="24"/>
                <w:szCs w:val="24"/>
                <w:highlight w:val="none"/>
                <w:lang w:val="en-US" w:eastAsia="zh-CN"/>
              </w:rPr>
              <w:instrText xml:space="preserve"> = 4 \* GB3 </w:instrText>
            </w:r>
            <w:r>
              <w:rPr>
                <w:rFonts w:hint="eastAsia" w:ascii="Times New Roman" w:hAnsi="Times New Roman" w:eastAsia="宋体" w:cs="Times New Roman"/>
                <w:color w:val="auto"/>
                <w:sz w:val="24"/>
                <w:szCs w:val="24"/>
                <w:highlight w:val="none"/>
                <w:lang w:val="en-US" w:eastAsia="zh-CN"/>
              </w:rPr>
              <w:fldChar w:fldCharType="separate"/>
            </w:r>
            <w:r>
              <w:rPr>
                <w:rFonts w:hint="eastAsia" w:ascii="Times New Roman" w:hAnsi="Times New Roman" w:eastAsia="宋体" w:cs="Times New Roman"/>
                <w:color w:val="auto"/>
                <w:sz w:val="24"/>
                <w:szCs w:val="24"/>
                <w:highlight w:val="none"/>
                <w:lang w:val="en-US" w:eastAsia="zh-CN"/>
              </w:rPr>
              <w:t>④</w:t>
            </w:r>
            <w:r>
              <w:rPr>
                <w:rFonts w:hint="eastAsia" w:ascii="Times New Roman" w:hAnsi="Times New Roman" w:eastAsia="宋体" w:cs="Times New Roman"/>
                <w:color w:val="auto"/>
                <w:sz w:val="24"/>
                <w:szCs w:val="24"/>
                <w:highlight w:val="none"/>
                <w:lang w:val="en-US" w:eastAsia="zh-CN"/>
              </w:rPr>
              <w:fldChar w:fldCharType="end"/>
            </w:r>
            <w:r>
              <w:rPr>
                <w:rFonts w:hint="eastAsia" w:ascii="Times New Roman" w:hAnsi="Times New Roman" w:eastAsia="宋体" w:cs="Times New Roman"/>
                <w:color w:val="auto"/>
                <w:sz w:val="24"/>
                <w:szCs w:val="24"/>
                <w:highlight w:val="none"/>
                <w:lang w:val="en-US" w:eastAsia="zh-CN"/>
              </w:rPr>
              <w:t>事故应急预案</w:t>
            </w:r>
          </w:p>
          <w:p w14:paraId="059D347F">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A根据《危险废物经营单位编制应急预案指南》（2007年第48号公告），本项目投产前应按规定编制主要危险应急预案。应急预案主要内容汇总</w:t>
            </w:r>
            <w:r>
              <w:rPr>
                <w:rFonts w:hint="eastAsia" w:cs="Times New Roman"/>
                <w:color w:val="auto"/>
                <w:sz w:val="24"/>
                <w:szCs w:val="24"/>
                <w:highlight w:val="none"/>
                <w:lang w:val="en-US" w:eastAsia="zh-CN"/>
              </w:rPr>
              <w:t>见下</w:t>
            </w:r>
            <w:r>
              <w:rPr>
                <w:rFonts w:hint="eastAsia" w:ascii="Times New Roman" w:hAnsi="Times New Roman" w:eastAsia="宋体" w:cs="Times New Roman"/>
                <w:color w:val="auto"/>
                <w:sz w:val="24"/>
                <w:szCs w:val="24"/>
                <w:highlight w:val="none"/>
                <w:lang w:val="en-US" w:eastAsia="zh-CN"/>
              </w:rPr>
              <w:t>表。</w:t>
            </w:r>
          </w:p>
          <w:p w14:paraId="3553132F">
            <w:pPr>
              <w:spacing w:line="240" w:lineRule="atLeast"/>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表</w:t>
            </w:r>
            <w:r>
              <w:rPr>
                <w:rFonts w:hint="eastAsia" w:ascii="Times New Roman" w:hAnsi="Times New Roman" w:eastAsia="宋体" w:cs="Times New Roman"/>
                <w:b/>
                <w:bCs/>
                <w:color w:val="auto"/>
                <w:sz w:val="24"/>
                <w:szCs w:val="24"/>
                <w:highlight w:val="none"/>
                <w:lang w:val="en-US" w:eastAsia="zh-CN"/>
              </w:rPr>
              <w:t>4-11</w:t>
            </w:r>
            <w:r>
              <w:rPr>
                <w:rFonts w:hint="default" w:ascii="Times New Roman" w:hAnsi="Times New Roman" w:eastAsia="宋体" w:cs="Times New Roman"/>
                <w:b/>
                <w:bCs/>
                <w:color w:val="auto"/>
                <w:sz w:val="24"/>
                <w:szCs w:val="24"/>
                <w:highlight w:val="none"/>
                <w:lang w:val="en-US" w:eastAsia="zh-CN"/>
              </w:rPr>
              <w:t>应急预案编写基本内容</w:t>
            </w:r>
          </w:p>
          <w:tbl>
            <w:tblPr>
              <w:tblStyle w:val="22"/>
              <w:tblW w:w="5000" w:type="pct"/>
              <w:tblInd w:w="0" w:type="dxa"/>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2827"/>
              <w:gridCol w:w="4463"/>
            </w:tblGrid>
            <w:tr w14:paraId="60AADB1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57B0C56D">
                  <w:pPr>
                    <w:snapToGrid w:val="0"/>
                    <w:spacing w:line="240" w:lineRule="auto"/>
                    <w:ind w:firstLine="0" w:firstLineChars="0"/>
                    <w:jc w:val="center"/>
                    <w:rPr>
                      <w:rFonts w:hint="eastAsia"/>
                      <w:color w:val="auto"/>
                      <w:highlight w:val="none"/>
                    </w:rPr>
                  </w:pPr>
                  <w:r>
                    <w:rPr>
                      <w:rFonts w:hint="eastAsia"/>
                      <w:color w:val="auto"/>
                      <w:highlight w:val="none"/>
                    </w:rPr>
                    <w:t>序号</w:t>
                  </w:r>
                </w:p>
              </w:tc>
              <w:tc>
                <w:tcPr>
                  <w:tcW w:w="1776" w:type="pct"/>
                  <w:tcBorders>
                    <w:tl2br w:val="nil"/>
                    <w:tr2bl w:val="nil"/>
                  </w:tcBorders>
                  <w:noWrap w:val="0"/>
                  <w:tcMar>
                    <w:left w:w="28" w:type="dxa"/>
                    <w:right w:w="28" w:type="dxa"/>
                  </w:tcMar>
                  <w:vAlign w:val="center"/>
                </w:tcPr>
                <w:p w14:paraId="5D34DF64">
                  <w:pPr>
                    <w:snapToGrid w:val="0"/>
                    <w:spacing w:line="240" w:lineRule="auto"/>
                    <w:ind w:firstLine="0" w:firstLineChars="0"/>
                    <w:jc w:val="center"/>
                    <w:rPr>
                      <w:rFonts w:hint="eastAsia"/>
                      <w:color w:val="auto"/>
                      <w:highlight w:val="none"/>
                    </w:rPr>
                  </w:pPr>
                  <w:r>
                    <w:rPr>
                      <w:rFonts w:hint="eastAsia"/>
                      <w:color w:val="auto"/>
                      <w:highlight w:val="none"/>
                    </w:rPr>
                    <w:t>项目</w:t>
                  </w:r>
                </w:p>
              </w:tc>
              <w:tc>
                <w:tcPr>
                  <w:tcW w:w="2804" w:type="pct"/>
                  <w:tcBorders>
                    <w:tl2br w:val="nil"/>
                    <w:tr2bl w:val="nil"/>
                  </w:tcBorders>
                  <w:noWrap w:val="0"/>
                  <w:tcMar>
                    <w:left w:w="28" w:type="dxa"/>
                    <w:right w:w="28" w:type="dxa"/>
                  </w:tcMar>
                  <w:vAlign w:val="center"/>
                </w:tcPr>
                <w:p w14:paraId="38027C42">
                  <w:pPr>
                    <w:snapToGrid w:val="0"/>
                    <w:spacing w:line="240" w:lineRule="auto"/>
                    <w:ind w:firstLine="0" w:firstLineChars="0"/>
                    <w:jc w:val="center"/>
                    <w:rPr>
                      <w:rFonts w:hint="eastAsia"/>
                      <w:color w:val="auto"/>
                      <w:highlight w:val="none"/>
                    </w:rPr>
                  </w:pPr>
                  <w:r>
                    <w:rPr>
                      <w:rFonts w:hint="eastAsia"/>
                      <w:color w:val="auto"/>
                      <w:highlight w:val="none"/>
                    </w:rPr>
                    <w:t>内容及要求</w:t>
                  </w:r>
                </w:p>
              </w:tc>
            </w:tr>
            <w:tr w14:paraId="7BE6DEC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48AB7637">
                  <w:pPr>
                    <w:snapToGrid w:val="0"/>
                    <w:spacing w:line="240" w:lineRule="auto"/>
                    <w:ind w:firstLine="0" w:firstLineChars="0"/>
                    <w:jc w:val="center"/>
                    <w:rPr>
                      <w:rFonts w:hint="eastAsia"/>
                      <w:color w:val="auto"/>
                      <w:highlight w:val="none"/>
                    </w:rPr>
                  </w:pPr>
                  <w:r>
                    <w:rPr>
                      <w:rFonts w:hint="eastAsia"/>
                      <w:color w:val="auto"/>
                      <w:highlight w:val="none"/>
                    </w:rPr>
                    <w:t>1</w:t>
                  </w:r>
                </w:p>
              </w:tc>
              <w:tc>
                <w:tcPr>
                  <w:tcW w:w="1776" w:type="pct"/>
                  <w:tcBorders>
                    <w:tl2br w:val="nil"/>
                    <w:tr2bl w:val="nil"/>
                  </w:tcBorders>
                  <w:noWrap w:val="0"/>
                  <w:tcMar>
                    <w:left w:w="28" w:type="dxa"/>
                    <w:right w:w="28" w:type="dxa"/>
                  </w:tcMar>
                  <w:vAlign w:val="center"/>
                </w:tcPr>
                <w:p w14:paraId="1D077DBE">
                  <w:pPr>
                    <w:snapToGrid w:val="0"/>
                    <w:spacing w:line="240" w:lineRule="auto"/>
                    <w:ind w:firstLine="0" w:firstLineChars="0"/>
                    <w:jc w:val="center"/>
                    <w:rPr>
                      <w:rFonts w:hint="eastAsia"/>
                      <w:color w:val="auto"/>
                      <w:highlight w:val="none"/>
                    </w:rPr>
                  </w:pPr>
                  <w:r>
                    <w:rPr>
                      <w:rFonts w:hint="eastAsia"/>
                      <w:color w:val="auto"/>
                      <w:highlight w:val="none"/>
                    </w:rPr>
                    <w:t>应急计划区</w:t>
                  </w:r>
                </w:p>
              </w:tc>
              <w:tc>
                <w:tcPr>
                  <w:tcW w:w="2804" w:type="pct"/>
                  <w:tcBorders>
                    <w:tl2br w:val="nil"/>
                    <w:tr2bl w:val="nil"/>
                  </w:tcBorders>
                  <w:noWrap w:val="0"/>
                  <w:tcMar>
                    <w:left w:w="28" w:type="dxa"/>
                    <w:right w:w="28" w:type="dxa"/>
                  </w:tcMar>
                  <w:vAlign w:val="center"/>
                </w:tcPr>
                <w:p w14:paraId="7ABE5B60">
                  <w:pPr>
                    <w:snapToGrid w:val="0"/>
                    <w:spacing w:line="240" w:lineRule="auto"/>
                    <w:ind w:firstLine="0" w:firstLineChars="0"/>
                    <w:jc w:val="center"/>
                    <w:rPr>
                      <w:rFonts w:hint="eastAsia"/>
                      <w:color w:val="auto"/>
                      <w:highlight w:val="none"/>
                    </w:rPr>
                  </w:pPr>
                  <w:r>
                    <w:rPr>
                      <w:rFonts w:hint="eastAsia"/>
                      <w:color w:val="auto"/>
                      <w:highlight w:val="none"/>
                    </w:rPr>
                    <w:t>危险目标：装置区、环境保护目标</w:t>
                  </w:r>
                </w:p>
              </w:tc>
            </w:tr>
            <w:tr w14:paraId="4E7688EC">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3775101F">
                  <w:pPr>
                    <w:snapToGrid w:val="0"/>
                    <w:spacing w:line="240" w:lineRule="auto"/>
                    <w:ind w:firstLine="0" w:firstLineChars="0"/>
                    <w:jc w:val="center"/>
                    <w:rPr>
                      <w:rFonts w:hint="eastAsia"/>
                      <w:color w:val="auto"/>
                      <w:highlight w:val="none"/>
                    </w:rPr>
                  </w:pPr>
                  <w:r>
                    <w:rPr>
                      <w:rFonts w:hint="eastAsia"/>
                      <w:color w:val="auto"/>
                      <w:highlight w:val="none"/>
                    </w:rPr>
                    <w:t>2</w:t>
                  </w:r>
                </w:p>
              </w:tc>
              <w:tc>
                <w:tcPr>
                  <w:tcW w:w="1776" w:type="pct"/>
                  <w:tcBorders>
                    <w:tl2br w:val="nil"/>
                    <w:tr2bl w:val="nil"/>
                  </w:tcBorders>
                  <w:noWrap w:val="0"/>
                  <w:tcMar>
                    <w:left w:w="28" w:type="dxa"/>
                    <w:right w:w="28" w:type="dxa"/>
                  </w:tcMar>
                  <w:vAlign w:val="center"/>
                </w:tcPr>
                <w:p w14:paraId="131BD7F7">
                  <w:pPr>
                    <w:snapToGrid w:val="0"/>
                    <w:spacing w:line="240" w:lineRule="auto"/>
                    <w:ind w:firstLine="0" w:firstLineChars="0"/>
                    <w:jc w:val="center"/>
                    <w:rPr>
                      <w:rFonts w:hint="eastAsia"/>
                      <w:color w:val="auto"/>
                      <w:highlight w:val="none"/>
                    </w:rPr>
                  </w:pPr>
                  <w:r>
                    <w:rPr>
                      <w:rFonts w:hint="eastAsia"/>
                      <w:color w:val="auto"/>
                      <w:highlight w:val="none"/>
                    </w:rPr>
                    <w:t>应急组织机构、人员</w:t>
                  </w:r>
                </w:p>
              </w:tc>
              <w:tc>
                <w:tcPr>
                  <w:tcW w:w="2804" w:type="pct"/>
                  <w:tcBorders>
                    <w:tl2br w:val="nil"/>
                    <w:tr2bl w:val="nil"/>
                  </w:tcBorders>
                  <w:noWrap w:val="0"/>
                  <w:tcMar>
                    <w:left w:w="28" w:type="dxa"/>
                    <w:right w:w="28" w:type="dxa"/>
                  </w:tcMar>
                  <w:vAlign w:val="center"/>
                </w:tcPr>
                <w:p w14:paraId="3FB6E896">
                  <w:pPr>
                    <w:snapToGrid w:val="0"/>
                    <w:spacing w:line="240" w:lineRule="auto"/>
                    <w:ind w:firstLine="0" w:firstLineChars="0"/>
                    <w:jc w:val="left"/>
                    <w:rPr>
                      <w:rFonts w:hint="default" w:eastAsia="宋体"/>
                      <w:color w:val="auto"/>
                      <w:highlight w:val="none"/>
                      <w:lang w:val="en-US" w:eastAsia="zh-CN"/>
                    </w:rPr>
                  </w:pPr>
                  <w:r>
                    <w:rPr>
                      <w:rFonts w:hint="eastAsia"/>
                      <w:color w:val="auto"/>
                      <w:highlight w:val="none"/>
                      <w:lang w:val="en-US" w:eastAsia="zh-CN"/>
                    </w:rPr>
                    <w:t>以公司总经理作为总指挥，副总经理为副总指挥，成立</w:t>
                  </w:r>
                  <w:r>
                    <w:rPr>
                      <w:rFonts w:hint="eastAsia"/>
                      <w:color w:val="auto"/>
                      <w:sz w:val="21"/>
                      <w:szCs w:val="21"/>
                      <w:highlight w:val="none"/>
                    </w:rPr>
                    <w:t>应急处置技术组</w:t>
                  </w:r>
                  <w:r>
                    <w:rPr>
                      <w:rFonts w:hint="eastAsia"/>
                      <w:color w:val="auto"/>
                      <w:sz w:val="21"/>
                      <w:szCs w:val="21"/>
                      <w:highlight w:val="none"/>
                      <w:lang w:eastAsia="zh-CN"/>
                    </w:rPr>
                    <w:t>、</w:t>
                  </w:r>
                  <w:r>
                    <w:rPr>
                      <w:rFonts w:hint="eastAsia"/>
                      <w:color w:val="auto"/>
                      <w:kern w:val="0"/>
                      <w:sz w:val="21"/>
                      <w:szCs w:val="21"/>
                      <w:highlight w:val="none"/>
                    </w:rPr>
                    <w:t>抢险抢修与消防</w:t>
                  </w:r>
                  <w:r>
                    <w:rPr>
                      <w:rFonts w:hint="eastAsia"/>
                      <w:color w:val="auto"/>
                      <w:sz w:val="21"/>
                      <w:szCs w:val="21"/>
                      <w:highlight w:val="none"/>
                    </w:rPr>
                    <w:t>组</w:t>
                  </w:r>
                  <w:r>
                    <w:rPr>
                      <w:rFonts w:hint="eastAsia"/>
                      <w:color w:val="auto"/>
                      <w:kern w:val="0"/>
                      <w:sz w:val="21"/>
                      <w:szCs w:val="21"/>
                      <w:highlight w:val="none"/>
                      <w:lang w:eastAsia="zh-CN"/>
                    </w:rPr>
                    <w:t>、</w:t>
                  </w:r>
                  <w:r>
                    <w:rPr>
                      <w:rFonts w:hint="eastAsia"/>
                      <w:color w:val="auto"/>
                      <w:kern w:val="0"/>
                      <w:sz w:val="21"/>
                      <w:szCs w:val="21"/>
                      <w:highlight w:val="none"/>
                    </w:rPr>
                    <w:t>警戒疏散与治安保卫</w:t>
                  </w:r>
                  <w:r>
                    <w:rPr>
                      <w:rFonts w:hint="eastAsia"/>
                      <w:color w:val="auto"/>
                      <w:sz w:val="21"/>
                      <w:szCs w:val="21"/>
                      <w:highlight w:val="none"/>
                    </w:rPr>
                    <w:t>组</w:t>
                  </w:r>
                  <w:r>
                    <w:rPr>
                      <w:rFonts w:hint="eastAsia"/>
                      <w:color w:val="auto"/>
                      <w:kern w:val="0"/>
                      <w:sz w:val="21"/>
                      <w:szCs w:val="21"/>
                      <w:highlight w:val="none"/>
                      <w:lang w:eastAsia="zh-CN"/>
                    </w:rPr>
                    <w:t>、</w:t>
                  </w:r>
                  <w:r>
                    <w:rPr>
                      <w:rFonts w:hint="eastAsia"/>
                      <w:color w:val="auto"/>
                      <w:kern w:val="0"/>
                      <w:sz w:val="21"/>
                      <w:szCs w:val="21"/>
                      <w:highlight w:val="none"/>
                    </w:rPr>
                    <w:t>信息发布与通信联络</w:t>
                  </w:r>
                  <w:r>
                    <w:rPr>
                      <w:rFonts w:hint="eastAsia"/>
                      <w:color w:val="auto"/>
                      <w:sz w:val="21"/>
                      <w:szCs w:val="21"/>
                      <w:highlight w:val="none"/>
                    </w:rPr>
                    <w:t>组</w:t>
                  </w:r>
                  <w:r>
                    <w:rPr>
                      <w:rFonts w:hint="eastAsia"/>
                      <w:color w:val="auto"/>
                      <w:kern w:val="0"/>
                      <w:sz w:val="21"/>
                      <w:szCs w:val="21"/>
                      <w:highlight w:val="none"/>
                      <w:lang w:eastAsia="zh-CN"/>
                    </w:rPr>
                    <w:t>、</w:t>
                  </w:r>
                  <w:r>
                    <w:rPr>
                      <w:rFonts w:hint="eastAsia"/>
                      <w:color w:val="auto"/>
                      <w:kern w:val="0"/>
                      <w:sz w:val="21"/>
                      <w:szCs w:val="21"/>
                      <w:highlight w:val="none"/>
                    </w:rPr>
                    <w:t>医疗救护与后勤保障</w:t>
                  </w:r>
                  <w:r>
                    <w:rPr>
                      <w:rFonts w:hint="eastAsia"/>
                      <w:color w:val="auto"/>
                      <w:sz w:val="21"/>
                      <w:szCs w:val="21"/>
                      <w:highlight w:val="none"/>
                    </w:rPr>
                    <w:t>组</w:t>
                  </w:r>
                  <w:r>
                    <w:rPr>
                      <w:rFonts w:hint="eastAsia"/>
                      <w:color w:val="auto"/>
                      <w:kern w:val="0"/>
                      <w:sz w:val="21"/>
                      <w:szCs w:val="21"/>
                      <w:highlight w:val="none"/>
                      <w:lang w:eastAsia="zh-CN"/>
                    </w:rPr>
                    <w:t>、</w:t>
                  </w:r>
                  <w:r>
                    <w:rPr>
                      <w:rFonts w:hint="eastAsia"/>
                      <w:color w:val="auto"/>
                      <w:kern w:val="0"/>
                      <w:sz w:val="21"/>
                      <w:szCs w:val="21"/>
                      <w:highlight w:val="none"/>
                    </w:rPr>
                    <w:t>环境监测与污染处置</w:t>
                  </w:r>
                  <w:r>
                    <w:rPr>
                      <w:rFonts w:hint="eastAsia"/>
                      <w:color w:val="auto"/>
                      <w:sz w:val="21"/>
                      <w:szCs w:val="21"/>
                      <w:highlight w:val="none"/>
                    </w:rPr>
                    <w:t>组</w:t>
                  </w:r>
                  <w:r>
                    <w:rPr>
                      <w:rFonts w:hint="eastAsia"/>
                      <w:color w:val="auto"/>
                      <w:kern w:val="0"/>
                      <w:sz w:val="21"/>
                      <w:szCs w:val="21"/>
                      <w:highlight w:val="none"/>
                      <w:lang w:eastAsia="zh-CN"/>
                    </w:rPr>
                    <w:t>、</w:t>
                  </w:r>
                  <w:r>
                    <w:rPr>
                      <w:rFonts w:hint="eastAsia"/>
                      <w:color w:val="auto"/>
                      <w:kern w:val="0"/>
                      <w:sz w:val="21"/>
                      <w:szCs w:val="21"/>
                      <w:highlight w:val="none"/>
                    </w:rPr>
                    <w:t>善后处置与事故调查</w:t>
                  </w:r>
                  <w:r>
                    <w:rPr>
                      <w:rFonts w:hint="eastAsia"/>
                      <w:color w:val="auto"/>
                      <w:sz w:val="21"/>
                      <w:szCs w:val="21"/>
                      <w:highlight w:val="none"/>
                    </w:rPr>
                    <w:t>组</w:t>
                  </w:r>
                  <w:r>
                    <w:rPr>
                      <w:rFonts w:hint="eastAsia"/>
                      <w:color w:val="auto"/>
                      <w:sz w:val="21"/>
                      <w:szCs w:val="21"/>
                      <w:highlight w:val="none"/>
                      <w:lang w:eastAsia="zh-CN"/>
                    </w:rPr>
                    <w:t>，</w:t>
                  </w:r>
                  <w:r>
                    <w:rPr>
                      <w:rFonts w:hint="eastAsia"/>
                      <w:color w:val="auto"/>
                      <w:sz w:val="21"/>
                      <w:szCs w:val="21"/>
                      <w:highlight w:val="none"/>
                      <w:lang w:val="en-US" w:eastAsia="zh-CN"/>
                    </w:rPr>
                    <w:t>并根据岗位需求，安排组长与组员。</w:t>
                  </w:r>
                </w:p>
              </w:tc>
            </w:tr>
            <w:tr w14:paraId="61B3F21D">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478EAE54">
                  <w:pPr>
                    <w:snapToGrid w:val="0"/>
                    <w:spacing w:line="240" w:lineRule="auto"/>
                    <w:ind w:firstLine="0" w:firstLineChars="0"/>
                    <w:jc w:val="center"/>
                    <w:rPr>
                      <w:rFonts w:hint="eastAsia"/>
                      <w:color w:val="auto"/>
                      <w:highlight w:val="none"/>
                    </w:rPr>
                  </w:pPr>
                  <w:r>
                    <w:rPr>
                      <w:rFonts w:hint="eastAsia"/>
                      <w:color w:val="auto"/>
                      <w:highlight w:val="none"/>
                    </w:rPr>
                    <w:t>3</w:t>
                  </w:r>
                </w:p>
              </w:tc>
              <w:tc>
                <w:tcPr>
                  <w:tcW w:w="1776" w:type="pct"/>
                  <w:tcBorders>
                    <w:tl2br w:val="nil"/>
                    <w:tr2bl w:val="nil"/>
                  </w:tcBorders>
                  <w:noWrap w:val="0"/>
                  <w:tcMar>
                    <w:left w:w="28" w:type="dxa"/>
                    <w:right w:w="28" w:type="dxa"/>
                  </w:tcMar>
                  <w:vAlign w:val="center"/>
                </w:tcPr>
                <w:p w14:paraId="3F7A80F2">
                  <w:pPr>
                    <w:snapToGrid w:val="0"/>
                    <w:spacing w:line="240" w:lineRule="auto"/>
                    <w:ind w:firstLine="0" w:firstLineChars="0"/>
                    <w:jc w:val="center"/>
                    <w:rPr>
                      <w:rFonts w:hint="eastAsia"/>
                      <w:color w:val="auto"/>
                      <w:highlight w:val="none"/>
                    </w:rPr>
                  </w:pPr>
                  <w:r>
                    <w:rPr>
                      <w:rFonts w:hint="eastAsia"/>
                      <w:color w:val="auto"/>
                      <w:highlight w:val="none"/>
                    </w:rPr>
                    <w:t>预案分级响应条件</w:t>
                  </w:r>
                </w:p>
              </w:tc>
              <w:tc>
                <w:tcPr>
                  <w:tcW w:w="2804" w:type="pct"/>
                  <w:tcBorders>
                    <w:tl2br w:val="nil"/>
                    <w:tr2bl w:val="nil"/>
                  </w:tcBorders>
                  <w:noWrap w:val="0"/>
                  <w:tcMar>
                    <w:left w:w="28" w:type="dxa"/>
                    <w:right w:w="28" w:type="dxa"/>
                  </w:tcMar>
                  <w:vAlign w:val="center"/>
                </w:tcPr>
                <w:p w14:paraId="4DAB4EAA">
                  <w:pPr>
                    <w:snapToGrid w:val="0"/>
                    <w:spacing w:line="240" w:lineRule="auto"/>
                    <w:ind w:firstLine="0" w:firstLineChars="0"/>
                    <w:jc w:val="center"/>
                    <w:rPr>
                      <w:rFonts w:hint="eastAsia"/>
                      <w:color w:val="auto"/>
                      <w:highlight w:val="none"/>
                    </w:rPr>
                  </w:pPr>
                  <w:r>
                    <w:rPr>
                      <w:rFonts w:hint="eastAsia"/>
                      <w:color w:val="auto"/>
                      <w:highlight w:val="none"/>
                    </w:rPr>
                    <w:t>规定预案的级别及分级响应程序</w:t>
                  </w:r>
                </w:p>
              </w:tc>
            </w:tr>
            <w:tr w14:paraId="66EDA45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5149D7E4">
                  <w:pPr>
                    <w:snapToGrid w:val="0"/>
                    <w:spacing w:line="240" w:lineRule="auto"/>
                    <w:ind w:firstLine="0" w:firstLineChars="0"/>
                    <w:jc w:val="center"/>
                    <w:rPr>
                      <w:rFonts w:hint="eastAsia"/>
                      <w:color w:val="auto"/>
                      <w:highlight w:val="none"/>
                    </w:rPr>
                  </w:pPr>
                  <w:r>
                    <w:rPr>
                      <w:rFonts w:hint="eastAsia"/>
                      <w:color w:val="auto"/>
                      <w:highlight w:val="none"/>
                    </w:rPr>
                    <w:t>4</w:t>
                  </w:r>
                </w:p>
              </w:tc>
              <w:tc>
                <w:tcPr>
                  <w:tcW w:w="1776" w:type="pct"/>
                  <w:tcBorders>
                    <w:tl2br w:val="nil"/>
                    <w:tr2bl w:val="nil"/>
                  </w:tcBorders>
                  <w:noWrap w:val="0"/>
                  <w:tcMar>
                    <w:left w:w="28" w:type="dxa"/>
                    <w:right w:w="28" w:type="dxa"/>
                  </w:tcMar>
                  <w:vAlign w:val="center"/>
                </w:tcPr>
                <w:p w14:paraId="52DBFA21">
                  <w:pPr>
                    <w:snapToGrid w:val="0"/>
                    <w:spacing w:line="240" w:lineRule="auto"/>
                    <w:ind w:firstLine="0" w:firstLineChars="0"/>
                    <w:jc w:val="center"/>
                    <w:rPr>
                      <w:rFonts w:hint="eastAsia"/>
                      <w:color w:val="auto"/>
                      <w:highlight w:val="none"/>
                    </w:rPr>
                  </w:pPr>
                  <w:r>
                    <w:rPr>
                      <w:rFonts w:hint="eastAsia"/>
                      <w:color w:val="auto"/>
                      <w:highlight w:val="none"/>
                    </w:rPr>
                    <w:t>应急救援保障</w:t>
                  </w:r>
                </w:p>
              </w:tc>
              <w:tc>
                <w:tcPr>
                  <w:tcW w:w="2804" w:type="pct"/>
                  <w:tcBorders>
                    <w:tl2br w:val="nil"/>
                    <w:tr2bl w:val="nil"/>
                  </w:tcBorders>
                  <w:noWrap w:val="0"/>
                  <w:tcMar>
                    <w:left w:w="28" w:type="dxa"/>
                    <w:right w:w="28" w:type="dxa"/>
                  </w:tcMar>
                  <w:vAlign w:val="center"/>
                </w:tcPr>
                <w:p w14:paraId="564BAEBD">
                  <w:pPr>
                    <w:snapToGrid w:val="0"/>
                    <w:spacing w:line="240" w:lineRule="auto"/>
                    <w:ind w:firstLine="0" w:firstLineChars="0"/>
                    <w:jc w:val="center"/>
                    <w:rPr>
                      <w:rFonts w:hint="eastAsia"/>
                      <w:color w:val="auto"/>
                      <w:highlight w:val="none"/>
                    </w:rPr>
                  </w:pPr>
                  <w:r>
                    <w:rPr>
                      <w:rFonts w:hint="eastAsia"/>
                      <w:color w:val="auto"/>
                      <w:highlight w:val="none"/>
                    </w:rPr>
                    <w:t>应急设施、设备与器材等</w:t>
                  </w:r>
                </w:p>
              </w:tc>
            </w:tr>
            <w:tr w14:paraId="67FE16B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66F839E9">
                  <w:pPr>
                    <w:snapToGrid w:val="0"/>
                    <w:spacing w:line="240" w:lineRule="auto"/>
                    <w:ind w:firstLine="0" w:firstLineChars="0"/>
                    <w:jc w:val="center"/>
                    <w:rPr>
                      <w:rFonts w:hint="eastAsia"/>
                      <w:color w:val="auto"/>
                      <w:highlight w:val="none"/>
                    </w:rPr>
                  </w:pPr>
                  <w:r>
                    <w:rPr>
                      <w:rFonts w:hint="eastAsia"/>
                      <w:color w:val="auto"/>
                      <w:highlight w:val="none"/>
                    </w:rPr>
                    <w:t>5</w:t>
                  </w:r>
                </w:p>
              </w:tc>
              <w:tc>
                <w:tcPr>
                  <w:tcW w:w="1776" w:type="pct"/>
                  <w:tcBorders>
                    <w:tl2br w:val="nil"/>
                    <w:tr2bl w:val="nil"/>
                  </w:tcBorders>
                  <w:noWrap w:val="0"/>
                  <w:tcMar>
                    <w:left w:w="28" w:type="dxa"/>
                    <w:right w:w="28" w:type="dxa"/>
                  </w:tcMar>
                  <w:vAlign w:val="center"/>
                </w:tcPr>
                <w:p w14:paraId="353E5926">
                  <w:pPr>
                    <w:snapToGrid w:val="0"/>
                    <w:spacing w:line="240" w:lineRule="auto"/>
                    <w:ind w:firstLine="0" w:firstLineChars="0"/>
                    <w:jc w:val="center"/>
                    <w:rPr>
                      <w:rFonts w:hint="eastAsia"/>
                      <w:color w:val="auto"/>
                      <w:highlight w:val="none"/>
                    </w:rPr>
                  </w:pPr>
                  <w:r>
                    <w:rPr>
                      <w:rFonts w:hint="eastAsia"/>
                      <w:color w:val="auto"/>
                      <w:highlight w:val="none"/>
                    </w:rPr>
                    <w:t>报警、通讯联络方式</w:t>
                  </w:r>
                </w:p>
              </w:tc>
              <w:tc>
                <w:tcPr>
                  <w:tcW w:w="2804" w:type="pct"/>
                  <w:tcBorders>
                    <w:tl2br w:val="nil"/>
                    <w:tr2bl w:val="nil"/>
                  </w:tcBorders>
                  <w:noWrap w:val="0"/>
                  <w:tcMar>
                    <w:left w:w="28" w:type="dxa"/>
                    <w:right w:w="28" w:type="dxa"/>
                  </w:tcMar>
                  <w:vAlign w:val="center"/>
                </w:tcPr>
                <w:p w14:paraId="1C5F5FD5">
                  <w:pPr>
                    <w:snapToGrid w:val="0"/>
                    <w:spacing w:line="240" w:lineRule="auto"/>
                    <w:ind w:firstLine="0" w:firstLineChars="0"/>
                    <w:jc w:val="center"/>
                    <w:rPr>
                      <w:rFonts w:hint="eastAsia"/>
                      <w:color w:val="auto"/>
                      <w:highlight w:val="none"/>
                    </w:rPr>
                  </w:pPr>
                  <w:r>
                    <w:rPr>
                      <w:rFonts w:hint="eastAsia"/>
                      <w:color w:val="auto"/>
                      <w:highlight w:val="none"/>
                    </w:rPr>
                    <w:t>规定应急状态下的报警通讯方式、通知方式和交通保障、管制</w:t>
                  </w:r>
                </w:p>
              </w:tc>
            </w:tr>
            <w:tr w14:paraId="2C1C810F">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2D2A6986">
                  <w:pPr>
                    <w:snapToGrid w:val="0"/>
                    <w:spacing w:line="240" w:lineRule="auto"/>
                    <w:ind w:firstLine="0" w:firstLineChars="0"/>
                    <w:jc w:val="center"/>
                    <w:rPr>
                      <w:rFonts w:hint="eastAsia"/>
                      <w:color w:val="auto"/>
                      <w:highlight w:val="none"/>
                    </w:rPr>
                  </w:pPr>
                  <w:r>
                    <w:rPr>
                      <w:rFonts w:hint="eastAsia"/>
                      <w:color w:val="auto"/>
                      <w:highlight w:val="none"/>
                    </w:rPr>
                    <w:t>6</w:t>
                  </w:r>
                </w:p>
              </w:tc>
              <w:tc>
                <w:tcPr>
                  <w:tcW w:w="1776" w:type="pct"/>
                  <w:tcBorders>
                    <w:tl2br w:val="nil"/>
                    <w:tr2bl w:val="nil"/>
                  </w:tcBorders>
                  <w:noWrap w:val="0"/>
                  <w:tcMar>
                    <w:left w:w="28" w:type="dxa"/>
                    <w:right w:w="28" w:type="dxa"/>
                  </w:tcMar>
                  <w:vAlign w:val="center"/>
                </w:tcPr>
                <w:p w14:paraId="0315B8C8">
                  <w:pPr>
                    <w:snapToGrid w:val="0"/>
                    <w:spacing w:line="240" w:lineRule="auto"/>
                    <w:ind w:firstLine="0" w:firstLineChars="0"/>
                    <w:jc w:val="center"/>
                    <w:rPr>
                      <w:rFonts w:hint="eastAsia"/>
                      <w:color w:val="auto"/>
                      <w:highlight w:val="none"/>
                    </w:rPr>
                  </w:pPr>
                  <w:r>
                    <w:rPr>
                      <w:rFonts w:hint="eastAsia"/>
                      <w:color w:val="auto"/>
                      <w:highlight w:val="none"/>
                    </w:rPr>
                    <w:t>应急环境监测、抢险、救援及控制措施</w:t>
                  </w:r>
                </w:p>
              </w:tc>
              <w:tc>
                <w:tcPr>
                  <w:tcW w:w="2804" w:type="pct"/>
                  <w:tcBorders>
                    <w:tl2br w:val="nil"/>
                    <w:tr2bl w:val="nil"/>
                  </w:tcBorders>
                  <w:noWrap w:val="0"/>
                  <w:tcMar>
                    <w:left w:w="28" w:type="dxa"/>
                    <w:right w:w="28" w:type="dxa"/>
                  </w:tcMar>
                  <w:vAlign w:val="center"/>
                </w:tcPr>
                <w:p w14:paraId="0CD2A19F">
                  <w:pPr>
                    <w:snapToGrid w:val="0"/>
                    <w:spacing w:line="240" w:lineRule="auto"/>
                    <w:ind w:firstLine="0" w:firstLineChars="0"/>
                    <w:jc w:val="center"/>
                    <w:rPr>
                      <w:rFonts w:hint="eastAsia"/>
                      <w:color w:val="auto"/>
                      <w:highlight w:val="none"/>
                    </w:rPr>
                  </w:pPr>
                  <w:r>
                    <w:rPr>
                      <w:rFonts w:hint="eastAsia"/>
                      <w:color w:val="auto"/>
                      <w:highlight w:val="none"/>
                    </w:rPr>
                    <w:t>由专业队伍负责对事故现场进行侦察监测，对事故性质、参数与后果进行评估，为指挥部门提供决策依据</w:t>
                  </w:r>
                </w:p>
              </w:tc>
            </w:tr>
            <w:tr w14:paraId="7AF18FF4">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05F5497A">
                  <w:pPr>
                    <w:snapToGrid w:val="0"/>
                    <w:spacing w:line="240" w:lineRule="auto"/>
                    <w:ind w:firstLine="0" w:firstLineChars="0"/>
                    <w:jc w:val="center"/>
                    <w:rPr>
                      <w:rFonts w:hint="eastAsia"/>
                      <w:color w:val="auto"/>
                      <w:highlight w:val="none"/>
                    </w:rPr>
                  </w:pPr>
                  <w:r>
                    <w:rPr>
                      <w:rFonts w:hint="eastAsia"/>
                      <w:color w:val="auto"/>
                      <w:highlight w:val="none"/>
                    </w:rPr>
                    <w:t>7</w:t>
                  </w:r>
                </w:p>
              </w:tc>
              <w:tc>
                <w:tcPr>
                  <w:tcW w:w="1776" w:type="pct"/>
                  <w:tcBorders>
                    <w:tl2br w:val="nil"/>
                    <w:tr2bl w:val="nil"/>
                  </w:tcBorders>
                  <w:noWrap w:val="0"/>
                  <w:tcMar>
                    <w:left w:w="28" w:type="dxa"/>
                    <w:right w:w="28" w:type="dxa"/>
                  </w:tcMar>
                  <w:vAlign w:val="center"/>
                </w:tcPr>
                <w:p w14:paraId="0EE55A81">
                  <w:pPr>
                    <w:snapToGrid w:val="0"/>
                    <w:spacing w:line="240" w:lineRule="auto"/>
                    <w:ind w:firstLine="0" w:firstLineChars="0"/>
                    <w:jc w:val="center"/>
                    <w:rPr>
                      <w:rFonts w:hint="eastAsia"/>
                      <w:color w:val="auto"/>
                      <w:highlight w:val="none"/>
                    </w:rPr>
                  </w:pPr>
                  <w:r>
                    <w:rPr>
                      <w:rFonts w:hint="eastAsia"/>
                      <w:color w:val="auto"/>
                      <w:highlight w:val="none"/>
                    </w:rPr>
                    <w:t>应急</w:t>
                  </w:r>
                  <w:r>
                    <w:rPr>
                      <w:rFonts w:hint="eastAsia"/>
                      <w:color w:val="auto"/>
                      <w:highlight w:val="none"/>
                      <w:lang w:eastAsia="zh-CN"/>
                    </w:rPr>
                    <w:t>监测</w:t>
                  </w:r>
                  <w:r>
                    <w:rPr>
                      <w:rFonts w:hint="eastAsia"/>
                      <w:color w:val="auto"/>
                      <w:highlight w:val="none"/>
                    </w:rPr>
                    <w:t>、防护措施、清除泄漏措施和器材</w:t>
                  </w:r>
                </w:p>
              </w:tc>
              <w:tc>
                <w:tcPr>
                  <w:tcW w:w="2804" w:type="pct"/>
                  <w:tcBorders>
                    <w:tl2br w:val="nil"/>
                    <w:tr2bl w:val="nil"/>
                  </w:tcBorders>
                  <w:noWrap w:val="0"/>
                  <w:tcMar>
                    <w:left w:w="28" w:type="dxa"/>
                    <w:right w:w="28" w:type="dxa"/>
                  </w:tcMar>
                  <w:vAlign w:val="center"/>
                </w:tcPr>
                <w:p w14:paraId="746753B5">
                  <w:pPr>
                    <w:snapToGrid w:val="0"/>
                    <w:spacing w:line="240" w:lineRule="auto"/>
                    <w:ind w:firstLine="0" w:firstLineChars="0"/>
                    <w:jc w:val="center"/>
                    <w:rPr>
                      <w:rFonts w:hint="eastAsia"/>
                      <w:color w:val="auto"/>
                      <w:highlight w:val="none"/>
                    </w:rPr>
                  </w:pPr>
                  <w:r>
                    <w:rPr>
                      <w:rFonts w:hint="eastAsia"/>
                      <w:color w:val="auto"/>
                      <w:highlight w:val="none"/>
                    </w:rPr>
                    <w:t>事故现场、邻近区域、控制防火区域，控制和清除污染措施及相应设备</w:t>
                  </w:r>
                </w:p>
              </w:tc>
            </w:tr>
            <w:tr w14:paraId="1F5AFF40">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7F48F2E5">
                  <w:pPr>
                    <w:snapToGrid w:val="0"/>
                    <w:spacing w:line="240" w:lineRule="auto"/>
                    <w:ind w:firstLine="0" w:firstLineChars="0"/>
                    <w:jc w:val="center"/>
                    <w:rPr>
                      <w:rFonts w:hint="eastAsia"/>
                      <w:color w:val="auto"/>
                      <w:highlight w:val="none"/>
                    </w:rPr>
                  </w:pPr>
                  <w:r>
                    <w:rPr>
                      <w:rFonts w:hint="eastAsia"/>
                      <w:color w:val="auto"/>
                      <w:highlight w:val="none"/>
                    </w:rPr>
                    <w:t>8</w:t>
                  </w:r>
                </w:p>
              </w:tc>
              <w:tc>
                <w:tcPr>
                  <w:tcW w:w="1776" w:type="pct"/>
                  <w:tcBorders>
                    <w:tl2br w:val="nil"/>
                    <w:tr2bl w:val="nil"/>
                  </w:tcBorders>
                  <w:noWrap w:val="0"/>
                  <w:tcMar>
                    <w:left w:w="28" w:type="dxa"/>
                    <w:right w:w="28" w:type="dxa"/>
                  </w:tcMar>
                  <w:vAlign w:val="center"/>
                </w:tcPr>
                <w:p w14:paraId="479C01CF">
                  <w:pPr>
                    <w:snapToGrid w:val="0"/>
                    <w:spacing w:line="240" w:lineRule="auto"/>
                    <w:ind w:firstLine="0" w:firstLineChars="0"/>
                    <w:jc w:val="center"/>
                    <w:rPr>
                      <w:rFonts w:hint="eastAsia"/>
                      <w:color w:val="auto"/>
                      <w:highlight w:val="none"/>
                    </w:rPr>
                  </w:pPr>
                  <w:r>
                    <w:rPr>
                      <w:rFonts w:hint="eastAsia"/>
                      <w:color w:val="auto"/>
                      <w:highlight w:val="none"/>
                    </w:rPr>
                    <w:t>人员紧急撤离、疏散，应急剂量控制、撤离组织计划</w:t>
                  </w:r>
                </w:p>
              </w:tc>
              <w:tc>
                <w:tcPr>
                  <w:tcW w:w="2804" w:type="pct"/>
                  <w:tcBorders>
                    <w:tl2br w:val="nil"/>
                    <w:tr2bl w:val="nil"/>
                  </w:tcBorders>
                  <w:noWrap w:val="0"/>
                  <w:tcMar>
                    <w:left w:w="28" w:type="dxa"/>
                    <w:right w:w="28" w:type="dxa"/>
                  </w:tcMar>
                  <w:vAlign w:val="center"/>
                </w:tcPr>
                <w:p w14:paraId="6681A5B9">
                  <w:pPr>
                    <w:snapToGrid w:val="0"/>
                    <w:spacing w:line="240" w:lineRule="auto"/>
                    <w:ind w:firstLine="0" w:firstLineChars="0"/>
                    <w:jc w:val="center"/>
                    <w:rPr>
                      <w:rFonts w:hint="eastAsia"/>
                      <w:color w:val="auto"/>
                      <w:highlight w:val="none"/>
                    </w:rPr>
                  </w:pPr>
                  <w:r>
                    <w:rPr>
                      <w:rFonts w:hint="eastAsia"/>
                      <w:color w:val="auto"/>
                      <w:highlight w:val="none"/>
                    </w:rPr>
                    <w:t>事故现场、邻近</w:t>
                  </w:r>
                  <w:r>
                    <w:rPr>
                      <w:rFonts w:hint="eastAsia"/>
                      <w:color w:val="auto"/>
                      <w:highlight w:val="none"/>
                      <w:lang w:eastAsia="zh-CN"/>
                    </w:rPr>
                    <w:t>区域</w:t>
                  </w:r>
                  <w:r>
                    <w:rPr>
                      <w:rFonts w:hint="eastAsia"/>
                      <w:color w:val="auto"/>
                      <w:highlight w:val="none"/>
                    </w:rPr>
                    <w:t>、受事故影响的区域人员，撤离组织计划及救护，医疗救护与公众健康</w:t>
                  </w:r>
                </w:p>
              </w:tc>
            </w:tr>
            <w:tr w14:paraId="057B3063">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43B9DDD3">
                  <w:pPr>
                    <w:snapToGrid w:val="0"/>
                    <w:spacing w:line="240" w:lineRule="auto"/>
                    <w:ind w:firstLine="0" w:firstLineChars="0"/>
                    <w:jc w:val="center"/>
                    <w:rPr>
                      <w:rFonts w:hint="eastAsia"/>
                      <w:color w:val="auto"/>
                      <w:highlight w:val="none"/>
                    </w:rPr>
                  </w:pPr>
                  <w:r>
                    <w:rPr>
                      <w:rFonts w:hint="eastAsia"/>
                      <w:color w:val="auto"/>
                      <w:highlight w:val="none"/>
                    </w:rPr>
                    <w:t>9</w:t>
                  </w:r>
                </w:p>
              </w:tc>
              <w:tc>
                <w:tcPr>
                  <w:tcW w:w="1776" w:type="pct"/>
                  <w:tcBorders>
                    <w:tl2br w:val="nil"/>
                    <w:tr2bl w:val="nil"/>
                  </w:tcBorders>
                  <w:noWrap w:val="0"/>
                  <w:tcMar>
                    <w:left w:w="28" w:type="dxa"/>
                    <w:right w:w="28" w:type="dxa"/>
                  </w:tcMar>
                  <w:vAlign w:val="center"/>
                </w:tcPr>
                <w:p w14:paraId="56B293F4">
                  <w:pPr>
                    <w:snapToGrid w:val="0"/>
                    <w:spacing w:line="240" w:lineRule="auto"/>
                    <w:ind w:firstLine="0" w:firstLineChars="0"/>
                    <w:jc w:val="center"/>
                    <w:rPr>
                      <w:rFonts w:hint="eastAsia"/>
                      <w:color w:val="auto"/>
                      <w:highlight w:val="none"/>
                    </w:rPr>
                  </w:pPr>
                  <w:r>
                    <w:rPr>
                      <w:rFonts w:hint="eastAsia"/>
                      <w:color w:val="auto"/>
                      <w:highlight w:val="none"/>
                    </w:rPr>
                    <w:t>事故应急救援关闭程序与恢复措施</w:t>
                  </w:r>
                </w:p>
              </w:tc>
              <w:tc>
                <w:tcPr>
                  <w:tcW w:w="2804" w:type="pct"/>
                  <w:tcBorders>
                    <w:tl2br w:val="nil"/>
                    <w:tr2bl w:val="nil"/>
                  </w:tcBorders>
                  <w:noWrap w:val="0"/>
                  <w:tcMar>
                    <w:left w:w="28" w:type="dxa"/>
                    <w:right w:w="28" w:type="dxa"/>
                  </w:tcMar>
                  <w:vAlign w:val="center"/>
                </w:tcPr>
                <w:p w14:paraId="2AB866D7">
                  <w:pPr>
                    <w:snapToGrid w:val="0"/>
                    <w:spacing w:line="240" w:lineRule="auto"/>
                    <w:ind w:firstLine="0" w:firstLineChars="0"/>
                    <w:jc w:val="center"/>
                    <w:rPr>
                      <w:rFonts w:hint="eastAsia"/>
                      <w:color w:val="auto"/>
                      <w:highlight w:val="none"/>
                    </w:rPr>
                  </w:pPr>
                  <w:r>
                    <w:rPr>
                      <w:rFonts w:hint="eastAsia"/>
                      <w:color w:val="auto"/>
                      <w:highlight w:val="none"/>
                    </w:rPr>
                    <w:t>规定应急状态终止程序，事故现场善后处理，恢复措施，邻近区域解除事故警戒及善后恢复措施</w:t>
                  </w:r>
                </w:p>
              </w:tc>
            </w:tr>
            <w:tr w14:paraId="55F78091">
              <w:tblPrEx>
                <w:tblBorders>
                  <w:top w:val="single" w:color="auto" w:sz="12" w:space="0"/>
                  <w:left w:val="dotted" w:color="auto" w:sz="4" w:space="0"/>
                  <w:bottom w:val="single" w:color="auto" w:sz="12" w:space="0"/>
                  <w:right w:val="dotted"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20" w:type="pct"/>
                  <w:tcBorders>
                    <w:tl2br w:val="nil"/>
                    <w:tr2bl w:val="nil"/>
                  </w:tcBorders>
                  <w:noWrap w:val="0"/>
                  <w:tcMar>
                    <w:left w:w="28" w:type="dxa"/>
                    <w:right w:w="28" w:type="dxa"/>
                  </w:tcMar>
                  <w:vAlign w:val="center"/>
                </w:tcPr>
                <w:p w14:paraId="767DCC94">
                  <w:pPr>
                    <w:snapToGrid w:val="0"/>
                    <w:spacing w:line="240" w:lineRule="auto"/>
                    <w:ind w:firstLine="0" w:firstLineChars="0"/>
                    <w:jc w:val="center"/>
                    <w:rPr>
                      <w:rFonts w:hint="eastAsia"/>
                      <w:color w:val="auto"/>
                      <w:highlight w:val="none"/>
                    </w:rPr>
                  </w:pPr>
                  <w:r>
                    <w:rPr>
                      <w:rFonts w:hint="eastAsia"/>
                      <w:color w:val="auto"/>
                      <w:highlight w:val="none"/>
                    </w:rPr>
                    <w:t>10</w:t>
                  </w:r>
                </w:p>
              </w:tc>
              <w:tc>
                <w:tcPr>
                  <w:tcW w:w="1776" w:type="pct"/>
                  <w:tcBorders>
                    <w:tl2br w:val="nil"/>
                    <w:tr2bl w:val="nil"/>
                  </w:tcBorders>
                  <w:noWrap w:val="0"/>
                  <w:tcMar>
                    <w:left w:w="28" w:type="dxa"/>
                    <w:right w:w="28" w:type="dxa"/>
                  </w:tcMar>
                  <w:vAlign w:val="center"/>
                </w:tcPr>
                <w:p w14:paraId="2BDD88F3">
                  <w:pPr>
                    <w:snapToGrid w:val="0"/>
                    <w:spacing w:line="240" w:lineRule="auto"/>
                    <w:ind w:firstLine="0" w:firstLineChars="0"/>
                    <w:jc w:val="center"/>
                    <w:rPr>
                      <w:rFonts w:hint="eastAsia"/>
                      <w:color w:val="auto"/>
                      <w:highlight w:val="none"/>
                    </w:rPr>
                  </w:pPr>
                  <w:r>
                    <w:rPr>
                      <w:rFonts w:hint="eastAsia"/>
                      <w:color w:val="auto"/>
                      <w:highlight w:val="none"/>
                    </w:rPr>
                    <w:t>应急培训计划</w:t>
                  </w:r>
                </w:p>
              </w:tc>
              <w:tc>
                <w:tcPr>
                  <w:tcW w:w="2804" w:type="pct"/>
                  <w:tcBorders>
                    <w:tl2br w:val="nil"/>
                    <w:tr2bl w:val="nil"/>
                  </w:tcBorders>
                  <w:noWrap w:val="0"/>
                  <w:tcMar>
                    <w:left w:w="28" w:type="dxa"/>
                    <w:right w:w="28" w:type="dxa"/>
                  </w:tcMar>
                  <w:vAlign w:val="center"/>
                </w:tcPr>
                <w:p w14:paraId="58302581">
                  <w:pPr>
                    <w:snapToGrid w:val="0"/>
                    <w:spacing w:line="240" w:lineRule="auto"/>
                    <w:ind w:firstLine="0" w:firstLineChars="0"/>
                    <w:jc w:val="center"/>
                    <w:rPr>
                      <w:rFonts w:hint="eastAsia"/>
                      <w:color w:val="auto"/>
                      <w:highlight w:val="none"/>
                    </w:rPr>
                  </w:pPr>
                  <w:r>
                    <w:rPr>
                      <w:rFonts w:hint="eastAsia"/>
                      <w:color w:val="auto"/>
                      <w:highlight w:val="none"/>
                    </w:rPr>
                    <w:t>应急计划制定后，平时安排人员培训与演练</w:t>
                  </w:r>
                </w:p>
              </w:tc>
            </w:tr>
          </w:tbl>
          <w:p w14:paraId="7484CD91">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建设单位应根据环境污染事故应急预案编制技术指南要求编制应急预案，并经过专家评审，审查合格后实施运行。</w:t>
            </w:r>
          </w:p>
          <w:p w14:paraId="2F4B8C5E">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B应急物资储备</w:t>
            </w:r>
          </w:p>
          <w:p w14:paraId="2163586F">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在事故现场、</w:t>
            </w:r>
            <w:r>
              <w:rPr>
                <w:rFonts w:hint="eastAsia" w:cs="Times New Roman"/>
                <w:color w:val="auto"/>
                <w:sz w:val="24"/>
                <w:szCs w:val="24"/>
                <w:highlight w:val="none"/>
                <w:lang w:val="en-US" w:eastAsia="zh-CN"/>
              </w:rPr>
              <w:t>邻近</w:t>
            </w:r>
            <w:r>
              <w:rPr>
                <w:rFonts w:hint="eastAsia" w:ascii="Times New Roman" w:hAnsi="Times New Roman" w:eastAsia="宋体" w:cs="Times New Roman"/>
                <w:color w:val="auto"/>
                <w:sz w:val="24"/>
                <w:szCs w:val="24"/>
                <w:highlight w:val="none"/>
                <w:lang w:val="en-US" w:eastAsia="zh-CN"/>
              </w:rPr>
              <w:t>区域、控制防火区域，要有控制和消除污染措施及相应设备。</w:t>
            </w:r>
          </w:p>
          <w:p w14:paraId="1E632292">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C应急系统</w:t>
            </w:r>
          </w:p>
          <w:p w14:paraId="5C6A0DF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为防范和应对突发性环境污染事故的发生，要求建立既能对污染隐患进行监控和警告，又能对突发性污染事故实施统一指挥协调、现场快速监测和应急处理的应急系统。应急系统由应急响应、应急监测和应急处理系统三部分组成。</w:t>
            </w:r>
          </w:p>
          <w:p w14:paraId="3B9E55D6">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D事故应急响应</w:t>
            </w:r>
          </w:p>
          <w:p w14:paraId="35D5E1E5">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突发性环境污染事故应急处置刻不容缓，响应速度至关重要，任何人接到污染事故报警，必须马上报告应急办公室。应急组织各环节相互配合，确保响应迅速。应建立车间→厂区→园区三级应急响应防控体系。</w:t>
            </w:r>
          </w:p>
          <w:p w14:paraId="723EC810">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突发性环境污染</w:t>
            </w:r>
            <w:r>
              <w:rPr>
                <w:rFonts w:hint="eastAsia" w:cs="Times New Roman"/>
                <w:color w:val="auto"/>
                <w:sz w:val="24"/>
                <w:szCs w:val="24"/>
                <w:highlight w:val="none"/>
                <w:lang w:val="en-US" w:eastAsia="zh-CN"/>
              </w:rPr>
              <w:t>事故应急通信</w:t>
            </w:r>
            <w:r>
              <w:rPr>
                <w:rFonts w:hint="eastAsia" w:ascii="Times New Roman" w:hAnsi="Times New Roman" w:eastAsia="宋体" w:cs="Times New Roman"/>
                <w:color w:val="auto"/>
                <w:sz w:val="24"/>
                <w:szCs w:val="24"/>
                <w:highlight w:val="none"/>
                <w:lang w:val="en-US" w:eastAsia="zh-CN"/>
              </w:rPr>
              <w:t>系统包括事故报警、应急指挥、应急信息发布三部分。事故报警应设立专用电话，电话号码为大众所熟知，同时充分利用社会上现有的110、119、120等救援电话，做到24h畅通。</w:t>
            </w:r>
          </w:p>
          <w:p w14:paraId="2B801BEB">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E事故应急监测</w:t>
            </w:r>
          </w:p>
          <w:p w14:paraId="1F1239E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要求应急监测人员快速赶赴现场，根据事故现场的具体情况布点采样，利用快速监测手段判断污染物的种类，给出定性、半定量和定量监测结果，确认污染事故的危害程度和污染范围等。</w:t>
            </w:r>
          </w:p>
          <w:p w14:paraId="3E42458B">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（6）分析结论</w:t>
            </w:r>
          </w:p>
          <w:p w14:paraId="0F0135F8">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本项目涉及的主要危险废物为</w:t>
            </w:r>
            <w:r>
              <w:rPr>
                <w:rFonts w:hint="default" w:ascii="Times New Roman" w:hAnsi="Times New Roman" w:eastAsia="宋体" w:cs="Times New Roman"/>
                <w:bCs/>
                <w:color w:val="auto"/>
                <w:sz w:val="24"/>
                <w:szCs w:val="24"/>
                <w:highlight w:val="none"/>
              </w:rPr>
              <w:t>废矿物油</w:t>
            </w:r>
            <w:r>
              <w:rPr>
                <w:rFonts w:hint="eastAsia" w:ascii="Times New Roman" w:hAnsi="Times New Roman" w:eastAsia="宋体" w:cs="Times New Roman"/>
                <w:color w:val="auto"/>
                <w:sz w:val="24"/>
                <w:szCs w:val="24"/>
                <w:highlight w:val="none"/>
                <w:lang w:val="en-US" w:eastAsia="zh-CN"/>
              </w:rPr>
              <w:t>。项目主要事故类型为废矿物油泄漏及火灾、爆炸事故导致大气环境、水环境、土壤环境污染。</w:t>
            </w:r>
          </w:p>
          <w:p w14:paraId="15C272FA">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的环境风险主要表现为在公司非正常工况、危险废物运输和暂存事故、恶劣自然条件等情况下突发的泄漏、火灾、爆炸事故导致的大气、水体及土壤的环境污染，同时在发生火灾爆炸等事故时会产生一些次生、伴生污染物的影响。</w:t>
            </w:r>
          </w:p>
          <w:p w14:paraId="3559BC6E">
            <w:pPr>
              <w:autoSpaceDE w:val="0"/>
              <w:autoSpaceDN w:val="0"/>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在泄漏或火灾爆炸事故时必定会对周围环境产生一定的不良影响，但事故影响持续时间不长，且</w:t>
            </w:r>
            <w:r>
              <w:rPr>
                <w:rFonts w:hint="eastAsia" w:cs="Times New Roman"/>
                <w:color w:val="auto"/>
                <w:sz w:val="24"/>
                <w:szCs w:val="24"/>
                <w:highlight w:val="none"/>
                <w:lang w:val="en-US" w:eastAsia="zh-CN"/>
              </w:rPr>
              <w:t>危废暂存间</w:t>
            </w:r>
            <w:r>
              <w:rPr>
                <w:rFonts w:hint="eastAsia" w:ascii="Times New Roman" w:hAnsi="Times New Roman" w:eastAsia="宋体" w:cs="Times New Roman"/>
                <w:color w:val="auto"/>
                <w:sz w:val="24"/>
                <w:szCs w:val="24"/>
                <w:highlight w:val="none"/>
                <w:lang w:val="en-US" w:eastAsia="zh-CN"/>
              </w:rPr>
              <w:t>贮存废矿物油较少，企业在生产过程中必须做好物料的暂存运输工作，严格做好安全生产工作，避免泄漏或火灾爆炸事故发生，同时制定事故应急预案，使事故发生能及时有效地得到控制，缩短事故发生的持续时间，从而降低对周围环境的影响。</w:t>
            </w:r>
          </w:p>
          <w:p w14:paraId="1026B2C4">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hAnsi="Times New Roman" w:eastAsia="宋体" w:cs="Times New Roman"/>
                <w:color w:val="auto"/>
                <w:sz w:val="24"/>
                <w:szCs w:val="24"/>
                <w:highlight w:val="none"/>
                <w:lang w:val="en-US" w:eastAsia="zh-CN"/>
              </w:rPr>
              <w:t>总体来说，本项目环境风险主要为事故状态下废矿物油泄漏，根据分析，建设单位通过采取事故防范措施及采取一定的应急处理措施，可以将本项目的风险降到较低的水平，本项目的环境风险可以接受。</w:t>
            </w:r>
          </w:p>
          <w:p w14:paraId="0FB3D4B4">
            <w:pPr>
              <w:autoSpaceDE w:val="0"/>
              <w:autoSpaceDN w:val="0"/>
              <w:adjustRightInd w:val="0"/>
              <w:snapToGrid w:val="0"/>
              <w:spacing w:line="360" w:lineRule="auto"/>
              <w:ind w:firstLine="482" w:firstLineChars="200"/>
              <w:rPr>
                <w:rFonts w:hint="default" w:ascii="Times New Roman"/>
                <w:b/>
                <w:color w:val="auto"/>
                <w:kern w:val="0"/>
                <w:sz w:val="24"/>
                <w:highlight w:val="none"/>
                <w:lang w:val="en-US" w:eastAsia="zh-CN"/>
              </w:rPr>
            </w:pPr>
            <w:r>
              <w:rPr>
                <w:rFonts w:hint="eastAsia" w:ascii="Times New Roman"/>
                <w:b/>
                <w:color w:val="auto"/>
                <w:kern w:val="0"/>
                <w:sz w:val="24"/>
                <w:highlight w:val="none"/>
                <w:lang w:val="en-US" w:eastAsia="zh-CN"/>
              </w:rPr>
              <w:t>七、环境管理与监测计划</w:t>
            </w:r>
          </w:p>
          <w:p w14:paraId="6583E244">
            <w:pPr>
              <w:autoSpaceDE w:val="0"/>
              <w:autoSpaceDN w:val="0"/>
              <w:adjustRightInd w:val="0"/>
              <w:snapToGrid w:val="0"/>
              <w:spacing w:line="360" w:lineRule="auto"/>
              <w:ind w:firstLine="482" w:firstLineChars="200"/>
              <w:rPr>
                <w:rFonts w:hint="default" w:ascii="Times New Roman"/>
                <w:b/>
                <w:color w:val="auto"/>
                <w:kern w:val="0"/>
                <w:sz w:val="24"/>
                <w:highlight w:val="none"/>
                <w:lang w:val="en-US" w:eastAsia="zh-CN"/>
              </w:rPr>
            </w:pPr>
            <w:r>
              <w:rPr>
                <w:rFonts w:hint="eastAsia" w:ascii="Times New Roman"/>
                <w:b/>
                <w:color w:val="auto"/>
                <w:kern w:val="0"/>
                <w:sz w:val="24"/>
                <w:highlight w:val="none"/>
                <w:lang w:val="en-US" w:eastAsia="zh-CN"/>
              </w:rPr>
              <w:t>1、环境管理</w:t>
            </w:r>
          </w:p>
          <w:p w14:paraId="07EBD6C9">
            <w:pPr>
              <w:keepNext w:val="0"/>
              <w:keepLines w:val="0"/>
              <w:pageBreakBefore w:val="0"/>
              <w:widowControl w:val="0"/>
              <w:kinsoku/>
              <w:wordWrap/>
              <w:overflowPunct/>
              <w:topLinePunct w:val="0"/>
              <w:bidi w:val="0"/>
              <w:spacing w:line="360" w:lineRule="auto"/>
              <w:ind w:left="0" w:right="0" w:firstLine="470" w:firstLineChars="200"/>
              <w:textAlignment w:val="auto"/>
              <w:rPr>
                <w:rFonts w:ascii="宋体" w:hAnsi="宋体" w:eastAsia="宋体" w:cs="宋体"/>
                <w:b/>
                <w:bCs/>
                <w:color w:val="auto"/>
                <w:sz w:val="24"/>
                <w:szCs w:val="24"/>
                <w:highlight w:val="none"/>
              </w:rPr>
            </w:pPr>
            <w:r>
              <w:rPr>
                <w:rFonts w:ascii="宋体" w:hAnsi="宋体" w:eastAsia="宋体" w:cs="宋体"/>
                <w:b/>
                <w:bCs/>
                <w:color w:val="auto"/>
                <w:spacing w:val="-3"/>
                <w:sz w:val="24"/>
                <w:szCs w:val="24"/>
                <w:highlight w:val="none"/>
              </w:rPr>
              <w:t>（</w:t>
            </w:r>
            <w:r>
              <w:rPr>
                <w:rFonts w:ascii="Times New Roman" w:hAnsi="Times New Roman" w:eastAsia="Times New Roman" w:cs="Times New Roman"/>
                <w:b/>
                <w:bCs/>
                <w:color w:val="auto"/>
                <w:spacing w:val="-3"/>
                <w:sz w:val="24"/>
                <w:szCs w:val="24"/>
                <w:highlight w:val="none"/>
              </w:rPr>
              <w:t>1</w:t>
            </w:r>
            <w:r>
              <w:rPr>
                <w:rFonts w:ascii="宋体" w:hAnsi="宋体" w:eastAsia="宋体" w:cs="宋体"/>
                <w:b/>
                <w:bCs/>
                <w:color w:val="auto"/>
                <w:spacing w:val="-3"/>
                <w:sz w:val="24"/>
                <w:szCs w:val="24"/>
                <w:highlight w:val="none"/>
              </w:rPr>
              <w:t>）环境管理机构</w:t>
            </w:r>
          </w:p>
          <w:p w14:paraId="6DA9CE02">
            <w:pPr>
              <w:keepNext w:val="0"/>
              <w:keepLines w:val="0"/>
              <w:pageBreakBefore w:val="0"/>
              <w:widowControl w:val="0"/>
              <w:kinsoku/>
              <w:wordWrap/>
              <w:overflowPunct/>
              <w:topLinePunct w:val="0"/>
              <w:bidi w:val="0"/>
              <w:spacing w:line="360" w:lineRule="auto"/>
              <w:ind w:left="0" w:right="0" w:firstLine="480" w:firstLineChars="200"/>
              <w:textAlignment w:val="auto"/>
              <w:rPr>
                <w:rFonts w:ascii="宋体" w:hAnsi="宋体" w:eastAsia="宋体" w:cs="宋体"/>
                <w:color w:val="auto"/>
                <w:sz w:val="24"/>
                <w:szCs w:val="24"/>
                <w:highlight w:val="none"/>
              </w:rPr>
            </w:pPr>
            <w:r>
              <w:rPr>
                <w:rFonts w:hint="default" w:ascii="Times New Roman" w:hAnsi="Times New Roman" w:cs="Times New Roman"/>
                <w:color w:val="auto"/>
                <w:sz w:val="24"/>
                <w:highlight w:val="none"/>
              </w:rPr>
              <w:t>鄂尔多斯市蒙丰源实业有限责任公司</w:t>
            </w:r>
            <w:r>
              <w:rPr>
                <w:rFonts w:ascii="宋体" w:hAnsi="宋体" w:eastAsia="宋体" w:cs="宋体"/>
                <w:color w:val="auto"/>
                <w:spacing w:val="3"/>
                <w:sz w:val="24"/>
                <w:szCs w:val="24"/>
                <w:highlight w:val="none"/>
              </w:rPr>
              <w:t>设置专门的环境安全管理</w:t>
            </w:r>
            <w:r>
              <w:rPr>
                <w:rFonts w:ascii="宋体" w:hAnsi="宋体" w:eastAsia="宋体" w:cs="宋体"/>
                <w:color w:val="auto"/>
                <w:spacing w:val="2"/>
                <w:sz w:val="24"/>
                <w:szCs w:val="24"/>
                <w:highlight w:val="none"/>
              </w:rPr>
              <w:t>机构，并由其制</w:t>
            </w:r>
            <w:r>
              <w:rPr>
                <w:rFonts w:ascii="宋体" w:hAnsi="宋体" w:eastAsia="宋体" w:cs="宋体"/>
                <w:color w:val="auto"/>
                <w:spacing w:val="3"/>
                <w:sz w:val="24"/>
                <w:szCs w:val="24"/>
                <w:highlight w:val="none"/>
              </w:rPr>
              <w:t>定和管理公司内部的有关环保方面的工作，该机构应由</w:t>
            </w:r>
            <w:r>
              <w:rPr>
                <w:rFonts w:ascii="宋体" w:hAnsi="宋体" w:eastAsia="宋体" w:cs="宋体"/>
                <w:color w:val="auto"/>
                <w:spacing w:val="2"/>
                <w:sz w:val="24"/>
                <w:szCs w:val="24"/>
                <w:highlight w:val="none"/>
              </w:rPr>
              <w:t>副总经理直接兼管全厂的环保工作，下设环保科，设环保科长或部长</w:t>
            </w:r>
            <w:r>
              <w:rPr>
                <w:rFonts w:ascii="Times New Roman" w:hAnsi="Times New Roman" w:eastAsia="Times New Roman" w:cs="Times New Roman"/>
                <w:color w:val="auto"/>
                <w:spacing w:val="2"/>
                <w:sz w:val="24"/>
                <w:szCs w:val="24"/>
                <w:highlight w:val="none"/>
              </w:rPr>
              <w:t>1</w:t>
            </w:r>
            <w:r>
              <w:rPr>
                <w:rFonts w:ascii="宋体" w:hAnsi="宋体" w:eastAsia="宋体" w:cs="宋体"/>
                <w:color w:val="auto"/>
                <w:spacing w:val="2"/>
                <w:sz w:val="24"/>
                <w:szCs w:val="24"/>
                <w:highlight w:val="none"/>
              </w:rPr>
              <w:t>名，下辖监</w:t>
            </w:r>
            <w:r>
              <w:rPr>
                <w:rFonts w:ascii="宋体" w:hAnsi="宋体" w:eastAsia="宋体" w:cs="宋体"/>
                <w:color w:val="auto"/>
                <w:spacing w:val="1"/>
                <w:sz w:val="24"/>
                <w:szCs w:val="24"/>
                <w:highlight w:val="none"/>
              </w:rPr>
              <w:t>测站和环保小组，配备</w:t>
            </w:r>
            <w:r>
              <w:rPr>
                <w:rFonts w:ascii="宋体" w:hAnsi="宋体" w:eastAsia="宋体" w:cs="宋体"/>
                <w:color w:val="auto"/>
                <w:spacing w:val="-1"/>
                <w:sz w:val="24"/>
                <w:szCs w:val="24"/>
                <w:highlight w:val="none"/>
              </w:rPr>
              <w:t>专门的技术人员及监测人员。</w:t>
            </w:r>
          </w:p>
          <w:p w14:paraId="39BF9A23">
            <w:pPr>
              <w:keepNext w:val="0"/>
              <w:keepLines w:val="0"/>
              <w:pageBreakBefore w:val="0"/>
              <w:widowControl w:val="0"/>
              <w:kinsoku/>
              <w:wordWrap/>
              <w:overflowPunct/>
              <w:topLinePunct w:val="0"/>
              <w:bidi w:val="0"/>
              <w:spacing w:line="360" w:lineRule="auto"/>
              <w:ind w:left="0" w:right="0" w:firstLine="492" w:firstLineChars="200"/>
              <w:textAlignment w:val="auto"/>
              <w:rPr>
                <w:rFonts w:ascii="宋体" w:hAnsi="宋体" w:eastAsia="宋体" w:cs="宋体"/>
                <w:color w:val="auto"/>
                <w:sz w:val="24"/>
                <w:szCs w:val="24"/>
                <w:highlight w:val="none"/>
              </w:rPr>
            </w:pPr>
            <w:r>
              <w:rPr>
                <w:rFonts w:ascii="宋体" w:hAnsi="宋体" w:eastAsia="宋体" w:cs="宋体"/>
                <w:color w:val="auto"/>
                <w:spacing w:val="3"/>
                <w:sz w:val="24"/>
                <w:szCs w:val="24"/>
                <w:highlight w:val="none"/>
              </w:rPr>
              <w:t>本项目日常环境管理纳入现有环境安全机构，现有机构应根据本</w:t>
            </w:r>
            <w:r>
              <w:rPr>
                <w:rFonts w:ascii="宋体" w:hAnsi="宋体" w:eastAsia="宋体" w:cs="宋体"/>
                <w:color w:val="auto"/>
                <w:spacing w:val="2"/>
                <w:sz w:val="24"/>
                <w:szCs w:val="24"/>
                <w:highlight w:val="none"/>
              </w:rPr>
              <w:t>项目的工况</w:t>
            </w:r>
            <w:r>
              <w:rPr>
                <w:rFonts w:ascii="宋体" w:hAnsi="宋体" w:eastAsia="宋体" w:cs="宋体"/>
                <w:color w:val="auto"/>
                <w:spacing w:val="1"/>
                <w:sz w:val="24"/>
                <w:szCs w:val="24"/>
                <w:highlight w:val="none"/>
              </w:rPr>
              <w:t>条件、原辅料特性及环境风险特征建立（或完善）日常环境管理制度；人员存在</w:t>
            </w:r>
            <w:r>
              <w:rPr>
                <w:rFonts w:ascii="宋体" w:hAnsi="宋体" w:eastAsia="宋体" w:cs="宋体"/>
                <w:color w:val="auto"/>
                <w:spacing w:val="10"/>
                <w:sz w:val="24"/>
                <w:szCs w:val="24"/>
                <w:highlight w:val="none"/>
              </w:rPr>
              <w:t>缺口，应及时从公司内部调配或由外部择优招聘，通过安全环保培</w:t>
            </w:r>
            <w:r>
              <w:rPr>
                <w:rFonts w:ascii="宋体" w:hAnsi="宋体" w:eastAsia="宋体" w:cs="宋体"/>
                <w:color w:val="auto"/>
                <w:spacing w:val="9"/>
                <w:sz w:val="24"/>
                <w:szCs w:val="24"/>
                <w:highlight w:val="none"/>
              </w:rPr>
              <w:t>训，持证上</w:t>
            </w:r>
            <w:r>
              <w:rPr>
                <w:rFonts w:ascii="宋体" w:hAnsi="宋体" w:eastAsia="宋体" w:cs="宋体"/>
                <w:color w:val="auto"/>
                <w:spacing w:val="-18"/>
                <w:sz w:val="24"/>
                <w:szCs w:val="24"/>
                <w:highlight w:val="none"/>
              </w:rPr>
              <w:t>岗。</w:t>
            </w:r>
          </w:p>
          <w:p w14:paraId="07B0C0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color w:val="auto"/>
                <w:sz w:val="24"/>
                <w:szCs w:val="32"/>
                <w:highlight w:val="none"/>
              </w:rPr>
            </w:pPr>
            <w:r>
              <w:rPr>
                <w:b/>
                <w:bCs/>
                <w:color w:val="auto"/>
                <w:sz w:val="24"/>
                <w:szCs w:val="32"/>
                <w:highlight w:val="none"/>
              </w:rPr>
              <w:t>（2）环境管理职责</w:t>
            </w:r>
          </w:p>
          <w:p w14:paraId="0088C2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①项目施工阶段，保证环保设施的“三同时”的实施及施工现场的环境保护工作；</w:t>
            </w:r>
          </w:p>
          <w:p w14:paraId="263E30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②负责制定项目环境保护管理办法、环境保护规章制度、污染事故的应急措施以及生产安全条例，并监督检查这些制度和措施的执行情况；</w:t>
            </w:r>
          </w:p>
          <w:p w14:paraId="3E5C71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③确定本公司的环境目标，对各车间</w:t>
            </w:r>
            <w:r>
              <w:rPr>
                <w:rFonts w:hint="eastAsia"/>
                <w:color w:val="auto"/>
                <w:sz w:val="24"/>
                <w:szCs w:val="32"/>
                <w:highlight w:val="none"/>
                <w:lang w:eastAsia="zh-CN"/>
              </w:rPr>
              <w:t>、各</w:t>
            </w:r>
            <w:r>
              <w:rPr>
                <w:color w:val="auto"/>
                <w:sz w:val="24"/>
                <w:szCs w:val="32"/>
                <w:highlight w:val="none"/>
              </w:rPr>
              <w:t>部门及操作岗位进行监督与考核。编制环境管理台账；</w:t>
            </w:r>
          </w:p>
          <w:p w14:paraId="78E933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④建立环保档案，包括环评报告、环保工程验收报告、污染源监测报告、环保设备及运行记录</w:t>
            </w:r>
            <w:r>
              <w:rPr>
                <w:rFonts w:hint="eastAsia"/>
                <w:color w:val="auto"/>
                <w:sz w:val="24"/>
                <w:szCs w:val="32"/>
                <w:highlight w:val="none"/>
                <w:lang w:eastAsia="zh-CN"/>
              </w:rPr>
              <w:t>以及其他</w:t>
            </w:r>
            <w:r>
              <w:rPr>
                <w:color w:val="auto"/>
                <w:sz w:val="24"/>
                <w:szCs w:val="32"/>
                <w:highlight w:val="none"/>
              </w:rPr>
              <w:t>环境统计资料；</w:t>
            </w:r>
          </w:p>
          <w:p w14:paraId="05F1F9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⑤收集与管理有关污染和排放标准、环保法规、环保技术资料；</w:t>
            </w:r>
          </w:p>
          <w:p w14:paraId="706CAD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⑥搞好环保设施与生产主体设备的协调管理，使污染防治设施的配备与生产主体设备相适应，并与主体设备同时运行及检修，污染防治设施出现故障时，环境管理机构应立即与生产部门共同采取措施，严防污染扩大，并负责污染事故的处理；</w:t>
            </w:r>
          </w:p>
          <w:p w14:paraId="3E2211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32"/>
                <w:highlight w:val="none"/>
              </w:rPr>
            </w:pPr>
            <w:r>
              <w:rPr>
                <w:color w:val="auto"/>
                <w:sz w:val="24"/>
                <w:szCs w:val="32"/>
                <w:highlight w:val="none"/>
              </w:rPr>
              <w:t>⑦直接管理或协调项目的日常环境监测事宜，负责处理解决环境污染和扰民的投诉；</w:t>
            </w:r>
          </w:p>
          <w:p w14:paraId="7D82C1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32"/>
                <w:highlight w:val="none"/>
                <w:lang w:val="en-US" w:eastAsia="zh-CN"/>
              </w:rPr>
            </w:pPr>
            <w:r>
              <w:rPr>
                <w:color w:val="auto"/>
                <w:sz w:val="24"/>
                <w:szCs w:val="32"/>
                <w:highlight w:val="none"/>
              </w:rPr>
              <w:t>⑧组织职工环保教育，搞好环境宣传；</w:t>
            </w:r>
          </w:p>
          <w:p w14:paraId="22D9CB91">
            <w:pPr>
              <w:autoSpaceDE w:val="0"/>
              <w:autoSpaceDN w:val="0"/>
              <w:adjustRightInd w:val="0"/>
              <w:snapToGrid w:val="0"/>
              <w:spacing w:line="360" w:lineRule="auto"/>
              <w:ind w:firstLine="480" w:firstLineChars="200"/>
              <w:rPr>
                <w:rFonts w:hint="eastAsia" w:ascii="Times New Roman"/>
                <w:b/>
                <w:color w:val="auto"/>
                <w:kern w:val="0"/>
                <w:sz w:val="24"/>
                <w:highlight w:val="none"/>
                <w:lang w:val="en-US" w:eastAsia="zh-CN"/>
              </w:rPr>
            </w:pPr>
            <w:r>
              <w:rPr>
                <w:rFonts w:hint="eastAsia" w:ascii="Times New Roman"/>
                <w:b w:val="0"/>
                <w:bCs/>
                <w:color w:val="auto"/>
                <w:kern w:val="0"/>
                <w:sz w:val="24"/>
                <w:highlight w:val="none"/>
                <w:lang w:val="en-US" w:eastAsia="zh-CN"/>
              </w:rPr>
              <w:t>⑨定期编制企业的环境报表和年度环境保护工作报告，提交给上级和当地环境主管部门。</w:t>
            </w:r>
          </w:p>
          <w:p w14:paraId="31AE028C">
            <w:pPr>
              <w:keepNext w:val="0"/>
              <w:keepLines w:val="0"/>
              <w:pageBreakBefore w:val="0"/>
              <w:widowControl w:val="0"/>
              <w:kinsoku/>
              <w:wordWrap/>
              <w:overflowPunct/>
              <w:topLinePunct w:val="0"/>
              <w:autoSpaceDE w:val="0"/>
              <w:autoSpaceDN w:val="0"/>
              <w:bidi w:val="0"/>
              <w:adjustRightInd w:val="0"/>
              <w:snapToGrid w:val="0"/>
              <w:spacing w:line="312" w:lineRule="auto"/>
              <w:ind w:firstLine="482" w:firstLineChars="200"/>
              <w:textAlignment w:val="auto"/>
              <w:rPr>
                <w:rFonts w:hint="default" w:ascii="Times New Roman"/>
                <w:b/>
                <w:color w:val="auto"/>
                <w:kern w:val="0"/>
                <w:sz w:val="24"/>
                <w:highlight w:val="none"/>
                <w:lang w:val="en-US" w:eastAsia="zh-CN"/>
              </w:rPr>
            </w:pPr>
            <w:r>
              <w:rPr>
                <w:rFonts w:hint="eastAsia" w:ascii="Times New Roman"/>
                <w:b/>
                <w:color w:val="auto"/>
                <w:kern w:val="0"/>
                <w:sz w:val="24"/>
                <w:highlight w:val="none"/>
                <w:lang w:val="en-US" w:eastAsia="zh-CN"/>
              </w:rPr>
              <w:t>2、环境监测计划</w:t>
            </w:r>
          </w:p>
          <w:p w14:paraId="529A7E2E">
            <w:pPr>
              <w:keepNext w:val="0"/>
              <w:keepLines w:val="0"/>
              <w:pageBreakBefore w:val="0"/>
              <w:widowControl w:val="0"/>
              <w:kinsoku/>
              <w:wordWrap/>
              <w:overflowPunct/>
              <w:topLinePunct w:val="0"/>
              <w:autoSpaceDE w:val="0"/>
              <w:autoSpaceDN w:val="0"/>
              <w:bidi w:val="0"/>
              <w:adjustRightInd w:val="0"/>
              <w:snapToGrid w:val="0"/>
              <w:spacing w:line="312" w:lineRule="auto"/>
              <w:ind w:firstLine="480" w:firstLineChars="200"/>
              <w:textAlignment w:val="auto"/>
              <w:rPr>
                <w:rFonts w:hint="eastAsia" w:ascii="Times New Roman"/>
                <w:b w:val="0"/>
                <w:bCs/>
                <w:color w:val="auto"/>
                <w:kern w:val="0"/>
                <w:sz w:val="24"/>
                <w:highlight w:val="none"/>
                <w:lang w:val="en-US" w:eastAsia="zh-CN"/>
              </w:rPr>
            </w:pPr>
            <w:r>
              <w:rPr>
                <w:rFonts w:hint="eastAsia" w:ascii="Times New Roman"/>
                <w:b w:val="0"/>
                <w:bCs/>
                <w:color w:val="auto"/>
                <w:kern w:val="0"/>
                <w:sz w:val="24"/>
                <w:highlight w:val="none"/>
                <w:lang w:val="en-US" w:eastAsia="zh-CN"/>
              </w:rPr>
              <w:t>本项目污染源监测主要根据</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排污单位自行监测技术指南水泥加工</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（HJ848-2017）、</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排污单位自行监测技术指南总则</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(HJ819-2017)</w:t>
            </w:r>
            <w:r>
              <w:rPr>
                <w:rFonts w:hint="eastAsia" w:ascii="Times New Roman"/>
                <w:b w:val="0"/>
                <w:bCs/>
                <w:color w:val="auto"/>
                <w:kern w:val="0"/>
                <w:sz w:val="24"/>
                <w:highlight w:val="none"/>
                <w:lang w:val="en-US" w:eastAsia="zh-CN"/>
              </w:rPr>
              <w:t>中相关规定开展监测。</w:t>
            </w:r>
          </w:p>
          <w:p w14:paraId="702FEA24">
            <w:pPr>
              <w:keepNext w:val="0"/>
              <w:keepLines w:val="0"/>
              <w:pageBreakBefore w:val="0"/>
              <w:widowControl w:val="0"/>
              <w:numPr>
                <w:ilvl w:val="0"/>
                <w:numId w:val="0"/>
              </w:numPr>
              <w:kinsoku/>
              <w:wordWrap/>
              <w:overflowPunct/>
              <w:topLinePunct/>
              <w:autoSpaceDE w:val="0"/>
              <w:autoSpaceDN w:val="0"/>
              <w:bidi w:val="0"/>
              <w:adjustRightInd w:val="0"/>
              <w:snapToGrid w:val="0"/>
              <w:spacing w:line="240" w:lineRule="auto"/>
              <w:jc w:val="center"/>
              <w:textAlignment w:val="auto"/>
              <w:rPr>
                <w:rFonts w:ascii="Times New Roman" w:hAnsi="Times New Roman" w:eastAsia="宋体" w:cs="宋体"/>
                <w:b/>
                <w:bCs/>
                <w:color w:val="auto"/>
                <w:sz w:val="24"/>
                <w:szCs w:val="24"/>
                <w:highlight w:val="none"/>
              </w:rPr>
            </w:pPr>
            <w:r>
              <w:rPr>
                <w:rFonts w:ascii="Times New Roman" w:hAnsi="Times New Roman" w:eastAsia="宋体" w:cs="宋体"/>
                <w:b/>
                <w:bCs/>
                <w:color w:val="auto"/>
                <w:sz w:val="24"/>
                <w:szCs w:val="24"/>
                <w:highlight w:val="none"/>
              </w:rPr>
              <w:t>表</w:t>
            </w:r>
            <w:r>
              <w:rPr>
                <w:rFonts w:hint="eastAsia" w:ascii="Times New Roman" w:hAnsi="Times New Roman" w:eastAsia="宋体" w:cs="宋体"/>
                <w:b/>
                <w:bCs/>
                <w:color w:val="auto"/>
                <w:sz w:val="24"/>
                <w:szCs w:val="24"/>
                <w:highlight w:val="none"/>
                <w:lang w:val="en-US" w:eastAsia="zh-CN"/>
              </w:rPr>
              <w:t>4-</w:t>
            </w:r>
            <w:r>
              <w:rPr>
                <w:rFonts w:hint="eastAsia" w:cs="宋体"/>
                <w:b/>
                <w:bCs/>
                <w:color w:val="auto"/>
                <w:sz w:val="24"/>
                <w:szCs w:val="24"/>
                <w:highlight w:val="none"/>
                <w:lang w:val="en-US" w:eastAsia="zh-CN"/>
              </w:rPr>
              <w:t>12</w:t>
            </w:r>
            <w:r>
              <w:rPr>
                <w:rFonts w:ascii="Times New Roman" w:hAnsi="Times New Roman" w:eastAsia="宋体" w:cs="宋体"/>
                <w:b/>
                <w:bCs/>
                <w:color w:val="auto"/>
                <w:sz w:val="24"/>
                <w:szCs w:val="24"/>
                <w:highlight w:val="none"/>
              </w:rPr>
              <w:t>本项目监测计划一览表</w:t>
            </w:r>
          </w:p>
          <w:p w14:paraId="74C6EA54">
            <w:pPr>
              <w:spacing w:line="18" w:lineRule="exact"/>
              <w:rPr>
                <w:color w:val="auto"/>
                <w:highlight w:val="none"/>
              </w:rPr>
            </w:pPr>
          </w:p>
          <w:tbl>
            <w:tblPr>
              <w:tblStyle w:val="23"/>
              <w:tblW w:w="482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569"/>
              <w:gridCol w:w="1432"/>
              <w:gridCol w:w="981"/>
              <w:gridCol w:w="2933"/>
            </w:tblGrid>
            <w:tr w14:paraId="70847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15" w:hRule="atLeast"/>
                <w:jc w:val="center"/>
              </w:trPr>
              <w:tc>
                <w:tcPr>
                  <w:tcW w:w="502" w:type="pct"/>
                  <w:tcBorders>
                    <w:tl2br w:val="nil"/>
                    <w:tr2bl w:val="nil"/>
                  </w:tcBorders>
                  <w:noWrap w:val="0"/>
                  <w:vAlign w:val="center"/>
                </w:tcPr>
                <w:p w14:paraId="1297F7D3">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环境要素</w:t>
                  </w:r>
                </w:p>
              </w:tc>
              <w:tc>
                <w:tcPr>
                  <w:tcW w:w="1020" w:type="pct"/>
                  <w:tcBorders>
                    <w:tl2br w:val="nil"/>
                    <w:tr2bl w:val="nil"/>
                  </w:tcBorders>
                  <w:noWrap w:val="0"/>
                  <w:vAlign w:val="center"/>
                </w:tcPr>
                <w:p w14:paraId="23A8DFAB">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监测布点</w:t>
                  </w:r>
                </w:p>
              </w:tc>
              <w:tc>
                <w:tcPr>
                  <w:tcW w:w="931" w:type="pct"/>
                  <w:tcBorders>
                    <w:tl2br w:val="nil"/>
                    <w:tr2bl w:val="nil"/>
                  </w:tcBorders>
                  <w:noWrap w:val="0"/>
                  <w:vAlign w:val="center"/>
                </w:tcPr>
                <w:p w14:paraId="68B16F00">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监测污染物</w:t>
                  </w:r>
                </w:p>
              </w:tc>
              <w:tc>
                <w:tcPr>
                  <w:tcW w:w="638" w:type="pct"/>
                  <w:tcBorders>
                    <w:tl2br w:val="nil"/>
                    <w:tr2bl w:val="nil"/>
                  </w:tcBorders>
                  <w:noWrap w:val="0"/>
                  <w:vAlign w:val="center"/>
                </w:tcPr>
                <w:p w14:paraId="690F234D">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监测频次</w:t>
                  </w:r>
                </w:p>
              </w:tc>
              <w:tc>
                <w:tcPr>
                  <w:tcW w:w="1907" w:type="pct"/>
                  <w:tcBorders>
                    <w:tl2br w:val="nil"/>
                    <w:tr2bl w:val="nil"/>
                  </w:tcBorders>
                  <w:noWrap w:val="0"/>
                  <w:vAlign w:val="center"/>
                </w:tcPr>
                <w:p w14:paraId="4C122459">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执行标准</w:t>
                  </w:r>
                </w:p>
              </w:tc>
            </w:tr>
            <w:tr w14:paraId="278AA2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2" w:type="pct"/>
                  <w:vMerge w:val="restart"/>
                  <w:tcBorders>
                    <w:tl2br w:val="nil"/>
                    <w:tr2bl w:val="nil"/>
                  </w:tcBorders>
                  <w:noWrap w:val="0"/>
                  <w:vAlign w:val="center"/>
                </w:tcPr>
                <w:p w14:paraId="6215A5AB">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大气环境</w:t>
                  </w:r>
                </w:p>
              </w:tc>
              <w:tc>
                <w:tcPr>
                  <w:tcW w:w="1020" w:type="pct"/>
                  <w:vMerge w:val="restart"/>
                  <w:tcBorders>
                    <w:tl2br w:val="nil"/>
                    <w:tr2bl w:val="nil"/>
                  </w:tcBorders>
                  <w:noWrap w:val="0"/>
                  <w:vAlign w:val="center"/>
                </w:tcPr>
                <w:p w14:paraId="3E16990B">
                  <w:pPr>
                    <w:spacing w:line="240" w:lineRule="auto"/>
                    <w:ind w:left="0" w:leftChars="0" w:firstLine="0" w:firstLineChars="0"/>
                    <w:jc w:val="center"/>
                    <w:rPr>
                      <w:rFonts w:hint="default"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厂界</w:t>
                  </w:r>
                </w:p>
              </w:tc>
              <w:tc>
                <w:tcPr>
                  <w:tcW w:w="931" w:type="pct"/>
                  <w:tcBorders>
                    <w:tl2br w:val="nil"/>
                    <w:tr2bl w:val="nil"/>
                  </w:tcBorders>
                  <w:noWrap w:val="0"/>
                  <w:vAlign w:val="center"/>
                </w:tcPr>
                <w:p w14:paraId="11075F08">
                  <w:pPr>
                    <w:spacing w:line="240" w:lineRule="auto"/>
                    <w:ind w:left="0" w:leftChars="0" w:firstLine="0" w:firstLineChars="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非甲烷总烃</w:t>
                  </w:r>
                </w:p>
              </w:tc>
              <w:tc>
                <w:tcPr>
                  <w:tcW w:w="638" w:type="pct"/>
                  <w:tcBorders>
                    <w:tl2br w:val="nil"/>
                    <w:tr2bl w:val="nil"/>
                  </w:tcBorders>
                  <w:noWrap w:val="0"/>
                  <w:vAlign w:val="center"/>
                </w:tcPr>
                <w:p w14:paraId="56A3E428">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年/次</w:t>
                  </w:r>
                </w:p>
              </w:tc>
              <w:tc>
                <w:tcPr>
                  <w:tcW w:w="1907" w:type="pct"/>
                  <w:tcBorders>
                    <w:tl2br w:val="nil"/>
                    <w:tr2bl w:val="nil"/>
                  </w:tcBorders>
                  <w:noWrap w:val="0"/>
                  <w:vAlign w:val="center"/>
                </w:tcPr>
                <w:p w14:paraId="6C75DA0D">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《大气污染物综合排放标准》（GB16297-1996）中表2</w:t>
                  </w:r>
                </w:p>
              </w:tc>
            </w:tr>
            <w:tr w14:paraId="69AA1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2" w:type="pct"/>
                  <w:vMerge w:val="continue"/>
                  <w:tcBorders>
                    <w:tl2br w:val="nil"/>
                    <w:tr2bl w:val="nil"/>
                  </w:tcBorders>
                  <w:noWrap w:val="0"/>
                  <w:vAlign w:val="center"/>
                </w:tcPr>
                <w:p w14:paraId="12376BE9">
                  <w:pPr>
                    <w:spacing w:line="240" w:lineRule="auto"/>
                    <w:ind w:left="0" w:leftChars="0" w:firstLine="0" w:firstLineChars="0"/>
                    <w:jc w:val="center"/>
                    <w:rPr>
                      <w:rFonts w:hint="eastAsia" w:ascii="Times New Roman" w:hAnsi="Times New Roman" w:eastAsia="宋体" w:cs="Times New Roman"/>
                      <w:b w:val="0"/>
                      <w:bCs w:val="0"/>
                      <w:color w:val="auto"/>
                      <w:sz w:val="21"/>
                      <w:szCs w:val="21"/>
                      <w:highlight w:val="none"/>
                      <w:vertAlign w:val="baseline"/>
                      <w:lang w:val="en-US" w:eastAsia="zh-CN"/>
                    </w:rPr>
                  </w:pPr>
                </w:p>
              </w:tc>
              <w:tc>
                <w:tcPr>
                  <w:tcW w:w="1020" w:type="pct"/>
                  <w:vMerge w:val="continue"/>
                  <w:tcBorders>
                    <w:tl2br w:val="nil"/>
                    <w:tr2bl w:val="nil"/>
                  </w:tcBorders>
                  <w:noWrap w:val="0"/>
                  <w:vAlign w:val="center"/>
                </w:tcPr>
                <w:p w14:paraId="20DB5274">
                  <w:pPr>
                    <w:spacing w:line="240" w:lineRule="auto"/>
                    <w:ind w:left="0" w:leftChars="0" w:firstLine="0" w:firstLineChars="0"/>
                    <w:jc w:val="center"/>
                    <w:rPr>
                      <w:rFonts w:hint="default" w:cs="Times New Roman"/>
                      <w:b w:val="0"/>
                      <w:bCs w:val="0"/>
                      <w:color w:val="auto"/>
                      <w:sz w:val="21"/>
                      <w:szCs w:val="21"/>
                      <w:highlight w:val="none"/>
                      <w:vertAlign w:val="baseline"/>
                      <w:lang w:val="en-US" w:eastAsia="zh-CN"/>
                    </w:rPr>
                  </w:pPr>
                </w:p>
              </w:tc>
              <w:tc>
                <w:tcPr>
                  <w:tcW w:w="931" w:type="pct"/>
                  <w:tcBorders>
                    <w:tl2br w:val="nil"/>
                    <w:tr2bl w:val="nil"/>
                  </w:tcBorders>
                  <w:noWrap w:val="0"/>
                  <w:vAlign w:val="center"/>
                </w:tcPr>
                <w:p w14:paraId="2240FF59">
                  <w:pPr>
                    <w:spacing w:line="240" w:lineRule="auto"/>
                    <w:ind w:left="0" w:leftChars="0" w:firstLine="0" w:firstLineChars="0"/>
                    <w:jc w:val="center"/>
                    <w:rPr>
                      <w:rFonts w:hint="default"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颗粒物</w:t>
                  </w:r>
                </w:p>
              </w:tc>
              <w:tc>
                <w:tcPr>
                  <w:tcW w:w="638" w:type="pct"/>
                  <w:tcBorders>
                    <w:tl2br w:val="nil"/>
                    <w:tr2bl w:val="nil"/>
                  </w:tcBorders>
                  <w:noWrap w:val="0"/>
                  <w:vAlign w:val="center"/>
                </w:tcPr>
                <w:p w14:paraId="62154784">
                  <w:pPr>
                    <w:spacing w:line="240" w:lineRule="auto"/>
                    <w:ind w:left="0" w:leftChars="0" w:firstLine="0" w:firstLineChars="0"/>
                    <w:jc w:val="center"/>
                    <w:rPr>
                      <w:rFonts w:hint="default"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季/次</w:t>
                  </w:r>
                </w:p>
              </w:tc>
              <w:tc>
                <w:tcPr>
                  <w:tcW w:w="1907" w:type="pct"/>
                  <w:tcBorders>
                    <w:tl2br w:val="nil"/>
                    <w:tr2bl w:val="nil"/>
                  </w:tcBorders>
                  <w:noWrap w:val="0"/>
                  <w:vAlign w:val="center"/>
                </w:tcPr>
                <w:p w14:paraId="49EC1ECC">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vertAlign w:val="baseline"/>
                      <w:lang w:val="en-US" w:eastAsia="zh-CN"/>
                    </w:rPr>
                    <w:t>《水泥工业大气污染物排放标准》（GB4915-2013）</w:t>
                  </w:r>
                  <w:r>
                    <w:rPr>
                      <w:rFonts w:hint="eastAsia" w:cs="Times New Roman"/>
                      <w:b w:val="0"/>
                      <w:bCs w:val="0"/>
                      <w:color w:val="auto"/>
                      <w:sz w:val="21"/>
                      <w:szCs w:val="21"/>
                      <w:highlight w:val="none"/>
                      <w:vertAlign w:val="baseline"/>
                      <w:lang w:val="en-US" w:eastAsia="zh-CN"/>
                    </w:rPr>
                    <w:t>表3无组织排放限值</w:t>
                  </w:r>
                </w:p>
              </w:tc>
            </w:tr>
            <w:tr w14:paraId="09D9B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2" w:type="pct"/>
                  <w:vMerge w:val="continue"/>
                  <w:tcBorders>
                    <w:tl2br w:val="nil"/>
                    <w:tr2bl w:val="nil"/>
                  </w:tcBorders>
                  <w:noWrap w:val="0"/>
                  <w:vAlign w:val="center"/>
                </w:tcPr>
                <w:p w14:paraId="0B3BE29D">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1020" w:type="pct"/>
                  <w:tcBorders>
                    <w:tl2br w:val="nil"/>
                    <w:tr2bl w:val="nil"/>
                  </w:tcBorders>
                  <w:noWrap w:val="0"/>
                  <w:vAlign w:val="center"/>
                </w:tcPr>
                <w:p w14:paraId="6A6D1DFC">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危废暂存间</w:t>
                  </w:r>
                  <w:r>
                    <w:rPr>
                      <w:rFonts w:hint="default" w:ascii="Times New Roman" w:hAnsi="Times New Roman" w:eastAsia="宋体" w:cs="Times New Roman"/>
                      <w:b w:val="0"/>
                      <w:bCs w:val="0"/>
                      <w:color w:val="auto"/>
                      <w:sz w:val="21"/>
                      <w:szCs w:val="21"/>
                      <w:highlight w:val="none"/>
                      <w:vertAlign w:val="baseline"/>
                      <w:lang w:val="en-US" w:eastAsia="zh-CN"/>
                    </w:rPr>
                    <w:t>外门窗或通风口、其他开口（孔）等排放口外1m，距离地面1.5m以上位置处</w:t>
                  </w:r>
                </w:p>
              </w:tc>
              <w:tc>
                <w:tcPr>
                  <w:tcW w:w="931" w:type="pct"/>
                  <w:tcBorders>
                    <w:tl2br w:val="nil"/>
                    <w:tr2bl w:val="nil"/>
                  </w:tcBorders>
                  <w:noWrap w:val="0"/>
                  <w:vAlign w:val="center"/>
                </w:tcPr>
                <w:p w14:paraId="0976539F">
                  <w:pPr>
                    <w:spacing w:line="240" w:lineRule="auto"/>
                    <w:ind w:left="0" w:leftChars="0" w:firstLine="0" w:firstLineChars="0"/>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非甲烷总烃</w:t>
                  </w:r>
                </w:p>
              </w:tc>
              <w:tc>
                <w:tcPr>
                  <w:tcW w:w="638" w:type="pct"/>
                  <w:tcBorders>
                    <w:tl2br w:val="nil"/>
                    <w:tr2bl w:val="nil"/>
                  </w:tcBorders>
                  <w:noWrap w:val="0"/>
                  <w:vAlign w:val="center"/>
                </w:tcPr>
                <w:p w14:paraId="4F2A7D6F">
                  <w:pPr>
                    <w:spacing w:line="240" w:lineRule="auto"/>
                    <w:ind w:left="0" w:leftChars="0" w:firstLine="0" w:firstLineChars="0"/>
                    <w:jc w:val="center"/>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年/次</w:t>
                  </w:r>
                </w:p>
              </w:tc>
              <w:tc>
                <w:tcPr>
                  <w:tcW w:w="1907" w:type="pct"/>
                  <w:tcBorders>
                    <w:tl2br w:val="nil"/>
                    <w:tr2bl w:val="nil"/>
                  </w:tcBorders>
                  <w:noWrap w:val="0"/>
                  <w:vAlign w:val="center"/>
                </w:tcPr>
                <w:p w14:paraId="42D50A32">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rPr>
                    <w:t>《挥发性有机物无组织排放控制标准》（GB37822-2019）表A.1排放限值</w:t>
                  </w:r>
                </w:p>
              </w:tc>
            </w:tr>
            <w:tr w14:paraId="19900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2" w:type="pct"/>
                  <w:tcBorders>
                    <w:tl2br w:val="nil"/>
                    <w:tr2bl w:val="nil"/>
                  </w:tcBorders>
                  <w:noWrap w:val="0"/>
                  <w:vAlign w:val="center"/>
                </w:tcPr>
                <w:p w14:paraId="1B90D7A3">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噪声</w:t>
                  </w:r>
                </w:p>
              </w:tc>
              <w:tc>
                <w:tcPr>
                  <w:tcW w:w="1020" w:type="pct"/>
                  <w:tcBorders>
                    <w:tl2br w:val="nil"/>
                    <w:tr2bl w:val="nil"/>
                  </w:tcBorders>
                  <w:noWrap w:val="0"/>
                  <w:vAlign w:val="center"/>
                </w:tcPr>
                <w:p w14:paraId="50D8E700">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olor w:val="auto"/>
                      <w:szCs w:val="21"/>
                      <w:highlight w:val="none"/>
                    </w:rPr>
                    <w:t>厂界四周1m处</w:t>
                  </w:r>
                </w:p>
              </w:tc>
              <w:tc>
                <w:tcPr>
                  <w:tcW w:w="931" w:type="pct"/>
                  <w:tcBorders>
                    <w:tl2br w:val="nil"/>
                    <w:tr2bl w:val="nil"/>
                  </w:tcBorders>
                  <w:noWrap w:val="0"/>
                  <w:vAlign w:val="center"/>
                </w:tcPr>
                <w:p w14:paraId="2F4829CC">
                  <w:pPr>
                    <w:spacing w:line="240" w:lineRule="auto"/>
                    <w:ind w:left="0" w:leftChars="0" w:firstLine="0" w:firstLineChars="0"/>
                    <w:jc w:val="center"/>
                    <w:rPr>
                      <w:rFonts w:hint="eastAsia" w:ascii="Times New Roman" w:hAnsi="Times New Roman" w:eastAsia="宋体" w:cs="Times New Roman"/>
                      <w:b w:val="0"/>
                      <w:bCs w:val="0"/>
                      <w:color w:val="auto"/>
                      <w:sz w:val="21"/>
                      <w:szCs w:val="21"/>
                      <w:highlight w:val="none"/>
                      <w:vertAlign w:val="baseline"/>
                      <w:lang w:val="en-US" w:eastAsia="zh-CN"/>
                    </w:rPr>
                  </w:pPr>
                  <w:r>
                    <w:rPr>
                      <w:color w:val="auto"/>
                      <w:szCs w:val="21"/>
                      <w:highlight w:val="none"/>
                    </w:rPr>
                    <w:t>等效连续A声级</w:t>
                  </w:r>
                </w:p>
              </w:tc>
              <w:tc>
                <w:tcPr>
                  <w:tcW w:w="638" w:type="pct"/>
                  <w:tcBorders>
                    <w:tl2br w:val="nil"/>
                    <w:tr2bl w:val="nil"/>
                  </w:tcBorders>
                  <w:noWrap w:val="0"/>
                  <w:vAlign w:val="center"/>
                </w:tcPr>
                <w:p w14:paraId="44C74B55">
                  <w:pPr>
                    <w:spacing w:line="240" w:lineRule="auto"/>
                    <w:ind w:left="0" w:leftChars="0" w:firstLine="0" w:firstLineChars="0"/>
                    <w:jc w:val="center"/>
                    <w:rPr>
                      <w:rFonts w:hint="eastAsia"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季/次</w:t>
                  </w:r>
                </w:p>
              </w:tc>
              <w:tc>
                <w:tcPr>
                  <w:tcW w:w="1907" w:type="pct"/>
                  <w:tcBorders>
                    <w:tl2br w:val="nil"/>
                    <w:tr2bl w:val="nil"/>
                  </w:tcBorders>
                  <w:noWrap w:val="0"/>
                  <w:vAlign w:val="center"/>
                </w:tcPr>
                <w:p w14:paraId="3AE80FF8">
                  <w:pPr>
                    <w:spacing w:line="240" w:lineRule="auto"/>
                    <w:ind w:left="0" w:leftChars="0" w:firstLine="0" w:firstLineChars="0"/>
                    <w:jc w:val="center"/>
                    <w:rPr>
                      <w:rFonts w:hint="default" w:ascii="Times New Roman" w:hAnsi="Times New Roman" w:eastAsia="宋体" w:cs="Times New Roman"/>
                      <w:b w:val="0"/>
                      <w:bCs w:val="0"/>
                      <w:color w:val="auto"/>
                      <w:sz w:val="21"/>
                      <w:szCs w:val="21"/>
                      <w:highlight w:val="none"/>
                      <w:vertAlign w:val="baseline"/>
                      <w:lang w:val="en-US" w:eastAsia="zh-CN"/>
                    </w:rPr>
                  </w:pPr>
                  <w:r>
                    <w:rPr>
                      <w:bCs/>
                      <w:color w:val="auto"/>
                      <w:szCs w:val="24"/>
                      <w:highlight w:val="none"/>
                    </w:rPr>
                    <w:t>《工业企业厂界环境噪声排放标准》（GB12348-2008）</w:t>
                  </w:r>
                  <w:r>
                    <w:rPr>
                      <w:rFonts w:hint="eastAsia"/>
                      <w:bCs/>
                      <w:color w:val="auto"/>
                      <w:szCs w:val="24"/>
                      <w:highlight w:val="none"/>
                      <w:lang w:val="en-US" w:eastAsia="zh-CN"/>
                    </w:rPr>
                    <w:t>2</w:t>
                  </w:r>
                  <w:r>
                    <w:rPr>
                      <w:color w:val="auto"/>
                      <w:szCs w:val="21"/>
                      <w:highlight w:val="none"/>
                    </w:rPr>
                    <w:t>类</w:t>
                  </w:r>
                </w:p>
              </w:tc>
            </w:tr>
          </w:tbl>
          <w:p w14:paraId="5D7DE25A">
            <w:pPr>
              <w:pStyle w:val="70"/>
              <w:keepNext w:val="0"/>
              <w:keepLines w:val="0"/>
              <w:pageBreakBefore w:val="0"/>
              <w:widowControl w:val="0"/>
              <w:kinsoku/>
              <w:wordWrap/>
              <w:overflowPunct/>
              <w:topLinePunct w:val="0"/>
              <w:autoSpaceDE/>
              <w:autoSpaceDN/>
              <w:bidi w:val="0"/>
              <w:adjustRightInd/>
              <w:spacing w:line="312"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八</w:t>
            </w:r>
            <w:r>
              <w:rPr>
                <w:rFonts w:hint="default" w:ascii="Times New Roman" w:hAnsi="Times New Roman" w:eastAsia="宋体" w:cs="Times New Roman"/>
                <w:b/>
                <w:bCs/>
                <w:color w:val="auto"/>
                <w:sz w:val="24"/>
                <w:highlight w:val="none"/>
                <w:lang w:val="en-US" w:eastAsia="zh-CN"/>
              </w:rPr>
              <w:t>、环保治理措施及投资估算</w:t>
            </w:r>
          </w:p>
          <w:p w14:paraId="0FF4CA72">
            <w:pPr>
              <w:keepNext w:val="0"/>
              <w:keepLines w:val="0"/>
              <w:pageBreakBefore w:val="0"/>
              <w:widowControl w:val="0"/>
              <w:kinsoku/>
              <w:wordWrap/>
              <w:overflowPunct/>
              <w:topLinePunct w:val="0"/>
              <w:autoSpaceDE/>
              <w:autoSpaceDN/>
              <w:bidi w:val="0"/>
              <w:adjustRightInd/>
              <w:snapToGrid w:val="0"/>
              <w:spacing w:line="312" w:lineRule="auto"/>
              <w:ind w:firstLine="480" w:firstLineChars="20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本项目工程投资</w:t>
            </w:r>
            <w:r>
              <w:rPr>
                <w:rFonts w:hint="eastAsia" w:cs="Times New Roman"/>
                <w:color w:val="auto"/>
                <w:sz w:val="24"/>
                <w:highlight w:val="none"/>
                <w:lang w:val="en-US" w:eastAsia="zh-CN"/>
              </w:rPr>
              <w:t>1500</w:t>
            </w:r>
            <w:r>
              <w:rPr>
                <w:rFonts w:hint="default" w:ascii="Times New Roman" w:hAnsi="Times New Roman" w:cs="Times New Roman"/>
                <w:color w:val="auto"/>
                <w:sz w:val="24"/>
                <w:highlight w:val="none"/>
              </w:rPr>
              <w:t>万元，环保投资</w:t>
            </w:r>
            <w:r>
              <w:rPr>
                <w:rFonts w:hint="eastAsia" w:cs="Times New Roman"/>
                <w:color w:val="auto"/>
                <w:sz w:val="24"/>
                <w:highlight w:val="none"/>
                <w:lang w:val="en-US" w:eastAsia="zh-CN"/>
              </w:rPr>
              <w:t>162</w:t>
            </w:r>
            <w:r>
              <w:rPr>
                <w:rFonts w:hint="default" w:ascii="Times New Roman" w:hAnsi="Times New Roman" w:cs="Times New Roman"/>
                <w:color w:val="auto"/>
                <w:sz w:val="24"/>
                <w:highlight w:val="none"/>
              </w:rPr>
              <w:t>万元，占总投资的</w:t>
            </w:r>
            <w:r>
              <w:rPr>
                <w:rFonts w:hint="eastAsia" w:cs="Times New Roman"/>
                <w:color w:val="auto"/>
                <w:sz w:val="24"/>
                <w:highlight w:val="none"/>
                <w:lang w:val="en-US" w:eastAsia="zh-CN"/>
              </w:rPr>
              <w:t>10.8</w:t>
            </w:r>
            <w:r>
              <w:rPr>
                <w:rFonts w:hint="default" w:ascii="Times New Roman" w:hAnsi="Times New Roman" w:cs="Times New Roman"/>
                <w:color w:val="auto"/>
                <w:sz w:val="24"/>
                <w:highlight w:val="none"/>
              </w:rPr>
              <w:t>%。环保投资估算明细见下表。</w:t>
            </w:r>
          </w:p>
          <w:p w14:paraId="769F1938">
            <w:pPr>
              <w:pStyle w:val="8"/>
              <w:keepNext/>
              <w:rPr>
                <w:rFonts w:hint="eastAsia" w:ascii="Times New Roman" w:hAnsi="Times New Roman" w:eastAsia="宋体" w:cs="Times New Roman"/>
                <w:b/>
                <w:color w:val="auto"/>
                <w:sz w:val="24"/>
                <w:szCs w:val="24"/>
                <w:highlight w:val="none"/>
                <w:lang w:eastAsia="zh-CN"/>
              </w:rPr>
            </w:pPr>
            <w:r>
              <w:rPr>
                <w:rFonts w:hint="default" w:ascii="Times New Roman" w:hAnsi="Times New Roman" w:eastAsia="宋体" w:cs="Times New Roman"/>
                <w:b/>
                <w:color w:val="auto"/>
                <w:sz w:val="24"/>
                <w:szCs w:val="24"/>
                <w:highlight w:val="none"/>
              </w:rPr>
              <w:t>表4-</w:t>
            </w:r>
            <w:r>
              <w:rPr>
                <w:rFonts w:hint="eastAsia" w:ascii="Times New Roman" w:hAnsi="Times New Roman" w:cs="Times New Roman"/>
                <w:b/>
                <w:color w:val="auto"/>
                <w:sz w:val="24"/>
                <w:szCs w:val="24"/>
                <w:highlight w:val="none"/>
                <w:lang w:val="en-US" w:eastAsia="zh-CN"/>
              </w:rPr>
              <w:t>13</w:t>
            </w:r>
            <w:r>
              <w:rPr>
                <w:rFonts w:hint="default" w:ascii="Times New Roman" w:hAnsi="Times New Roman" w:eastAsia="宋体" w:cs="Times New Roman"/>
                <w:b/>
                <w:color w:val="auto"/>
                <w:sz w:val="24"/>
                <w:szCs w:val="24"/>
                <w:highlight w:val="none"/>
              </w:rPr>
              <w:t>本项目环境保护投资估算一览表</w:t>
            </w:r>
          </w:p>
          <w:tbl>
            <w:tblPr>
              <w:tblStyle w:val="22"/>
              <w:tblW w:w="7959" w:type="dxa"/>
              <w:jc w:val="center"/>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Layout w:type="autofit"/>
              <w:tblCellMar>
                <w:top w:w="0" w:type="dxa"/>
                <w:left w:w="0" w:type="dxa"/>
                <w:bottom w:w="0" w:type="dxa"/>
                <w:right w:w="0" w:type="dxa"/>
              </w:tblCellMar>
            </w:tblPr>
            <w:tblGrid>
              <w:gridCol w:w="554"/>
              <w:gridCol w:w="337"/>
              <w:gridCol w:w="1126"/>
              <w:gridCol w:w="5035"/>
              <w:gridCol w:w="907"/>
            </w:tblGrid>
            <w:tr w14:paraId="425D3F34">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90" w:hRule="atLeast"/>
                <w:jc w:val="center"/>
              </w:trPr>
              <w:tc>
                <w:tcPr>
                  <w:tcW w:w="554" w:type="dxa"/>
                  <w:tcBorders>
                    <w:tl2br w:val="nil"/>
                    <w:tr2bl w:val="nil"/>
                  </w:tcBorders>
                  <w:noWrap w:val="0"/>
                  <w:vAlign w:val="center"/>
                </w:tcPr>
                <w:p w14:paraId="4BFF3874">
                  <w:pPr>
                    <w:widowControl/>
                    <w:jc w:val="center"/>
                    <w:rPr>
                      <w:rFonts w:hint="default" w:ascii="Times New Roman" w:hAnsi="Times New Roman" w:cs="Times New Roman"/>
                      <w:color w:val="auto"/>
                      <w:kern w:val="0"/>
                      <w:szCs w:val="21"/>
                      <w:highlight w:val="none"/>
                    </w:rPr>
                  </w:pPr>
                  <w:bookmarkStart w:id="7" w:name="_Hlk81554350"/>
                  <w:r>
                    <w:rPr>
                      <w:rFonts w:hint="default" w:ascii="Times New Roman" w:hAnsi="Times New Roman" w:cs="Times New Roman"/>
                      <w:color w:val="auto"/>
                      <w:kern w:val="0"/>
                      <w:highlight w:val="none"/>
                    </w:rPr>
                    <w:t>类别</w:t>
                  </w:r>
                  <w:bookmarkEnd w:id="7"/>
                </w:p>
              </w:tc>
              <w:tc>
                <w:tcPr>
                  <w:tcW w:w="1463" w:type="dxa"/>
                  <w:gridSpan w:val="2"/>
                  <w:tcBorders>
                    <w:tl2br w:val="nil"/>
                    <w:tr2bl w:val="nil"/>
                  </w:tcBorders>
                  <w:noWrap w:val="0"/>
                  <w:vAlign w:val="center"/>
                </w:tcPr>
                <w:p w14:paraId="0FAFCF18">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污染源</w:t>
                  </w:r>
                </w:p>
              </w:tc>
              <w:tc>
                <w:tcPr>
                  <w:tcW w:w="5035" w:type="dxa"/>
                  <w:tcBorders>
                    <w:tl2br w:val="nil"/>
                    <w:tr2bl w:val="nil"/>
                  </w:tcBorders>
                  <w:noWrap w:val="0"/>
                  <w:vAlign w:val="center"/>
                </w:tcPr>
                <w:p w14:paraId="29E0918F">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治理措施</w:t>
                  </w:r>
                </w:p>
              </w:tc>
              <w:tc>
                <w:tcPr>
                  <w:tcW w:w="907" w:type="dxa"/>
                  <w:tcBorders>
                    <w:tl2br w:val="nil"/>
                    <w:tr2bl w:val="nil"/>
                  </w:tcBorders>
                  <w:noWrap w:val="0"/>
                  <w:vAlign w:val="center"/>
                </w:tcPr>
                <w:p w14:paraId="0625EA53">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环保投资（万元）</w:t>
                  </w:r>
                </w:p>
              </w:tc>
            </w:tr>
            <w:tr w14:paraId="15A9B155">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restart"/>
                  <w:tcBorders>
                    <w:tl2br w:val="nil"/>
                    <w:tr2bl w:val="nil"/>
                  </w:tcBorders>
                  <w:noWrap w:val="0"/>
                  <w:vAlign w:val="center"/>
                </w:tcPr>
                <w:p w14:paraId="7841BD23">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废气</w:t>
                  </w:r>
                </w:p>
              </w:tc>
              <w:tc>
                <w:tcPr>
                  <w:tcW w:w="1463" w:type="dxa"/>
                  <w:gridSpan w:val="2"/>
                  <w:tcBorders>
                    <w:tl2br w:val="nil"/>
                    <w:tr2bl w:val="nil"/>
                  </w:tcBorders>
                  <w:noWrap w:val="0"/>
                  <w:vAlign w:val="center"/>
                </w:tcPr>
                <w:p w14:paraId="2A829475">
                  <w:pPr>
                    <w:widowControl/>
                    <w:jc w:val="left"/>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rPr>
                    <w:t>水泥、</w:t>
                  </w:r>
                  <w:r>
                    <w:rPr>
                      <w:rFonts w:hint="eastAsia" w:ascii="Times New Roman" w:hAnsi="Times New Roman" w:cs="Times New Roman"/>
                      <w:color w:val="auto"/>
                      <w:kern w:val="0"/>
                      <w:highlight w:val="none"/>
                      <w:lang w:eastAsia="zh-CN"/>
                    </w:rPr>
                    <w:t>石灰石矿粉</w:t>
                  </w:r>
                  <w:r>
                    <w:rPr>
                      <w:rFonts w:hint="default" w:ascii="Times New Roman" w:hAnsi="Times New Roman" w:cs="Times New Roman"/>
                      <w:color w:val="auto"/>
                      <w:kern w:val="0"/>
                      <w:highlight w:val="none"/>
                    </w:rPr>
                    <w:t>、粉煤灰</w:t>
                  </w:r>
                  <w:r>
                    <w:rPr>
                      <w:rFonts w:hint="eastAsia" w:cs="Times New Roman"/>
                      <w:color w:val="auto"/>
                      <w:kern w:val="0"/>
                      <w:highlight w:val="none"/>
                      <w:lang w:eastAsia="zh-CN"/>
                    </w:rPr>
                    <w:t>、</w:t>
                  </w:r>
                  <w:r>
                    <w:rPr>
                      <w:rFonts w:hint="eastAsia" w:cs="Times New Roman"/>
                      <w:color w:val="auto"/>
                      <w:kern w:val="0"/>
                      <w:highlight w:val="none"/>
                      <w:lang w:val="en-US" w:eastAsia="zh-CN"/>
                    </w:rPr>
                    <w:t>膨胀剂</w:t>
                  </w:r>
                  <w:r>
                    <w:rPr>
                      <w:rFonts w:hint="default" w:ascii="Times New Roman" w:hAnsi="Times New Roman" w:cs="Times New Roman"/>
                      <w:color w:val="auto"/>
                      <w:kern w:val="0"/>
                      <w:highlight w:val="none"/>
                    </w:rPr>
                    <w:t>筒仓</w:t>
                  </w:r>
                  <w:r>
                    <w:rPr>
                      <w:rFonts w:hint="eastAsia" w:cs="Times New Roman"/>
                      <w:color w:val="auto"/>
                      <w:kern w:val="0"/>
                      <w:highlight w:val="none"/>
                      <w:lang w:val="en-US" w:eastAsia="zh-CN"/>
                    </w:rPr>
                    <w:t>呼吸口粉尘</w:t>
                  </w:r>
                </w:p>
              </w:tc>
              <w:tc>
                <w:tcPr>
                  <w:tcW w:w="5035" w:type="dxa"/>
                  <w:tcBorders>
                    <w:tl2br w:val="nil"/>
                    <w:tr2bl w:val="nil"/>
                  </w:tcBorders>
                  <w:noWrap w:val="0"/>
                  <w:vAlign w:val="center"/>
                </w:tcPr>
                <w:p w14:paraId="318DF519">
                  <w:pPr>
                    <w:widowControl/>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szCs w:val="21"/>
                      <w:highlight w:val="none"/>
                    </w:rPr>
                    <w:t>水泥、粉煤灰</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石灰石矿粉</w:t>
                  </w:r>
                  <w:r>
                    <w:rPr>
                      <w:rFonts w:hint="eastAsia" w:cs="Times New Roman"/>
                      <w:color w:val="auto"/>
                      <w:kern w:val="0"/>
                      <w:szCs w:val="21"/>
                      <w:highlight w:val="none"/>
                      <w:lang w:val="en-US" w:eastAsia="zh-CN"/>
                    </w:rPr>
                    <w:t>、膨胀剂</w:t>
                  </w:r>
                  <w:r>
                    <w:rPr>
                      <w:rFonts w:hint="default" w:ascii="Times New Roman" w:hAnsi="Times New Roman" w:cs="Times New Roman"/>
                      <w:color w:val="auto"/>
                      <w:kern w:val="0"/>
                      <w:szCs w:val="21"/>
                      <w:highlight w:val="none"/>
                    </w:rPr>
                    <w:t>等粉料筒仓为全封闭筒仓，筒仓顶部均配有仓顶滤芯除尘器</w:t>
                  </w:r>
                  <w:r>
                    <w:rPr>
                      <w:rFonts w:hint="eastAsia" w:cs="Times New Roman"/>
                      <w:color w:val="auto"/>
                      <w:kern w:val="0"/>
                      <w:szCs w:val="21"/>
                      <w:highlight w:val="none"/>
                      <w:lang w:eastAsia="zh-CN"/>
                    </w:rPr>
                    <w:t>，除尘效率≥99%，</w:t>
                  </w:r>
                  <w:r>
                    <w:rPr>
                      <w:rFonts w:hint="eastAsia" w:ascii="Times New Roman" w:hAnsi="Times New Roman" w:cs="Times New Roman"/>
                      <w:color w:val="auto"/>
                      <w:kern w:val="0"/>
                      <w:szCs w:val="21"/>
                      <w:highlight w:val="none"/>
                      <w:lang w:val="en-US" w:eastAsia="zh-CN"/>
                    </w:rPr>
                    <w:t>处理后</w:t>
                  </w:r>
                  <w:r>
                    <w:rPr>
                      <w:rFonts w:hint="eastAsia" w:cs="Times New Roman"/>
                      <w:color w:val="auto"/>
                      <w:kern w:val="0"/>
                      <w:szCs w:val="21"/>
                      <w:highlight w:val="none"/>
                      <w:lang w:val="en-US" w:eastAsia="zh-CN"/>
                    </w:rPr>
                    <w:t>通过仓顶排气筒有组织排放</w:t>
                  </w:r>
                  <w:r>
                    <w:rPr>
                      <w:rFonts w:hint="default" w:ascii="Times New Roman" w:hAnsi="Times New Roman" w:cs="Times New Roman"/>
                      <w:color w:val="auto"/>
                      <w:kern w:val="0"/>
                      <w:szCs w:val="21"/>
                      <w:highlight w:val="none"/>
                    </w:rPr>
                    <w:t>。</w:t>
                  </w:r>
                </w:p>
              </w:tc>
              <w:tc>
                <w:tcPr>
                  <w:tcW w:w="907" w:type="dxa"/>
                  <w:tcBorders>
                    <w:tl2br w:val="nil"/>
                    <w:tr2bl w:val="nil"/>
                  </w:tcBorders>
                  <w:noWrap w:val="0"/>
                  <w:vAlign w:val="center"/>
                </w:tcPr>
                <w:p w14:paraId="4B72F2B5">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20</w:t>
                  </w:r>
                </w:p>
              </w:tc>
            </w:tr>
            <w:tr w14:paraId="56A29D61">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4F9349AF">
                  <w:pPr>
                    <w:widowControl/>
                    <w:jc w:val="center"/>
                    <w:rPr>
                      <w:rFonts w:hint="default" w:ascii="Times New Roman" w:hAnsi="Times New Roman" w:cs="Times New Roman"/>
                      <w:color w:val="auto"/>
                      <w:kern w:val="0"/>
                      <w:highlight w:val="none"/>
                    </w:rPr>
                  </w:pPr>
                </w:p>
              </w:tc>
              <w:tc>
                <w:tcPr>
                  <w:tcW w:w="1463" w:type="dxa"/>
                  <w:gridSpan w:val="2"/>
                  <w:tcBorders>
                    <w:tl2br w:val="nil"/>
                    <w:tr2bl w:val="nil"/>
                  </w:tcBorders>
                  <w:noWrap w:val="0"/>
                  <w:vAlign w:val="center"/>
                </w:tcPr>
                <w:p w14:paraId="328A00A3">
                  <w:pPr>
                    <w:widowControl/>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砂料棚、石料棚装卸无组织粉尘</w:t>
                  </w:r>
                </w:p>
              </w:tc>
              <w:tc>
                <w:tcPr>
                  <w:tcW w:w="5035" w:type="dxa"/>
                  <w:tcBorders>
                    <w:tl2br w:val="nil"/>
                    <w:tr2bl w:val="nil"/>
                  </w:tcBorders>
                  <w:noWrap w:val="0"/>
                  <w:vAlign w:val="center"/>
                </w:tcPr>
                <w:p w14:paraId="5582F53F">
                  <w:pPr>
                    <w:widowControl/>
                    <w:rPr>
                      <w:rFonts w:hint="default" w:ascii="Times New Roman" w:hAnsi="Times New Roman" w:cs="Times New Roman"/>
                      <w:color w:val="auto"/>
                      <w:kern w:val="0"/>
                      <w:highlight w:val="none"/>
                    </w:rPr>
                  </w:pPr>
                  <w:r>
                    <w:rPr>
                      <w:rFonts w:hint="default" w:ascii="Times New Roman" w:hAnsi="Times New Roman" w:cs="Times New Roman"/>
                      <w:color w:val="auto"/>
                      <w:kern w:val="0"/>
                      <w:szCs w:val="21"/>
                      <w:highlight w:val="none"/>
                    </w:rPr>
                    <w:t>砂石存储及卸料粉尘</w:t>
                  </w:r>
                  <w:r>
                    <w:rPr>
                      <w:rFonts w:hint="default"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本项目共设置</w:t>
                  </w:r>
                  <w:r>
                    <w:rPr>
                      <w:rFonts w:hint="eastAsia" w:cs="Times New Roman"/>
                      <w:color w:val="auto"/>
                      <w:kern w:val="0"/>
                      <w:szCs w:val="21"/>
                      <w:highlight w:val="none"/>
                      <w:lang w:val="en-US" w:eastAsia="zh-CN"/>
                    </w:rPr>
                    <w:t>1</w:t>
                  </w:r>
                  <w:r>
                    <w:rPr>
                      <w:rFonts w:hint="eastAsia" w:ascii="Times New Roman" w:hAnsi="Times New Roman" w:cs="Times New Roman"/>
                      <w:color w:val="auto"/>
                      <w:kern w:val="0"/>
                      <w:szCs w:val="21"/>
                      <w:highlight w:val="none"/>
                      <w:lang w:val="en-US" w:eastAsia="zh-CN"/>
                    </w:rPr>
                    <w:t>座</w:t>
                  </w:r>
                  <w:r>
                    <w:rPr>
                      <w:rFonts w:hint="eastAsia" w:cs="Times New Roman"/>
                      <w:color w:val="auto"/>
                      <w:kern w:val="0"/>
                      <w:szCs w:val="21"/>
                      <w:highlight w:val="none"/>
                      <w:lang w:val="en-US" w:eastAsia="zh-CN"/>
                    </w:rPr>
                    <w:t>全封闭</w:t>
                  </w:r>
                  <w:r>
                    <w:rPr>
                      <w:rFonts w:hint="default" w:ascii="Times New Roman" w:hAnsi="Times New Roman" w:cs="Times New Roman"/>
                      <w:color w:val="auto"/>
                      <w:kern w:val="0"/>
                      <w:szCs w:val="21"/>
                      <w:highlight w:val="none"/>
                    </w:rPr>
                    <w:t>砂</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石</w:t>
                  </w:r>
                  <w:r>
                    <w:rPr>
                      <w:rFonts w:hint="default" w:ascii="Times New Roman" w:hAnsi="Times New Roman" w:cs="Times New Roman"/>
                      <w:color w:val="auto"/>
                      <w:kern w:val="0"/>
                      <w:szCs w:val="21"/>
                      <w:highlight w:val="none"/>
                    </w:rPr>
                    <w:t>料棚</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rPr>
                    <w:t>碎石和砂子在</w:t>
                  </w:r>
                  <w:r>
                    <w:rPr>
                      <w:rFonts w:hint="default" w:ascii="Times New Roman" w:hAnsi="Times New Roman" w:cs="Times New Roman"/>
                      <w:color w:val="auto"/>
                      <w:szCs w:val="21"/>
                      <w:highlight w:val="none"/>
                    </w:rPr>
                    <w:t>全封闭式储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储存，</w:t>
                  </w:r>
                  <w:r>
                    <w:rPr>
                      <w:rFonts w:hint="eastAsia" w:ascii="Times New Roman" w:hAnsi="Times New Roman" w:cs="Times New Roman"/>
                      <w:color w:val="auto"/>
                      <w:kern w:val="0"/>
                      <w:szCs w:val="21"/>
                      <w:highlight w:val="none"/>
                      <w:lang w:val="en-US" w:eastAsia="zh-CN"/>
                    </w:rPr>
                    <w:t>储料棚</w:t>
                  </w:r>
                  <w:r>
                    <w:rPr>
                      <w:rFonts w:hint="default" w:ascii="Times New Roman" w:hAnsi="Times New Roman" w:cs="Times New Roman"/>
                      <w:color w:val="auto"/>
                      <w:kern w:val="0"/>
                      <w:szCs w:val="21"/>
                      <w:highlight w:val="none"/>
                    </w:rPr>
                    <w:t>配备</w:t>
                  </w:r>
                  <w:r>
                    <w:rPr>
                      <w:rFonts w:hint="eastAsia" w:cs="Times New Roman"/>
                      <w:color w:val="auto"/>
                      <w:kern w:val="0"/>
                      <w:szCs w:val="21"/>
                      <w:highlight w:val="none"/>
                      <w:lang w:val="en-US" w:eastAsia="zh-CN"/>
                    </w:rPr>
                    <w:t>一套喷淋系统</w:t>
                  </w:r>
                  <w:r>
                    <w:rPr>
                      <w:rFonts w:hint="default" w:ascii="Times New Roman" w:hAnsi="Times New Roman" w:cs="Times New Roman"/>
                      <w:color w:val="auto"/>
                      <w:kern w:val="0"/>
                      <w:szCs w:val="21"/>
                      <w:highlight w:val="none"/>
                    </w:rPr>
                    <w:t>，原料装卸过程尽量减小卸料落差，</w:t>
                  </w:r>
                  <w:r>
                    <w:rPr>
                      <w:rFonts w:hint="default" w:ascii="Times New Roman" w:hAnsi="Times New Roman" w:cs="Times New Roman"/>
                      <w:color w:val="auto"/>
                      <w:szCs w:val="21"/>
                      <w:highlight w:val="none"/>
                    </w:rPr>
                    <w:t>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四周地面硬化。</w:t>
                  </w:r>
                </w:p>
              </w:tc>
              <w:tc>
                <w:tcPr>
                  <w:tcW w:w="907" w:type="dxa"/>
                  <w:tcBorders>
                    <w:tl2br w:val="nil"/>
                    <w:tr2bl w:val="nil"/>
                  </w:tcBorders>
                  <w:noWrap w:val="0"/>
                  <w:vAlign w:val="center"/>
                </w:tcPr>
                <w:p w14:paraId="5C59A3B2">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50</w:t>
                  </w:r>
                </w:p>
              </w:tc>
            </w:tr>
            <w:tr w14:paraId="09CB9F91">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394E9657">
                  <w:pPr>
                    <w:widowControl/>
                    <w:jc w:val="center"/>
                    <w:rPr>
                      <w:rFonts w:hint="default" w:ascii="Times New Roman" w:hAnsi="Times New Roman" w:cs="Times New Roman"/>
                      <w:color w:val="auto"/>
                      <w:kern w:val="0"/>
                      <w:highlight w:val="none"/>
                    </w:rPr>
                  </w:pPr>
                </w:p>
              </w:tc>
              <w:tc>
                <w:tcPr>
                  <w:tcW w:w="1463" w:type="dxa"/>
                  <w:gridSpan w:val="2"/>
                  <w:tcBorders>
                    <w:tl2br w:val="nil"/>
                    <w:tr2bl w:val="nil"/>
                  </w:tcBorders>
                  <w:noWrap w:val="0"/>
                  <w:vAlign w:val="center"/>
                </w:tcPr>
                <w:p w14:paraId="5905517B">
                  <w:pPr>
                    <w:widowControl/>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砂石配料输送过程粉尘</w:t>
                  </w:r>
                </w:p>
              </w:tc>
              <w:tc>
                <w:tcPr>
                  <w:tcW w:w="5035" w:type="dxa"/>
                  <w:tcBorders>
                    <w:tl2br w:val="nil"/>
                    <w:tr2bl w:val="nil"/>
                  </w:tcBorders>
                  <w:noWrap w:val="0"/>
                  <w:vAlign w:val="center"/>
                </w:tcPr>
                <w:p w14:paraId="28174329">
                  <w:pPr>
                    <w:widowControl/>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砂石原料利用装载机由砂料棚、石料棚运至置于砂石料棚内的密闭上料仓，输送带两侧和上部为封闭结构</w:t>
                  </w:r>
                </w:p>
              </w:tc>
              <w:tc>
                <w:tcPr>
                  <w:tcW w:w="907" w:type="dxa"/>
                  <w:tcBorders>
                    <w:tl2br w:val="nil"/>
                    <w:tr2bl w:val="nil"/>
                  </w:tcBorders>
                  <w:noWrap w:val="0"/>
                  <w:vAlign w:val="center"/>
                </w:tcPr>
                <w:p w14:paraId="04C9ED98">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w:t>
                  </w:r>
                </w:p>
              </w:tc>
            </w:tr>
            <w:tr w14:paraId="620B2B0D">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08A84FB7">
                  <w:pPr>
                    <w:widowControl/>
                    <w:jc w:val="left"/>
                    <w:rPr>
                      <w:rFonts w:hint="default" w:ascii="Times New Roman" w:hAnsi="Times New Roman" w:cs="Times New Roman"/>
                      <w:color w:val="auto"/>
                      <w:kern w:val="0"/>
                      <w:szCs w:val="21"/>
                      <w:highlight w:val="none"/>
                    </w:rPr>
                  </w:pPr>
                </w:p>
              </w:tc>
              <w:tc>
                <w:tcPr>
                  <w:tcW w:w="1463" w:type="dxa"/>
                  <w:gridSpan w:val="2"/>
                  <w:tcBorders>
                    <w:tl2br w:val="nil"/>
                    <w:tr2bl w:val="nil"/>
                  </w:tcBorders>
                  <w:noWrap w:val="0"/>
                  <w:vAlign w:val="center"/>
                </w:tcPr>
                <w:p w14:paraId="4DF0BF91">
                  <w:pPr>
                    <w:widowControl/>
                    <w:jc w:val="center"/>
                    <w:rPr>
                      <w:rFonts w:hint="eastAsia"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搅拌</w:t>
                  </w:r>
                  <w:r>
                    <w:rPr>
                      <w:rFonts w:hint="eastAsia" w:cs="Times New Roman"/>
                      <w:color w:val="auto"/>
                      <w:kern w:val="0"/>
                      <w:highlight w:val="none"/>
                      <w:lang w:val="en-US" w:eastAsia="zh-CN"/>
                    </w:rPr>
                    <w:t>粉尘</w:t>
                  </w:r>
                </w:p>
              </w:tc>
              <w:tc>
                <w:tcPr>
                  <w:tcW w:w="5035" w:type="dxa"/>
                  <w:tcBorders>
                    <w:tl2br w:val="nil"/>
                    <w:tr2bl w:val="nil"/>
                  </w:tcBorders>
                  <w:noWrap w:val="0"/>
                  <w:vAlign w:val="center"/>
                </w:tcPr>
                <w:p w14:paraId="4BEAB52F">
                  <w:pPr>
                    <w:widowControl/>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szCs w:val="21"/>
                      <w:highlight w:val="none"/>
                    </w:rPr>
                    <w:t>混凝土搅拌站厂房全封闭，搅拌机配有一套脉冲除尘器，除尘器直接</w:t>
                  </w:r>
                  <w:r>
                    <w:rPr>
                      <w:rFonts w:hint="default" w:ascii="Times New Roman" w:hAnsi="Times New Roman" w:cs="Times New Roman"/>
                      <w:i/>
                      <w:iCs/>
                      <w:color w:val="auto"/>
                      <w:kern w:val="0"/>
                      <w:szCs w:val="21"/>
                      <w:highlight w:val="none"/>
                    </w:rPr>
                    <w:t>安</w:t>
                  </w:r>
                  <w:r>
                    <w:rPr>
                      <w:rFonts w:hint="default" w:ascii="Times New Roman" w:hAnsi="Times New Roman" w:cs="Times New Roman"/>
                      <w:color w:val="auto"/>
                      <w:kern w:val="0"/>
                      <w:szCs w:val="21"/>
                      <w:highlight w:val="none"/>
                    </w:rPr>
                    <w:t>装在缓存斗盖上，缓存斗盖与搅拌机为封闭状态，经除尘器排气口无组织排放；皮带输送机和搅拌主机之间用帆布软连接。</w:t>
                  </w:r>
                </w:p>
              </w:tc>
              <w:tc>
                <w:tcPr>
                  <w:tcW w:w="907" w:type="dxa"/>
                  <w:tcBorders>
                    <w:tl2br w:val="nil"/>
                    <w:tr2bl w:val="nil"/>
                  </w:tcBorders>
                  <w:noWrap w:val="0"/>
                  <w:vAlign w:val="center"/>
                </w:tcPr>
                <w:p w14:paraId="25B3236E">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5</w:t>
                  </w:r>
                </w:p>
              </w:tc>
            </w:tr>
            <w:tr w14:paraId="1E7091EE">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6ADC937B">
                  <w:pPr>
                    <w:widowControl/>
                    <w:jc w:val="left"/>
                    <w:rPr>
                      <w:rFonts w:hint="default" w:ascii="Times New Roman" w:hAnsi="Times New Roman" w:cs="Times New Roman"/>
                      <w:color w:val="auto"/>
                      <w:kern w:val="0"/>
                      <w:szCs w:val="21"/>
                      <w:highlight w:val="none"/>
                    </w:rPr>
                  </w:pPr>
                </w:p>
              </w:tc>
              <w:tc>
                <w:tcPr>
                  <w:tcW w:w="1463" w:type="dxa"/>
                  <w:gridSpan w:val="2"/>
                  <w:tcBorders>
                    <w:tl2br w:val="nil"/>
                    <w:tr2bl w:val="nil"/>
                  </w:tcBorders>
                  <w:noWrap w:val="0"/>
                  <w:vAlign w:val="center"/>
                </w:tcPr>
                <w:p w14:paraId="064E865B">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运输车辆</w:t>
                  </w:r>
                </w:p>
              </w:tc>
              <w:tc>
                <w:tcPr>
                  <w:tcW w:w="5035" w:type="dxa"/>
                  <w:tcBorders>
                    <w:tl2br w:val="nil"/>
                    <w:tr2bl w:val="nil"/>
                  </w:tcBorders>
                  <w:noWrap w:val="0"/>
                  <w:vAlign w:val="center"/>
                </w:tcPr>
                <w:p w14:paraId="1731A6F9">
                  <w:pP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运输过程中要限制车速，对车辆行驶的厂区内路面及运输路线实施洒水抑尘，地面每天洒水2次；厂区有保洁人员及时对散落的物料进行清扫收集。</w:t>
                  </w:r>
                </w:p>
              </w:tc>
              <w:tc>
                <w:tcPr>
                  <w:tcW w:w="907" w:type="dxa"/>
                  <w:tcBorders>
                    <w:tl2br w:val="nil"/>
                    <w:tr2bl w:val="nil"/>
                  </w:tcBorders>
                  <w:noWrap w:val="0"/>
                  <w:vAlign w:val="center"/>
                </w:tcPr>
                <w:p w14:paraId="14D6A76E">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r>
            <w:tr w14:paraId="5BF4E5AC">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7C3E191A">
                  <w:pPr>
                    <w:widowControl/>
                    <w:jc w:val="left"/>
                    <w:rPr>
                      <w:rFonts w:hint="default" w:ascii="Times New Roman" w:hAnsi="Times New Roman" w:cs="Times New Roman"/>
                      <w:color w:val="auto"/>
                      <w:kern w:val="0"/>
                      <w:szCs w:val="21"/>
                      <w:highlight w:val="none"/>
                    </w:rPr>
                  </w:pPr>
                </w:p>
              </w:tc>
              <w:tc>
                <w:tcPr>
                  <w:tcW w:w="1463" w:type="dxa"/>
                  <w:gridSpan w:val="2"/>
                  <w:tcBorders>
                    <w:tl2br w:val="nil"/>
                    <w:tr2bl w:val="nil"/>
                  </w:tcBorders>
                  <w:noWrap w:val="0"/>
                  <w:vAlign w:val="center"/>
                </w:tcPr>
                <w:p w14:paraId="4F72C0EB">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危废暂存间废气</w:t>
                  </w:r>
                </w:p>
              </w:tc>
              <w:tc>
                <w:tcPr>
                  <w:tcW w:w="5035" w:type="dxa"/>
                  <w:tcBorders>
                    <w:tl2br w:val="nil"/>
                    <w:tr2bl w:val="nil"/>
                  </w:tcBorders>
                  <w:noWrap w:val="0"/>
                  <w:vAlign w:val="center"/>
                </w:tcPr>
                <w:p w14:paraId="79185698">
                  <w:pPr>
                    <w:rPr>
                      <w:rFonts w:hint="default" w:ascii="Times New Roman" w:hAnsi="Times New Roman" w:cs="Times New Roman"/>
                      <w:bCs/>
                      <w:color w:val="auto"/>
                      <w:szCs w:val="21"/>
                      <w:highlight w:val="none"/>
                    </w:rPr>
                  </w:pPr>
                  <w:r>
                    <w:rPr>
                      <w:rFonts w:hint="default" w:eastAsia="宋体" w:cs="Times New Roman"/>
                      <w:color w:val="auto"/>
                      <w:highlight w:val="none"/>
                      <w:lang w:val="en-US" w:eastAsia="zh-CN"/>
                    </w:rPr>
                    <w:t>本项目废矿物油贮存量较小，且均使用全封闭铁皮桶盛装，非甲烷总烃在危废暂存间内以无组织形式排放，本项目</w:t>
                  </w:r>
                  <w:r>
                    <w:rPr>
                      <w:rFonts w:hint="eastAsia" w:eastAsia="宋体" w:cs="Times New Roman"/>
                      <w:color w:val="auto"/>
                      <w:highlight w:val="none"/>
                      <w:lang w:val="en-US" w:eastAsia="zh-CN"/>
                    </w:rPr>
                    <w:t>采取</w:t>
                  </w:r>
                  <w:r>
                    <w:rPr>
                      <w:rFonts w:hint="default" w:eastAsia="宋体" w:cs="Times New Roman"/>
                      <w:color w:val="auto"/>
                      <w:highlight w:val="none"/>
                      <w:lang w:val="en-US" w:eastAsia="zh-CN"/>
                    </w:rPr>
                    <w:t>加强危废暂存间内的通风，即可有效减小对周围环境的污染。</w:t>
                  </w:r>
                </w:p>
              </w:tc>
              <w:tc>
                <w:tcPr>
                  <w:tcW w:w="907" w:type="dxa"/>
                  <w:tcBorders>
                    <w:tl2br w:val="nil"/>
                    <w:tr2bl w:val="nil"/>
                  </w:tcBorders>
                  <w:noWrap w:val="0"/>
                  <w:vAlign w:val="center"/>
                </w:tcPr>
                <w:p w14:paraId="4B51A847">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0.5</w:t>
                  </w:r>
                </w:p>
              </w:tc>
            </w:tr>
            <w:tr w14:paraId="766CE31F">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restart"/>
                  <w:tcBorders>
                    <w:tl2br w:val="nil"/>
                    <w:tr2bl w:val="nil"/>
                  </w:tcBorders>
                  <w:noWrap w:val="0"/>
                  <w:vAlign w:val="center"/>
                </w:tcPr>
                <w:p w14:paraId="3DE8CC23">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废水</w:t>
                  </w:r>
                </w:p>
              </w:tc>
              <w:tc>
                <w:tcPr>
                  <w:tcW w:w="1463" w:type="dxa"/>
                  <w:gridSpan w:val="2"/>
                  <w:tcBorders>
                    <w:tl2br w:val="nil"/>
                    <w:tr2bl w:val="nil"/>
                  </w:tcBorders>
                  <w:noWrap w:val="0"/>
                  <w:vAlign w:val="center"/>
                </w:tcPr>
                <w:p w14:paraId="30C12017">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生产废水</w:t>
                  </w:r>
                </w:p>
              </w:tc>
              <w:tc>
                <w:tcPr>
                  <w:tcW w:w="5035" w:type="dxa"/>
                  <w:tcBorders>
                    <w:tl2br w:val="nil"/>
                    <w:tr2bl w:val="nil"/>
                  </w:tcBorders>
                  <w:noWrap w:val="0"/>
                  <w:vAlign w:val="center"/>
                </w:tcPr>
                <w:p w14:paraId="018FA92F">
                  <w:pPr>
                    <w:pStyle w:val="63"/>
                    <w:autoSpaceDE w:val="0"/>
                    <w:autoSpaceDN w:val="0"/>
                    <w:ind w:firstLine="0" w:firstLineChars="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highlight w:val="none"/>
                    </w:rPr>
                    <w:t>厂区设置沉淀池</w:t>
                  </w:r>
                  <w:r>
                    <w:rPr>
                      <w:rFonts w:hint="eastAsia" w:ascii="Times New Roman" w:hAnsi="Times New Roman" w:cs="Times New Roman"/>
                      <w:color w:val="auto"/>
                      <w:highlight w:val="none"/>
                      <w:lang w:val="en-US" w:eastAsia="zh-CN"/>
                    </w:rPr>
                    <w:t>一座</w:t>
                  </w:r>
                  <w:r>
                    <w:rPr>
                      <w:rFonts w:hint="default" w:ascii="Times New Roman" w:hAnsi="Times New Roman" w:cs="Times New Roman"/>
                      <w:color w:val="auto"/>
                      <w:highlight w:val="none"/>
                    </w:rPr>
                    <w:t>，沉淀池均为混凝土结构，总容积为</w:t>
                  </w:r>
                  <w:r>
                    <w:rPr>
                      <w:rFonts w:hint="eastAsia" w:cs="Times New Roman"/>
                      <w:color w:val="auto"/>
                      <w:highlight w:val="none"/>
                      <w:lang w:val="en-US" w:eastAsia="zh-CN"/>
                    </w:rPr>
                    <w:t>200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运输车辆</w:t>
                  </w:r>
                  <w:r>
                    <w:rPr>
                      <w:rFonts w:hint="eastAsia" w:cs="Times New Roman"/>
                      <w:color w:val="auto"/>
                      <w:highlight w:val="none"/>
                      <w:lang w:val="en-US" w:eastAsia="zh-CN"/>
                    </w:rPr>
                    <w:t>清洗废水</w:t>
                  </w:r>
                  <w:r>
                    <w:rPr>
                      <w:rFonts w:hint="default" w:ascii="Times New Roman" w:hAnsi="Times New Roman" w:cs="Times New Roman"/>
                      <w:color w:val="auto"/>
                      <w:highlight w:val="none"/>
                    </w:rPr>
                    <w:t>、</w:t>
                  </w:r>
                  <w:r>
                    <w:rPr>
                      <w:rFonts w:hint="eastAsia" w:cs="Times New Roman"/>
                      <w:color w:val="auto"/>
                      <w:highlight w:val="none"/>
                      <w:lang w:val="en-US" w:eastAsia="zh-CN"/>
                    </w:rPr>
                    <w:t>混凝土罐车清洗废水、搅拌罐清洗废水、</w:t>
                  </w:r>
                  <w:r>
                    <w:rPr>
                      <w:rFonts w:hint="default" w:ascii="Times New Roman" w:hAnsi="Times New Roman" w:cs="Times New Roman"/>
                      <w:color w:val="auto"/>
                      <w:highlight w:val="none"/>
                    </w:rPr>
                    <w:t>实验室废水经收集处理后回用于混凝土搅拌混合，不外排。</w:t>
                  </w:r>
                </w:p>
              </w:tc>
              <w:tc>
                <w:tcPr>
                  <w:tcW w:w="907" w:type="dxa"/>
                  <w:tcBorders>
                    <w:tl2br w:val="nil"/>
                    <w:tr2bl w:val="nil"/>
                  </w:tcBorders>
                  <w:noWrap w:val="0"/>
                  <w:vAlign w:val="center"/>
                </w:tcPr>
                <w:p w14:paraId="1F608B71">
                  <w:pPr>
                    <w:widowControl/>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lang w:val="en-US" w:eastAsia="zh-CN"/>
                    </w:rPr>
                    <w:t>8</w:t>
                  </w:r>
                </w:p>
              </w:tc>
            </w:tr>
            <w:tr w14:paraId="6F4757D2">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2F002088">
                  <w:pPr>
                    <w:widowControl/>
                    <w:jc w:val="left"/>
                    <w:rPr>
                      <w:rFonts w:hint="default" w:ascii="Times New Roman" w:hAnsi="Times New Roman" w:cs="Times New Roman"/>
                      <w:color w:val="auto"/>
                      <w:kern w:val="0"/>
                      <w:szCs w:val="21"/>
                      <w:highlight w:val="none"/>
                    </w:rPr>
                  </w:pPr>
                </w:p>
              </w:tc>
              <w:tc>
                <w:tcPr>
                  <w:tcW w:w="1463" w:type="dxa"/>
                  <w:gridSpan w:val="2"/>
                  <w:tcBorders>
                    <w:tl2br w:val="nil"/>
                    <w:tr2bl w:val="nil"/>
                  </w:tcBorders>
                  <w:noWrap w:val="0"/>
                  <w:vAlign w:val="center"/>
                </w:tcPr>
                <w:p w14:paraId="7BE5988C">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生活污水</w:t>
                  </w:r>
                </w:p>
              </w:tc>
              <w:tc>
                <w:tcPr>
                  <w:tcW w:w="5035" w:type="dxa"/>
                  <w:tcBorders>
                    <w:tl2br w:val="nil"/>
                    <w:tr2bl w:val="nil"/>
                  </w:tcBorders>
                  <w:noWrap w:val="0"/>
                  <w:vAlign w:val="center"/>
                </w:tcPr>
                <w:p w14:paraId="2A4E4657">
                  <w:pPr>
                    <w:widowControl/>
                    <w:jc w:val="left"/>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建设一座</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防渗化粪池，等效黏土防渗层Mb≥1.5m，K≤1×10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r>
                    <w:rPr>
                      <w:rFonts w:hint="eastAsia" w:ascii="Times New Roman" w:hAnsi="Times New Roman" w:cs="Times New Roman"/>
                      <w:color w:val="auto"/>
                      <w:highlight w:val="none"/>
                      <w:lang w:eastAsia="zh-CN"/>
                    </w:rPr>
                    <w:t>，</w:t>
                  </w:r>
                  <w:r>
                    <w:rPr>
                      <w:rFonts w:hint="default" w:ascii="Times New Roman" w:hAnsi="Times New Roman" w:cs="Times New Roman"/>
                      <w:color w:val="auto"/>
                      <w:kern w:val="0"/>
                      <w:szCs w:val="21"/>
                      <w:highlight w:val="none"/>
                    </w:rPr>
                    <w:t>生活污水</w:t>
                  </w:r>
                  <w:r>
                    <w:rPr>
                      <w:rFonts w:hint="eastAsia" w:cs="Times New Roman"/>
                      <w:color w:val="auto"/>
                      <w:kern w:val="0"/>
                      <w:szCs w:val="21"/>
                      <w:highlight w:val="none"/>
                      <w:lang w:val="en-US" w:eastAsia="zh-CN"/>
                    </w:rPr>
                    <w:t>经</w:t>
                  </w:r>
                  <w:r>
                    <w:rPr>
                      <w:rFonts w:hint="default" w:ascii="Times New Roman" w:hAnsi="Times New Roman" w:cs="Times New Roman"/>
                      <w:color w:val="auto"/>
                      <w:kern w:val="0"/>
                      <w:szCs w:val="21"/>
                      <w:highlight w:val="none"/>
                    </w:rPr>
                    <w:t>化粪池预处理</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满足《污水综合排放标准》（GB8978-1996）三级标准后，</w:t>
                  </w:r>
                  <w:r>
                    <w:rPr>
                      <w:rFonts w:hint="eastAsia" w:ascii="Times New Roman" w:hAnsi="Times New Roman" w:cs="Times New Roman"/>
                      <w:color w:val="auto"/>
                      <w:kern w:val="0"/>
                      <w:szCs w:val="21"/>
                      <w:highlight w:val="none"/>
                      <w:lang w:val="en-US" w:eastAsia="zh-CN"/>
                    </w:rPr>
                    <w:t>定期拉运至</w:t>
                  </w:r>
                  <w:r>
                    <w:rPr>
                      <w:rFonts w:hint="eastAsia"/>
                      <w:color w:val="auto"/>
                      <w:highlight w:val="yellow"/>
                      <w:lang w:val="en-US" w:eastAsia="zh-CN"/>
                    </w:rPr>
                    <w:t>阿镇污水处理厂处理</w:t>
                  </w:r>
                  <w:r>
                    <w:rPr>
                      <w:rFonts w:hint="eastAsia" w:ascii="Times New Roman" w:hAnsi="Times New Roman" w:cs="Times New Roman"/>
                      <w:color w:val="auto"/>
                      <w:kern w:val="0"/>
                      <w:szCs w:val="21"/>
                      <w:highlight w:val="none"/>
                      <w:lang w:val="en-US" w:eastAsia="zh-CN"/>
                    </w:rPr>
                    <w:t>。</w:t>
                  </w:r>
                </w:p>
              </w:tc>
              <w:tc>
                <w:tcPr>
                  <w:tcW w:w="907" w:type="dxa"/>
                  <w:tcBorders>
                    <w:tl2br w:val="nil"/>
                    <w:tr2bl w:val="nil"/>
                  </w:tcBorders>
                  <w:noWrap w:val="0"/>
                  <w:vAlign w:val="center"/>
                </w:tcPr>
                <w:p w14:paraId="0DB4C0DF">
                  <w:pPr>
                    <w:widowControl/>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lang w:val="en-US" w:eastAsia="zh-CN"/>
                    </w:rPr>
                    <w:t>5</w:t>
                  </w:r>
                </w:p>
              </w:tc>
            </w:tr>
            <w:tr w14:paraId="22848696">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restart"/>
                  <w:tcBorders>
                    <w:tl2br w:val="nil"/>
                    <w:tr2bl w:val="nil"/>
                  </w:tcBorders>
                  <w:noWrap w:val="0"/>
                  <w:vAlign w:val="center"/>
                </w:tcPr>
                <w:p w14:paraId="39C390F8">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固废</w:t>
                  </w:r>
                </w:p>
              </w:tc>
              <w:tc>
                <w:tcPr>
                  <w:tcW w:w="1463" w:type="dxa"/>
                  <w:gridSpan w:val="2"/>
                  <w:vMerge w:val="restart"/>
                  <w:tcBorders>
                    <w:tl2br w:val="nil"/>
                    <w:tr2bl w:val="nil"/>
                  </w:tcBorders>
                  <w:noWrap w:val="0"/>
                  <w:vAlign w:val="center"/>
                </w:tcPr>
                <w:p w14:paraId="7A69892D">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一般固废</w:t>
                  </w:r>
                </w:p>
              </w:tc>
              <w:tc>
                <w:tcPr>
                  <w:tcW w:w="5035" w:type="dxa"/>
                  <w:tcBorders>
                    <w:tl2br w:val="nil"/>
                    <w:tr2bl w:val="nil"/>
                  </w:tcBorders>
                  <w:noWrap w:val="0"/>
                  <w:vAlign w:val="center"/>
                </w:tcPr>
                <w:p w14:paraId="1624D331">
                  <w:pPr>
                    <w:widowControl/>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本项目仓顶滤芯除尘器工作时拦截的粉尘可直接回落至各筒仓内，搅拌时脉冲布袋除尘器内收集有除尘灰集中收集，回用于生产，不外排。</w:t>
                  </w:r>
                </w:p>
              </w:tc>
              <w:tc>
                <w:tcPr>
                  <w:tcW w:w="907" w:type="dxa"/>
                  <w:tcBorders>
                    <w:tl2br w:val="nil"/>
                    <w:tr2bl w:val="nil"/>
                  </w:tcBorders>
                  <w:noWrap w:val="0"/>
                  <w:vAlign w:val="center"/>
                </w:tcPr>
                <w:p w14:paraId="553D7C5A">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r>
            <w:tr w14:paraId="5953965A">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5CC203C1">
                  <w:pPr>
                    <w:widowControl/>
                    <w:jc w:val="center"/>
                    <w:rPr>
                      <w:rFonts w:hint="default" w:ascii="Times New Roman" w:hAnsi="Times New Roman" w:cs="Times New Roman"/>
                      <w:color w:val="auto"/>
                      <w:kern w:val="0"/>
                      <w:highlight w:val="none"/>
                    </w:rPr>
                  </w:pPr>
                </w:p>
              </w:tc>
              <w:tc>
                <w:tcPr>
                  <w:tcW w:w="1463" w:type="dxa"/>
                  <w:gridSpan w:val="2"/>
                  <w:vMerge w:val="continue"/>
                  <w:tcBorders>
                    <w:tl2br w:val="nil"/>
                    <w:tr2bl w:val="nil"/>
                  </w:tcBorders>
                  <w:noWrap w:val="0"/>
                  <w:vAlign w:val="center"/>
                </w:tcPr>
                <w:p w14:paraId="7CDDA264">
                  <w:pPr>
                    <w:widowControl/>
                    <w:jc w:val="center"/>
                    <w:rPr>
                      <w:rFonts w:hint="default" w:ascii="Times New Roman" w:hAnsi="Times New Roman" w:cs="Times New Roman"/>
                      <w:color w:val="auto"/>
                      <w:kern w:val="0"/>
                      <w:highlight w:val="none"/>
                    </w:rPr>
                  </w:pPr>
                </w:p>
              </w:tc>
              <w:tc>
                <w:tcPr>
                  <w:tcW w:w="5035" w:type="dxa"/>
                  <w:tcBorders>
                    <w:tl2br w:val="nil"/>
                    <w:tr2bl w:val="nil"/>
                  </w:tcBorders>
                  <w:noWrap w:val="0"/>
                  <w:vAlign w:val="center"/>
                </w:tcPr>
                <w:p w14:paraId="1C3A477E">
                  <w:pPr>
                    <w:widowControl/>
                    <w:rPr>
                      <w:rFonts w:hint="default" w:ascii="Times New Roman" w:hAnsi="Times New Roman" w:cs="Times New Roman"/>
                      <w:color w:val="auto"/>
                      <w:kern w:val="0"/>
                      <w:highlight w:val="none"/>
                    </w:rPr>
                  </w:pPr>
                  <w:r>
                    <w:rPr>
                      <w:rFonts w:hint="eastAsia" w:ascii="Times New Roman" w:hAnsi="Times New Roman" w:eastAsia="宋体" w:cs="Times New Roman"/>
                      <w:color w:val="auto"/>
                      <w:spacing w:val="-2"/>
                      <w:sz w:val="21"/>
                      <w:szCs w:val="21"/>
                      <w:highlight w:val="none"/>
                      <w:lang w:val="en-US" w:eastAsia="zh-CN"/>
                    </w:rPr>
                    <w:t>废布袋定期由厂家更换带走，不在厂区暂存。</w:t>
                  </w:r>
                </w:p>
              </w:tc>
              <w:tc>
                <w:tcPr>
                  <w:tcW w:w="907" w:type="dxa"/>
                  <w:tcBorders>
                    <w:tl2br w:val="nil"/>
                    <w:tr2bl w:val="nil"/>
                  </w:tcBorders>
                  <w:noWrap w:val="0"/>
                  <w:vAlign w:val="center"/>
                </w:tcPr>
                <w:p w14:paraId="3531291D">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r>
            <w:tr w14:paraId="20CE3FAC">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789D77F8">
                  <w:pPr>
                    <w:widowControl/>
                    <w:jc w:val="center"/>
                    <w:rPr>
                      <w:rFonts w:hint="default" w:ascii="Times New Roman" w:hAnsi="Times New Roman" w:cs="Times New Roman"/>
                      <w:color w:val="auto"/>
                      <w:kern w:val="0"/>
                      <w:highlight w:val="none"/>
                    </w:rPr>
                  </w:pPr>
                </w:p>
              </w:tc>
              <w:tc>
                <w:tcPr>
                  <w:tcW w:w="1463" w:type="dxa"/>
                  <w:gridSpan w:val="2"/>
                  <w:vMerge w:val="continue"/>
                  <w:tcBorders>
                    <w:tl2br w:val="nil"/>
                    <w:tr2bl w:val="nil"/>
                  </w:tcBorders>
                  <w:noWrap w:val="0"/>
                  <w:vAlign w:val="center"/>
                </w:tcPr>
                <w:p w14:paraId="4441A10F">
                  <w:pPr>
                    <w:widowControl/>
                    <w:jc w:val="center"/>
                    <w:rPr>
                      <w:rFonts w:hint="default" w:ascii="Times New Roman" w:hAnsi="Times New Roman" w:cs="Times New Roman"/>
                      <w:color w:val="auto"/>
                      <w:kern w:val="0"/>
                      <w:highlight w:val="none"/>
                    </w:rPr>
                  </w:pPr>
                </w:p>
              </w:tc>
              <w:tc>
                <w:tcPr>
                  <w:tcW w:w="5035" w:type="dxa"/>
                  <w:tcBorders>
                    <w:tl2br w:val="nil"/>
                    <w:tr2bl w:val="nil"/>
                  </w:tcBorders>
                  <w:noWrap w:val="0"/>
                  <w:vAlign w:val="center"/>
                </w:tcPr>
                <w:p w14:paraId="4BC2D912">
                  <w:pPr>
                    <w:widowControl/>
                    <w:rPr>
                      <w:rFonts w:hint="eastAsia"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rPr>
                    <w:t>沉淀池收集的运输车辆清洗、实验室等生产废水中含有大量的泥沙及混凝土</w:t>
                  </w:r>
                  <w:r>
                    <w:rPr>
                      <w:rFonts w:hint="eastAsia" w:cs="Times New Roman"/>
                      <w:color w:val="auto"/>
                      <w:kern w:val="0"/>
                      <w:highlight w:val="none"/>
                      <w:lang w:eastAsia="zh-CN"/>
                    </w:rPr>
                    <w:t>，</w:t>
                  </w:r>
                  <w:r>
                    <w:rPr>
                      <w:rFonts w:hint="eastAsia" w:cs="Times New Roman"/>
                      <w:color w:val="auto"/>
                      <w:kern w:val="0"/>
                      <w:highlight w:val="none"/>
                      <w:lang w:val="en-US" w:eastAsia="zh-CN"/>
                    </w:rPr>
                    <w:t>经砂石分离机分离后，</w:t>
                  </w:r>
                  <w:r>
                    <w:rPr>
                      <w:rFonts w:hint="eastAsia" w:cs="Times New Roman"/>
                      <w:color w:val="auto"/>
                      <w:kern w:val="0"/>
                      <w:highlight w:val="none"/>
                      <w:lang w:eastAsia="zh-CN"/>
                    </w:rPr>
                    <w:t>将其定期捞取后回用于混凝土生产。</w:t>
                  </w:r>
                </w:p>
              </w:tc>
              <w:tc>
                <w:tcPr>
                  <w:tcW w:w="907" w:type="dxa"/>
                  <w:tcBorders>
                    <w:tl2br w:val="nil"/>
                    <w:tr2bl w:val="nil"/>
                  </w:tcBorders>
                  <w:noWrap w:val="0"/>
                  <w:vAlign w:val="center"/>
                </w:tcPr>
                <w:p w14:paraId="374E2F10">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r>
            <w:tr w14:paraId="7DAEF4C8">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00D167B2">
                  <w:pPr>
                    <w:widowControl/>
                    <w:jc w:val="left"/>
                    <w:rPr>
                      <w:rFonts w:hint="default" w:ascii="Times New Roman" w:hAnsi="Times New Roman" w:cs="Times New Roman"/>
                      <w:color w:val="auto"/>
                      <w:kern w:val="0"/>
                      <w:szCs w:val="21"/>
                      <w:highlight w:val="none"/>
                    </w:rPr>
                  </w:pPr>
                </w:p>
              </w:tc>
              <w:tc>
                <w:tcPr>
                  <w:tcW w:w="1463" w:type="dxa"/>
                  <w:gridSpan w:val="2"/>
                  <w:vMerge w:val="continue"/>
                  <w:tcBorders>
                    <w:tl2br w:val="nil"/>
                    <w:tr2bl w:val="nil"/>
                  </w:tcBorders>
                  <w:noWrap w:val="0"/>
                  <w:vAlign w:val="center"/>
                </w:tcPr>
                <w:p w14:paraId="746DC971">
                  <w:pPr>
                    <w:widowControl/>
                    <w:jc w:val="left"/>
                    <w:rPr>
                      <w:rFonts w:hint="default" w:ascii="Times New Roman" w:hAnsi="Times New Roman" w:cs="Times New Roman"/>
                      <w:color w:val="auto"/>
                      <w:kern w:val="0"/>
                      <w:szCs w:val="21"/>
                      <w:highlight w:val="none"/>
                    </w:rPr>
                  </w:pPr>
                </w:p>
              </w:tc>
              <w:tc>
                <w:tcPr>
                  <w:tcW w:w="5035" w:type="dxa"/>
                  <w:tcBorders>
                    <w:tl2br w:val="nil"/>
                    <w:tr2bl w:val="nil"/>
                  </w:tcBorders>
                  <w:noWrap w:val="0"/>
                  <w:vAlign w:val="center"/>
                </w:tcPr>
                <w:p w14:paraId="0A969BF8">
                  <w:pPr>
                    <w:widowControl/>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实验室混凝土块、逸散混凝土集中收集在石料库一般固废暂存区中暂存，再回用于生产。</w:t>
                  </w:r>
                </w:p>
              </w:tc>
              <w:tc>
                <w:tcPr>
                  <w:tcW w:w="907" w:type="dxa"/>
                  <w:tcBorders>
                    <w:tl2br w:val="nil"/>
                    <w:tr2bl w:val="nil"/>
                  </w:tcBorders>
                  <w:noWrap w:val="0"/>
                  <w:vAlign w:val="center"/>
                </w:tcPr>
                <w:p w14:paraId="1332B51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w:t>
                  </w:r>
                </w:p>
              </w:tc>
            </w:tr>
            <w:tr w14:paraId="229B2125">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40A665A7">
                  <w:pPr>
                    <w:widowControl/>
                    <w:jc w:val="left"/>
                    <w:rPr>
                      <w:rFonts w:hint="default" w:ascii="Times New Roman" w:hAnsi="Times New Roman" w:cs="Times New Roman"/>
                      <w:color w:val="auto"/>
                      <w:kern w:val="0"/>
                      <w:szCs w:val="21"/>
                      <w:highlight w:val="none"/>
                    </w:rPr>
                  </w:pPr>
                </w:p>
              </w:tc>
              <w:tc>
                <w:tcPr>
                  <w:tcW w:w="1463" w:type="dxa"/>
                  <w:gridSpan w:val="2"/>
                  <w:tcBorders>
                    <w:tl2br w:val="nil"/>
                    <w:tr2bl w:val="nil"/>
                  </w:tcBorders>
                  <w:noWrap w:val="0"/>
                  <w:vAlign w:val="center"/>
                </w:tcPr>
                <w:p w14:paraId="0B30270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生活垃圾</w:t>
                  </w:r>
                </w:p>
              </w:tc>
              <w:tc>
                <w:tcPr>
                  <w:tcW w:w="5035" w:type="dxa"/>
                  <w:tcBorders>
                    <w:tl2br w:val="nil"/>
                    <w:tr2bl w:val="nil"/>
                  </w:tcBorders>
                  <w:noWrap w:val="0"/>
                  <w:vAlign w:val="center"/>
                </w:tcPr>
                <w:p w14:paraId="4EF41263">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厂区设置垃圾箱收集，环卫部门统一收集处理</w:t>
                  </w:r>
                </w:p>
              </w:tc>
              <w:tc>
                <w:tcPr>
                  <w:tcW w:w="907" w:type="dxa"/>
                  <w:tcBorders>
                    <w:tl2br w:val="nil"/>
                    <w:tr2bl w:val="nil"/>
                  </w:tcBorders>
                  <w:noWrap w:val="0"/>
                  <w:vAlign w:val="center"/>
                </w:tcPr>
                <w:p w14:paraId="2F3DCF3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0.5</w:t>
                  </w:r>
                </w:p>
              </w:tc>
            </w:tr>
            <w:tr w14:paraId="7D340A1E">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71C5E8B4">
                  <w:pPr>
                    <w:widowControl/>
                    <w:jc w:val="left"/>
                    <w:rPr>
                      <w:rFonts w:hint="default" w:ascii="Times New Roman" w:hAnsi="Times New Roman" w:cs="Times New Roman"/>
                      <w:color w:val="auto"/>
                      <w:kern w:val="0"/>
                      <w:szCs w:val="21"/>
                      <w:highlight w:val="none"/>
                    </w:rPr>
                  </w:pPr>
                </w:p>
              </w:tc>
              <w:tc>
                <w:tcPr>
                  <w:tcW w:w="1463" w:type="dxa"/>
                  <w:gridSpan w:val="2"/>
                  <w:vMerge w:val="restart"/>
                  <w:tcBorders>
                    <w:tl2br w:val="nil"/>
                    <w:tr2bl w:val="nil"/>
                  </w:tcBorders>
                  <w:noWrap w:val="0"/>
                  <w:vAlign w:val="center"/>
                </w:tcPr>
                <w:p w14:paraId="230DBCD0">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危险废物</w:t>
                  </w:r>
                </w:p>
              </w:tc>
              <w:tc>
                <w:tcPr>
                  <w:tcW w:w="5035" w:type="dxa"/>
                  <w:tcBorders>
                    <w:tl2br w:val="nil"/>
                    <w:tr2bl w:val="nil"/>
                  </w:tcBorders>
                  <w:noWrap w:val="0"/>
                  <w:vAlign w:val="center"/>
                </w:tcPr>
                <w:p w14:paraId="75D3769B">
                  <w:pPr>
                    <w:widowControl/>
                    <w:ind w:firstLine="420" w:firstLineChars="200"/>
                    <w:jc w:val="left"/>
                    <w:rPr>
                      <w:rFonts w:hint="default" w:ascii="Times New Roman" w:hAnsi="Times New Roman" w:cs="Times New Roman"/>
                      <w:color w:val="auto"/>
                      <w:kern w:val="0"/>
                      <w:highlight w:val="none"/>
                    </w:rPr>
                  </w:pPr>
                  <w:r>
                    <w:rPr>
                      <w:rFonts w:hint="eastAsia" w:cs="Times New Roman"/>
                      <w:color w:val="auto"/>
                      <w:kern w:val="0"/>
                      <w:highlight w:val="none"/>
                      <w:lang w:val="en-US" w:eastAsia="zh-CN"/>
                    </w:rPr>
                    <w:t>废矿物油、废油桶暂存于厂区东侧</w:t>
                  </w:r>
                  <w:r>
                    <w:rPr>
                      <w:rFonts w:hint="eastAsia" w:cs="Times New Roman"/>
                      <w:color w:val="auto"/>
                      <w:szCs w:val="21"/>
                      <w:highlight w:val="none"/>
                      <w:lang w:val="en-US" w:eastAsia="zh-CN"/>
                    </w:rPr>
                    <w:t>18m</w:t>
                  </w:r>
                  <w:r>
                    <w:rPr>
                      <w:rFonts w:hint="eastAsia" w:cs="Times New Roman"/>
                      <w:color w:val="auto"/>
                      <w:szCs w:val="21"/>
                      <w:highlight w:val="none"/>
                      <w:vertAlign w:val="superscript"/>
                      <w:lang w:val="en-US" w:eastAsia="zh-CN"/>
                    </w:rPr>
                    <w:t>2</w:t>
                  </w:r>
                  <w:r>
                    <w:rPr>
                      <w:rFonts w:hint="eastAsia" w:cs="Times New Roman"/>
                      <w:color w:val="auto"/>
                      <w:kern w:val="0"/>
                      <w:highlight w:val="none"/>
                      <w:lang w:val="en-US" w:eastAsia="zh-CN"/>
                    </w:rPr>
                    <w:t>危废暂存间内，定期交由具有危险废物处理资质的公司处理。</w:t>
                  </w:r>
                </w:p>
              </w:tc>
              <w:tc>
                <w:tcPr>
                  <w:tcW w:w="907" w:type="dxa"/>
                  <w:tcBorders>
                    <w:tl2br w:val="nil"/>
                    <w:tr2bl w:val="nil"/>
                  </w:tcBorders>
                  <w:noWrap w:val="0"/>
                  <w:vAlign w:val="center"/>
                </w:tcPr>
                <w:p w14:paraId="4757650B">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w:t>
                  </w:r>
                </w:p>
              </w:tc>
            </w:tr>
            <w:tr w14:paraId="7D5B0B4C">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vMerge w:val="continue"/>
                  <w:tcBorders>
                    <w:tl2br w:val="nil"/>
                    <w:tr2bl w:val="nil"/>
                  </w:tcBorders>
                  <w:noWrap w:val="0"/>
                  <w:vAlign w:val="center"/>
                </w:tcPr>
                <w:p w14:paraId="28F4D956">
                  <w:pPr>
                    <w:widowControl/>
                    <w:jc w:val="left"/>
                    <w:rPr>
                      <w:rFonts w:hint="default" w:ascii="Times New Roman" w:hAnsi="Times New Roman" w:cs="Times New Roman"/>
                      <w:color w:val="auto"/>
                      <w:kern w:val="0"/>
                      <w:szCs w:val="21"/>
                      <w:highlight w:val="none"/>
                    </w:rPr>
                  </w:pPr>
                </w:p>
              </w:tc>
              <w:tc>
                <w:tcPr>
                  <w:tcW w:w="1463" w:type="dxa"/>
                  <w:gridSpan w:val="2"/>
                  <w:vMerge w:val="continue"/>
                  <w:tcBorders>
                    <w:tl2br w:val="nil"/>
                    <w:tr2bl w:val="nil"/>
                  </w:tcBorders>
                  <w:noWrap w:val="0"/>
                  <w:vAlign w:val="center"/>
                </w:tcPr>
                <w:p w14:paraId="1B6BA556">
                  <w:pPr>
                    <w:widowControl/>
                    <w:jc w:val="center"/>
                    <w:rPr>
                      <w:rFonts w:hint="eastAsia" w:cs="Times New Roman"/>
                      <w:color w:val="auto"/>
                      <w:kern w:val="0"/>
                      <w:highlight w:val="none"/>
                      <w:lang w:val="en-US" w:eastAsia="zh-CN"/>
                    </w:rPr>
                  </w:pPr>
                </w:p>
              </w:tc>
              <w:tc>
                <w:tcPr>
                  <w:tcW w:w="5035" w:type="dxa"/>
                  <w:tcBorders>
                    <w:tl2br w:val="nil"/>
                    <w:tr2bl w:val="nil"/>
                  </w:tcBorders>
                  <w:noWrap w:val="0"/>
                  <w:vAlign w:val="center"/>
                </w:tcPr>
                <w:p w14:paraId="649EC884">
                  <w:pPr>
                    <w:widowControl/>
                    <w:ind w:firstLine="420" w:firstLineChars="200"/>
                    <w:jc w:val="left"/>
                    <w:rPr>
                      <w:rFonts w:hint="eastAsia" w:cs="Times New Roman"/>
                      <w:color w:val="auto"/>
                      <w:kern w:val="0"/>
                      <w:highlight w:val="none"/>
                      <w:lang w:val="en-US" w:eastAsia="zh-CN"/>
                    </w:rPr>
                  </w:pPr>
                  <w:r>
                    <w:rPr>
                      <w:rFonts w:hint="eastAsia" w:cs="Times New Roman"/>
                      <w:color w:val="auto"/>
                      <w:kern w:val="0"/>
                      <w:highlight w:val="yellow"/>
                      <w:lang w:val="en-US" w:eastAsia="zh-CN"/>
                    </w:rPr>
                    <w:t>本项目生产过程中产生的含油废手套、废抹布应设置专用容器分类收集，按危险废物进行管理，交由具备资质危险废物处置单位处置；仅当该类废物被动混入生活垃圾时，方可执行豁免管理，企业不得主动将该类危险废物混入生活垃圾。</w:t>
                  </w:r>
                </w:p>
              </w:tc>
              <w:tc>
                <w:tcPr>
                  <w:tcW w:w="907" w:type="dxa"/>
                  <w:tcBorders>
                    <w:tl2br w:val="nil"/>
                    <w:tr2bl w:val="nil"/>
                  </w:tcBorders>
                  <w:noWrap w:val="0"/>
                  <w:vAlign w:val="center"/>
                </w:tcPr>
                <w:p w14:paraId="3F233DB5">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w:t>
                  </w:r>
                </w:p>
              </w:tc>
            </w:tr>
            <w:tr w14:paraId="704BA306">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554" w:type="dxa"/>
                  <w:tcBorders>
                    <w:tl2br w:val="nil"/>
                    <w:tr2bl w:val="nil"/>
                  </w:tcBorders>
                  <w:noWrap w:val="0"/>
                  <w:vAlign w:val="center"/>
                </w:tcPr>
                <w:p w14:paraId="21E4972E">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噪声</w:t>
                  </w:r>
                </w:p>
              </w:tc>
              <w:tc>
                <w:tcPr>
                  <w:tcW w:w="1463" w:type="dxa"/>
                  <w:gridSpan w:val="2"/>
                  <w:tcBorders>
                    <w:tl2br w:val="nil"/>
                    <w:tr2bl w:val="nil"/>
                  </w:tcBorders>
                  <w:noWrap w:val="0"/>
                  <w:vAlign w:val="center"/>
                </w:tcPr>
                <w:p w14:paraId="44802C4E">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设备运转、运输噪声等</w:t>
                  </w:r>
                </w:p>
              </w:tc>
              <w:tc>
                <w:tcPr>
                  <w:tcW w:w="5035" w:type="dxa"/>
                  <w:tcBorders>
                    <w:tl2br w:val="nil"/>
                    <w:tr2bl w:val="nil"/>
                  </w:tcBorders>
                  <w:noWrap w:val="0"/>
                  <w:vAlign w:val="center"/>
                </w:tcPr>
                <w:p w14:paraId="183D48F7">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采用隔声、减震及置于封闭车间内等措施。</w:t>
                  </w:r>
                </w:p>
              </w:tc>
              <w:tc>
                <w:tcPr>
                  <w:tcW w:w="907" w:type="dxa"/>
                  <w:tcBorders>
                    <w:tl2br w:val="nil"/>
                    <w:tr2bl w:val="nil"/>
                  </w:tcBorders>
                  <w:noWrap w:val="0"/>
                  <w:vAlign w:val="center"/>
                </w:tcPr>
                <w:p w14:paraId="26F0BEEE">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8</w:t>
                  </w:r>
                </w:p>
              </w:tc>
            </w:tr>
            <w:tr w14:paraId="19C83FFD">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406" w:hRule="atLeast"/>
                <w:jc w:val="center"/>
              </w:trPr>
              <w:tc>
                <w:tcPr>
                  <w:tcW w:w="554" w:type="dxa"/>
                  <w:vMerge w:val="restart"/>
                  <w:tcBorders>
                    <w:tl2br w:val="nil"/>
                    <w:tr2bl w:val="nil"/>
                  </w:tcBorders>
                  <w:noWrap w:val="0"/>
                  <w:vAlign w:val="center"/>
                </w:tcPr>
                <w:p w14:paraId="68C71512">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地下水、土壤</w:t>
                  </w:r>
                </w:p>
              </w:tc>
              <w:tc>
                <w:tcPr>
                  <w:tcW w:w="337" w:type="dxa"/>
                  <w:vMerge w:val="restart"/>
                  <w:tcBorders>
                    <w:tl2br w:val="nil"/>
                    <w:tr2bl w:val="nil"/>
                  </w:tcBorders>
                  <w:noWrap w:val="0"/>
                  <w:vAlign w:val="center"/>
                </w:tcPr>
                <w:p w14:paraId="08321A8B">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防渗</w:t>
                  </w:r>
                </w:p>
              </w:tc>
              <w:tc>
                <w:tcPr>
                  <w:tcW w:w="1126" w:type="dxa"/>
                  <w:tcBorders>
                    <w:tl2br w:val="nil"/>
                    <w:tr2bl w:val="nil"/>
                  </w:tcBorders>
                  <w:noWrap w:val="0"/>
                  <w:vAlign w:val="center"/>
                </w:tcPr>
                <w:p w14:paraId="44CB339E">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重点防渗区</w:t>
                  </w:r>
                </w:p>
              </w:tc>
              <w:tc>
                <w:tcPr>
                  <w:tcW w:w="5035" w:type="dxa"/>
                  <w:tcBorders>
                    <w:tl2br w:val="nil"/>
                    <w:tr2bl w:val="nil"/>
                  </w:tcBorders>
                  <w:noWrap w:val="0"/>
                  <w:vAlign w:val="center"/>
                </w:tcPr>
                <w:p w14:paraId="0473107B">
                  <w:pPr>
                    <w:widowControl/>
                    <w:jc w:val="left"/>
                    <w:rPr>
                      <w:rFonts w:hint="eastAsia" w:cs="Times New Roman"/>
                      <w:color w:val="auto"/>
                      <w:szCs w:val="21"/>
                      <w:highlight w:val="none"/>
                      <w:vertAlign w:val="baseline"/>
                      <w:lang w:val="en-US" w:eastAsia="zh-CN"/>
                    </w:rPr>
                  </w:pPr>
                  <w:r>
                    <w:rPr>
                      <w:rFonts w:hint="eastAsia" w:cs="Times New Roman"/>
                      <w:color w:val="auto"/>
                      <w:szCs w:val="21"/>
                      <w:highlight w:val="none"/>
                      <w:vertAlign w:val="baseline"/>
                      <w:lang w:val="en-US" w:eastAsia="zh-CN"/>
                    </w:rPr>
                    <w:t>危废暂存间地面、导流槽、集液池、裙角按照要求进行防渗处理，采用素土夯实、水泥砂浆保护层、1.5mmHDPE防渗膜、200mm厚C30P6抗渗钢筋混凝土及环氧树脂防腐地坪多层复合重点防渗结构，满足渗透系数不大于10</w:t>
                  </w:r>
                  <w:r>
                    <w:rPr>
                      <w:rFonts w:hint="eastAsia" w:cs="Times New Roman"/>
                      <w:color w:val="auto"/>
                      <w:szCs w:val="21"/>
                      <w:highlight w:val="none"/>
                      <w:vertAlign w:val="superscript"/>
                      <w:lang w:val="en-US" w:eastAsia="zh-CN"/>
                    </w:rPr>
                    <w:t>-10</w:t>
                  </w:r>
                  <w:r>
                    <w:rPr>
                      <w:rFonts w:hint="eastAsia" w:cs="Times New Roman"/>
                      <w:color w:val="auto"/>
                      <w:szCs w:val="21"/>
                      <w:highlight w:val="none"/>
                      <w:vertAlign w:val="baseline"/>
                      <w:lang w:val="en-US" w:eastAsia="zh-CN"/>
                    </w:rPr>
                    <w:t>cm/s。</w:t>
                  </w:r>
                </w:p>
              </w:tc>
              <w:tc>
                <w:tcPr>
                  <w:tcW w:w="907" w:type="dxa"/>
                  <w:tcBorders>
                    <w:tl2br w:val="nil"/>
                    <w:tr2bl w:val="nil"/>
                  </w:tcBorders>
                  <w:noWrap w:val="0"/>
                  <w:vAlign w:val="center"/>
                </w:tcPr>
                <w:p w14:paraId="039F3C25">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5</w:t>
                  </w:r>
                </w:p>
              </w:tc>
            </w:tr>
            <w:tr w14:paraId="3E2E24B8">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406" w:hRule="atLeast"/>
                <w:jc w:val="center"/>
              </w:trPr>
              <w:tc>
                <w:tcPr>
                  <w:tcW w:w="554" w:type="dxa"/>
                  <w:vMerge w:val="continue"/>
                  <w:tcBorders>
                    <w:tl2br w:val="nil"/>
                    <w:tr2bl w:val="nil"/>
                  </w:tcBorders>
                  <w:noWrap w:val="0"/>
                  <w:vAlign w:val="center"/>
                </w:tcPr>
                <w:p w14:paraId="30D8AF39">
                  <w:pPr>
                    <w:widowControl/>
                    <w:jc w:val="center"/>
                    <w:rPr>
                      <w:rFonts w:hint="default" w:ascii="Times New Roman" w:hAnsi="Times New Roman" w:eastAsia="宋体" w:cs="Times New Roman"/>
                      <w:color w:val="auto"/>
                      <w:kern w:val="0"/>
                      <w:highlight w:val="none"/>
                      <w:lang w:val="en-US" w:eastAsia="zh-CN"/>
                    </w:rPr>
                  </w:pPr>
                </w:p>
              </w:tc>
              <w:tc>
                <w:tcPr>
                  <w:tcW w:w="337" w:type="dxa"/>
                  <w:vMerge w:val="continue"/>
                  <w:tcBorders>
                    <w:tl2br w:val="nil"/>
                    <w:tr2bl w:val="nil"/>
                  </w:tcBorders>
                  <w:noWrap w:val="0"/>
                  <w:vAlign w:val="center"/>
                </w:tcPr>
                <w:p w14:paraId="3A1B2EC2">
                  <w:pPr>
                    <w:widowControl/>
                    <w:jc w:val="center"/>
                    <w:rPr>
                      <w:rFonts w:hint="eastAsia" w:ascii="Times New Roman" w:hAnsi="Times New Roman" w:eastAsia="宋体" w:cs="Times New Roman"/>
                      <w:color w:val="auto"/>
                      <w:kern w:val="0"/>
                      <w:highlight w:val="none"/>
                      <w:lang w:val="en-US" w:eastAsia="zh-CN"/>
                    </w:rPr>
                  </w:pPr>
                </w:p>
              </w:tc>
              <w:tc>
                <w:tcPr>
                  <w:tcW w:w="1126" w:type="dxa"/>
                  <w:tcBorders>
                    <w:tl2br w:val="nil"/>
                    <w:tr2bl w:val="nil"/>
                  </w:tcBorders>
                  <w:noWrap w:val="0"/>
                  <w:vAlign w:val="center"/>
                </w:tcPr>
                <w:p w14:paraId="2AEC8238">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一般防渗区</w:t>
                  </w:r>
                </w:p>
              </w:tc>
              <w:tc>
                <w:tcPr>
                  <w:tcW w:w="5035" w:type="dxa"/>
                  <w:tcBorders>
                    <w:tl2br w:val="nil"/>
                    <w:tr2bl w:val="nil"/>
                  </w:tcBorders>
                  <w:noWrap w:val="0"/>
                  <w:vAlign w:val="center"/>
                </w:tcPr>
                <w:p w14:paraId="4A8390E9">
                  <w:pPr>
                    <w:widowControl/>
                    <w:jc w:val="left"/>
                    <w:rPr>
                      <w:rFonts w:hint="default" w:ascii="Times New Roman" w:hAnsi="Times New Roman" w:cs="Times New Roman"/>
                      <w:color w:val="auto"/>
                      <w:kern w:val="0"/>
                      <w:highlight w:val="none"/>
                    </w:rPr>
                  </w:pPr>
                  <w:r>
                    <w:rPr>
                      <w:rFonts w:hint="eastAsia" w:cs="Times New Roman"/>
                      <w:color w:val="auto"/>
                      <w:szCs w:val="21"/>
                      <w:highlight w:val="none"/>
                      <w:vertAlign w:val="baseline"/>
                      <w:lang w:val="en-US" w:eastAsia="zh-CN"/>
                    </w:rPr>
                    <w:t>沉淀池、化粪池、一般固废暂存区</w:t>
                  </w:r>
                  <w:r>
                    <w:rPr>
                      <w:rFonts w:hint="eastAsia" w:cs="Times New Roman"/>
                      <w:color w:val="auto"/>
                      <w:highlight w:val="none"/>
                      <w:lang w:val="en-US" w:eastAsia="zh-CN"/>
                    </w:rPr>
                    <w:t>为</w:t>
                  </w:r>
                  <w:r>
                    <w:rPr>
                      <w:rFonts w:hint="default" w:ascii="Times New Roman" w:hAnsi="Times New Roman" w:cs="Times New Roman"/>
                      <w:color w:val="auto"/>
                      <w:highlight w:val="none"/>
                    </w:rPr>
                    <w:t>一般防渗</w:t>
                  </w:r>
                  <w:r>
                    <w:rPr>
                      <w:rFonts w:hint="eastAsia" w:cs="Times New Roman"/>
                      <w:color w:val="auto"/>
                      <w:highlight w:val="none"/>
                      <w:lang w:val="en-US" w:eastAsia="zh-CN"/>
                    </w:rPr>
                    <w:t>区</w:t>
                  </w:r>
                  <w:r>
                    <w:rPr>
                      <w:rFonts w:hint="default" w:ascii="Times New Roman" w:hAnsi="Times New Roman" w:cs="Times New Roman"/>
                      <w:color w:val="auto"/>
                      <w:highlight w:val="none"/>
                    </w:rPr>
                    <w:t>，采用150mm厚的C30P6抗渗混凝土进行防渗</w:t>
                  </w:r>
                  <w:r>
                    <w:rPr>
                      <w:rFonts w:hint="eastAsia" w:cs="Times New Roman"/>
                      <w:color w:val="auto"/>
                      <w:highlight w:val="none"/>
                      <w:lang w:eastAsia="zh-CN"/>
                    </w:rPr>
                    <w:t>，</w:t>
                  </w:r>
                  <w:r>
                    <w:rPr>
                      <w:rFonts w:hint="eastAsia" w:cs="Times New Roman"/>
                      <w:color w:val="auto"/>
                      <w:highlight w:val="none"/>
                      <w:lang w:val="en-US" w:eastAsia="zh-CN"/>
                    </w:rPr>
                    <w:t>满足</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p>
              </w:tc>
              <w:tc>
                <w:tcPr>
                  <w:tcW w:w="907" w:type="dxa"/>
                  <w:tcBorders>
                    <w:tl2br w:val="nil"/>
                    <w:tr2bl w:val="nil"/>
                  </w:tcBorders>
                  <w:noWrap w:val="0"/>
                  <w:vAlign w:val="center"/>
                </w:tcPr>
                <w:p w14:paraId="3976FDED">
                  <w:pPr>
                    <w:widowControl/>
                    <w:jc w:val="center"/>
                    <w:rPr>
                      <w:rFonts w:hint="eastAsia"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3</w:t>
                  </w:r>
                </w:p>
              </w:tc>
            </w:tr>
            <w:tr w14:paraId="711CA3BD">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90" w:hRule="atLeast"/>
                <w:jc w:val="center"/>
              </w:trPr>
              <w:tc>
                <w:tcPr>
                  <w:tcW w:w="554" w:type="dxa"/>
                  <w:vMerge w:val="continue"/>
                  <w:tcBorders>
                    <w:tl2br w:val="nil"/>
                    <w:tr2bl w:val="nil"/>
                  </w:tcBorders>
                  <w:noWrap w:val="0"/>
                  <w:vAlign w:val="center"/>
                </w:tcPr>
                <w:p w14:paraId="7BC2E302">
                  <w:pPr>
                    <w:widowControl/>
                    <w:jc w:val="center"/>
                    <w:rPr>
                      <w:color w:val="auto"/>
                      <w:highlight w:val="none"/>
                    </w:rPr>
                  </w:pPr>
                </w:p>
              </w:tc>
              <w:tc>
                <w:tcPr>
                  <w:tcW w:w="337" w:type="dxa"/>
                  <w:vMerge w:val="continue"/>
                  <w:tcBorders>
                    <w:tl2br w:val="nil"/>
                    <w:tr2bl w:val="nil"/>
                  </w:tcBorders>
                  <w:noWrap w:val="0"/>
                  <w:vAlign w:val="center"/>
                </w:tcPr>
                <w:p w14:paraId="0687FDB4">
                  <w:pPr>
                    <w:widowControl/>
                    <w:jc w:val="center"/>
                    <w:rPr>
                      <w:color w:val="auto"/>
                      <w:highlight w:val="none"/>
                    </w:rPr>
                  </w:pPr>
                </w:p>
              </w:tc>
              <w:tc>
                <w:tcPr>
                  <w:tcW w:w="1126" w:type="dxa"/>
                  <w:tcBorders>
                    <w:tl2br w:val="nil"/>
                    <w:tr2bl w:val="nil"/>
                  </w:tcBorders>
                  <w:noWrap w:val="0"/>
                  <w:vAlign w:val="center"/>
                </w:tcPr>
                <w:p w14:paraId="33B5F2D7">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简单防渗区</w:t>
                  </w:r>
                </w:p>
              </w:tc>
              <w:tc>
                <w:tcPr>
                  <w:tcW w:w="5035" w:type="dxa"/>
                  <w:tcBorders>
                    <w:tl2br w:val="nil"/>
                    <w:tr2bl w:val="nil"/>
                  </w:tcBorders>
                  <w:noWrap w:val="0"/>
                  <w:vAlign w:val="center"/>
                </w:tcPr>
                <w:p w14:paraId="6688632E">
                  <w:pPr>
                    <w:widowControl/>
                    <w:jc w:val="left"/>
                    <w:rPr>
                      <w:rFonts w:hint="eastAsia" w:cs="Times New Roman"/>
                      <w:color w:val="auto"/>
                      <w:kern w:val="0"/>
                      <w:highlight w:val="none"/>
                      <w:lang w:val="en-US" w:eastAsia="zh-CN"/>
                    </w:rPr>
                  </w:pPr>
                  <w:r>
                    <w:rPr>
                      <w:rFonts w:hint="eastAsia" w:cs="Times New Roman"/>
                      <w:color w:val="auto"/>
                      <w:szCs w:val="21"/>
                      <w:highlight w:val="none"/>
                      <w:lang w:val="en-US" w:eastAsia="zh-CN"/>
                    </w:rPr>
                    <w:t>砂石料棚、</w:t>
                  </w:r>
                  <w:r>
                    <w:rPr>
                      <w:rFonts w:hint="eastAsia" w:ascii="Times New Roman" w:hAnsi="Times New Roman" w:cs="Times New Roman"/>
                      <w:color w:val="auto"/>
                      <w:szCs w:val="21"/>
                      <w:highlight w:val="none"/>
                      <w:lang w:val="en-US" w:eastAsia="zh-CN"/>
                    </w:rPr>
                    <w:t>厂区</w:t>
                  </w:r>
                  <w:r>
                    <w:rPr>
                      <w:rFonts w:hint="default" w:ascii="Times New Roman" w:hAnsi="Times New Roman" w:cs="Times New Roman"/>
                      <w:color w:val="auto"/>
                      <w:szCs w:val="21"/>
                      <w:highlight w:val="none"/>
                    </w:rPr>
                    <w:t>道路</w:t>
                  </w:r>
                  <w:r>
                    <w:rPr>
                      <w:rFonts w:hint="eastAsia" w:cs="Times New Roman"/>
                      <w:color w:val="auto"/>
                      <w:szCs w:val="21"/>
                      <w:highlight w:val="none"/>
                      <w:lang w:val="en-US" w:eastAsia="zh-CN"/>
                    </w:rPr>
                    <w:t>及除上述区域外</w:t>
                  </w:r>
                  <w:r>
                    <w:rPr>
                      <w:rFonts w:hint="default" w:ascii="Times New Roman" w:hAnsi="Times New Roman" w:cs="Times New Roman"/>
                      <w:color w:val="auto"/>
                      <w:szCs w:val="21"/>
                      <w:highlight w:val="none"/>
                    </w:rPr>
                    <w:t>全部</w:t>
                  </w:r>
                  <w:r>
                    <w:rPr>
                      <w:rFonts w:hint="eastAsia" w:ascii="Times New Roman" w:hAnsi="Times New Roman" w:cs="Times New Roman"/>
                      <w:color w:val="auto"/>
                      <w:szCs w:val="21"/>
                      <w:highlight w:val="none"/>
                      <w:lang w:val="en-US" w:eastAsia="zh-CN"/>
                    </w:rPr>
                    <w:t>采用一般混凝土</w:t>
                  </w:r>
                  <w:r>
                    <w:rPr>
                      <w:rFonts w:hint="default" w:ascii="Times New Roman" w:hAnsi="Times New Roman" w:cs="Times New Roman"/>
                      <w:color w:val="auto"/>
                      <w:szCs w:val="21"/>
                      <w:highlight w:val="none"/>
                    </w:rPr>
                    <w:t>硬化</w:t>
                  </w:r>
                </w:p>
              </w:tc>
              <w:tc>
                <w:tcPr>
                  <w:tcW w:w="907" w:type="dxa"/>
                  <w:tcBorders>
                    <w:tl2br w:val="nil"/>
                    <w:tr2bl w:val="nil"/>
                  </w:tcBorders>
                  <w:noWrap w:val="0"/>
                  <w:vAlign w:val="center"/>
                </w:tcPr>
                <w:p w14:paraId="5A13BBCB">
                  <w:pPr>
                    <w:widowControl/>
                    <w:jc w:val="center"/>
                    <w:rPr>
                      <w:rFonts w:hint="default" w:cs="Times New Roman"/>
                      <w:color w:val="auto"/>
                      <w:kern w:val="0"/>
                      <w:highlight w:val="none"/>
                      <w:lang w:val="en-US" w:eastAsia="zh-CN"/>
                    </w:rPr>
                  </w:pPr>
                  <w:r>
                    <w:rPr>
                      <w:rFonts w:hint="eastAsia" w:cs="Times New Roman"/>
                      <w:color w:val="auto"/>
                      <w:kern w:val="0"/>
                      <w:highlight w:val="none"/>
                      <w:lang w:val="en-US" w:eastAsia="zh-CN"/>
                    </w:rPr>
                    <w:t>50</w:t>
                  </w:r>
                </w:p>
              </w:tc>
            </w:tr>
            <w:tr w14:paraId="5000640A">
              <w:tblPrEx>
                <w:tblBorders>
                  <w:top w:val="single" w:color="auto" w:sz="12" w:space="0"/>
                  <w:left w:val="dotted" w:color="auto" w:sz="4" w:space="0"/>
                  <w:bottom w:val="single" w:color="auto" w:sz="12" w:space="0"/>
                  <w:right w:val="dotted" w:color="auto" w:sz="4" w:space="0"/>
                  <w:insideH w:val="single" w:color="auto" w:sz="2" w:space="0"/>
                  <w:insideV w:val="single" w:color="auto" w:sz="4" w:space="0"/>
                </w:tblBorders>
                <w:tblCellMar>
                  <w:top w:w="0" w:type="dxa"/>
                  <w:left w:w="0" w:type="dxa"/>
                  <w:bottom w:w="0" w:type="dxa"/>
                  <w:right w:w="0" w:type="dxa"/>
                </w:tblCellMar>
              </w:tblPrEx>
              <w:trPr>
                <w:trHeight w:val="340" w:hRule="atLeast"/>
                <w:jc w:val="center"/>
              </w:trPr>
              <w:tc>
                <w:tcPr>
                  <w:tcW w:w="7052" w:type="dxa"/>
                  <w:gridSpan w:val="4"/>
                  <w:tcBorders>
                    <w:tl2br w:val="nil"/>
                    <w:tr2bl w:val="nil"/>
                  </w:tcBorders>
                  <w:noWrap w:val="0"/>
                  <w:vAlign w:val="center"/>
                </w:tcPr>
                <w:p w14:paraId="223FBC8E">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合计</w:t>
                  </w:r>
                </w:p>
              </w:tc>
              <w:tc>
                <w:tcPr>
                  <w:tcW w:w="907" w:type="dxa"/>
                  <w:tcBorders>
                    <w:tl2br w:val="nil"/>
                    <w:tr2bl w:val="nil"/>
                  </w:tcBorders>
                  <w:noWrap w:val="0"/>
                  <w:vAlign w:val="center"/>
                </w:tcPr>
                <w:p w14:paraId="6F104CEC">
                  <w:pPr>
                    <w:widowControl/>
                    <w:jc w:val="center"/>
                    <w:rPr>
                      <w:rFonts w:hint="default" w:ascii="Times New Roman" w:hAnsi="Times New Roman" w:eastAsia="宋体" w:cs="Times New Roman"/>
                      <w:color w:val="auto"/>
                      <w:kern w:val="0"/>
                      <w:highlight w:val="none"/>
                      <w:lang w:val="en-US" w:eastAsia="zh-CN"/>
                    </w:rPr>
                  </w:pPr>
                  <w:r>
                    <w:rPr>
                      <w:rFonts w:hint="eastAsia" w:cs="Times New Roman"/>
                      <w:color w:val="auto"/>
                      <w:kern w:val="0"/>
                      <w:highlight w:val="none"/>
                      <w:lang w:val="en-US" w:eastAsia="zh-CN"/>
                    </w:rPr>
                    <w:t>162</w:t>
                  </w:r>
                </w:p>
              </w:tc>
            </w:tr>
          </w:tbl>
          <w:p w14:paraId="35F17B3C">
            <w:pPr>
              <w:rPr>
                <w:rFonts w:ascii="宋体" w:hAnsi="宋体" w:cs="宋体"/>
                <w:color w:val="auto"/>
                <w:sz w:val="24"/>
                <w:highlight w:val="none"/>
              </w:rPr>
            </w:pPr>
          </w:p>
        </w:tc>
      </w:tr>
    </w:tbl>
    <w:p w14:paraId="616EA5EE">
      <w:pPr>
        <w:pStyle w:val="19"/>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五、</w:t>
      </w:r>
      <w:bookmarkStart w:id="8" w:name="_Hlk54167917"/>
      <w:r>
        <w:rPr>
          <w:rFonts w:hint="eastAsia" w:ascii="黑体" w:hAnsi="黑体" w:eastAsia="黑体"/>
          <w:snapToGrid w:val="0"/>
          <w:color w:val="auto"/>
          <w:sz w:val="30"/>
          <w:szCs w:val="30"/>
          <w:highlight w:val="none"/>
        </w:rPr>
        <w:t>环境保护措施监督检查清单</w:t>
      </w:r>
      <w:bookmarkEnd w:id="8"/>
    </w:p>
    <w:tbl>
      <w:tblPr>
        <w:tblStyle w:val="2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977"/>
        <w:gridCol w:w="947"/>
        <w:gridCol w:w="2727"/>
        <w:gridCol w:w="1949"/>
      </w:tblGrid>
      <w:tr w14:paraId="2F810A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tcBorders>
              <w:tl2br w:val="single" w:color="auto" w:sz="4" w:space="0"/>
            </w:tcBorders>
            <w:noWrap w:val="0"/>
            <w:vAlign w:val="center"/>
          </w:tcPr>
          <w:p w14:paraId="2354EB83">
            <w:pPr>
              <w:adjustRightInd w:val="0"/>
              <w:snapToGrid w:val="0"/>
              <w:ind w:firstLine="630" w:firstLineChars="3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内容</w:t>
            </w:r>
          </w:p>
          <w:p w14:paraId="12BBADF3">
            <w:pPr>
              <w:adjustRightInd w:val="0"/>
              <w:snapToGrid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要素</w:t>
            </w:r>
          </w:p>
        </w:tc>
        <w:tc>
          <w:tcPr>
            <w:tcW w:w="1977" w:type="dxa"/>
            <w:noWrap w:val="0"/>
            <w:vAlign w:val="center"/>
          </w:tcPr>
          <w:p w14:paraId="0688409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排放口(编号、</w:t>
            </w:r>
          </w:p>
          <w:p w14:paraId="4F8EE80F">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名称)/污染源</w:t>
            </w:r>
          </w:p>
        </w:tc>
        <w:tc>
          <w:tcPr>
            <w:tcW w:w="947" w:type="dxa"/>
            <w:noWrap w:val="0"/>
            <w:vAlign w:val="center"/>
          </w:tcPr>
          <w:p w14:paraId="4C51CC2C">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污染物项目</w:t>
            </w:r>
          </w:p>
        </w:tc>
        <w:tc>
          <w:tcPr>
            <w:tcW w:w="2727" w:type="dxa"/>
            <w:noWrap w:val="0"/>
            <w:vAlign w:val="center"/>
          </w:tcPr>
          <w:p w14:paraId="6E2E98F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环境保护措施</w:t>
            </w:r>
          </w:p>
        </w:tc>
        <w:tc>
          <w:tcPr>
            <w:tcW w:w="1949" w:type="dxa"/>
            <w:noWrap w:val="0"/>
            <w:vAlign w:val="center"/>
          </w:tcPr>
          <w:p w14:paraId="1C45AAE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执行标准</w:t>
            </w:r>
          </w:p>
        </w:tc>
      </w:tr>
      <w:tr w14:paraId="19E50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309" w:type="dxa"/>
            <w:vMerge w:val="restart"/>
            <w:noWrap w:val="0"/>
            <w:vAlign w:val="center"/>
          </w:tcPr>
          <w:p w14:paraId="62E42A6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大气环境</w:t>
            </w:r>
          </w:p>
        </w:tc>
        <w:tc>
          <w:tcPr>
            <w:tcW w:w="1977" w:type="dxa"/>
            <w:noWrap w:val="0"/>
            <w:vAlign w:val="center"/>
          </w:tcPr>
          <w:p w14:paraId="16839943">
            <w:pPr>
              <w:widowControl/>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Cs w:val="21"/>
                <w:highlight w:val="none"/>
              </w:rPr>
              <w:t>粉料筒仓呼吸孔粉尘</w:t>
            </w:r>
          </w:p>
        </w:tc>
        <w:tc>
          <w:tcPr>
            <w:tcW w:w="947" w:type="dxa"/>
            <w:noWrap w:val="0"/>
            <w:vAlign w:val="center"/>
          </w:tcPr>
          <w:p w14:paraId="723655E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727" w:type="dxa"/>
            <w:noWrap w:val="0"/>
            <w:vAlign w:val="center"/>
          </w:tcPr>
          <w:p w14:paraId="29A4283B">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Cs w:val="21"/>
                <w:highlight w:val="none"/>
              </w:rPr>
              <w:t>水泥、粉煤灰</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石灰石矿粉</w:t>
            </w:r>
            <w:r>
              <w:rPr>
                <w:rFonts w:hint="eastAsia" w:cs="Times New Roman"/>
                <w:color w:val="auto"/>
                <w:kern w:val="0"/>
                <w:szCs w:val="21"/>
                <w:highlight w:val="none"/>
                <w:lang w:val="en-US" w:eastAsia="zh-CN"/>
              </w:rPr>
              <w:t>、膨胀剂</w:t>
            </w:r>
            <w:r>
              <w:rPr>
                <w:rFonts w:hint="default" w:ascii="Times New Roman" w:hAnsi="Times New Roman" w:cs="Times New Roman"/>
                <w:color w:val="auto"/>
                <w:kern w:val="0"/>
                <w:szCs w:val="21"/>
                <w:highlight w:val="none"/>
              </w:rPr>
              <w:t>等粉料筒仓为全封闭筒仓，筒仓顶部均配有仓顶滤芯除尘器</w:t>
            </w:r>
            <w:r>
              <w:rPr>
                <w:rFonts w:hint="eastAsia" w:cs="Times New Roman"/>
                <w:color w:val="auto"/>
                <w:kern w:val="0"/>
                <w:szCs w:val="21"/>
                <w:highlight w:val="none"/>
                <w:lang w:eastAsia="zh-CN"/>
              </w:rPr>
              <w:t>，除尘效率≥99%，</w:t>
            </w:r>
            <w:r>
              <w:rPr>
                <w:rFonts w:hint="eastAsia" w:ascii="Times New Roman" w:hAnsi="Times New Roman" w:cs="Times New Roman"/>
                <w:color w:val="auto"/>
                <w:kern w:val="0"/>
                <w:szCs w:val="21"/>
                <w:highlight w:val="none"/>
                <w:lang w:val="en-US" w:eastAsia="zh-CN"/>
              </w:rPr>
              <w:t>处理后</w:t>
            </w:r>
            <w:r>
              <w:rPr>
                <w:rFonts w:hint="eastAsia" w:cs="Times New Roman"/>
                <w:color w:val="auto"/>
                <w:kern w:val="0"/>
                <w:szCs w:val="21"/>
                <w:highlight w:val="none"/>
                <w:lang w:val="en-US" w:eastAsia="zh-CN"/>
              </w:rPr>
              <w:t>通过仓顶排气筒有组织排放</w:t>
            </w:r>
            <w:r>
              <w:rPr>
                <w:rFonts w:hint="default" w:ascii="Times New Roman" w:hAnsi="Times New Roman" w:cs="Times New Roman"/>
                <w:color w:val="auto"/>
                <w:kern w:val="0"/>
                <w:szCs w:val="21"/>
                <w:highlight w:val="none"/>
              </w:rPr>
              <w:t>。</w:t>
            </w:r>
          </w:p>
        </w:tc>
        <w:tc>
          <w:tcPr>
            <w:tcW w:w="1949" w:type="dxa"/>
            <w:noWrap w:val="0"/>
            <w:vAlign w:val="center"/>
          </w:tcPr>
          <w:p w14:paraId="1B656503">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《水泥工业大气污染物排放标准》（GB4915-2013）表2排放限值</w:t>
            </w:r>
          </w:p>
        </w:tc>
      </w:tr>
      <w:tr w14:paraId="127348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12DCDB63">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6970480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砂石存储及卸料粉尘</w:t>
            </w:r>
          </w:p>
        </w:tc>
        <w:tc>
          <w:tcPr>
            <w:tcW w:w="947" w:type="dxa"/>
            <w:noWrap w:val="0"/>
            <w:vAlign w:val="center"/>
          </w:tcPr>
          <w:p w14:paraId="6F8BDA1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727" w:type="dxa"/>
            <w:noWrap w:val="0"/>
            <w:vAlign w:val="center"/>
          </w:tcPr>
          <w:p w14:paraId="79CC907E">
            <w:pPr>
              <w:adjustRightInd w:val="0"/>
              <w:snapToGrid w:val="0"/>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kern w:val="0"/>
                <w:szCs w:val="21"/>
                <w:highlight w:val="none"/>
                <w:lang w:val="en-US" w:eastAsia="zh-CN"/>
              </w:rPr>
              <w:t>本项目共设置</w:t>
            </w:r>
            <w:r>
              <w:rPr>
                <w:rFonts w:hint="eastAsia" w:cs="Times New Roman"/>
                <w:color w:val="auto"/>
                <w:kern w:val="0"/>
                <w:szCs w:val="21"/>
                <w:highlight w:val="none"/>
                <w:lang w:val="en-US" w:eastAsia="zh-CN"/>
              </w:rPr>
              <w:t>1</w:t>
            </w:r>
            <w:r>
              <w:rPr>
                <w:rFonts w:hint="eastAsia" w:ascii="Times New Roman" w:hAnsi="Times New Roman" w:cs="Times New Roman"/>
                <w:color w:val="auto"/>
                <w:kern w:val="0"/>
                <w:szCs w:val="21"/>
                <w:highlight w:val="none"/>
                <w:lang w:val="en-US" w:eastAsia="zh-CN"/>
              </w:rPr>
              <w:t>座</w:t>
            </w:r>
            <w:r>
              <w:rPr>
                <w:rFonts w:hint="eastAsia" w:cs="Times New Roman"/>
                <w:color w:val="auto"/>
                <w:kern w:val="0"/>
                <w:szCs w:val="21"/>
                <w:highlight w:val="none"/>
                <w:lang w:val="en-US" w:eastAsia="zh-CN"/>
              </w:rPr>
              <w:t>全封闭</w:t>
            </w:r>
            <w:r>
              <w:rPr>
                <w:rFonts w:hint="default" w:ascii="Times New Roman" w:hAnsi="Times New Roman" w:cs="Times New Roman"/>
                <w:color w:val="auto"/>
                <w:kern w:val="0"/>
                <w:szCs w:val="21"/>
                <w:highlight w:val="none"/>
              </w:rPr>
              <w:t>砂</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石</w:t>
            </w:r>
            <w:r>
              <w:rPr>
                <w:rFonts w:hint="default" w:ascii="Times New Roman" w:hAnsi="Times New Roman" w:cs="Times New Roman"/>
                <w:color w:val="auto"/>
                <w:kern w:val="0"/>
                <w:szCs w:val="21"/>
                <w:highlight w:val="none"/>
              </w:rPr>
              <w:t>料棚</w:t>
            </w:r>
            <w:r>
              <w:rPr>
                <w:rFonts w:hint="eastAsia" w:ascii="Times New Roman" w:hAnsi="Times New Roman" w:cs="Times New Roman"/>
                <w:color w:val="auto"/>
                <w:kern w:val="0"/>
                <w:szCs w:val="21"/>
                <w:highlight w:val="none"/>
                <w:lang w:val="en-US" w:eastAsia="zh-CN"/>
              </w:rPr>
              <w:t>，</w:t>
            </w:r>
            <w:r>
              <w:rPr>
                <w:rFonts w:hint="default" w:ascii="Times New Roman" w:hAnsi="Times New Roman" w:cs="Times New Roman"/>
                <w:color w:val="auto"/>
                <w:kern w:val="0"/>
                <w:szCs w:val="21"/>
                <w:highlight w:val="none"/>
              </w:rPr>
              <w:t>碎石和砂子在</w:t>
            </w:r>
            <w:r>
              <w:rPr>
                <w:rFonts w:hint="default" w:ascii="Times New Roman" w:hAnsi="Times New Roman" w:cs="Times New Roman"/>
                <w:color w:val="auto"/>
                <w:szCs w:val="21"/>
                <w:highlight w:val="none"/>
              </w:rPr>
              <w:t>全封闭式储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储存，</w:t>
            </w:r>
            <w:r>
              <w:rPr>
                <w:rFonts w:hint="eastAsia" w:ascii="Times New Roman" w:hAnsi="Times New Roman" w:cs="Times New Roman"/>
                <w:color w:val="auto"/>
                <w:kern w:val="0"/>
                <w:szCs w:val="21"/>
                <w:highlight w:val="none"/>
                <w:lang w:val="en-US" w:eastAsia="zh-CN"/>
              </w:rPr>
              <w:t>储料棚</w:t>
            </w:r>
            <w:r>
              <w:rPr>
                <w:rFonts w:hint="default" w:ascii="Times New Roman" w:hAnsi="Times New Roman" w:cs="Times New Roman"/>
                <w:color w:val="auto"/>
                <w:kern w:val="0"/>
                <w:szCs w:val="21"/>
                <w:highlight w:val="none"/>
              </w:rPr>
              <w:t>配备</w:t>
            </w:r>
            <w:r>
              <w:rPr>
                <w:rFonts w:hint="eastAsia" w:cs="Times New Roman"/>
                <w:color w:val="auto"/>
                <w:kern w:val="0"/>
                <w:szCs w:val="21"/>
                <w:highlight w:val="none"/>
                <w:lang w:val="en-US" w:eastAsia="zh-CN"/>
              </w:rPr>
              <w:t>一套喷淋系统</w:t>
            </w:r>
            <w:r>
              <w:rPr>
                <w:rFonts w:hint="default" w:ascii="Times New Roman" w:hAnsi="Times New Roman" w:cs="Times New Roman"/>
                <w:color w:val="auto"/>
                <w:kern w:val="0"/>
                <w:szCs w:val="21"/>
                <w:highlight w:val="none"/>
              </w:rPr>
              <w:t>，原料装卸过</w:t>
            </w:r>
            <w:r>
              <w:rPr>
                <w:rFonts w:hint="eastAsia" w:cs="Times New Roman"/>
                <w:color w:val="auto"/>
                <w:kern w:val="0"/>
                <w:szCs w:val="21"/>
                <w:highlight w:val="none"/>
                <w:lang w:eastAsia="zh-CN"/>
              </w:rPr>
              <w:t>程中</w:t>
            </w:r>
            <w:r>
              <w:rPr>
                <w:rFonts w:hint="default" w:ascii="Times New Roman" w:hAnsi="Times New Roman" w:cs="Times New Roman"/>
                <w:color w:val="auto"/>
                <w:kern w:val="0"/>
                <w:szCs w:val="21"/>
                <w:highlight w:val="none"/>
              </w:rPr>
              <w:t>尽量减小卸料落差，</w:t>
            </w:r>
            <w:r>
              <w:rPr>
                <w:rFonts w:hint="default" w:ascii="Times New Roman" w:hAnsi="Times New Roman" w:cs="Times New Roman"/>
                <w:color w:val="auto"/>
                <w:szCs w:val="21"/>
                <w:highlight w:val="none"/>
              </w:rPr>
              <w:t>储</w:t>
            </w:r>
            <w:r>
              <w:rPr>
                <w:rFonts w:hint="default" w:ascii="Times New Roman" w:hAnsi="Times New Roman" w:cs="Times New Roman"/>
                <w:color w:val="auto"/>
                <w:kern w:val="0"/>
                <w:szCs w:val="21"/>
                <w:highlight w:val="none"/>
              </w:rPr>
              <w:t>料</w:t>
            </w:r>
            <w:r>
              <w:rPr>
                <w:rFonts w:hint="default" w:ascii="Times New Roman" w:hAnsi="Times New Roman" w:cs="Times New Roman"/>
                <w:color w:val="auto"/>
                <w:szCs w:val="21"/>
                <w:highlight w:val="none"/>
              </w:rPr>
              <w:t>棚</w:t>
            </w:r>
            <w:r>
              <w:rPr>
                <w:rFonts w:hint="default" w:ascii="Times New Roman" w:hAnsi="Times New Roman" w:cs="Times New Roman"/>
                <w:color w:val="auto"/>
                <w:kern w:val="0"/>
                <w:szCs w:val="21"/>
                <w:highlight w:val="none"/>
              </w:rPr>
              <w:t>四周地面硬化。</w:t>
            </w:r>
          </w:p>
        </w:tc>
        <w:tc>
          <w:tcPr>
            <w:tcW w:w="1949" w:type="dxa"/>
            <w:vMerge w:val="restart"/>
            <w:noWrap w:val="0"/>
            <w:vAlign w:val="center"/>
          </w:tcPr>
          <w:p w14:paraId="183681DC">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《水泥工业大气污染物排放标准》（GB4915-2013）表3无组织排放限值</w:t>
            </w:r>
          </w:p>
        </w:tc>
      </w:tr>
      <w:tr w14:paraId="3307AE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4825A4B1">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7F5B4C0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砂石配料输送过程</w:t>
            </w:r>
          </w:p>
        </w:tc>
        <w:tc>
          <w:tcPr>
            <w:tcW w:w="947" w:type="dxa"/>
            <w:noWrap w:val="0"/>
            <w:vAlign w:val="center"/>
          </w:tcPr>
          <w:p w14:paraId="0CE6DEE7">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727" w:type="dxa"/>
            <w:noWrap w:val="0"/>
            <w:vAlign w:val="center"/>
          </w:tcPr>
          <w:p w14:paraId="3FCB432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Cs w:val="21"/>
                <w:highlight w:val="none"/>
              </w:rPr>
              <w:t>砂石配料输送过程扬尘：输送带密闭、上料仓密闭，上料仓置于石料棚内。</w:t>
            </w:r>
          </w:p>
        </w:tc>
        <w:tc>
          <w:tcPr>
            <w:tcW w:w="1949" w:type="dxa"/>
            <w:vMerge w:val="continue"/>
            <w:noWrap w:val="0"/>
            <w:vAlign w:val="center"/>
          </w:tcPr>
          <w:p w14:paraId="7844F758">
            <w:pPr>
              <w:adjustRightInd w:val="0"/>
              <w:snapToGrid w:val="0"/>
              <w:jc w:val="left"/>
              <w:rPr>
                <w:rFonts w:hint="default" w:ascii="Times New Roman" w:hAnsi="Times New Roman" w:cs="Times New Roman"/>
                <w:color w:val="auto"/>
                <w:sz w:val="21"/>
                <w:szCs w:val="21"/>
                <w:highlight w:val="none"/>
              </w:rPr>
            </w:pPr>
          </w:p>
        </w:tc>
      </w:tr>
      <w:tr w14:paraId="20A88C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18832C61">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51A9C73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搅拌机入料口</w:t>
            </w:r>
          </w:p>
        </w:tc>
        <w:tc>
          <w:tcPr>
            <w:tcW w:w="947" w:type="dxa"/>
            <w:noWrap w:val="0"/>
            <w:vAlign w:val="center"/>
          </w:tcPr>
          <w:p w14:paraId="1FCC6F0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727" w:type="dxa"/>
            <w:noWrap w:val="0"/>
            <w:vAlign w:val="center"/>
          </w:tcPr>
          <w:p w14:paraId="16324281">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Cs w:val="21"/>
                <w:highlight w:val="none"/>
              </w:rPr>
              <w:t>搅拌机入料口粉尘：混凝土搅拌站厂房全封闭，搅拌机配有一套脉冲除尘器，除尘器直接安装在缓存斗盖上，缓存斗盖与搅拌机为封闭状态，经除尘器排气口无组织排放；皮带输送机和搅拌主机之间用帆布软连接。</w:t>
            </w:r>
          </w:p>
        </w:tc>
        <w:tc>
          <w:tcPr>
            <w:tcW w:w="1949" w:type="dxa"/>
            <w:vMerge w:val="continue"/>
            <w:noWrap w:val="0"/>
            <w:vAlign w:val="center"/>
          </w:tcPr>
          <w:p w14:paraId="2090FEC8">
            <w:pPr>
              <w:adjustRightInd w:val="0"/>
              <w:snapToGrid w:val="0"/>
              <w:jc w:val="left"/>
              <w:rPr>
                <w:rFonts w:hint="default" w:ascii="Times New Roman" w:hAnsi="Times New Roman" w:cs="Times New Roman"/>
                <w:color w:val="auto"/>
                <w:sz w:val="21"/>
                <w:szCs w:val="21"/>
                <w:highlight w:val="none"/>
              </w:rPr>
            </w:pPr>
          </w:p>
        </w:tc>
      </w:tr>
      <w:tr w14:paraId="50D5B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08A8AD22">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32B304A4">
            <w:pPr>
              <w:widowControl/>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运输车辆动力起尘</w:t>
            </w:r>
          </w:p>
        </w:tc>
        <w:tc>
          <w:tcPr>
            <w:tcW w:w="947" w:type="dxa"/>
            <w:noWrap w:val="0"/>
            <w:vAlign w:val="center"/>
          </w:tcPr>
          <w:p w14:paraId="18078151">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727" w:type="dxa"/>
            <w:noWrap w:val="0"/>
            <w:vAlign w:val="center"/>
          </w:tcPr>
          <w:p w14:paraId="5DD3EAAE">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Cs w:val="21"/>
                <w:highlight w:val="none"/>
              </w:rPr>
              <w:t>厂区道路、定</w:t>
            </w:r>
            <w:r>
              <w:rPr>
                <w:rFonts w:hint="eastAsia" w:ascii="Times New Roman" w:hAnsi="Times New Roman" w:cs="Times New Roman"/>
                <w:color w:val="auto"/>
                <w:kern w:val="0"/>
                <w:szCs w:val="21"/>
                <w:highlight w:val="none"/>
                <w:lang w:val="en-US" w:eastAsia="zh-CN"/>
              </w:rPr>
              <w:t>期</w:t>
            </w:r>
            <w:r>
              <w:rPr>
                <w:rFonts w:hint="default" w:ascii="Times New Roman" w:hAnsi="Times New Roman" w:cs="Times New Roman"/>
                <w:color w:val="auto"/>
                <w:kern w:val="0"/>
                <w:szCs w:val="21"/>
                <w:highlight w:val="none"/>
              </w:rPr>
              <w:t>洒水</w:t>
            </w:r>
            <w:r>
              <w:rPr>
                <w:rFonts w:hint="eastAsia" w:ascii="Times New Roman" w:hAnsi="Times New Roman" w:cs="Times New Roman"/>
                <w:color w:val="auto"/>
                <w:kern w:val="0"/>
                <w:szCs w:val="21"/>
                <w:highlight w:val="none"/>
                <w:lang w:val="en-US" w:eastAsia="zh-CN"/>
              </w:rPr>
              <w:t>抑尘</w:t>
            </w:r>
            <w:r>
              <w:rPr>
                <w:rFonts w:hint="default" w:ascii="Times New Roman" w:hAnsi="Times New Roman" w:cs="Times New Roman"/>
                <w:color w:val="auto"/>
                <w:kern w:val="0"/>
                <w:szCs w:val="21"/>
                <w:highlight w:val="none"/>
              </w:rPr>
              <w:t>；降低车辆运输速度；并配备高压水枪设备对驶出车辆进行冲洗清洁；厂区保洁人员及时对散落的物料进行清扫收集。</w:t>
            </w:r>
          </w:p>
        </w:tc>
        <w:tc>
          <w:tcPr>
            <w:tcW w:w="1949" w:type="dxa"/>
            <w:vMerge w:val="continue"/>
            <w:noWrap w:val="0"/>
            <w:vAlign w:val="center"/>
          </w:tcPr>
          <w:p w14:paraId="6B88F736">
            <w:pPr>
              <w:adjustRightInd w:val="0"/>
              <w:snapToGrid w:val="0"/>
              <w:jc w:val="left"/>
              <w:rPr>
                <w:rFonts w:hint="default" w:ascii="Times New Roman" w:hAnsi="Times New Roman" w:cs="Times New Roman"/>
                <w:color w:val="auto"/>
                <w:sz w:val="21"/>
                <w:szCs w:val="21"/>
                <w:highlight w:val="none"/>
              </w:rPr>
            </w:pPr>
          </w:p>
        </w:tc>
      </w:tr>
      <w:tr w14:paraId="02B3FA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32894FC1">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3E0116C0">
            <w:pPr>
              <w:widowControl/>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危废暂存间废气</w:t>
            </w:r>
          </w:p>
        </w:tc>
        <w:tc>
          <w:tcPr>
            <w:tcW w:w="947" w:type="dxa"/>
            <w:noWrap w:val="0"/>
            <w:vAlign w:val="center"/>
          </w:tcPr>
          <w:p w14:paraId="2E037BC2">
            <w:pPr>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非甲烷总烃</w:t>
            </w:r>
          </w:p>
        </w:tc>
        <w:tc>
          <w:tcPr>
            <w:tcW w:w="2727" w:type="dxa"/>
            <w:noWrap w:val="0"/>
            <w:vAlign w:val="center"/>
          </w:tcPr>
          <w:p w14:paraId="144DF48C">
            <w:pPr>
              <w:adjustRightInd w:val="0"/>
              <w:snapToGrid w:val="0"/>
              <w:jc w:val="left"/>
              <w:rPr>
                <w:rFonts w:hint="default" w:ascii="Times New Roman" w:hAnsi="Times New Roman" w:cs="Times New Roman"/>
                <w:color w:val="auto"/>
                <w:kern w:val="0"/>
                <w:szCs w:val="21"/>
                <w:highlight w:val="none"/>
              </w:rPr>
            </w:pPr>
            <w:r>
              <w:rPr>
                <w:rFonts w:hint="default" w:eastAsia="宋体" w:cs="Times New Roman"/>
                <w:color w:val="auto"/>
                <w:highlight w:val="none"/>
                <w:lang w:val="en-US" w:eastAsia="zh-CN"/>
              </w:rPr>
              <w:t>本项目废矿物油贮存量较小，且均使用全封闭铁皮桶盛装，非甲烷总烃在危废暂存间内以无组织形式排放，本项目</w:t>
            </w:r>
            <w:r>
              <w:rPr>
                <w:rFonts w:hint="eastAsia" w:eastAsia="宋体" w:cs="Times New Roman"/>
                <w:color w:val="auto"/>
                <w:highlight w:val="none"/>
                <w:lang w:val="en-US" w:eastAsia="zh-CN"/>
              </w:rPr>
              <w:t>采取</w:t>
            </w:r>
            <w:r>
              <w:rPr>
                <w:rFonts w:hint="default" w:eastAsia="宋体" w:cs="Times New Roman"/>
                <w:color w:val="auto"/>
                <w:highlight w:val="none"/>
                <w:lang w:val="en-US" w:eastAsia="zh-CN"/>
              </w:rPr>
              <w:t>加强危废暂存间内的通风，即可有效减小对周围环境的污染。</w:t>
            </w:r>
          </w:p>
        </w:tc>
        <w:tc>
          <w:tcPr>
            <w:tcW w:w="1949" w:type="dxa"/>
            <w:noWrap w:val="0"/>
            <w:vAlign w:val="center"/>
          </w:tcPr>
          <w:p w14:paraId="100B4293">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highlight w:val="none"/>
                <w:vertAlign w:val="baseline"/>
                <w:lang w:val="en-US" w:eastAsia="zh-CN"/>
              </w:rPr>
              <w:t>《大气污染物综合排放标准》（GB16297-1996）表2</w:t>
            </w:r>
            <w:r>
              <w:rPr>
                <w:rFonts w:hint="eastAsia" w:ascii="Times New Roman" w:hAnsi="Times New Roman" w:eastAsia="宋体" w:cs="Times New Roman"/>
                <w:b w:val="0"/>
                <w:bCs w:val="0"/>
                <w:color w:val="auto"/>
                <w:sz w:val="21"/>
                <w:szCs w:val="21"/>
                <w:highlight w:val="none"/>
                <w:vertAlign w:val="baseline"/>
                <w:lang w:val="en-US" w:eastAsia="zh-CN"/>
              </w:rPr>
              <w:t>；</w:t>
            </w:r>
            <w:r>
              <w:rPr>
                <w:rFonts w:hint="default" w:ascii="Times New Roman" w:hAnsi="Times New Roman" w:eastAsia="宋体" w:cs="Times New Roman"/>
                <w:color w:val="auto"/>
                <w:sz w:val="21"/>
                <w:szCs w:val="21"/>
                <w:highlight w:val="none"/>
              </w:rPr>
              <w:t>《挥发性有机物无组织排放控制标准》（GB37822-2019）表A.1排放限值</w:t>
            </w:r>
          </w:p>
        </w:tc>
      </w:tr>
      <w:tr w14:paraId="11DB91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309" w:type="dxa"/>
            <w:vMerge w:val="restart"/>
            <w:noWrap w:val="0"/>
            <w:vAlign w:val="center"/>
          </w:tcPr>
          <w:p w14:paraId="0949167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地表水环境</w:t>
            </w:r>
          </w:p>
        </w:tc>
        <w:tc>
          <w:tcPr>
            <w:tcW w:w="1977" w:type="dxa"/>
            <w:noWrap w:val="0"/>
            <w:vAlign w:val="center"/>
          </w:tcPr>
          <w:p w14:paraId="52CAA4FD">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生产废水</w:t>
            </w:r>
          </w:p>
        </w:tc>
        <w:tc>
          <w:tcPr>
            <w:tcW w:w="947" w:type="dxa"/>
            <w:noWrap w:val="0"/>
            <w:vAlign w:val="center"/>
          </w:tcPr>
          <w:p w14:paraId="7432EC7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SS</w:t>
            </w:r>
          </w:p>
        </w:tc>
        <w:tc>
          <w:tcPr>
            <w:tcW w:w="2727" w:type="dxa"/>
            <w:noWrap w:val="0"/>
            <w:vAlign w:val="center"/>
          </w:tcPr>
          <w:p w14:paraId="1EB31ABE">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厂区设置沉淀池</w:t>
            </w:r>
            <w:r>
              <w:rPr>
                <w:rFonts w:hint="eastAsia" w:ascii="Times New Roman" w:hAnsi="Times New Roman" w:cs="Times New Roman"/>
                <w:color w:val="auto"/>
                <w:highlight w:val="none"/>
                <w:lang w:val="en-US" w:eastAsia="zh-CN"/>
              </w:rPr>
              <w:t>一座</w:t>
            </w:r>
            <w:r>
              <w:rPr>
                <w:rFonts w:hint="default" w:ascii="Times New Roman" w:hAnsi="Times New Roman" w:cs="Times New Roman"/>
                <w:color w:val="auto"/>
                <w:highlight w:val="none"/>
              </w:rPr>
              <w:t>，沉淀池均为混凝土结构，总容积为</w:t>
            </w:r>
            <w:r>
              <w:rPr>
                <w:rFonts w:hint="eastAsia" w:cs="Times New Roman"/>
                <w:color w:val="auto"/>
                <w:highlight w:val="none"/>
                <w:lang w:val="en-US" w:eastAsia="zh-CN"/>
              </w:rPr>
              <w:t>200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运输车辆</w:t>
            </w:r>
            <w:r>
              <w:rPr>
                <w:rFonts w:hint="eastAsia" w:cs="Times New Roman"/>
                <w:color w:val="auto"/>
                <w:highlight w:val="none"/>
                <w:lang w:val="en-US" w:eastAsia="zh-CN"/>
              </w:rPr>
              <w:t>清洗废水</w:t>
            </w:r>
            <w:r>
              <w:rPr>
                <w:rFonts w:hint="default" w:ascii="Times New Roman" w:hAnsi="Times New Roman" w:cs="Times New Roman"/>
                <w:color w:val="auto"/>
                <w:highlight w:val="none"/>
              </w:rPr>
              <w:t>、</w:t>
            </w:r>
            <w:r>
              <w:rPr>
                <w:rFonts w:hint="eastAsia" w:cs="Times New Roman"/>
                <w:color w:val="auto"/>
                <w:highlight w:val="none"/>
                <w:lang w:val="en-US" w:eastAsia="zh-CN"/>
              </w:rPr>
              <w:t>混凝土罐车清洗废水、搅拌罐清洗废水、</w:t>
            </w:r>
            <w:r>
              <w:rPr>
                <w:rFonts w:hint="default" w:ascii="Times New Roman" w:hAnsi="Times New Roman" w:cs="Times New Roman"/>
                <w:color w:val="auto"/>
                <w:highlight w:val="none"/>
              </w:rPr>
              <w:t>实验室废水经收集处理后回用于混凝土搅拌混合，不外排。</w:t>
            </w:r>
          </w:p>
        </w:tc>
        <w:tc>
          <w:tcPr>
            <w:tcW w:w="1949" w:type="dxa"/>
            <w:noWrap w:val="0"/>
            <w:vAlign w:val="center"/>
          </w:tcPr>
          <w:p w14:paraId="786E7E1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4FEF49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vMerge w:val="continue"/>
            <w:noWrap w:val="0"/>
            <w:vAlign w:val="center"/>
          </w:tcPr>
          <w:p w14:paraId="5004B44F">
            <w:pPr>
              <w:adjustRightInd w:val="0"/>
              <w:snapToGrid w:val="0"/>
              <w:jc w:val="center"/>
              <w:rPr>
                <w:rFonts w:hint="default" w:ascii="Times New Roman" w:hAnsi="Times New Roman" w:cs="Times New Roman"/>
                <w:color w:val="auto"/>
                <w:sz w:val="21"/>
                <w:szCs w:val="21"/>
                <w:highlight w:val="none"/>
              </w:rPr>
            </w:pPr>
          </w:p>
        </w:tc>
        <w:tc>
          <w:tcPr>
            <w:tcW w:w="1977" w:type="dxa"/>
            <w:noWrap w:val="0"/>
            <w:vAlign w:val="center"/>
          </w:tcPr>
          <w:p w14:paraId="62097C2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947" w:type="dxa"/>
            <w:noWrap w:val="0"/>
            <w:vAlign w:val="center"/>
          </w:tcPr>
          <w:p w14:paraId="5BF2F73C">
            <w:pPr>
              <w:adjustRightInd w:val="0"/>
              <w:snapToGrid w:val="0"/>
              <w:jc w:val="center"/>
              <w:rPr>
                <w:rFonts w:hint="eastAsia" w:cs="Times New Roman"/>
                <w:color w:val="auto"/>
                <w:sz w:val="21"/>
                <w:szCs w:val="21"/>
                <w:highlight w:val="none"/>
                <w:lang w:val="en-US" w:eastAsia="zh-CN"/>
              </w:rPr>
            </w:pPr>
            <w:r>
              <w:rPr>
                <w:rFonts w:hint="default" w:ascii="Times New Roman" w:hAnsi="Times New Roman" w:cs="Times New Roman"/>
                <w:color w:val="auto"/>
                <w:sz w:val="21"/>
                <w:szCs w:val="21"/>
                <w:highlight w:val="none"/>
              </w:rPr>
              <w:t>COD</w:t>
            </w:r>
            <w:r>
              <w:rPr>
                <w:rFonts w:hint="eastAsia" w:cs="Times New Roman"/>
                <w:color w:val="auto"/>
                <w:sz w:val="21"/>
                <w:szCs w:val="21"/>
                <w:highlight w:val="none"/>
                <w:lang w:val="en-US" w:eastAsia="zh-CN"/>
              </w:rPr>
              <w:t>cr</w:t>
            </w:r>
          </w:p>
          <w:p w14:paraId="1D916766">
            <w:pPr>
              <w:adjustRightInd w:val="0"/>
              <w:snapToGrid w:val="0"/>
              <w:jc w:val="center"/>
              <w:rPr>
                <w:rFonts w:hint="eastAsia" w:cs="Times New Roman"/>
                <w:color w:val="auto"/>
                <w:sz w:val="21"/>
                <w:szCs w:val="21"/>
                <w:highlight w:val="none"/>
                <w:vertAlign w:val="subscript"/>
                <w:lang w:val="en-US" w:eastAsia="zh-CN"/>
              </w:rPr>
            </w:pPr>
            <w:r>
              <w:rPr>
                <w:rFonts w:hint="default" w:ascii="Times New Roman" w:hAnsi="Times New Roman" w:cs="Times New Roman"/>
                <w:color w:val="auto"/>
                <w:sz w:val="21"/>
                <w:szCs w:val="21"/>
                <w:highlight w:val="none"/>
              </w:rPr>
              <w:t>BOD</w:t>
            </w:r>
            <w:r>
              <w:rPr>
                <w:rFonts w:hint="eastAsia" w:cs="Times New Roman"/>
                <w:color w:val="auto"/>
                <w:sz w:val="21"/>
                <w:szCs w:val="21"/>
                <w:highlight w:val="none"/>
                <w:vertAlign w:val="subscript"/>
                <w:lang w:val="en-US" w:eastAsia="zh-CN"/>
              </w:rPr>
              <w:t>5</w:t>
            </w:r>
          </w:p>
          <w:p w14:paraId="05603DB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SS</w:t>
            </w:r>
          </w:p>
          <w:p w14:paraId="0372FD5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w:t>
            </w:r>
          </w:p>
        </w:tc>
        <w:tc>
          <w:tcPr>
            <w:tcW w:w="2727" w:type="dxa"/>
            <w:noWrap w:val="0"/>
            <w:vAlign w:val="center"/>
          </w:tcPr>
          <w:p w14:paraId="5B2B2EA5">
            <w:pPr>
              <w:adjustRightInd w:val="0"/>
              <w:snapToGrid w:val="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highlight w:val="none"/>
              </w:rPr>
              <w:t>建设一座</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防渗化粪池，等效黏土防渗层Mb≥1.5m，K≤1×10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r>
              <w:rPr>
                <w:rFonts w:hint="eastAsia" w:ascii="Times New Roman" w:hAnsi="Times New Roman" w:cs="Times New Roman"/>
                <w:color w:val="auto"/>
                <w:highlight w:val="none"/>
                <w:lang w:eastAsia="zh-CN"/>
              </w:rPr>
              <w:t>，</w:t>
            </w:r>
            <w:r>
              <w:rPr>
                <w:rFonts w:hint="default" w:ascii="Times New Roman" w:hAnsi="Times New Roman" w:cs="Times New Roman"/>
                <w:color w:val="auto"/>
                <w:kern w:val="0"/>
                <w:szCs w:val="21"/>
                <w:highlight w:val="none"/>
              </w:rPr>
              <w:t>生活污水</w:t>
            </w:r>
            <w:r>
              <w:rPr>
                <w:rFonts w:hint="eastAsia" w:cs="Times New Roman"/>
                <w:color w:val="auto"/>
                <w:kern w:val="0"/>
                <w:szCs w:val="21"/>
                <w:highlight w:val="none"/>
                <w:lang w:val="en-US" w:eastAsia="zh-CN"/>
              </w:rPr>
              <w:t>经</w:t>
            </w:r>
            <w:r>
              <w:rPr>
                <w:rFonts w:hint="default" w:ascii="Times New Roman" w:hAnsi="Times New Roman" w:cs="Times New Roman"/>
                <w:color w:val="auto"/>
                <w:kern w:val="0"/>
                <w:szCs w:val="21"/>
                <w:highlight w:val="none"/>
              </w:rPr>
              <w:t>化粪池预处理</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满足《污水综合排放标准》（GB8978-1996）三级标准后，</w:t>
            </w:r>
            <w:r>
              <w:rPr>
                <w:rFonts w:hint="eastAsia" w:ascii="Times New Roman" w:hAnsi="Times New Roman" w:cs="Times New Roman"/>
                <w:color w:val="auto"/>
                <w:kern w:val="0"/>
                <w:szCs w:val="21"/>
                <w:highlight w:val="none"/>
                <w:lang w:val="en-US" w:eastAsia="zh-CN"/>
              </w:rPr>
              <w:t>定期拉运至</w:t>
            </w:r>
            <w:r>
              <w:rPr>
                <w:rFonts w:hint="eastAsia"/>
                <w:color w:val="auto"/>
                <w:highlight w:val="yellow"/>
                <w:lang w:val="en-US" w:eastAsia="zh-CN"/>
              </w:rPr>
              <w:t>阿镇污水处理厂处理</w:t>
            </w:r>
            <w:r>
              <w:rPr>
                <w:rFonts w:hint="eastAsia" w:ascii="Times New Roman" w:hAnsi="Times New Roman" w:cs="Times New Roman"/>
                <w:color w:val="auto"/>
                <w:kern w:val="0"/>
                <w:szCs w:val="21"/>
                <w:highlight w:val="none"/>
                <w:lang w:val="en-US" w:eastAsia="zh-CN"/>
              </w:rPr>
              <w:t>。</w:t>
            </w:r>
          </w:p>
        </w:tc>
        <w:tc>
          <w:tcPr>
            <w:tcW w:w="1949" w:type="dxa"/>
            <w:noWrap w:val="0"/>
            <w:vAlign w:val="center"/>
          </w:tcPr>
          <w:p w14:paraId="617B4F16">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《污水综合排放标准》（GB8978-1996）三级标准</w:t>
            </w:r>
          </w:p>
        </w:tc>
      </w:tr>
      <w:tr w14:paraId="00291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noWrap w:val="0"/>
            <w:vAlign w:val="center"/>
          </w:tcPr>
          <w:p w14:paraId="53C8F8A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声环境</w:t>
            </w:r>
          </w:p>
        </w:tc>
        <w:tc>
          <w:tcPr>
            <w:tcW w:w="1977" w:type="dxa"/>
            <w:noWrap w:val="0"/>
            <w:vAlign w:val="center"/>
          </w:tcPr>
          <w:p w14:paraId="4A83812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搅拌机、装载机、物料传输装置、泵与风机类设备</w:t>
            </w:r>
          </w:p>
        </w:tc>
        <w:tc>
          <w:tcPr>
            <w:tcW w:w="947" w:type="dxa"/>
            <w:noWrap w:val="0"/>
            <w:vAlign w:val="center"/>
          </w:tcPr>
          <w:p w14:paraId="6E5AE11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等效连续A声级</w:t>
            </w:r>
          </w:p>
        </w:tc>
        <w:tc>
          <w:tcPr>
            <w:tcW w:w="2727" w:type="dxa"/>
            <w:noWrap w:val="0"/>
            <w:vAlign w:val="center"/>
          </w:tcPr>
          <w:p w14:paraId="5A9D5C9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选用低噪声设备，设备安装减震垫，并加强维护</w:t>
            </w:r>
          </w:p>
        </w:tc>
        <w:tc>
          <w:tcPr>
            <w:tcW w:w="1949" w:type="dxa"/>
            <w:noWrap w:val="0"/>
            <w:vAlign w:val="center"/>
          </w:tcPr>
          <w:p w14:paraId="7C4A5B4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《工业企业厂界环境噪声排放标准》中</w:t>
            </w:r>
            <w:r>
              <w:rPr>
                <w:rFonts w:hint="eastAsia"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类标准</w:t>
            </w:r>
          </w:p>
        </w:tc>
      </w:tr>
      <w:tr w14:paraId="1EE6A0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309" w:type="dxa"/>
            <w:noWrap w:val="0"/>
            <w:vAlign w:val="center"/>
          </w:tcPr>
          <w:p w14:paraId="48EB6916">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电磁辐射</w:t>
            </w:r>
          </w:p>
        </w:tc>
        <w:tc>
          <w:tcPr>
            <w:tcW w:w="1977" w:type="dxa"/>
            <w:noWrap w:val="0"/>
            <w:vAlign w:val="center"/>
          </w:tcPr>
          <w:p w14:paraId="458A22A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947" w:type="dxa"/>
            <w:noWrap w:val="0"/>
            <w:vAlign w:val="center"/>
          </w:tcPr>
          <w:p w14:paraId="39F3FC3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2727" w:type="dxa"/>
            <w:noWrap w:val="0"/>
            <w:vAlign w:val="center"/>
          </w:tcPr>
          <w:p w14:paraId="22A12A0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949" w:type="dxa"/>
            <w:noWrap w:val="0"/>
            <w:vAlign w:val="center"/>
          </w:tcPr>
          <w:p w14:paraId="76A3665E">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0BB28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09" w:type="dxa"/>
            <w:noWrap w:val="0"/>
            <w:vAlign w:val="center"/>
          </w:tcPr>
          <w:p w14:paraId="58F03EA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固体废物</w:t>
            </w:r>
          </w:p>
        </w:tc>
        <w:tc>
          <w:tcPr>
            <w:tcW w:w="7600" w:type="dxa"/>
            <w:gridSpan w:val="4"/>
            <w:noWrap w:val="0"/>
            <w:vAlign w:val="center"/>
          </w:tcPr>
          <w:p w14:paraId="017E1476">
            <w:pPr>
              <w:adjustRightInd w:val="0"/>
              <w:snapToGrid w:val="0"/>
              <w:jc w:val="left"/>
              <w:rPr>
                <w:rFonts w:hint="eastAsia" w:ascii="Times New Roman" w:hAnsi="Times New Roman" w:cs="Times New Roman"/>
                <w:color w:val="auto"/>
                <w:kern w:val="0"/>
                <w:highlight w:val="none"/>
                <w:lang w:eastAsia="zh-CN"/>
              </w:rPr>
            </w:pPr>
            <w:r>
              <w:rPr>
                <w:rFonts w:hint="eastAsia" w:ascii="Times New Roman" w:hAnsi="Times New Roman" w:cs="Times New Roman"/>
                <w:color w:val="auto"/>
                <w:kern w:val="0"/>
                <w:highlight w:val="none"/>
                <w:lang w:val="en-US" w:eastAsia="zh-CN"/>
              </w:rPr>
              <w:t>（1）布袋除尘器收集的除尘灰：</w:t>
            </w:r>
            <w:r>
              <w:rPr>
                <w:rFonts w:hint="default" w:ascii="Times New Roman" w:hAnsi="Times New Roman" w:cs="Times New Roman"/>
                <w:color w:val="auto"/>
                <w:kern w:val="0"/>
                <w:highlight w:val="none"/>
              </w:rPr>
              <w:t>本项目仓顶滤芯除尘器工作时拦截的粉尘可直接回落至各筒仓内，搅拌时脉冲布袋除尘器内收集有除尘灰集中收集，回用于生产，不外排</w:t>
            </w:r>
            <w:r>
              <w:rPr>
                <w:rFonts w:hint="eastAsia" w:ascii="Times New Roman" w:hAnsi="Times New Roman" w:cs="Times New Roman"/>
                <w:color w:val="auto"/>
                <w:kern w:val="0"/>
                <w:highlight w:val="none"/>
                <w:lang w:eastAsia="zh-CN"/>
              </w:rPr>
              <w:t>；</w:t>
            </w:r>
          </w:p>
          <w:p w14:paraId="4B01AAAF">
            <w:pPr>
              <w:adjustRightInd w:val="0"/>
              <w:snapToGrid w:val="0"/>
              <w:jc w:val="left"/>
              <w:rPr>
                <w:rFonts w:hint="eastAsia" w:ascii="Times New Roman" w:hAnsi="Times New Roman" w:cs="Times New Roman"/>
                <w:color w:val="auto"/>
                <w:kern w:val="0"/>
                <w:highlight w:val="none"/>
                <w:lang w:eastAsia="zh-CN"/>
              </w:rPr>
            </w:pPr>
            <w:r>
              <w:rPr>
                <w:rFonts w:hint="eastAsia" w:cs="Times New Roman"/>
                <w:color w:val="auto"/>
                <w:kern w:val="0"/>
                <w:highlight w:val="none"/>
                <w:lang w:eastAsia="zh-CN"/>
              </w:rPr>
              <w:t>（</w:t>
            </w:r>
            <w:r>
              <w:rPr>
                <w:rFonts w:hint="eastAsia" w:cs="Times New Roman"/>
                <w:color w:val="auto"/>
                <w:kern w:val="0"/>
                <w:highlight w:val="none"/>
                <w:lang w:val="en-US" w:eastAsia="zh-CN"/>
              </w:rPr>
              <w:t>2</w:t>
            </w:r>
            <w:r>
              <w:rPr>
                <w:rFonts w:hint="eastAsia" w:cs="Times New Roman"/>
                <w:color w:val="auto"/>
                <w:kern w:val="0"/>
                <w:highlight w:val="none"/>
                <w:lang w:eastAsia="zh-CN"/>
              </w:rPr>
              <w:t>）</w:t>
            </w:r>
            <w:r>
              <w:rPr>
                <w:rFonts w:hint="eastAsia" w:cs="Times New Roman"/>
                <w:color w:val="auto"/>
                <w:kern w:val="0"/>
                <w:highlight w:val="none"/>
                <w:lang w:val="en-US" w:eastAsia="zh-CN"/>
              </w:rPr>
              <w:t>废</w:t>
            </w:r>
            <w:r>
              <w:rPr>
                <w:rFonts w:hint="default" w:ascii="Times New Roman" w:hAnsi="Times New Roman" w:cs="Times New Roman"/>
                <w:color w:val="auto"/>
                <w:kern w:val="0"/>
                <w:highlight w:val="none"/>
              </w:rPr>
              <w:t>布袋定期</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由厂家更换带走，不在厂区暂存</w:t>
            </w:r>
          </w:p>
          <w:p w14:paraId="3E62F864">
            <w:pPr>
              <w:adjustRightInd w:val="0"/>
              <w:snapToGrid w:val="0"/>
              <w:jc w:val="left"/>
              <w:rPr>
                <w:rFonts w:hint="eastAsia" w:cs="Times New Roman"/>
                <w:color w:val="auto"/>
                <w:kern w:val="0"/>
                <w:highlight w:val="none"/>
                <w:lang w:eastAsia="zh-CN"/>
              </w:rPr>
            </w:pPr>
            <w:r>
              <w:rPr>
                <w:rFonts w:hint="eastAsia" w:ascii="Times New Roman" w:hAnsi="Times New Roman" w:cs="Times New Roman"/>
                <w:color w:val="auto"/>
                <w:kern w:val="0"/>
                <w:highlight w:val="none"/>
                <w:lang w:eastAsia="zh-CN"/>
              </w:rPr>
              <w:t>（</w:t>
            </w:r>
            <w:r>
              <w:rPr>
                <w:rFonts w:hint="eastAsia" w:cs="Times New Roman"/>
                <w:color w:val="auto"/>
                <w:kern w:val="0"/>
                <w:highlight w:val="none"/>
                <w:lang w:val="en-US" w:eastAsia="zh-CN"/>
              </w:rPr>
              <w:t>3</w:t>
            </w:r>
            <w:r>
              <w:rPr>
                <w:rFonts w:hint="eastAsia" w:ascii="Times New Roman" w:hAnsi="Times New Roman" w:cs="Times New Roman"/>
                <w:color w:val="auto"/>
                <w:kern w:val="0"/>
                <w:highlight w:val="none"/>
                <w:lang w:eastAsia="zh-CN"/>
              </w:rPr>
              <w:t>）沉淀池沉渣：</w:t>
            </w:r>
            <w:r>
              <w:rPr>
                <w:rFonts w:hint="default" w:ascii="Times New Roman" w:hAnsi="Times New Roman" w:cs="Times New Roman"/>
                <w:color w:val="auto"/>
                <w:kern w:val="0"/>
                <w:highlight w:val="none"/>
              </w:rPr>
              <w:t>沉淀池收集的运输车辆清洗、实验室等生产废水中含有大量的泥沙及混凝土</w:t>
            </w:r>
            <w:r>
              <w:rPr>
                <w:rFonts w:hint="eastAsia" w:cs="Times New Roman"/>
                <w:color w:val="auto"/>
                <w:kern w:val="0"/>
                <w:highlight w:val="none"/>
                <w:lang w:eastAsia="zh-CN"/>
              </w:rPr>
              <w:t>，</w:t>
            </w:r>
            <w:r>
              <w:rPr>
                <w:rFonts w:hint="eastAsia" w:cs="Times New Roman"/>
                <w:color w:val="auto"/>
                <w:kern w:val="0"/>
                <w:highlight w:val="none"/>
                <w:lang w:val="en-US" w:eastAsia="zh-CN"/>
              </w:rPr>
              <w:t>经砂石分离机分离后，</w:t>
            </w:r>
            <w:r>
              <w:rPr>
                <w:rFonts w:hint="eastAsia" w:cs="Times New Roman"/>
                <w:color w:val="auto"/>
                <w:kern w:val="0"/>
                <w:highlight w:val="none"/>
                <w:lang w:eastAsia="zh-CN"/>
              </w:rPr>
              <w:t>将其定期捞取后回用于混凝土生产，</w:t>
            </w:r>
            <w:r>
              <w:rPr>
                <w:rFonts w:hint="eastAsia" w:cs="Times New Roman"/>
                <w:color w:val="auto"/>
                <w:kern w:val="0"/>
                <w:highlight w:val="none"/>
                <w:lang w:val="en-US" w:eastAsia="zh-CN"/>
              </w:rPr>
              <w:t>不在厂区内暂存</w:t>
            </w:r>
            <w:r>
              <w:rPr>
                <w:rFonts w:hint="eastAsia" w:cs="Times New Roman"/>
                <w:color w:val="auto"/>
                <w:kern w:val="0"/>
                <w:highlight w:val="none"/>
                <w:lang w:eastAsia="zh-CN"/>
              </w:rPr>
              <w:t>；</w:t>
            </w:r>
          </w:p>
          <w:p w14:paraId="6CF31753">
            <w:pPr>
              <w:adjustRightInd w:val="0"/>
              <w:snapToGrid w:val="0"/>
              <w:jc w:val="left"/>
              <w:rPr>
                <w:rFonts w:hint="eastAsia" w:ascii="Times New Roman" w:hAnsi="Times New Roman" w:cs="Times New Roman"/>
                <w:color w:val="auto"/>
                <w:kern w:val="0"/>
                <w:highlight w:val="none"/>
                <w:lang w:eastAsia="zh-CN"/>
              </w:rPr>
            </w:pPr>
            <w:r>
              <w:rPr>
                <w:rFonts w:hint="eastAsia" w:cs="Times New Roman"/>
                <w:color w:val="auto"/>
                <w:kern w:val="0"/>
                <w:highlight w:val="none"/>
                <w:lang w:eastAsia="zh-CN"/>
              </w:rPr>
              <w:t>（</w:t>
            </w:r>
            <w:r>
              <w:rPr>
                <w:rFonts w:hint="eastAsia" w:cs="Times New Roman"/>
                <w:color w:val="auto"/>
                <w:kern w:val="0"/>
                <w:highlight w:val="none"/>
                <w:lang w:val="en-US" w:eastAsia="zh-CN"/>
              </w:rPr>
              <w:t>4</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实验室混凝土块、逸散混凝土集中收集在石料库一般固废暂存区中暂存，再回用于生产</w:t>
            </w:r>
            <w:r>
              <w:rPr>
                <w:rFonts w:hint="eastAsia" w:ascii="Times New Roman" w:hAnsi="Times New Roman" w:cs="Times New Roman"/>
                <w:color w:val="auto"/>
                <w:kern w:val="0"/>
                <w:highlight w:val="none"/>
                <w:lang w:eastAsia="zh-CN"/>
              </w:rPr>
              <w:t>；</w:t>
            </w:r>
          </w:p>
          <w:p w14:paraId="4371F7A6">
            <w:pPr>
              <w:adjustRightInd w:val="0"/>
              <w:snapToGrid w:val="0"/>
              <w:jc w:val="left"/>
              <w:rPr>
                <w:rFonts w:hint="default" w:ascii="Times New Roman" w:hAnsi="Times New Roman" w:cs="Times New Roman"/>
                <w:color w:val="auto"/>
                <w:kern w:val="0"/>
                <w:highlight w:val="none"/>
              </w:rPr>
            </w:pPr>
            <w:r>
              <w:rPr>
                <w:rFonts w:hint="eastAsia" w:ascii="Times New Roman" w:hAnsi="Times New Roman" w:cs="Times New Roman"/>
                <w:color w:val="auto"/>
                <w:kern w:val="0"/>
                <w:highlight w:val="none"/>
                <w:lang w:eastAsia="zh-CN"/>
              </w:rPr>
              <w:t>（</w:t>
            </w:r>
            <w:r>
              <w:rPr>
                <w:rFonts w:hint="eastAsia" w:cs="Times New Roman"/>
                <w:color w:val="auto"/>
                <w:kern w:val="0"/>
                <w:highlight w:val="none"/>
                <w:lang w:val="en-US" w:eastAsia="zh-CN"/>
              </w:rPr>
              <w:t>5</w:t>
            </w:r>
            <w:r>
              <w:rPr>
                <w:rFonts w:hint="eastAsia" w:ascii="Times New Roman" w:hAnsi="Times New Roman" w:cs="Times New Roman"/>
                <w:color w:val="auto"/>
                <w:kern w:val="0"/>
                <w:highlight w:val="none"/>
                <w:lang w:eastAsia="zh-CN"/>
              </w:rPr>
              <w:t>）</w:t>
            </w:r>
            <w:r>
              <w:rPr>
                <w:rFonts w:hint="eastAsia" w:ascii="Times New Roman" w:hAnsi="Times New Roman" w:cs="Times New Roman"/>
                <w:color w:val="auto"/>
                <w:kern w:val="0"/>
                <w:highlight w:val="none"/>
                <w:lang w:val="en-US" w:eastAsia="zh-CN"/>
              </w:rPr>
              <w:t>生活垃圾：</w:t>
            </w:r>
            <w:r>
              <w:rPr>
                <w:rFonts w:hint="default" w:ascii="Times New Roman" w:hAnsi="Times New Roman" w:cs="Times New Roman"/>
                <w:color w:val="auto"/>
                <w:kern w:val="0"/>
                <w:highlight w:val="none"/>
              </w:rPr>
              <w:t>厂区</w:t>
            </w:r>
            <w:r>
              <w:rPr>
                <w:rFonts w:hint="eastAsia" w:ascii="Times New Roman" w:hAnsi="Times New Roman" w:cs="Times New Roman"/>
                <w:color w:val="auto"/>
                <w:kern w:val="0"/>
                <w:highlight w:val="none"/>
                <w:lang w:val="en-US" w:eastAsia="zh-CN"/>
              </w:rPr>
              <w:t>生活垃圾</w:t>
            </w:r>
            <w:r>
              <w:rPr>
                <w:rFonts w:hint="default" w:ascii="Times New Roman" w:hAnsi="Times New Roman" w:cs="Times New Roman"/>
                <w:color w:val="auto"/>
                <w:kern w:val="0"/>
                <w:highlight w:val="none"/>
              </w:rPr>
              <w:t>设置垃圾箱收集，环卫部门统一收集处理</w:t>
            </w:r>
          </w:p>
          <w:p w14:paraId="599EAED8">
            <w:pPr>
              <w:adjustRightInd w:val="0"/>
              <w:snapToGrid w:val="0"/>
              <w:jc w:val="left"/>
              <w:rPr>
                <w:rFonts w:hint="eastAsia" w:cs="Times New Roman"/>
                <w:color w:val="auto"/>
                <w:kern w:val="0"/>
                <w:highlight w:val="none"/>
                <w:lang w:val="en-US" w:eastAsia="zh-CN"/>
              </w:rPr>
            </w:pPr>
            <w:r>
              <w:rPr>
                <w:rFonts w:hint="eastAsia" w:cs="Times New Roman"/>
                <w:color w:val="auto"/>
                <w:kern w:val="0"/>
                <w:highlight w:val="none"/>
                <w:lang w:eastAsia="zh-CN"/>
              </w:rPr>
              <w:t>（</w:t>
            </w:r>
            <w:r>
              <w:rPr>
                <w:rFonts w:hint="eastAsia" w:cs="Times New Roman"/>
                <w:color w:val="auto"/>
                <w:kern w:val="0"/>
                <w:highlight w:val="none"/>
                <w:lang w:val="en-US" w:eastAsia="zh-CN"/>
              </w:rPr>
              <w:t>6</w:t>
            </w:r>
            <w:r>
              <w:rPr>
                <w:rFonts w:hint="eastAsia" w:cs="Times New Roman"/>
                <w:color w:val="auto"/>
                <w:kern w:val="0"/>
                <w:highlight w:val="none"/>
                <w:lang w:eastAsia="zh-CN"/>
              </w:rPr>
              <w:t>）</w:t>
            </w:r>
            <w:r>
              <w:rPr>
                <w:rFonts w:hint="eastAsia" w:cs="Times New Roman"/>
                <w:color w:val="auto"/>
                <w:kern w:val="0"/>
                <w:highlight w:val="none"/>
                <w:lang w:val="en-US" w:eastAsia="zh-CN"/>
              </w:rPr>
              <w:t>废矿物油、废油桶暂存于危废暂存间内，定期交由具有危险废物处理资质的公司处理。</w:t>
            </w:r>
          </w:p>
          <w:p w14:paraId="62698394">
            <w:pPr>
              <w:adjustRightInd w:val="0"/>
              <w:snapToGrid w:val="0"/>
              <w:jc w:val="left"/>
              <w:rPr>
                <w:rFonts w:hint="default" w:cs="Times New Roman"/>
                <w:color w:val="auto"/>
                <w:kern w:val="0"/>
                <w:highlight w:val="none"/>
                <w:lang w:val="en-US" w:eastAsia="zh-CN"/>
              </w:rPr>
            </w:pPr>
            <w:r>
              <w:rPr>
                <w:rFonts w:hint="eastAsia" w:cs="Times New Roman"/>
                <w:color w:val="auto"/>
                <w:kern w:val="0"/>
                <w:highlight w:val="none"/>
                <w:lang w:val="en-US" w:eastAsia="zh-CN"/>
              </w:rPr>
              <w:t>（7）</w:t>
            </w:r>
            <w:r>
              <w:rPr>
                <w:rFonts w:hint="eastAsia" w:cs="Times New Roman"/>
                <w:color w:val="auto"/>
                <w:kern w:val="0"/>
                <w:highlight w:val="yellow"/>
                <w:lang w:val="en-US" w:eastAsia="zh-CN"/>
              </w:rPr>
              <w:t>本项目生产过程中产生的含油废手套、废抹布应设置专用容器分类收集，按危险废物进行管理，交由具备资质危险废物处置单位处置；仅当该类废物被动混入生活垃圾时，方可执行豁免管理，企业不得主动将该类危险废物混入生活垃圾。</w:t>
            </w:r>
          </w:p>
        </w:tc>
      </w:tr>
      <w:tr w14:paraId="3F4FF0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09" w:type="dxa"/>
            <w:noWrap w:val="0"/>
            <w:vAlign w:val="center"/>
          </w:tcPr>
          <w:p w14:paraId="5D526D2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土壤及地下水污染防治措施</w:t>
            </w:r>
          </w:p>
        </w:tc>
        <w:tc>
          <w:tcPr>
            <w:tcW w:w="7600" w:type="dxa"/>
            <w:gridSpan w:val="4"/>
            <w:noWrap w:val="0"/>
            <w:vAlign w:val="center"/>
          </w:tcPr>
          <w:p w14:paraId="33E2B7BB">
            <w:pP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重点防渗区：</w:t>
            </w:r>
            <w:r>
              <w:rPr>
                <w:rFonts w:hint="eastAsia" w:cs="Times New Roman"/>
                <w:color w:val="auto"/>
                <w:szCs w:val="21"/>
                <w:highlight w:val="none"/>
                <w:vertAlign w:val="baseline"/>
                <w:lang w:val="en-US" w:eastAsia="zh-CN"/>
              </w:rPr>
              <w:t>危废暂存间地面、导流槽、集液池、裙角按照要求进行防渗处理，采用素土夯实、水泥砂浆保护层、1.5mmHDPE防渗膜、200mm厚C30P6抗渗钢筋混凝土及环氧树脂防腐地坪多层复合重点防渗结构，满足渗透系数不大于10</w:t>
            </w:r>
            <w:r>
              <w:rPr>
                <w:rFonts w:hint="eastAsia" w:cs="Times New Roman"/>
                <w:color w:val="auto"/>
                <w:szCs w:val="21"/>
                <w:highlight w:val="none"/>
                <w:vertAlign w:val="superscript"/>
                <w:lang w:val="en-US" w:eastAsia="zh-CN"/>
              </w:rPr>
              <w:t>-10</w:t>
            </w:r>
            <w:r>
              <w:rPr>
                <w:rFonts w:hint="eastAsia" w:cs="Times New Roman"/>
                <w:color w:val="auto"/>
                <w:szCs w:val="21"/>
                <w:highlight w:val="none"/>
                <w:vertAlign w:val="baseline"/>
                <w:lang w:val="en-US" w:eastAsia="zh-CN"/>
              </w:rPr>
              <w:t>cm/s。</w:t>
            </w:r>
          </w:p>
          <w:p w14:paraId="565111CD">
            <w:pPr>
              <w:rPr>
                <w:rFonts w:hint="default" w:ascii="Times New Roman" w:hAnsi="Times New Roman" w:cs="Times New Roman"/>
                <w:color w:val="auto"/>
                <w:sz w:val="21"/>
                <w:szCs w:val="21"/>
                <w:highlight w:val="none"/>
              </w:rPr>
            </w:pPr>
            <w:r>
              <w:rPr>
                <w:rFonts w:hint="eastAsia" w:cs="Times New Roman"/>
                <w:color w:val="auto"/>
                <w:sz w:val="21"/>
                <w:szCs w:val="21"/>
                <w:highlight w:val="none"/>
                <w:vertAlign w:val="baseline"/>
                <w:lang w:val="en-US" w:eastAsia="zh-CN"/>
              </w:rPr>
              <w:t>一般防渗区：</w:t>
            </w:r>
            <w:r>
              <w:rPr>
                <w:rFonts w:hint="eastAsia" w:cs="Times New Roman"/>
                <w:color w:val="auto"/>
                <w:szCs w:val="21"/>
                <w:highlight w:val="none"/>
                <w:vertAlign w:val="baseline"/>
                <w:lang w:val="en-US" w:eastAsia="zh-CN"/>
              </w:rPr>
              <w:t>沉淀池、化粪池、一般固废暂存区</w:t>
            </w:r>
            <w:r>
              <w:rPr>
                <w:rFonts w:hint="eastAsia" w:cs="Times New Roman"/>
                <w:color w:val="auto"/>
                <w:highlight w:val="none"/>
                <w:lang w:val="en-US" w:eastAsia="zh-CN"/>
              </w:rPr>
              <w:t>为</w:t>
            </w:r>
            <w:r>
              <w:rPr>
                <w:rFonts w:hint="default" w:ascii="Times New Roman" w:hAnsi="Times New Roman" w:cs="Times New Roman"/>
                <w:color w:val="auto"/>
                <w:highlight w:val="none"/>
              </w:rPr>
              <w:t>一般防渗</w:t>
            </w:r>
            <w:r>
              <w:rPr>
                <w:rFonts w:hint="eastAsia" w:cs="Times New Roman"/>
                <w:color w:val="auto"/>
                <w:highlight w:val="none"/>
                <w:lang w:val="en-US" w:eastAsia="zh-CN"/>
              </w:rPr>
              <w:t>区</w:t>
            </w:r>
            <w:r>
              <w:rPr>
                <w:rFonts w:hint="default" w:ascii="Times New Roman" w:hAnsi="Times New Roman" w:cs="Times New Roman"/>
                <w:color w:val="auto"/>
                <w:highlight w:val="none"/>
              </w:rPr>
              <w:t>，采用150mm厚的C30P6抗渗混凝土进行防渗</w:t>
            </w:r>
            <w:r>
              <w:rPr>
                <w:rFonts w:hint="eastAsia" w:cs="Times New Roman"/>
                <w:color w:val="auto"/>
                <w:highlight w:val="none"/>
                <w:lang w:eastAsia="zh-CN"/>
              </w:rPr>
              <w:t>，</w:t>
            </w:r>
            <w:r>
              <w:rPr>
                <w:rFonts w:hint="eastAsia" w:cs="Times New Roman"/>
                <w:color w:val="auto"/>
                <w:highlight w:val="none"/>
                <w:lang w:val="en-US" w:eastAsia="zh-CN"/>
              </w:rPr>
              <w:t>满足</w:t>
            </w:r>
            <w:r>
              <w:rPr>
                <w:rFonts w:hint="default" w:ascii="Times New Roman" w:hAnsi="Times New Roman" w:cs="Times New Roman"/>
                <w:color w:val="auto"/>
                <w:highlight w:val="none"/>
              </w:rPr>
              <w:t>等效黏土防渗层Mb≥1.5m，K≤1×10</w:t>
            </w:r>
            <w:r>
              <w:rPr>
                <w:rFonts w:hint="default" w:ascii="Times New Roman" w:hAnsi="Times New Roman" w:cs="Times New Roman"/>
                <w:color w:val="auto"/>
                <w:highlight w:val="none"/>
                <w:vertAlign w:val="superscript"/>
              </w:rPr>
              <w:t>-7</w:t>
            </w:r>
            <w:r>
              <w:rPr>
                <w:rFonts w:hint="default" w:ascii="Times New Roman" w:hAnsi="Times New Roman" w:cs="Times New Roman"/>
                <w:color w:val="auto"/>
                <w:highlight w:val="none"/>
              </w:rPr>
              <w:t>cm/s。</w:t>
            </w:r>
          </w:p>
          <w:p w14:paraId="19BDEE48">
            <w:pPr>
              <w:pStyle w:val="31"/>
              <w:ind w:left="0" w:leftChars="0" w:firstLine="0" w:firstLineChars="0"/>
              <w:rPr>
                <w:rFonts w:hint="eastAsia" w:eastAsia="宋体"/>
                <w:color w:val="auto"/>
                <w:highlight w:val="none"/>
                <w:lang w:val="en-US" w:eastAsia="zh-CN"/>
              </w:rPr>
            </w:pPr>
            <w:r>
              <w:rPr>
                <w:rFonts w:hint="eastAsia" w:ascii="Times New Roman" w:hAnsi="Times New Roman" w:cs="Times New Roman"/>
                <w:color w:val="auto"/>
                <w:sz w:val="21"/>
                <w:szCs w:val="21"/>
                <w:highlight w:val="none"/>
                <w:lang w:val="en-US" w:eastAsia="zh-CN"/>
              </w:rPr>
              <w:t>简单防渗</w:t>
            </w:r>
            <w:r>
              <w:rPr>
                <w:rFonts w:hint="eastAsia" w:cs="Times New Roman"/>
                <w:color w:val="auto"/>
                <w:sz w:val="21"/>
                <w:szCs w:val="21"/>
                <w:highlight w:val="none"/>
                <w:lang w:val="en-US" w:eastAsia="zh-CN"/>
              </w:rPr>
              <w:t>区</w:t>
            </w:r>
            <w:r>
              <w:rPr>
                <w:rFonts w:hint="eastAsia" w:ascii="Times New Roman" w:hAnsi="Times New Roman" w:cs="Times New Roman"/>
                <w:color w:val="auto"/>
                <w:sz w:val="21"/>
                <w:szCs w:val="21"/>
                <w:highlight w:val="none"/>
                <w:lang w:val="en-US" w:eastAsia="zh-CN"/>
              </w:rPr>
              <w:t>：砂石料棚、厂区道路及除上述区域外全部采用一般混凝土硬化</w:t>
            </w:r>
          </w:p>
        </w:tc>
      </w:tr>
      <w:tr w14:paraId="1A7B19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09" w:type="dxa"/>
            <w:noWrap w:val="0"/>
            <w:vAlign w:val="center"/>
          </w:tcPr>
          <w:p w14:paraId="4AC6D40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生态保护措施</w:t>
            </w:r>
          </w:p>
        </w:tc>
        <w:tc>
          <w:tcPr>
            <w:tcW w:w="7600" w:type="dxa"/>
            <w:gridSpan w:val="4"/>
            <w:noWrap w:val="0"/>
            <w:vAlign w:val="center"/>
          </w:tcPr>
          <w:p w14:paraId="020FB4E0">
            <w:pPr>
              <w:adjustRightInd w:val="0"/>
              <w:snapToGrid w:val="0"/>
              <w:jc w:val="center"/>
              <w:rPr>
                <w:rFonts w:hint="default" w:ascii="Times New Roman" w:hAnsi="Times New Roman" w:eastAsia="宋体" w:cs="Times New Roman"/>
                <w:color w:val="auto"/>
                <w:sz w:val="21"/>
                <w:szCs w:val="21"/>
                <w:highlight w:val="none"/>
                <w:vertAlign w:val="baseline"/>
                <w:lang w:val="en-US" w:eastAsia="zh-CN"/>
              </w:rPr>
            </w:pPr>
          </w:p>
        </w:tc>
      </w:tr>
      <w:tr w14:paraId="30DB6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309" w:type="dxa"/>
            <w:noWrap w:val="0"/>
            <w:vAlign w:val="center"/>
          </w:tcPr>
          <w:p w14:paraId="58B7EA61">
            <w:pPr>
              <w:adjustRightInd w:val="0"/>
              <w:snapToGrid w:val="0"/>
              <w:jc w:val="center"/>
              <w:rPr>
                <w:rFonts w:hint="default" w:ascii="Times New Roman" w:hAnsi="Times New Roman" w:cs="Times New Roman"/>
                <w:color w:val="auto"/>
                <w:spacing w:val="-8"/>
                <w:sz w:val="21"/>
                <w:szCs w:val="21"/>
                <w:highlight w:val="none"/>
              </w:rPr>
            </w:pPr>
            <w:r>
              <w:rPr>
                <w:rFonts w:hint="default" w:ascii="Times New Roman" w:hAnsi="Times New Roman" w:cs="Times New Roman"/>
                <w:color w:val="auto"/>
                <w:spacing w:val="-8"/>
                <w:sz w:val="21"/>
                <w:szCs w:val="21"/>
                <w:highlight w:val="none"/>
              </w:rPr>
              <w:t>环境风险</w:t>
            </w:r>
          </w:p>
          <w:p w14:paraId="44D8D943">
            <w:pPr>
              <w:adjustRightInd w:val="0"/>
              <w:snapToGrid w:val="0"/>
              <w:jc w:val="center"/>
              <w:rPr>
                <w:rFonts w:hint="default" w:ascii="Times New Roman" w:hAnsi="Times New Roman" w:cs="Times New Roman"/>
                <w:color w:val="auto"/>
                <w:spacing w:val="-8"/>
                <w:sz w:val="21"/>
                <w:szCs w:val="21"/>
                <w:highlight w:val="none"/>
              </w:rPr>
            </w:pPr>
            <w:r>
              <w:rPr>
                <w:rFonts w:hint="default" w:ascii="Times New Roman" w:hAnsi="Times New Roman" w:cs="Times New Roman"/>
                <w:color w:val="auto"/>
                <w:spacing w:val="-8"/>
                <w:sz w:val="21"/>
                <w:szCs w:val="21"/>
                <w:highlight w:val="none"/>
              </w:rPr>
              <w:t>防范措施</w:t>
            </w:r>
          </w:p>
        </w:tc>
        <w:tc>
          <w:tcPr>
            <w:tcW w:w="7600" w:type="dxa"/>
            <w:gridSpan w:val="4"/>
            <w:noWrap w:val="0"/>
            <w:vAlign w:val="center"/>
          </w:tcPr>
          <w:p w14:paraId="17A9D65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59007C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309" w:type="dxa"/>
            <w:noWrap w:val="0"/>
            <w:vAlign w:val="center"/>
          </w:tcPr>
          <w:p w14:paraId="201F8B7E">
            <w:pPr>
              <w:adjustRightInd w:val="0"/>
              <w:snapToGrid w:val="0"/>
              <w:jc w:val="center"/>
              <w:rPr>
                <w:rFonts w:hint="default" w:ascii="Times New Roman" w:hAnsi="Times New Roman" w:cs="Times New Roman"/>
                <w:color w:val="auto"/>
                <w:spacing w:val="-8"/>
                <w:sz w:val="21"/>
                <w:szCs w:val="21"/>
                <w:highlight w:val="none"/>
              </w:rPr>
            </w:pPr>
            <w:r>
              <w:rPr>
                <w:rFonts w:hint="default" w:ascii="Times New Roman" w:hAnsi="Times New Roman" w:cs="Times New Roman"/>
                <w:color w:val="auto"/>
                <w:spacing w:val="-8"/>
                <w:sz w:val="21"/>
                <w:szCs w:val="21"/>
                <w:highlight w:val="none"/>
              </w:rPr>
              <w:t>其他环境</w:t>
            </w:r>
          </w:p>
          <w:p w14:paraId="4532B8A8">
            <w:pPr>
              <w:adjustRightInd w:val="0"/>
              <w:snapToGrid w:val="0"/>
              <w:jc w:val="center"/>
              <w:rPr>
                <w:rFonts w:hint="default" w:ascii="Times New Roman" w:hAnsi="Times New Roman" w:cs="Times New Roman"/>
                <w:color w:val="auto"/>
                <w:spacing w:val="-8"/>
                <w:sz w:val="21"/>
                <w:szCs w:val="21"/>
                <w:highlight w:val="none"/>
              </w:rPr>
            </w:pPr>
            <w:r>
              <w:rPr>
                <w:rFonts w:hint="default" w:ascii="Times New Roman" w:hAnsi="Times New Roman" w:cs="Times New Roman"/>
                <w:color w:val="auto"/>
                <w:spacing w:val="-8"/>
                <w:sz w:val="21"/>
                <w:szCs w:val="21"/>
                <w:highlight w:val="none"/>
              </w:rPr>
              <w:t>管理要求</w:t>
            </w:r>
          </w:p>
        </w:tc>
        <w:tc>
          <w:tcPr>
            <w:tcW w:w="7600" w:type="dxa"/>
            <w:gridSpan w:val="4"/>
            <w:noWrap w:val="0"/>
            <w:vAlign w:val="center"/>
          </w:tcPr>
          <w:p w14:paraId="2BDDB253">
            <w:pPr>
              <w:keepNext w:val="0"/>
              <w:keepLines w:val="0"/>
              <w:pageBreakBefore w:val="0"/>
              <w:widowControl w:val="0"/>
              <w:kinsoku/>
              <w:wordWrap/>
              <w:overflowPunct/>
              <w:topLinePunct w:val="0"/>
              <w:autoSpaceDE/>
              <w:autoSpaceDN/>
              <w:bidi w:val="0"/>
              <w:spacing w:line="240" w:lineRule="auto"/>
              <w:ind w:left="0" w:right="0" w:firstLine="408" w:firstLineChars="200"/>
              <w:textAlignment w:val="auto"/>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w:t>
            </w:r>
            <w:r>
              <w:rPr>
                <w:rFonts w:ascii="Times New Roman" w:hAnsi="Times New Roman" w:eastAsia="Times New Roman" w:cs="Times New Roman"/>
                <w:color w:val="auto"/>
                <w:spacing w:val="-3"/>
                <w:sz w:val="21"/>
                <w:szCs w:val="21"/>
                <w:highlight w:val="none"/>
              </w:rPr>
              <w:t>1</w:t>
            </w:r>
            <w:r>
              <w:rPr>
                <w:rFonts w:ascii="宋体" w:hAnsi="宋体" w:eastAsia="宋体" w:cs="宋体"/>
                <w:color w:val="auto"/>
                <w:spacing w:val="-3"/>
                <w:sz w:val="21"/>
                <w:szCs w:val="21"/>
                <w:highlight w:val="none"/>
              </w:rPr>
              <w:t>）环境管理机构</w:t>
            </w:r>
          </w:p>
          <w:p w14:paraId="3ED9524B">
            <w:pPr>
              <w:keepNext w:val="0"/>
              <w:keepLines w:val="0"/>
              <w:pageBreakBefore w:val="0"/>
              <w:widowControl w:val="0"/>
              <w:kinsoku/>
              <w:wordWrap/>
              <w:overflowPunct/>
              <w:topLinePunct w:val="0"/>
              <w:autoSpaceDE/>
              <w:autoSpaceDN/>
              <w:bidi w:val="0"/>
              <w:spacing w:line="240" w:lineRule="auto"/>
              <w:ind w:left="0" w:right="0" w:firstLine="432" w:firstLineChars="200"/>
              <w:textAlignment w:val="auto"/>
              <w:rPr>
                <w:rFonts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鄂尔多斯市蒙丰源实业有限责任公司</w:t>
            </w:r>
            <w:r>
              <w:rPr>
                <w:rFonts w:ascii="宋体" w:hAnsi="宋体" w:eastAsia="宋体" w:cs="宋体"/>
                <w:color w:val="auto"/>
                <w:spacing w:val="3"/>
                <w:sz w:val="21"/>
                <w:szCs w:val="21"/>
                <w:highlight w:val="none"/>
              </w:rPr>
              <w:t>设置专门的环境安全管理</w:t>
            </w:r>
            <w:r>
              <w:rPr>
                <w:rFonts w:ascii="宋体" w:hAnsi="宋体" w:eastAsia="宋体" w:cs="宋体"/>
                <w:color w:val="auto"/>
                <w:spacing w:val="2"/>
                <w:sz w:val="21"/>
                <w:szCs w:val="21"/>
                <w:highlight w:val="none"/>
              </w:rPr>
              <w:t>机构，并由其制</w:t>
            </w:r>
            <w:r>
              <w:rPr>
                <w:rFonts w:ascii="宋体" w:hAnsi="宋体" w:eastAsia="宋体" w:cs="宋体"/>
                <w:color w:val="auto"/>
                <w:spacing w:val="3"/>
                <w:sz w:val="21"/>
                <w:szCs w:val="21"/>
                <w:highlight w:val="none"/>
              </w:rPr>
              <w:t>定和管理公司内部的有关环保方面的工作，该机构应由</w:t>
            </w:r>
            <w:r>
              <w:rPr>
                <w:rFonts w:ascii="宋体" w:hAnsi="宋体" w:eastAsia="宋体" w:cs="宋体"/>
                <w:color w:val="auto"/>
                <w:spacing w:val="2"/>
                <w:sz w:val="21"/>
                <w:szCs w:val="21"/>
                <w:highlight w:val="none"/>
              </w:rPr>
              <w:t>副总经理直接兼管全厂的环保工作，下设环保科，设环保科长或部长</w:t>
            </w:r>
            <w:r>
              <w:rPr>
                <w:rFonts w:ascii="Times New Roman" w:hAnsi="Times New Roman" w:eastAsia="Times New Roman" w:cs="Times New Roman"/>
                <w:color w:val="auto"/>
                <w:spacing w:val="2"/>
                <w:sz w:val="21"/>
                <w:szCs w:val="21"/>
                <w:highlight w:val="none"/>
              </w:rPr>
              <w:t>1</w:t>
            </w:r>
            <w:r>
              <w:rPr>
                <w:rFonts w:ascii="宋体" w:hAnsi="宋体" w:eastAsia="宋体" w:cs="宋体"/>
                <w:color w:val="auto"/>
                <w:spacing w:val="2"/>
                <w:sz w:val="21"/>
                <w:szCs w:val="21"/>
                <w:highlight w:val="none"/>
              </w:rPr>
              <w:t>名，下辖监</w:t>
            </w:r>
            <w:r>
              <w:rPr>
                <w:rFonts w:ascii="宋体" w:hAnsi="宋体" w:eastAsia="宋体" w:cs="宋体"/>
                <w:color w:val="auto"/>
                <w:spacing w:val="1"/>
                <w:sz w:val="21"/>
                <w:szCs w:val="21"/>
                <w:highlight w:val="none"/>
              </w:rPr>
              <w:t>测站和环保小组，配备</w:t>
            </w:r>
            <w:r>
              <w:rPr>
                <w:rFonts w:ascii="宋体" w:hAnsi="宋体" w:eastAsia="宋体" w:cs="宋体"/>
                <w:color w:val="auto"/>
                <w:spacing w:val="-1"/>
                <w:sz w:val="21"/>
                <w:szCs w:val="21"/>
                <w:highlight w:val="none"/>
              </w:rPr>
              <w:t>专门的技术人员及监测人员。</w:t>
            </w:r>
          </w:p>
          <w:p w14:paraId="00367D96">
            <w:pPr>
              <w:keepNext w:val="0"/>
              <w:keepLines w:val="0"/>
              <w:pageBreakBefore w:val="0"/>
              <w:widowControl w:val="0"/>
              <w:kinsoku/>
              <w:wordWrap/>
              <w:overflowPunct/>
              <w:topLinePunct w:val="0"/>
              <w:autoSpaceDE/>
              <w:autoSpaceDN/>
              <w:bidi w:val="0"/>
              <w:spacing w:line="240" w:lineRule="auto"/>
              <w:ind w:left="0" w:right="0" w:firstLine="432" w:firstLineChars="200"/>
              <w:textAlignment w:val="auto"/>
              <w:rPr>
                <w:rFonts w:ascii="宋体" w:hAnsi="宋体" w:eastAsia="宋体" w:cs="宋体"/>
                <w:color w:val="auto"/>
                <w:sz w:val="21"/>
                <w:szCs w:val="21"/>
                <w:highlight w:val="none"/>
              </w:rPr>
            </w:pPr>
            <w:r>
              <w:rPr>
                <w:rFonts w:ascii="宋体" w:hAnsi="宋体" w:eastAsia="宋体" w:cs="宋体"/>
                <w:color w:val="auto"/>
                <w:spacing w:val="3"/>
                <w:sz w:val="21"/>
                <w:szCs w:val="21"/>
                <w:highlight w:val="none"/>
              </w:rPr>
              <w:t>本项目日常环境管理纳入现有环境安全机构，现有机构应根据本</w:t>
            </w:r>
            <w:r>
              <w:rPr>
                <w:rFonts w:ascii="宋体" w:hAnsi="宋体" w:eastAsia="宋体" w:cs="宋体"/>
                <w:color w:val="auto"/>
                <w:spacing w:val="2"/>
                <w:sz w:val="21"/>
                <w:szCs w:val="21"/>
                <w:highlight w:val="none"/>
              </w:rPr>
              <w:t>项目的工况</w:t>
            </w:r>
            <w:r>
              <w:rPr>
                <w:rFonts w:ascii="宋体" w:hAnsi="宋体" w:eastAsia="宋体" w:cs="宋体"/>
                <w:color w:val="auto"/>
                <w:spacing w:val="1"/>
                <w:sz w:val="21"/>
                <w:szCs w:val="21"/>
                <w:highlight w:val="none"/>
              </w:rPr>
              <w:t>条件、原辅料特性及环境风险特征建立（或完善）日常环境管理制度；人员存在</w:t>
            </w:r>
            <w:r>
              <w:rPr>
                <w:rFonts w:ascii="宋体" w:hAnsi="宋体" w:eastAsia="宋体" w:cs="宋体"/>
                <w:color w:val="auto"/>
                <w:spacing w:val="10"/>
                <w:sz w:val="21"/>
                <w:szCs w:val="21"/>
                <w:highlight w:val="none"/>
              </w:rPr>
              <w:t>缺口，应及时从公司内部调配或由外部择优招聘，通过安全环保培</w:t>
            </w:r>
            <w:r>
              <w:rPr>
                <w:rFonts w:ascii="宋体" w:hAnsi="宋体" w:eastAsia="宋体" w:cs="宋体"/>
                <w:color w:val="auto"/>
                <w:spacing w:val="9"/>
                <w:sz w:val="21"/>
                <w:szCs w:val="21"/>
                <w:highlight w:val="none"/>
              </w:rPr>
              <w:t>训，持证上</w:t>
            </w:r>
            <w:r>
              <w:rPr>
                <w:rFonts w:ascii="宋体" w:hAnsi="宋体" w:eastAsia="宋体" w:cs="宋体"/>
                <w:color w:val="auto"/>
                <w:spacing w:val="-18"/>
                <w:sz w:val="21"/>
                <w:szCs w:val="21"/>
                <w:highlight w:val="none"/>
              </w:rPr>
              <w:t>岗。</w:t>
            </w:r>
          </w:p>
          <w:p w14:paraId="0E37829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（2）环境管理职责</w:t>
            </w:r>
          </w:p>
          <w:p w14:paraId="4EBD16E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①项目施工阶段，保证环保设施的“三同时”的实施及施工现场的环境保护工作；</w:t>
            </w:r>
          </w:p>
          <w:p w14:paraId="41976328">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②负责制定项目环境保护管理办法、环境保护规章制度、污染事故的应急措施以及生产安全条例，并监督检查这些制度和措施的执行情况；</w:t>
            </w:r>
          </w:p>
          <w:p w14:paraId="59D8FD70">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③确定本公司的环境目标，对各车间</w:t>
            </w:r>
            <w:r>
              <w:rPr>
                <w:rFonts w:hint="eastAsia"/>
                <w:color w:val="auto"/>
                <w:sz w:val="21"/>
                <w:szCs w:val="24"/>
                <w:highlight w:val="none"/>
                <w:lang w:eastAsia="zh-CN"/>
              </w:rPr>
              <w:t>、各</w:t>
            </w:r>
            <w:r>
              <w:rPr>
                <w:color w:val="auto"/>
                <w:sz w:val="21"/>
                <w:szCs w:val="24"/>
                <w:highlight w:val="none"/>
              </w:rPr>
              <w:t>部门及操作岗位进行监督与考核。编制环境管理台账；</w:t>
            </w:r>
          </w:p>
          <w:p w14:paraId="77D0C9AD">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④建立环保档案，包括环评报告、环保工程验收报告、污染源监测报告、环保设备及运行记录</w:t>
            </w:r>
            <w:r>
              <w:rPr>
                <w:rFonts w:hint="eastAsia"/>
                <w:color w:val="auto"/>
                <w:sz w:val="21"/>
                <w:szCs w:val="24"/>
                <w:highlight w:val="none"/>
                <w:lang w:eastAsia="zh-CN"/>
              </w:rPr>
              <w:t>以及其他</w:t>
            </w:r>
            <w:r>
              <w:rPr>
                <w:color w:val="auto"/>
                <w:sz w:val="21"/>
                <w:szCs w:val="24"/>
                <w:highlight w:val="none"/>
              </w:rPr>
              <w:t>环境统计资料；</w:t>
            </w:r>
          </w:p>
          <w:p w14:paraId="62E0AE5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⑤收集与管理有关污染和排放标准、环保法规、环保技术资料；</w:t>
            </w:r>
          </w:p>
          <w:p w14:paraId="6A4CE086">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⑥搞好环保设施与生产主体设备的协调管理，使污染防治设施的配备与生产主体设备相适应，并与主体设备同时运行及检修，污染防治设施出现故障时，环境管理机构应立即与生产部门共同采取措施，严防污染扩大，并负责污染事故的处理；</w:t>
            </w:r>
          </w:p>
          <w:p w14:paraId="1AF7D8E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color w:val="auto"/>
                <w:sz w:val="21"/>
                <w:szCs w:val="24"/>
                <w:highlight w:val="none"/>
              </w:rPr>
            </w:pPr>
            <w:r>
              <w:rPr>
                <w:color w:val="auto"/>
                <w:sz w:val="21"/>
                <w:szCs w:val="24"/>
                <w:highlight w:val="none"/>
              </w:rPr>
              <w:t>⑦直接管理或协调项目的日常环境监测事宜，负责处理解决环境污染和扰民的投诉；</w:t>
            </w:r>
          </w:p>
          <w:p w14:paraId="54A0FD4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color w:val="auto"/>
                <w:sz w:val="21"/>
                <w:szCs w:val="24"/>
                <w:highlight w:val="none"/>
                <w:lang w:val="en-US" w:eastAsia="zh-CN"/>
              </w:rPr>
            </w:pPr>
            <w:r>
              <w:rPr>
                <w:color w:val="auto"/>
                <w:sz w:val="21"/>
                <w:szCs w:val="24"/>
                <w:highlight w:val="none"/>
              </w:rPr>
              <w:t>⑧组织职工环保教育，搞好环境宣传；</w:t>
            </w:r>
          </w:p>
          <w:p w14:paraId="78A05F0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cs="Times New Roman"/>
                <w:color w:val="auto"/>
                <w:sz w:val="21"/>
                <w:szCs w:val="21"/>
                <w:highlight w:val="none"/>
              </w:rPr>
            </w:pPr>
            <w:r>
              <w:rPr>
                <w:rFonts w:hint="eastAsia" w:ascii="Times New Roman"/>
                <w:b w:val="0"/>
                <w:bCs/>
                <w:color w:val="auto"/>
                <w:kern w:val="0"/>
                <w:sz w:val="21"/>
                <w:szCs w:val="21"/>
                <w:highlight w:val="none"/>
                <w:lang w:val="en-US" w:eastAsia="zh-CN"/>
              </w:rPr>
              <w:t>⑨定期编制企业的环境报表和年度环境保护工作报告，提交给上级和当地环境主管部门。</w:t>
            </w:r>
          </w:p>
        </w:tc>
      </w:tr>
    </w:tbl>
    <w:p w14:paraId="2DD604F0">
      <w:pPr>
        <w:pStyle w:val="19"/>
        <w:jc w:val="center"/>
        <w:outlineLvl w:val="0"/>
        <w:rPr>
          <w:rFonts w:ascii="黑体" w:hAnsi="黑体" w:eastAsia="黑体"/>
          <w:snapToGrid w:val="0"/>
          <w:color w:val="auto"/>
          <w:sz w:val="30"/>
          <w:szCs w:val="30"/>
          <w:highlight w:val="none"/>
        </w:rPr>
      </w:pPr>
      <w:r>
        <w:rPr>
          <w:snapToGrid w:val="0"/>
          <w:color w:val="auto"/>
          <w:highlight w:val="none"/>
        </w:rPr>
        <w:br w:type="page"/>
      </w:r>
      <w:r>
        <w:rPr>
          <w:rFonts w:hint="eastAsia" w:ascii="黑体" w:hAnsi="黑体" w:eastAsia="黑体"/>
          <w:snapToGrid w:val="0"/>
          <w:color w:val="auto"/>
          <w:sz w:val="30"/>
          <w:szCs w:val="30"/>
          <w:highlight w:val="none"/>
        </w:rPr>
        <w:t>六、结论</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03AA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trPr>
        <w:tc>
          <w:tcPr>
            <w:tcW w:w="8865" w:type="dxa"/>
            <w:noWrap w:val="0"/>
            <w:vAlign w:val="center"/>
          </w:tcPr>
          <w:p w14:paraId="48E32614">
            <w:pPr>
              <w:spacing w:line="360" w:lineRule="auto"/>
              <w:ind w:firstLine="480" w:firstLineChars="200"/>
              <w:jc w:val="both"/>
              <w:rPr>
                <w:rFonts w:ascii="宋体" w:cs="宋体"/>
                <w:color w:val="auto"/>
                <w:sz w:val="24"/>
                <w:highlight w:val="none"/>
              </w:rPr>
            </w:pPr>
            <w:r>
              <w:rPr>
                <w:rFonts w:hint="eastAsia" w:ascii="宋体" w:hAnsi="宋体"/>
                <w:bCs/>
                <w:color w:val="auto"/>
                <w:sz w:val="24"/>
                <w:highlight w:val="none"/>
              </w:rPr>
              <w:t>本项目符合产业政策、选址合理，项目的建设会对周围环境产生影响，在认真落实本报告中提出的各项污染防治措施及建议的前提下，加强环境管理，其废气、废水、噪声、固体废弃物等对周围环境的影响控制在可接受范围内，项目建设对周边生态影</w:t>
            </w:r>
            <w:r>
              <w:rPr>
                <w:rFonts w:hint="eastAsia" w:ascii="宋体" w:hAnsi="宋体"/>
                <w:bCs/>
                <w:color w:val="auto"/>
                <w:sz w:val="24"/>
                <w:highlight w:val="none"/>
                <w:lang w:val="en-US" w:eastAsia="zh-CN"/>
              </w:rPr>
              <w:t>响</w:t>
            </w:r>
            <w:r>
              <w:rPr>
                <w:rFonts w:hint="eastAsia" w:ascii="宋体" w:hAnsi="宋体"/>
                <w:bCs/>
                <w:color w:val="auto"/>
                <w:sz w:val="24"/>
                <w:highlight w:val="none"/>
              </w:rPr>
              <w:t>较小，从环境保护角度分析，该建设项目可行</w:t>
            </w:r>
            <w:r>
              <w:rPr>
                <w:rFonts w:ascii="宋体" w:hAnsi="宋体" w:cs="宋体"/>
                <w:bCs/>
                <w:color w:val="auto"/>
                <w:sz w:val="24"/>
                <w:highlight w:val="none"/>
              </w:rPr>
              <w:t>。</w:t>
            </w:r>
          </w:p>
        </w:tc>
      </w:tr>
    </w:tbl>
    <w:p w14:paraId="18393579">
      <w:pPr>
        <w:rPr>
          <w:rFonts w:ascii="宋体"/>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DE898C7">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textAlignment w:val="auto"/>
        <w:outlineLvl w:val="0"/>
        <w:rPr>
          <w:rFonts w:ascii="黑体" w:hAnsi="黑体" w:eastAsia="黑体"/>
          <w:snapToGrid w:val="0"/>
          <w:color w:val="auto"/>
          <w:sz w:val="32"/>
          <w:szCs w:val="32"/>
          <w:highlight w:val="none"/>
        </w:rPr>
      </w:pPr>
      <w:r>
        <w:rPr>
          <w:rFonts w:hint="eastAsia" w:ascii="黑体" w:hAnsi="黑体" w:eastAsia="黑体"/>
          <w:snapToGrid w:val="0"/>
          <w:color w:val="auto"/>
          <w:sz w:val="32"/>
          <w:szCs w:val="32"/>
          <w:highlight w:val="none"/>
        </w:rPr>
        <w:t>附表</w:t>
      </w:r>
    </w:p>
    <w:p w14:paraId="30E0C63F">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eastAsia" w:ascii="方正小标宋_GBK" w:hAnsi="黑体" w:eastAsia="方正小标宋_GBK"/>
          <w:snapToGrid w:val="0"/>
          <w:color w:val="auto"/>
          <w:sz w:val="38"/>
          <w:szCs w:val="38"/>
          <w:highlight w:val="none"/>
        </w:rPr>
      </w:pPr>
      <w:r>
        <w:rPr>
          <w:rFonts w:hint="eastAsia" w:ascii="方正小标宋_GBK" w:hAnsi="黑体" w:eastAsia="方正小标宋_GBK"/>
          <w:snapToGrid w:val="0"/>
          <w:color w:val="auto"/>
          <w:sz w:val="38"/>
          <w:szCs w:val="38"/>
          <w:highlight w:val="none"/>
        </w:rPr>
        <w:t>建设项目污染物排放量汇总表</w:t>
      </w:r>
    </w:p>
    <w:tbl>
      <w:tblPr>
        <w:tblStyle w:val="22"/>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417"/>
        <w:gridCol w:w="1701"/>
        <w:gridCol w:w="1418"/>
        <w:gridCol w:w="1417"/>
      </w:tblGrid>
      <w:tr w14:paraId="0698EC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05ECE0BA">
            <w:pPr>
              <w:pStyle w:val="51"/>
              <w:spacing w:beforeLines="0" w:afterLines="0" w:line="240" w:lineRule="auto"/>
              <w:jc w:val="righ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项目</w:t>
            </w:r>
          </w:p>
          <w:p w14:paraId="40753427">
            <w:pPr>
              <w:pStyle w:val="51"/>
              <w:spacing w:beforeLines="0" w:afterLines="0" w:line="240" w:lineRule="auto"/>
              <w:jc w:val="left"/>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47BA5B24">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污染物名称</w:t>
            </w:r>
          </w:p>
        </w:tc>
        <w:tc>
          <w:tcPr>
            <w:tcW w:w="1701" w:type="dxa"/>
            <w:noWrap w:val="0"/>
            <w:tcMar>
              <w:left w:w="28" w:type="dxa"/>
              <w:right w:w="28" w:type="dxa"/>
            </w:tcMar>
            <w:vAlign w:val="center"/>
          </w:tcPr>
          <w:p w14:paraId="6D83A9F6">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现有工程</w:t>
            </w:r>
          </w:p>
          <w:p w14:paraId="1FB72513">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1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①</w:t>
            </w:r>
            <w:r>
              <w:rPr>
                <w:rFonts w:hint="default" w:ascii="Times New Roman" w:hAnsi="Times New Roman" w:eastAsia="宋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75204EE9">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现有工程</w:t>
            </w:r>
          </w:p>
          <w:p w14:paraId="10CF875B">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许可排放量</w:t>
            </w:r>
          </w:p>
          <w:p w14:paraId="2FB88E31">
            <w:pPr>
              <w:pStyle w:val="51"/>
              <w:spacing w:beforeLines="0" w:afterLines="0"/>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2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snapToGrid w:val="0"/>
                <w:color w:val="auto"/>
                <w:spacing w:val="-6"/>
                <w:kern w:val="21"/>
                <w:szCs w:val="21"/>
                <w:highlight w:val="none"/>
              </w:rPr>
              <w:t>②</w:t>
            </w:r>
            <w:r>
              <w:rPr>
                <w:rFonts w:hint="default" w:ascii="Times New Roman" w:hAnsi="Times New Roman" w:eastAsia="宋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7311D291">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在建工程</w:t>
            </w:r>
          </w:p>
          <w:p w14:paraId="54019B1D">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3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③</w:t>
            </w:r>
            <w:r>
              <w:rPr>
                <w:rFonts w:hint="default" w:ascii="Times New Roman" w:hAnsi="Times New Roman" w:eastAsia="宋体" w:cs="Times New Roman"/>
                <w:snapToGrid w:val="0"/>
                <w:color w:val="auto"/>
                <w:spacing w:val="-6"/>
                <w:kern w:val="21"/>
                <w:szCs w:val="21"/>
                <w:highlight w:val="none"/>
              </w:rPr>
              <w:fldChar w:fldCharType="end"/>
            </w:r>
          </w:p>
        </w:tc>
        <w:tc>
          <w:tcPr>
            <w:tcW w:w="1417" w:type="dxa"/>
            <w:noWrap w:val="0"/>
            <w:tcMar>
              <w:left w:w="28" w:type="dxa"/>
              <w:right w:w="28" w:type="dxa"/>
            </w:tcMar>
            <w:vAlign w:val="center"/>
          </w:tcPr>
          <w:p w14:paraId="1AB7D4FD">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本项目</w:t>
            </w:r>
          </w:p>
          <w:p w14:paraId="7320C09E">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排放量（固体废物产生量）</w:t>
            </w: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4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④</w:t>
            </w:r>
            <w:r>
              <w:rPr>
                <w:rFonts w:hint="default" w:ascii="Times New Roman" w:hAnsi="Times New Roman" w:eastAsia="宋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516D7C98">
            <w:pPr>
              <w:pStyle w:val="51"/>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以新带老削减量</w:t>
            </w:r>
          </w:p>
          <w:p w14:paraId="7E5CED2C">
            <w:pPr>
              <w:pStyle w:val="51"/>
              <w:spacing w:beforeLines="0" w:afterLines="0" w:line="240" w:lineRule="auto"/>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（新建项目不填）</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5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⑤</w:t>
            </w:r>
            <w:r>
              <w:rPr>
                <w:rFonts w:hint="default" w:ascii="Times New Roman" w:hAnsi="Times New Roman" w:eastAsia="宋体" w:cs="Times New Roman"/>
                <w:snapToGrid w:val="0"/>
                <w:color w:val="auto"/>
                <w:spacing w:val="-16"/>
                <w:kern w:val="21"/>
                <w:szCs w:val="21"/>
                <w:highlight w:val="none"/>
              </w:rPr>
              <w:fldChar w:fldCharType="end"/>
            </w:r>
          </w:p>
        </w:tc>
        <w:tc>
          <w:tcPr>
            <w:tcW w:w="1418" w:type="dxa"/>
            <w:noWrap w:val="0"/>
            <w:tcMar>
              <w:left w:w="28" w:type="dxa"/>
              <w:right w:w="28" w:type="dxa"/>
            </w:tcMar>
            <w:vAlign w:val="center"/>
          </w:tcPr>
          <w:p w14:paraId="10F3F0A9">
            <w:pPr>
              <w:pStyle w:val="51"/>
              <w:spacing w:beforeLines="0" w:afterLines="0" w:line="240" w:lineRule="auto"/>
              <w:jc w:val="both"/>
              <w:rPr>
                <w:rFonts w:hint="default" w:ascii="Times New Roman" w:hAnsi="Times New Roman" w:eastAsia="宋体" w:cs="Times New Roman"/>
                <w:snapToGrid w:val="0"/>
                <w:color w:val="auto"/>
                <w:spacing w:val="-16"/>
                <w:kern w:val="21"/>
                <w:szCs w:val="21"/>
                <w:highlight w:val="none"/>
              </w:rPr>
            </w:pPr>
            <w:r>
              <w:rPr>
                <w:rFonts w:hint="default" w:ascii="Times New Roman" w:hAnsi="Times New Roman" w:eastAsia="宋体" w:cs="Times New Roman"/>
                <w:snapToGrid w:val="0"/>
                <w:color w:val="auto"/>
                <w:spacing w:val="-16"/>
                <w:kern w:val="21"/>
                <w:szCs w:val="21"/>
                <w:highlight w:val="none"/>
              </w:rPr>
              <w:t>本项目建成后全厂排放量（固体废物产生量）</w:t>
            </w:r>
            <w:r>
              <w:rPr>
                <w:rFonts w:hint="default" w:ascii="Times New Roman" w:hAnsi="Times New Roman" w:eastAsia="宋体" w:cs="Times New Roman"/>
                <w:snapToGrid w:val="0"/>
                <w:color w:val="auto"/>
                <w:spacing w:val="-16"/>
                <w:kern w:val="21"/>
                <w:szCs w:val="21"/>
                <w:highlight w:val="none"/>
              </w:rPr>
              <w:fldChar w:fldCharType="begin"/>
            </w:r>
            <w:r>
              <w:rPr>
                <w:rFonts w:hint="default" w:ascii="Times New Roman" w:hAnsi="Times New Roman" w:eastAsia="宋体" w:cs="Times New Roman"/>
                <w:snapToGrid w:val="0"/>
                <w:color w:val="auto"/>
                <w:spacing w:val="-16"/>
                <w:kern w:val="21"/>
                <w:szCs w:val="21"/>
                <w:highlight w:val="none"/>
              </w:rPr>
              <w:instrText xml:space="preserve"> = 6 \* GB3 \* MERGEFORMAT </w:instrText>
            </w:r>
            <w:r>
              <w:rPr>
                <w:rFonts w:hint="default" w:ascii="Times New Roman" w:hAnsi="Times New Roman" w:eastAsia="宋体" w:cs="Times New Roman"/>
                <w:snapToGrid w:val="0"/>
                <w:color w:val="auto"/>
                <w:spacing w:val="-16"/>
                <w:kern w:val="21"/>
                <w:szCs w:val="21"/>
                <w:highlight w:val="none"/>
              </w:rPr>
              <w:fldChar w:fldCharType="separate"/>
            </w:r>
            <w:r>
              <w:rPr>
                <w:rFonts w:hint="default" w:ascii="Times New Roman" w:hAnsi="Times New Roman" w:eastAsia="宋体" w:cs="Times New Roman"/>
                <w:color w:val="auto"/>
                <w:kern w:val="2"/>
                <w:szCs w:val="21"/>
                <w:highlight w:val="none"/>
              </w:rPr>
              <w:t>⑥</w:t>
            </w:r>
            <w:r>
              <w:rPr>
                <w:rFonts w:hint="default" w:ascii="Times New Roman" w:hAnsi="Times New Roman" w:eastAsia="宋体" w:cs="Times New Roman"/>
                <w:snapToGrid w:val="0"/>
                <w:color w:val="auto"/>
                <w:spacing w:val="-16"/>
                <w:kern w:val="21"/>
                <w:szCs w:val="21"/>
                <w:highlight w:val="none"/>
              </w:rPr>
              <w:fldChar w:fldCharType="end"/>
            </w:r>
          </w:p>
        </w:tc>
        <w:tc>
          <w:tcPr>
            <w:tcW w:w="1417" w:type="dxa"/>
            <w:noWrap w:val="0"/>
            <w:tcMar>
              <w:left w:w="28" w:type="dxa"/>
              <w:right w:w="28" w:type="dxa"/>
            </w:tcMar>
            <w:vAlign w:val="center"/>
          </w:tcPr>
          <w:p w14:paraId="354D8F34">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t>变化量</w:t>
            </w:r>
          </w:p>
          <w:p w14:paraId="2AA67F3C">
            <w:pPr>
              <w:pStyle w:val="51"/>
              <w:spacing w:beforeLines="0" w:afterLines="0" w:line="240" w:lineRule="auto"/>
              <w:rPr>
                <w:rFonts w:hint="default" w:ascii="Times New Roman" w:hAnsi="Times New Roman" w:eastAsia="宋体" w:cs="Times New Roman"/>
                <w:snapToGrid w:val="0"/>
                <w:color w:val="auto"/>
                <w:spacing w:val="-6"/>
                <w:kern w:val="21"/>
                <w:szCs w:val="21"/>
                <w:highlight w:val="none"/>
              </w:rPr>
            </w:pPr>
            <w:r>
              <w:rPr>
                <w:rFonts w:hint="default" w:ascii="Times New Roman" w:hAnsi="Times New Roman" w:eastAsia="宋体" w:cs="Times New Roman"/>
                <w:snapToGrid w:val="0"/>
                <w:color w:val="auto"/>
                <w:spacing w:val="-6"/>
                <w:kern w:val="21"/>
                <w:szCs w:val="21"/>
                <w:highlight w:val="none"/>
              </w:rPr>
              <w:fldChar w:fldCharType="begin"/>
            </w:r>
            <w:r>
              <w:rPr>
                <w:rFonts w:hint="default" w:ascii="Times New Roman" w:hAnsi="Times New Roman" w:eastAsia="宋体" w:cs="Times New Roman"/>
                <w:snapToGrid w:val="0"/>
                <w:color w:val="auto"/>
                <w:spacing w:val="-6"/>
                <w:kern w:val="21"/>
                <w:szCs w:val="21"/>
                <w:highlight w:val="none"/>
              </w:rPr>
              <w:instrText xml:space="preserve"> = 7 \* GB3 \* MERGEFORMAT </w:instrText>
            </w:r>
            <w:r>
              <w:rPr>
                <w:rFonts w:hint="default" w:ascii="Times New Roman" w:hAnsi="Times New Roman" w:eastAsia="宋体" w:cs="Times New Roman"/>
                <w:snapToGrid w:val="0"/>
                <w:color w:val="auto"/>
                <w:spacing w:val="-6"/>
                <w:kern w:val="21"/>
                <w:szCs w:val="21"/>
                <w:highlight w:val="none"/>
              </w:rPr>
              <w:fldChar w:fldCharType="separate"/>
            </w:r>
            <w:r>
              <w:rPr>
                <w:rFonts w:hint="default" w:ascii="Times New Roman" w:hAnsi="Times New Roman" w:eastAsia="宋体" w:cs="Times New Roman"/>
                <w:color w:val="auto"/>
                <w:kern w:val="2"/>
                <w:szCs w:val="21"/>
                <w:highlight w:val="none"/>
              </w:rPr>
              <w:t>⑦</w:t>
            </w:r>
            <w:r>
              <w:rPr>
                <w:rFonts w:hint="default" w:ascii="Times New Roman" w:hAnsi="Times New Roman" w:eastAsia="宋体" w:cs="Times New Roman"/>
                <w:snapToGrid w:val="0"/>
                <w:color w:val="auto"/>
                <w:spacing w:val="-6"/>
                <w:kern w:val="21"/>
                <w:szCs w:val="21"/>
                <w:highlight w:val="none"/>
              </w:rPr>
              <w:fldChar w:fldCharType="end"/>
            </w:r>
          </w:p>
        </w:tc>
      </w:tr>
      <w:tr w14:paraId="53AB2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476B32CD">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废气</w:t>
            </w:r>
          </w:p>
        </w:tc>
        <w:tc>
          <w:tcPr>
            <w:tcW w:w="1417" w:type="dxa"/>
            <w:noWrap w:val="0"/>
            <w:vAlign w:val="center"/>
          </w:tcPr>
          <w:p w14:paraId="59991A75">
            <w:pPr>
              <w:pStyle w:val="51"/>
              <w:spacing w:beforeLines="0" w:afterLines="0"/>
              <w:rPr>
                <w:rFonts w:hint="default" w:ascii="Times New Roman" w:hAnsi="Times New Roman" w:eastAsia="宋体" w:cs="Times New Roman"/>
                <w:color w:val="auto"/>
                <w:kern w:val="21"/>
                <w:szCs w:val="21"/>
                <w:highlight w:val="none"/>
              </w:rPr>
            </w:pPr>
            <w:r>
              <w:rPr>
                <w:rFonts w:hint="default" w:ascii="Times New Roman" w:hAnsi="Times New Roman" w:eastAsia="宋体" w:cs="Times New Roman"/>
                <w:color w:val="auto"/>
                <w:kern w:val="21"/>
                <w:highlight w:val="none"/>
              </w:rPr>
              <w:t>颗粒物</w:t>
            </w:r>
          </w:p>
        </w:tc>
        <w:tc>
          <w:tcPr>
            <w:tcW w:w="1701" w:type="dxa"/>
            <w:noWrap w:val="0"/>
            <w:vAlign w:val="center"/>
          </w:tcPr>
          <w:p w14:paraId="45E0574A">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05A3FF56">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668D7E76">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37621B55">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1.657t/a</w:t>
            </w:r>
          </w:p>
        </w:tc>
        <w:tc>
          <w:tcPr>
            <w:tcW w:w="1701" w:type="dxa"/>
            <w:noWrap w:val="0"/>
            <w:vAlign w:val="center"/>
          </w:tcPr>
          <w:p w14:paraId="7194E193">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0545EFFE">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1.657t/a</w:t>
            </w:r>
          </w:p>
        </w:tc>
        <w:tc>
          <w:tcPr>
            <w:tcW w:w="1417" w:type="dxa"/>
            <w:noWrap w:val="0"/>
            <w:vAlign w:val="center"/>
          </w:tcPr>
          <w:p w14:paraId="1AE28056">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+1.657t/a</w:t>
            </w:r>
          </w:p>
        </w:tc>
      </w:tr>
      <w:tr w14:paraId="5005C3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51D5C331">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3478F07C">
            <w:pPr>
              <w:pStyle w:val="51"/>
              <w:spacing w:beforeLines="0" w:afterLines="0"/>
              <w:rPr>
                <w:rFonts w:hint="default" w:ascii="Times New Roman" w:hAnsi="Times New Roman" w:eastAsia="宋体" w:cs="Times New Roman"/>
                <w:color w:val="auto"/>
                <w:kern w:val="21"/>
                <w:highlight w:val="none"/>
                <w:lang w:val="en-US" w:eastAsia="zh-CN"/>
              </w:rPr>
            </w:pPr>
            <w:r>
              <w:rPr>
                <w:rFonts w:hint="eastAsia" w:ascii="Times New Roman" w:cs="Times New Roman"/>
                <w:color w:val="auto"/>
                <w:kern w:val="21"/>
                <w:highlight w:val="none"/>
                <w:lang w:val="en-US" w:eastAsia="zh-CN"/>
              </w:rPr>
              <w:t>非甲烷总烃</w:t>
            </w:r>
          </w:p>
        </w:tc>
        <w:tc>
          <w:tcPr>
            <w:tcW w:w="1701" w:type="dxa"/>
            <w:noWrap w:val="0"/>
            <w:vAlign w:val="center"/>
          </w:tcPr>
          <w:p w14:paraId="566CADD2">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276" w:type="dxa"/>
            <w:noWrap w:val="0"/>
            <w:vAlign w:val="center"/>
          </w:tcPr>
          <w:p w14:paraId="0C4328B7">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701" w:type="dxa"/>
            <w:noWrap w:val="0"/>
            <w:vAlign w:val="center"/>
          </w:tcPr>
          <w:p w14:paraId="3EB910BB">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417" w:type="dxa"/>
            <w:noWrap w:val="0"/>
            <w:vAlign w:val="center"/>
          </w:tcPr>
          <w:p w14:paraId="2D07F9C4">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0.0001</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61C85B8B">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2B9271D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0.0001</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5D5DD047">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+0.0001</w:t>
            </w:r>
            <w:r>
              <w:rPr>
                <w:rFonts w:hint="default" w:ascii="Times New Roman" w:hAnsi="Times New Roman" w:eastAsia="宋体" w:cs="Times New Roman"/>
                <w:snapToGrid w:val="0"/>
                <w:color w:val="auto"/>
                <w:kern w:val="21"/>
                <w:szCs w:val="21"/>
                <w:highlight w:val="none"/>
              </w:rPr>
              <w:t>t/a</w:t>
            </w:r>
          </w:p>
        </w:tc>
      </w:tr>
      <w:tr w14:paraId="483D51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0E1A07D2">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废水</w:t>
            </w:r>
          </w:p>
        </w:tc>
        <w:tc>
          <w:tcPr>
            <w:tcW w:w="1417" w:type="dxa"/>
            <w:noWrap w:val="0"/>
            <w:vAlign w:val="center"/>
          </w:tcPr>
          <w:p w14:paraId="41BE7A34">
            <w:pPr>
              <w:pStyle w:val="51"/>
              <w:spacing w:beforeLines="0" w:afterLines="0"/>
              <w:rPr>
                <w:rFonts w:hint="default" w:ascii="Times New Roman" w:hAnsi="Times New Roman" w:eastAsia="宋体" w:cs="Times New Roman"/>
                <w:color w:val="auto"/>
                <w:kern w:val="21"/>
                <w:highlight w:val="none"/>
              </w:rPr>
            </w:pPr>
            <w:r>
              <w:rPr>
                <w:rFonts w:hint="default" w:ascii="Times New Roman" w:hAnsi="Times New Roman" w:eastAsia="宋体" w:cs="Times New Roman"/>
                <w:color w:val="auto"/>
                <w:kern w:val="21"/>
                <w:highlight w:val="none"/>
              </w:rPr>
              <w:t>废水量</w:t>
            </w:r>
          </w:p>
        </w:tc>
        <w:tc>
          <w:tcPr>
            <w:tcW w:w="1701" w:type="dxa"/>
            <w:noWrap w:val="0"/>
            <w:vAlign w:val="center"/>
          </w:tcPr>
          <w:p w14:paraId="10201DF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59A47E88">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5EE901C9">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4BBFE226">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rPr>
            </w:pPr>
            <w:r>
              <w:rPr>
                <w:rFonts w:hint="eastAsia" w:ascii="Times New Roman" w:cs="Times New Roman"/>
                <w:snapToGrid w:val="0"/>
                <w:color w:val="auto"/>
                <w:kern w:val="21"/>
                <w:szCs w:val="21"/>
                <w:highlight w:val="none"/>
                <w:lang w:val="en-US" w:eastAsia="zh-CN"/>
              </w:rPr>
              <w:t>288m</w:t>
            </w:r>
            <w:r>
              <w:rPr>
                <w:rFonts w:hint="eastAsia" w:ascii="Times New Roman" w:cs="Times New Roman"/>
                <w:snapToGrid w:val="0"/>
                <w:color w:val="auto"/>
                <w:kern w:val="21"/>
                <w:szCs w:val="21"/>
                <w:highlight w:val="none"/>
                <w:vertAlign w:val="superscript"/>
                <w:lang w:val="en-US" w:eastAsia="zh-CN"/>
              </w:rPr>
              <w:t>3</w:t>
            </w:r>
            <w:r>
              <w:rPr>
                <w:rFonts w:hint="default" w:ascii="Times New Roman" w:hAnsi="Times New Roman" w:eastAsia="宋体" w:cs="Times New Roman"/>
                <w:snapToGrid w:val="0"/>
                <w:color w:val="auto"/>
                <w:kern w:val="21"/>
                <w:szCs w:val="21"/>
                <w:highlight w:val="none"/>
              </w:rPr>
              <w:t>/a</w:t>
            </w:r>
          </w:p>
        </w:tc>
        <w:tc>
          <w:tcPr>
            <w:tcW w:w="1701" w:type="dxa"/>
            <w:noWrap w:val="0"/>
            <w:vAlign w:val="center"/>
          </w:tcPr>
          <w:p w14:paraId="1D3A788B">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66D34E63">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288m</w:t>
            </w:r>
            <w:r>
              <w:rPr>
                <w:rFonts w:hint="eastAsia" w:ascii="Times New Roman" w:cs="Times New Roman"/>
                <w:snapToGrid w:val="0"/>
                <w:color w:val="auto"/>
                <w:kern w:val="21"/>
                <w:szCs w:val="21"/>
                <w:highlight w:val="none"/>
                <w:vertAlign w:val="superscript"/>
                <w:lang w:val="en-US" w:eastAsia="zh-CN"/>
              </w:rPr>
              <w:t>3</w:t>
            </w:r>
            <w:r>
              <w:rPr>
                <w:rFonts w:hint="default" w:ascii="Times New Roman" w:hAnsi="Times New Roman" w:eastAsia="宋体" w:cs="Times New Roman"/>
                <w:snapToGrid w:val="0"/>
                <w:color w:val="auto"/>
                <w:kern w:val="21"/>
                <w:szCs w:val="21"/>
                <w:highlight w:val="none"/>
              </w:rPr>
              <w:t>/a</w:t>
            </w:r>
          </w:p>
        </w:tc>
        <w:tc>
          <w:tcPr>
            <w:tcW w:w="1417" w:type="dxa"/>
            <w:noWrap w:val="0"/>
            <w:vAlign w:val="center"/>
          </w:tcPr>
          <w:p w14:paraId="1186FBE3">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+288m</w:t>
            </w:r>
            <w:r>
              <w:rPr>
                <w:rFonts w:hint="eastAsia" w:ascii="Times New Roman" w:cs="Times New Roman"/>
                <w:snapToGrid w:val="0"/>
                <w:color w:val="auto"/>
                <w:kern w:val="21"/>
                <w:szCs w:val="21"/>
                <w:highlight w:val="none"/>
                <w:vertAlign w:val="superscript"/>
                <w:lang w:val="en-US" w:eastAsia="zh-CN"/>
              </w:rPr>
              <w:t>3</w:t>
            </w:r>
            <w:r>
              <w:rPr>
                <w:rFonts w:hint="default" w:ascii="Times New Roman" w:hAnsi="Times New Roman" w:eastAsia="宋体" w:cs="Times New Roman"/>
                <w:snapToGrid w:val="0"/>
                <w:color w:val="auto"/>
                <w:kern w:val="21"/>
                <w:szCs w:val="21"/>
                <w:highlight w:val="none"/>
              </w:rPr>
              <w:t>/a</w:t>
            </w:r>
          </w:p>
        </w:tc>
      </w:tr>
      <w:tr w14:paraId="239C57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422352F">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446A96E7">
            <w:pPr>
              <w:pStyle w:val="51"/>
              <w:spacing w:beforeLines="0" w:afterLines="0"/>
              <w:rPr>
                <w:rFonts w:hint="eastAsia" w:ascii="Times New Roman" w:hAnsi="Times New Roman" w:eastAsia="宋体" w:cs="Times New Roman"/>
                <w:color w:val="auto"/>
                <w:kern w:val="21"/>
                <w:highlight w:val="none"/>
                <w:lang w:val="en-US" w:eastAsia="zh-CN"/>
              </w:rPr>
            </w:pPr>
            <w:r>
              <w:rPr>
                <w:rFonts w:hint="default" w:ascii="Times New Roman" w:hAnsi="Times New Roman" w:eastAsia="宋体" w:cs="Times New Roman"/>
                <w:color w:val="auto"/>
                <w:kern w:val="21"/>
                <w:highlight w:val="none"/>
              </w:rPr>
              <w:t>COD</w:t>
            </w:r>
            <w:r>
              <w:rPr>
                <w:rFonts w:hint="eastAsia" w:ascii="Times New Roman" w:cs="Times New Roman"/>
                <w:color w:val="auto"/>
                <w:kern w:val="21"/>
                <w:highlight w:val="none"/>
                <w:lang w:val="en-US" w:eastAsia="zh-CN"/>
              </w:rPr>
              <w:t>cr</w:t>
            </w:r>
          </w:p>
        </w:tc>
        <w:tc>
          <w:tcPr>
            <w:tcW w:w="1701" w:type="dxa"/>
            <w:noWrap w:val="0"/>
            <w:vAlign w:val="center"/>
          </w:tcPr>
          <w:p w14:paraId="6DDF14B1">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399C0EE6">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2BBAB77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4EE64920">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0.086</w:t>
            </w:r>
            <w:r>
              <w:rPr>
                <w:rFonts w:hint="default" w:ascii="Times New Roman" w:hAnsi="Times New Roman" w:eastAsia="宋体" w:cs="Times New Roman"/>
                <w:color w:val="auto"/>
                <w:szCs w:val="21"/>
                <w:highlight w:val="none"/>
                <w:lang w:val="en-US" w:eastAsia="zh-CN"/>
              </w:rPr>
              <w:t>t/a</w:t>
            </w:r>
          </w:p>
        </w:tc>
        <w:tc>
          <w:tcPr>
            <w:tcW w:w="1701" w:type="dxa"/>
            <w:noWrap w:val="0"/>
            <w:vAlign w:val="center"/>
          </w:tcPr>
          <w:p w14:paraId="7846B62E">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28E9941C">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0.086</w:t>
            </w:r>
            <w:r>
              <w:rPr>
                <w:rFonts w:hint="default" w:ascii="Times New Roman" w:hAnsi="Times New Roman" w:eastAsia="宋体" w:cs="Times New Roman"/>
                <w:color w:val="auto"/>
                <w:szCs w:val="21"/>
                <w:highlight w:val="none"/>
                <w:lang w:val="en-US" w:eastAsia="zh-CN"/>
              </w:rPr>
              <w:t>t/a</w:t>
            </w:r>
          </w:p>
        </w:tc>
        <w:tc>
          <w:tcPr>
            <w:tcW w:w="1417" w:type="dxa"/>
            <w:noWrap w:val="0"/>
            <w:vAlign w:val="center"/>
          </w:tcPr>
          <w:p w14:paraId="490EC2D5">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0.086</w:t>
            </w:r>
            <w:r>
              <w:rPr>
                <w:rFonts w:hint="default" w:ascii="Times New Roman" w:hAnsi="Times New Roman" w:eastAsia="宋体" w:cs="Times New Roman"/>
                <w:color w:val="auto"/>
                <w:szCs w:val="21"/>
                <w:highlight w:val="none"/>
                <w:lang w:val="en-US" w:eastAsia="zh-CN"/>
              </w:rPr>
              <w:t>t/a</w:t>
            </w:r>
          </w:p>
        </w:tc>
      </w:tr>
      <w:tr w14:paraId="745E8E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7C3D709C">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28E36F35">
            <w:pPr>
              <w:pStyle w:val="51"/>
              <w:spacing w:beforeLines="0" w:afterLines="0"/>
              <w:rPr>
                <w:rFonts w:hint="default" w:ascii="Times New Roman" w:hAnsi="Times New Roman" w:eastAsia="宋体" w:cs="Times New Roman"/>
                <w:color w:val="auto"/>
                <w:kern w:val="21"/>
                <w:highlight w:val="none"/>
              </w:rPr>
            </w:pPr>
            <w:r>
              <w:rPr>
                <w:rFonts w:hint="default" w:ascii="Times New Roman" w:hAnsi="Times New Roman" w:eastAsia="宋体" w:cs="Times New Roman"/>
                <w:color w:val="auto"/>
                <w:kern w:val="21"/>
                <w:highlight w:val="none"/>
              </w:rPr>
              <w:t>BOD</w:t>
            </w:r>
            <w:r>
              <w:rPr>
                <w:rFonts w:hint="default" w:ascii="Times New Roman" w:hAnsi="Times New Roman" w:eastAsia="宋体" w:cs="Times New Roman"/>
                <w:color w:val="auto"/>
                <w:kern w:val="21"/>
                <w:highlight w:val="none"/>
                <w:vertAlign w:val="subscript"/>
              </w:rPr>
              <w:t>5</w:t>
            </w:r>
          </w:p>
        </w:tc>
        <w:tc>
          <w:tcPr>
            <w:tcW w:w="1701" w:type="dxa"/>
            <w:noWrap w:val="0"/>
            <w:vAlign w:val="center"/>
          </w:tcPr>
          <w:p w14:paraId="5C7CC897">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2F49E051">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7D55E4E8">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3906258A">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0.043</w:t>
            </w:r>
            <w:r>
              <w:rPr>
                <w:rFonts w:hint="default" w:ascii="Times New Roman" w:hAnsi="Times New Roman" w:eastAsia="宋体" w:cs="Times New Roman"/>
                <w:color w:val="auto"/>
                <w:szCs w:val="21"/>
                <w:highlight w:val="none"/>
                <w:lang w:val="en-US" w:eastAsia="zh-CN"/>
              </w:rPr>
              <w:t>t/a</w:t>
            </w:r>
          </w:p>
        </w:tc>
        <w:tc>
          <w:tcPr>
            <w:tcW w:w="1701" w:type="dxa"/>
            <w:noWrap w:val="0"/>
            <w:vAlign w:val="center"/>
          </w:tcPr>
          <w:p w14:paraId="77CF1BA7">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6B17DF6C">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0.043</w:t>
            </w:r>
            <w:r>
              <w:rPr>
                <w:rFonts w:hint="default" w:ascii="Times New Roman" w:hAnsi="Times New Roman" w:eastAsia="宋体" w:cs="Times New Roman"/>
                <w:color w:val="auto"/>
                <w:szCs w:val="21"/>
                <w:highlight w:val="none"/>
                <w:lang w:val="en-US" w:eastAsia="zh-CN"/>
              </w:rPr>
              <w:t>t/a</w:t>
            </w:r>
          </w:p>
        </w:tc>
        <w:tc>
          <w:tcPr>
            <w:tcW w:w="1417" w:type="dxa"/>
            <w:noWrap w:val="0"/>
            <w:vAlign w:val="center"/>
          </w:tcPr>
          <w:p w14:paraId="27A2C356">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0.043</w:t>
            </w:r>
            <w:r>
              <w:rPr>
                <w:rFonts w:hint="default" w:ascii="Times New Roman" w:hAnsi="Times New Roman" w:eastAsia="宋体" w:cs="Times New Roman"/>
                <w:color w:val="auto"/>
                <w:szCs w:val="21"/>
                <w:highlight w:val="none"/>
                <w:lang w:val="en-US" w:eastAsia="zh-CN"/>
              </w:rPr>
              <w:t>t/a</w:t>
            </w:r>
          </w:p>
        </w:tc>
      </w:tr>
      <w:tr w14:paraId="1CA5F1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D7B399C">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1761DE82">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SS</w:t>
            </w:r>
          </w:p>
        </w:tc>
        <w:tc>
          <w:tcPr>
            <w:tcW w:w="1701" w:type="dxa"/>
            <w:noWrap w:val="0"/>
            <w:vAlign w:val="center"/>
          </w:tcPr>
          <w:p w14:paraId="2749C77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06082148">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69632DB3">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18EC1E69">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0.007</w:t>
            </w:r>
            <w:r>
              <w:rPr>
                <w:rFonts w:hint="default" w:ascii="Times New Roman" w:hAnsi="Times New Roman" w:eastAsia="宋体" w:cs="Times New Roman"/>
                <w:color w:val="auto"/>
                <w:szCs w:val="21"/>
                <w:highlight w:val="none"/>
                <w:lang w:val="en-US" w:eastAsia="zh-CN"/>
              </w:rPr>
              <w:t>t/a</w:t>
            </w:r>
          </w:p>
        </w:tc>
        <w:tc>
          <w:tcPr>
            <w:tcW w:w="1701" w:type="dxa"/>
            <w:noWrap w:val="0"/>
            <w:vAlign w:val="center"/>
          </w:tcPr>
          <w:p w14:paraId="770E8FA3">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086581F6">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0.007</w:t>
            </w:r>
            <w:r>
              <w:rPr>
                <w:rFonts w:hint="default" w:ascii="Times New Roman" w:hAnsi="Times New Roman" w:eastAsia="宋体" w:cs="Times New Roman"/>
                <w:color w:val="auto"/>
                <w:szCs w:val="21"/>
                <w:highlight w:val="none"/>
                <w:lang w:val="en-US" w:eastAsia="zh-CN"/>
              </w:rPr>
              <w:t>t/a</w:t>
            </w:r>
          </w:p>
        </w:tc>
        <w:tc>
          <w:tcPr>
            <w:tcW w:w="1417" w:type="dxa"/>
            <w:noWrap w:val="0"/>
            <w:vAlign w:val="center"/>
          </w:tcPr>
          <w:p w14:paraId="17CB8019">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0.007</w:t>
            </w:r>
            <w:r>
              <w:rPr>
                <w:rFonts w:hint="default" w:ascii="Times New Roman" w:hAnsi="Times New Roman" w:eastAsia="宋体" w:cs="Times New Roman"/>
                <w:color w:val="auto"/>
                <w:szCs w:val="21"/>
                <w:highlight w:val="none"/>
                <w:lang w:val="en-US" w:eastAsia="zh-CN"/>
              </w:rPr>
              <w:t>t/a</w:t>
            </w:r>
          </w:p>
        </w:tc>
      </w:tr>
      <w:tr w14:paraId="0ED78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E96AFF7">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1E605D7C">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NH</w:t>
            </w:r>
            <w:r>
              <w:rPr>
                <w:rFonts w:hint="default" w:ascii="Times New Roman" w:hAnsi="Times New Roman" w:eastAsia="宋体" w:cs="Times New Roman"/>
                <w:snapToGrid w:val="0"/>
                <w:color w:val="auto"/>
                <w:kern w:val="21"/>
                <w:szCs w:val="21"/>
                <w:highlight w:val="none"/>
                <w:vertAlign w:val="subscript"/>
              </w:rPr>
              <w:t>3</w:t>
            </w:r>
            <w:r>
              <w:rPr>
                <w:rFonts w:hint="default" w:ascii="Times New Roman" w:hAnsi="Times New Roman" w:eastAsia="宋体" w:cs="Times New Roman"/>
                <w:snapToGrid w:val="0"/>
                <w:color w:val="auto"/>
                <w:kern w:val="21"/>
                <w:szCs w:val="21"/>
                <w:highlight w:val="none"/>
              </w:rPr>
              <w:t>-N</w:t>
            </w:r>
          </w:p>
        </w:tc>
        <w:tc>
          <w:tcPr>
            <w:tcW w:w="1701" w:type="dxa"/>
            <w:noWrap w:val="0"/>
            <w:vAlign w:val="center"/>
          </w:tcPr>
          <w:p w14:paraId="472D929F">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3DBC59CC">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43BCFF5C">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2841FB41">
            <w:pPr>
              <w:keepNext w:val="0"/>
              <w:keepLines w:val="0"/>
              <w:widowControl/>
              <w:suppressLineNumbers w:val="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0.058</w:t>
            </w:r>
            <w:r>
              <w:rPr>
                <w:rFonts w:hint="default" w:ascii="Times New Roman" w:hAnsi="Times New Roman" w:eastAsia="宋体" w:cs="Times New Roman"/>
                <w:color w:val="auto"/>
                <w:szCs w:val="21"/>
                <w:highlight w:val="none"/>
                <w:lang w:val="en-US" w:eastAsia="zh-CN"/>
              </w:rPr>
              <w:t>t/a</w:t>
            </w:r>
          </w:p>
        </w:tc>
        <w:tc>
          <w:tcPr>
            <w:tcW w:w="1701" w:type="dxa"/>
            <w:noWrap w:val="0"/>
            <w:vAlign w:val="center"/>
          </w:tcPr>
          <w:p w14:paraId="0703334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275C3356">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0.058</w:t>
            </w:r>
            <w:r>
              <w:rPr>
                <w:rFonts w:hint="default" w:ascii="Times New Roman" w:hAnsi="Times New Roman" w:eastAsia="宋体" w:cs="Times New Roman"/>
                <w:color w:val="auto"/>
                <w:szCs w:val="21"/>
                <w:highlight w:val="none"/>
                <w:lang w:val="en-US" w:eastAsia="zh-CN"/>
              </w:rPr>
              <w:t>t/a</w:t>
            </w:r>
          </w:p>
        </w:tc>
        <w:tc>
          <w:tcPr>
            <w:tcW w:w="1417" w:type="dxa"/>
            <w:noWrap w:val="0"/>
            <w:vAlign w:val="center"/>
          </w:tcPr>
          <w:p w14:paraId="605873C7">
            <w:pPr>
              <w:keepNext w:val="0"/>
              <w:keepLines w:val="0"/>
              <w:widowControl/>
              <w:suppressLineNumbers w:val="0"/>
              <w:jc w:val="center"/>
              <w:textAlignment w:val="center"/>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0.058</w:t>
            </w:r>
            <w:r>
              <w:rPr>
                <w:rFonts w:hint="default" w:ascii="Times New Roman" w:hAnsi="Times New Roman" w:eastAsia="宋体" w:cs="Times New Roman"/>
                <w:color w:val="auto"/>
                <w:szCs w:val="21"/>
                <w:highlight w:val="none"/>
                <w:lang w:val="en-US" w:eastAsia="zh-CN"/>
              </w:rPr>
              <w:t>t/a</w:t>
            </w:r>
          </w:p>
        </w:tc>
      </w:tr>
      <w:tr w14:paraId="6F821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3987C7C4">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一般工业</w:t>
            </w:r>
          </w:p>
          <w:p w14:paraId="3BAED081">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default" w:ascii="Times New Roman" w:hAnsi="Times New Roman" w:eastAsia="宋体" w:cs="Times New Roman"/>
                <w:snapToGrid w:val="0"/>
                <w:color w:val="auto"/>
                <w:kern w:val="21"/>
                <w:szCs w:val="21"/>
                <w:highlight w:val="none"/>
              </w:rPr>
              <w:t>固体废物</w:t>
            </w:r>
          </w:p>
        </w:tc>
        <w:tc>
          <w:tcPr>
            <w:tcW w:w="1417" w:type="dxa"/>
            <w:noWrap w:val="0"/>
            <w:vAlign w:val="center"/>
          </w:tcPr>
          <w:p w14:paraId="5998C909">
            <w:pPr>
              <w:adjustRightInd w:val="0"/>
              <w:snapToGrid w:val="0"/>
              <w:jc w:val="center"/>
              <w:rPr>
                <w:rFonts w:hint="default" w:cs="Times New Roman"/>
                <w:bCs/>
                <w:color w:val="auto"/>
                <w:szCs w:val="21"/>
                <w:highlight w:val="none"/>
                <w:lang w:val="en-US" w:eastAsia="zh-CN"/>
              </w:rPr>
            </w:pPr>
            <w:r>
              <w:rPr>
                <w:rFonts w:hint="eastAsia" w:cs="Times New Roman"/>
                <w:bCs/>
                <w:color w:val="auto"/>
                <w:szCs w:val="21"/>
                <w:highlight w:val="none"/>
                <w:lang w:val="en-US" w:eastAsia="zh-CN"/>
              </w:rPr>
              <w:t>除尘灰</w:t>
            </w:r>
          </w:p>
        </w:tc>
        <w:tc>
          <w:tcPr>
            <w:tcW w:w="1701" w:type="dxa"/>
            <w:noWrap w:val="0"/>
            <w:vAlign w:val="center"/>
          </w:tcPr>
          <w:p w14:paraId="35858328">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56A9823F">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45915DC3">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7" w:type="dxa"/>
            <w:noWrap w:val="0"/>
            <w:vAlign w:val="center"/>
          </w:tcPr>
          <w:p w14:paraId="2A9AE4A1">
            <w:pPr>
              <w:adjustRightInd w:val="0"/>
              <w:snapToGrid w:val="0"/>
              <w:jc w:val="center"/>
              <w:rPr>
                <w:rFonts w:hint="eastAsia" w:ascii="Times New Roman" w:hAnsi="Times New Roman"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47.618t/a</w:t>
            </w:r>
          </w:p>
        </w:tc>
        <w:tc>
          <w:tcPr>
            <w:tcW w:w="1701" w:type="dxa"/>
            <w:noWrap w:val="0"/>
            <w:vAlign w:val="center"/>
          </w:tcPr>
          <w:p w14:paraId="35A99E4C">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754F5FE7">
            <w:pPr>
              <w:adjustRightInd w:val="0"/>
              <w:snapToGrid w:val="0"/>
              <w:jc w:val="center"/>
              <w:rPr>
                <w:rFonts w:hint="eastAsia" w:ascii="Times New Roman" w:hAnsi="Times New Roman"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47.618t/a</w:t>
            </w:r>
          </w:p>
        </w:tc>
        <w:tc>
          <w:tcPr>
            <w:tcW w:w="1417" w:type="dxa"/>
            <w:noWrap w:val="0"/>
            <w:vAlign w:val="center"/>
          </w:tcPr>
          <w:p w14:paraId="3E20A32B">
            <w:pPr>
              <w:adjustRightInd w:val="0"/>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47.618t/a</w:t>
            </w:r>
          </w:p>
        </w:tc>
      </w:tr>
      <w:tr w14:paraId="23F0AE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55F4F4F">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4A29D021">
            <w:pPr>
              <w:adjustRightInd w:val="0"/>
              <w:snapToGrid w:val="0"/>
              <w:jc w:val="center"/>
              <w:rPr>
                <w:rFonts w:hint="default" w:ascii="Times New Roman" w:hAnsi="Times New Roman" w:eastAsia="宋体" w:cs="Times New Roman"/>
                <w:bCs/>
                <w:color w:val="auto"/>
                <w:szCs w:val="21"/>
                <w:highlight w:val="none"/>
              </w:rPr>
            </w:pPr>
            <w:r>
              <w:rPr>
                <w:rFonts w:hint="eastAsia" w:cs="Times New Roman"/>
                <w:bCs/>
                <w:color w:val="auto"/>
                <w:szCs w:val="21"/>
                <w:highlight w:val="none"/>
                <w:lang w:val="en-US" w:eastAsia="zh-CN"/>
              </w:rPr>
              <w:t>废布袋</w:t>
            </w:r>
          </w:p>
        </w:tc>
        <w:tc>
          <w:tcPr>
            <w:tcW w:w="1701" w:type="dxa"/>
            <w:noWrap w:val="0"/>
            <w:vAlign w:val="center"/>
          </w:tcPr>
          <w:p w14:paraId="39E290BD">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651CD975">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12CFB4A0">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15A87C93">
            <w:pPr>
              <w:adjustRightInd w:val="0"/>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auto"/>
                <w:szCs w:val="21"/>
                <w:highlight w:val="none"/>
                <w:lang w:val="en-US" w:eastAsia="zh-CN"/>
              </w:rPr>
              <w:t>0.0</w:t>
            </w:r>
            <w:r>
              <w:rPr>
                <w:rFonts w:hint="eastAsia" w:cs="Times New Roman"/>
                <w:color w:val="auto"/>
                <w:szCs w:val="21"/>
                <w:highlight w:val="none"/>
                <w:lang w:val="en-US" w:eastAsia="zh-CN"/>
              </w:rPr>
              <w:t>48</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415EDFAB">
            <w:pPr>
              <w:pStyle w:val="51"/>
              <w:spacing w:beforeLines="0" w:afterLines="0" w:line="240" w:lineRule="auto"/>
              <w:rPr>
                <w:rFonts w:hint="default" w:ascii="Times New Roman" w:hAnsi="Times New Roman" w:eastAsia="宋体" w:cs="Times New Roman"/>
                <w:snapToGrid w:val="0"/>
                <w:color w:val="auto"/>
                <w:kern w:val="21"/>
                <w:szCs w:val="21"/>
                <w:highlight w:val="none"/>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5F403A5A">
            <w:pPr>
              <w:adjustRightInd w:val="0"/>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auto"/>
                <w:szCs w:val="21"/>
                <w:highlight w:val="none"/>
                <w:lang w:val="en-US" w:eastAsia="zh-CN"/>
              </w:rPr>
              <w:t>0.0</w:t>
            </w:r>
            <w:r>
              <w:rPr>
                <w:rFonts w:hint="eastAsia" w:cs="Times New Roman"/>
                <w:color w:val="auto"/>
                <w:szCs w:val="21"/>
                <w:highlight w:val="none"/>
                <w:lang w:val="en-US" w:eastAsia="zh-CN"/>
              </w:rPr>
              <w:t>48</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76DA038B">
            <w:pPr>
              <w:adjustRightInd w:val="0"/>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auto"/>
                <w:szCs w:val="21"/>
                <w:highlight w:val="none"/>
                <w:lang w:val="en-US" w:eastAsia="zh-CN"/>
              </w:rPr>
              <w:t>+0.0</w:t>
            </w:r>
            <w:r>
              <w:rPr>
                <w:rFonts w:hint="eastAsia" w:cs="Times New Roman"/>
                <w:color w:val="auto"/>
                <w:szCs w:val="21"/>
                <w:highlight w:val="none"/>
                <w:lang w:val="en-US" w:eastAsia="zh-CN"/>
              </w:rPr>
              <w:t>48</w:t>
            </w:r>
            <w:r>
              <w:rPr>
                <w:rFonts w:hint="default" w:ascii="Times New Roman" w:hAnsi="Times New Roman" w:eastAsia="宋体" w:cs="Times New Roman"/>
                <w:snapToGrid w:val="0"/>
                <w:color w:val="auto"/>
                <w:kern w:val="21"/>
                <w:szCs w:val="21"/>
                <w:highlight w:val="none"/>
              </w:rPr>
              <w:t>t/a</w:t>
            </w:r>
          </w:p>
        </w:tc>
      </w:tr>
      <w:tr w14:paraId="798C72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BAB6363">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19DE7464">
            <w:pPr>
              <w:adjustRightInd w:val="0"/>
              <w:snapToGrid w:val="0"/>
              <w:jc w:val="center"/>
              <w:rPr>
                <w:rFonts w:hint="eastAsia" w:cs="Times New Roman"/>
                <w:bCs/>
                <w:color w:val="auto"/>
                <w:szCs w:val="21"/>
                <w:highlight w:val="none"/>
                <w:lang w:val="en-US" w:eastAsia="zh-CN"/>
              </w:rPr>
            </w:pPr>
            <w:r>
              <w:rPr>
                <w:rFonts w:hint="default" w:ascii="Times New Roman" w:hAnsi="Times New Roman" w:cs="Times New Roman"/>
                <w:bCs/>
                <w:color w:val="auto"/>
                <w:szCs w:val="21"/>
                <w:highlight w:val="none"/>
              </w:rPr>
              <w:t>沉淀池沉渣</w:t>
            </w:r>
          </w:p>
        </w:tc>
        <w:tc>
          <w:tcPr>
            <w:tcW w:w="1701" w:type="dxa"/>
            <w:noWrap w:val="0"/>
            <w:vAlign w:val="center"/>
          </w:tcPr>
          <w:p w14:paraId="64ADE314">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285FBD01">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6C6774C4">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7" w:type="dxa"/>
            <w:noWrap w:val="0"/>
            <w:vAlign w:val="center"/>
          </w:tcPr>
          <w:p w14:paraId="1B642452">
            <w:pPr>
              <w:adjustRightInd w:val="0"/>
              <w:snapToGrid w:val="0"/>
              <w:jc w:val="center"/>
              <w:rPr>
                <w:rFonts w:hint="eastAsia" w:ascii="Times New Roman" w:hAnsi="Times New Roman"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69.552</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58674005">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5FDCAF14">
            <w:pPr>
              <w:adjustRightInd w:val="0"/>
              <w:snapToGrid w:val="0"/>
              <w:jc w:val="center"/>
              <w:rPr>
                <w:rFonts w:hint="eastAsia" w:ascii="Times New Roman" w:hAnsi="Times New Roman"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69.552</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7BDA5103">
            <w:pPr>
              <w:adjustRightInd w:val="0"/>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69.552</w:t>
            </w:r>
            <w:r>
              <w:rPr>
                <w:rFonts w:hint="default" w:ascii="Times New Roman" w:hAnsi="Times New Roman" w:eastAsia="宋体" w:cs="Times New Roman"/>
                <w:snapToGrid w:val="0"/>
                <w:color w:val="auto"/>
                <w:kern w:val="21"/>
                <w:szCs w:val="21"/>
                <w:highlight w:val="none"/>
              </w:rPr>
              <w:t>t/a</w:t>
            </w:r>
          </w:p>
        </w:tc>
      </w:tr>
      <w:tr w14:paraId="2A8E11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6D8BCD0">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639A16D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实验室混凝土块、逸散混凝土</w:t>
            </w:r>
          </w:p>
        </w:tc>
        <w:tc>
          <w:tcPr>
            <w:tcW w:w="1701" w:type="dxa"/>
            <w:noWrap w:val="0"/>
            <w:vAlign w:val="center"/>
          </w:tcPr>
          <w:p w14:paraId="69D71EFE">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2F6297F6">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5C22FCD5">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4BF77F2D">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212FAC33">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23BA0E50">
            <w:pPr>
              <w:adjustRightInd w:val="0"/>
              <w:snapToGrid w:val="0"/>
              <w:jc w:val="center"/>
              <w:rPr>
                <w:rFonts w:hint="eastAsia" w:cs="Times New Roman"/>
                <w:snapToGrid w:val="0"/>
                <w:color w:val="auto"/>
                <w:kern w:val="21"/>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66312EBB">
            <w:pPr>
              <w:adjustRightInd w:val="0"/>
              <w:snapToGrid w:val="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r>
      <w:tr w14:paraId="2A0904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571CAA68">
            <w:pPr>
              <w:pStyle w:val="51"/>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危险废物</w:t>
            </w:r>
          </w:p>
        </w:tc>
        <w:tc>
          <w:tcPr>
            <w:tcW w:w="1417" w:type="dxa"/>
            <w:noWrap w:val="0"/>
            <w:vAlign w:val="center"/>
          </w:tcPr>
          <w:p w14:paraId="68F231C9">
            <w:pPr>
              <w:adjustRightInd w:val="0"/>
              <w:snapToGrid w:val="0"/>
              <w:jc w:val="center"/>
              <w:rPr>
                <w:rFonts w:hint="default" w:ascii="Times New Roman" w:hAnsi="Times New Roman" w:eastAsia="宋体" w:cs="Times New Roman"/>
                <w:bCs/>
                <w:color w:val="auto"/>
                <w:highlight w:val="none"/>
              </w:rPr>
            </w:pPr>
            <w:r>
              <w:rPr>
                <w:rFonts w:hint="eastAsia" w:cs="Times New Roman"/>
                <w:bCs/>
                <w:color w:val="auto"/>
                <w:szCs w:val="21"/>
                <w:highlight w:val="none"/>
                <w:lang w:val="en-US" w:eastAsia="zh-CN"/>
              </w:rPr>
              <w:t>废矿物油</w:t>
            </w:r>
          </w:p>
        </w:tc>
        <w:tc>
          <w:tcPr>
            <w:tcW w:w="1701" w:type="dxa"/>
            <w:noWrap w:val="0"/>
            <w:vAlign w:val="center"/>
          </w:tcPr>
          <w:p w14:paraId="3AC63E30">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276" w:type="dxa"/>
            <w:noWrap w:val="0"/>
            <w:vAlign w:val="center"/>
          </w:tcPr>
          <w:p w14:paraId="6BDBCB78">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701" w:type="dxa"/>
            <w:noWrap w:val="0"/>
            <w:vAlign w:val="center"/>
          </w:tcPr>
          <w:p w14:paraId="09ADD431">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417" w:type="dxa"/>
            <w:noWrap w:val="0"/>
            <w:vAlign w:val="center"/>
          </w:tcPr>
          <w:p w14:paraId="68A50E09">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050708D0">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12936017">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77A501C6">
            <w:pPr>
              <w:adjustRightInd w:val="0"/>
              <w:snapToGrid w:val="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1</w:t>
            </w:r>
            <w:r>
              <w:rPr>
                <w:rFonts w:hint="default" w:ascii="Times New Roman" w:hAnsi="Times New Roman" w:eastAsia="宋体" w:cs="Times New Roman"/>
                <w:snapToGrid w:val="0"/>
                <w:color w:val="auto"/>
                <w:kern w:val="21"/>
                <w:szCs w:val="21"/>
                <w:highlight w:val="none"/>
              </w:rPr>
              <w:t>t/a</w:t>
            </w:r>
          </w:p>
        </w:tc>
      </w:tr>
      <w:tr w14:paraId="6986C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08F8F54">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1F841D34">
            <w:pPr>
              <w:adjustRightInd w:val="0"/>
              <w:snapToGrid w:val="0"/>
              <w:jc w:val="center"/>
              <w:rPr>
                <w:rFonts w:hint="default" w:ascii="Times New Roman" w:hAnsi="Times New Roman" w:eastAsia="宋体" w:cs="Times New Roman"/>
                <w:bCs/>
                <w:color w:val="auto"/>
                <w:highlight w:val="none"/>
              </w:rPr>
            </w:pPr>
            <w:r>
              <w:rPr>
                <w:rFonts w:hint="eastAsia" w:cs="Times New Roman"/>
                <w:bCs/>
                <w:color w:val="auto"/>
                <w:szCs w:val="21"/>
                <w:highlight w:val="none"/>
                <w:lang w:val="en-US" w:eastAsia="zh-CN"/>
              </w:rPr>
              <w:t>废油桶</w:t>
            </w:r>
          </w:p>
        </w:tc>
        <w:tc>
          <w:tcPr>
            <w:tcW w:w="1701" w:type="dxa"/>
            <w:noWrap w:val="0"/>
            <w:vAlign w:val="center"/>
          </w:tcPr>
          <w:p w14:paraId="0B248117">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1B59557F">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21CCC313">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7" w:type="dxa"/>
            <w:noWrap w:val="0"/>
            <w:vAlign w:val="center"/>
          </w:tcPr>
          <w:p w14:paraId="5F6880CD">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0.5t/a</w:t>
            </w:r>
          </w:p>
        </w:tc>
        <w:tc>
          <w:tcPr>
            <w:tcW w:w="1701" w:type="dxa"/>
            <w:noWrap w:val="0"/>
            <w:vAlign w:val="center"/>
          </w:tcPr>
          <w:p w14:paraId="4B345C89">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7B922752">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0.5t/a</w:t>
            </w:r>
          </w:p>
        </w:tc>
        <w:tc>
          <w:tcPr>
            <w:tcW w:w="1417" w:type="dxa"/>
            <w:noWrap w:val="0"/>
            <w:vAlign w:val="center"/>
          </w:tcPr>
          <w:p w14:paraId="66F5FE89">
            <w:pPr>
              <w:adjustRightInd w:val="0"/>
              <w:snapToGrid w:val="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0.5t/a</w:t>
            </w:r>
          </w:p>
        </w:tc>
      </w:tr>
      <w:tr w14:paraId="57504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0728CDC">
            <w:pPr>
              <w:pStyle w:val="51"/>
              <w:spacing w:beforeLines="0" w:afterLines="0" w:line="240" w:lineRule="auto"/>
              <w:rPr>
                <w:rFonts w:hint="default" w:ascii="Times New Roman" w:hAnsi="Times New Roman" w:eastAsia="宋体" w:cs="Times New Roman"/>
                <w:snapToGrid w:val="0"/>
                <w:color w:val="auto"/>
                <w:kern w:val="21"/>
                <w:szCs w:val="21"/>
                <w:highlight w:val="none"/>
              </w:rPr>
            </w:pPr>
          </w:p>
        </w:tc>
        <w:tc>
          <w:tcPr>
            <w:tcW w:w="1417" w:type="dxa"/>
            <w:noWrap w:val="0"/>
            <w:vAlign w:val="center"/>
          </w:tcPr>
          <w:p w14:paraId="6955BCBD">
            <w:pPr>
              <w:adjustRightInd w:val="0"/>
              <w:snapToGrid w:val="0"/>
              <w:jc w:val="center"/>
              <w:rPr>
                <w:rFonts w:hint="eastAsia" w:cs="Times New Roman"/>
                <w:bCs/>
                <w:color w:val="auto"/>
                <w:szCs w:val="21"/>
                <w:highlight w:val="none"/>
                <w:lang w:val="en-US" w:eastAsia="zh-CN"/>
              </w:rPr>
            </w:pPr>
            <w:r>
              <w:rPr>
                <w:rFonts w:hint="eastAsia" w:cs="Times New Roman"/>
                <w:color w:val="auto"/>
                <w:kern w:val="0"/>
                <w:highlight w:val="yellow"/>
                <w:lang w:val="en-US" w:eastAsia="zh-CN"/>
              </w:rPr>
              <w:t>含油废手套、废抹布</w:t>
            </w:r>
          </w:p>
        </w:tc>
        <w:tc>
          <w:tcPr>
            <w:tcW w:w="1701" w:type="dxa"/>
            <w:noWrap w:val="0"/>
            <w:vAlign w:val="center"/>
          </w:tcPr>
          <w:p w14:paraId="2532A45C">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124F3902">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164BA637">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7" w:type="dxa"/>
            <w:noWrap w:val="0"/>
            <w:vAlign w:val="center"/>
          </w:tcPr>
          <w:p w14:paraId="7DD66B88">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yellow"/>
                <w:lang w:val="en-US" w:eastAsia="zh-CN"/>
              </w:rPr>
              <w:t>0.1t/a</w:t>
            </w:r>
          </w:p>
        </w:tc>
        <w:tc>
          <w:tcPr>
            <w:tcW w:w="1701" w:type="dxa"/>
            <w:noWrap w:val="0"/>
            <w:vAlign w:val="center"/>
          </w:tcPr>
          <w:p w14:paraId="79283F82">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8" w:type="dxa"/>
            <w:noWrap w:val="0"/>
            <w:vAlign w:val="center"/>
          </w:tcPr>
          <w:p w14:paraId="39D519FF">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yellow"/>
                <w:lang w:val="en-US" w:eastAsia="zh-CN"/>
              </w:rPr>
              <w:t>0.1t/a</w:t>
            </w:r>
          </w:p>
        </w:tc>
        <w:tc>
          <w:tcPr>
            <w:tcW w:w="1417" w:type="dxa"/>
            <w:noWrap w:val="0"/>
            <w:vAlign w:val="center"/>
          </w:tcPr>
          <w:p w14:paraId="2BB7C5C3">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yellow"/>
                <w:lang w:val="en-US" w:eastAsia="zh-CN"/>
              </w:rPr>
              <w:t>0.1t/a</w:t>
            </w:r>
          </w:p>
        </w:tc>
      </w:tr>
      <w:tr w14:paraId="0C965C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69D801F5">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w:t>
            </w:r>
          </w:p>
        </w:tc>
        <w:tc>
          <w:tcPr>
            <w:tcW w:w="1417" w:type="dxa"/>
            <w:noWrap w:val="0"/>
            <w:vAlign w:val="center"/>
          </w:tcPr>
          <w:p w14:paraId="120D0869">
            <w:pPr>
              <w:adjustRightInd w:val="0"/>
              <w:snapToGrid w:val="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生活垃圾</w:t>
            </w:r>
          </w:p>
        </w:tc>
        <w:tc>
          <w:tcPr>
            <w:tcW w:w="1701" w:type="dxa"/>
            <w:noWrap w:val="0"/>
            <w:vAlign w:val="center"/>
          </w:tcPr>
          <w:p w14:paraId="1B97C332">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276" w:type="dxa"/>
            <w:noWrap w:val="0"/>
            <w:vAlign w:val="center"/>
          </w:tcPr>
          <w:p w14:paraId="7F80A1E0">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701" w:type="dxa"/>
            <w:noWrap w:val="0"/>
            <w:vAlign w:val="center"/>
          </w:tcPr>
          <w:p w14:paraId="13DB1E1E">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p>
        </w:tc>
        <w:tc>
          <w:tcPr>
            <w:tcW w:w="1417" w:type="dxa"/>
            <w:noWrap w:val="0"/>
            <w:vAlign w:val="center"/>
          </w:tcPr>
          <w:p w14:paraId="75AE9D30">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2</w:t>
            </w:r>
            <w:r>
              <w:rPr>
                <w:rFonts w:hint="default" w:ascii="Times New Roman" w:hAnsi="Times New Roman" w:eastAsia="宋体" w:cs="Times New Roman"/>
                <w:snapToGrid w:val="0"/>
                <w:color w:val="auto"/>
                <w:kern w:val="21"/>
                <w:szCs w:val="21"/>
                <w:highlight w:val="none"/>
              </w:rPr>
              <w:t>t/a</w:t>
            </w:r>
          </w:p>
        </w:tc>
        <w:tc>
          <w:tcPr>
            <w:tcW w:w="1701" w:type="dxa"/>
            <w:noWrap w:val="0"/>
            <w:vAlign w:val="center"/>
          </w:tcPr>
          <w:p w14:paraId="56BFF341">
            <w:pPr>
              <w:pStyle w:val="51"/>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eastAsia="宋体" w:cs="Times New Roman"/>
                <w:snapToGrid w:val="0"/>
                <w:color w:val="auto"/>
                <w:kern w:val="21"/>
                <w:szCs w:val="21"/>
                <w:highlight w:val="none"/>
                <w:lang w:val="en-US" w:eastAsia="zh-CN"/>
              </w:rPr>
              <w:t>/</w:t>
            </w:r>
          </w:p>
        </w:tc>
        <w:tc>
          <w:tcPr>
            <w:tcW w:w="1418" w:type="dxa"/>
            <w:noWrap w:val="0"/>
            <w:vAlign w:val="center"/>
          </w:tcPr>
          <w:p w14:paraId="118EB80A">
            <w:pPr>
              <w:adjustRightInd w:val="0"/>
              <w:snapToGrid w:val="0"/>
              <w:jc w:val="center"/>
              <w:rPr>
                <w:rFonts w:hint="eastAsia"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2</w:t>
            </w:r>
            <w:r>
              <w:rPr>
                <w:rFonts w:hint="default" w:ascii="Times New Roman" w:hAnsi="Times New Roman" w:eastAsia="宋体" w:cs="Times New Roman"/>
                <w:snapToGrid w:val="0"/>
                <w:color w:val="auto"/>
                <w:kern w:val="21"/>
                <w:szCs w:val="21"/>
                <w:highlight w:val="none"/>
              </w:rPr>
              <w:t>t/a</w:t>
            </w:r>
          </w:p>
        </w:tc>
        <w:tc>
          <w:tcPr>
            <w:tcW w:w="1417" w:type="dxa"/>
            <w:noWrap w:val="0"/>
            <w:vAlign w:val="center"/>
          </w:tcPr>
          <w:p w14:paraId="79F20752">
            <w:pPr>
              <w:adjustRightInd w:val="0"/>
              <w:snapToGrid w:val="0"/>
              <w:jc w:val="center"/>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2</w:t>
            </w:r>
            <w:r>
              <w:rPr>
                <w:rFonts w:hint="default" w:ascii="Times New Roman" w:hAnsi="Times New Roman" w:eastAsia="宋体" w:cs="Times New Roman"/>
                <w:snapToGrid w:val="0"/>
                <w:color w:val="auto"/>
                <w:kern w:val="21"/>
                <w:szCs w:val="21"/>
                <w:highlight w:val="none"/>
              </w:rPr>
              <w:t>t/a</w:t>
            </w:r>
          </w:p>
        </w:tc>
      </w:tr>
    </w:tbl>
    <w:p w14:paraId="2E3442E1">
      <w:pPr>
        <w:pStyle w:val="51"/>
        <w:spacing w:before="192" w:beforeLines="80" w:after="24"/>
        <w:jc w:val="left"/>
        <w:rPr>
          <w:rFonts w:hint="eastAsia" w:hAnsi="宋体"/>
          <w:snapToGrid w:val="0"/>
          <w:color w:val="auto"/>
          <w:spacing w:val="-6"/>
          <w:kern w:val="21"/>
          <w:szCs w:val="21"/>
          <w:highlight w:val="none"/>
        </w:rPr>
      </w:pPr>
      <w:r>
        <w:rPr>
          <w:rFonts w:hAnsi="宋体"/>
          <w:snapToGrid w:val="0"/>
          <w:color w:val="auto"/>
          <w:kern w:val="21"/>
          <w:szCs w:val="21"/>
          <w:highlight w:val="none"/>
        </w:rPr>
        <w:t>注：</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3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③</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4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④</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5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⑤</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7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⑦</w:t>
      </w:r>
      <w:r>
        <w:rPr>
          <w:rFonts w:hAnsi="宋体"/>
          <w:snapToGrid w:val="0"/>
          <w:color w:val="auto"/>
          <w:spacing w:val="-6"/>
          <w:kern w:val="21"/>
          <w:szCs w:val="21"/>
          <w:highlight w:val="none"/>
        </w:rPr>
        <w:fldChar w:fldCharType="end"/>
      </w:r>
      <w:r>
        <w:rPr>
          <w:rFonts w:hAnsi="宋体"/>
          <w:snapToGrid w:val="0"/>
          <w:color w:val="auto"/>
          <w:spacing w:val="-6"/>
          <w:kern w:val="21"/>
          <w:szCs w:val="21"/>
          <w:highlight w:val="none"/>
        </w:rPr>
        <w:t>=</w:t>
      </w:r>
      <w:r>
        <w:rPr>
          <w:rFonts w:hAnsi="宋体"/>
          <w:snapToGrid w:val="0"/>
          <w:color w:val="auto"/>
          <w:spacing w:val="-16"/>
          <w:kern w:val="21"/>
          <w:szCs w:val="21"/>
          <w:highlight w:val="none"/>
        </w:rPr>
        <w:fldChar w:fldCharType="begin"/>
      </w:r>
      <w:r>
        <w:rPr>
          <w:rFonts w:hAnsi="宋体"/>
          <w:snapToGrid w:val="0"/>
          <w:color w:val="auto"/>
          <w:spacing w:val="-16"/>
          <w:kern w:val="21"/>
          <w:szCs w:val="21"/>
          <w:highlight w:val="none"/>
        </w:rPr>
        <w:instrText xml:space="preserve"> = 6 \* GB3 \* MERGEFORMAT </w:instrText>
      </w:r>
      <w:r>
        <w:rPr>
          <w:rFonts w:hAnsi="宋体"/>
          <w:snapToGrid w:val="0"/>
          <w:color w:val="auto"/>
          <w:spacing w:val="-16"/>
          <w:kern w:val="21"/>
          <w:szCs w:val="21"/>
          <w:highlight w:val="none"/>
        </w:rPr>
        <w:fldChar w:fldCharType="separate"/>
      </w:r>
      <w:r>
        <w:rPr>
          <w:rFonts w:hint="eastAsia" w:hAnsi="宋体"/>
          <w:color w:val="auto"/>
          <w:szCs w:val="21"/>
          <w:highlight w:val="none"/>
        </w:rPr>
        <w:t>⑥</w:t>
      </w:r>
      <w:r>
        <w:rPr>
          <w:rFonts w:hAnsi="宋体"/>
          <w:snapToGrid w:val="0"/>
          <w:color w:val="auto"/>
          <w:spacing w:val="-16"/>
          <w:kern w:val="21"/>
          <w:szCs w:val="21"/>
          <w:highlight w:val="none"/>
        </w:rPr>
        <w:fldChar w:fldCharType="end"/>
      </w:r>
      <w:r>
        <w:rPr>
          <w:rFonts w:hAnsi="宋体"/>
          <w:snapToGrid w:val="0"/>
          <w:color w:val="auto"/>
          <w:spacing w:val="-16"/>
          <w:kern w:val="21"/>
          <w:szCs w:val="21"/>
          <w:highlight w:val="none"/>
        </w:rPr>
        <w:t>-</w:t>
      </w:r>
      <w:r>
        <w:rPr>
          <w:rFonts w:hAnsi="宋体"/>
          <w:snapToGrid w:val="0"/>
          <w:color w:val="auto"/>
          <w:spacing w:val="-6"/>
          <w:kern w:val="21"/>
          <w:szCs w:val="21"/>
          <w:highlight w:val="none"/>
        </w:rPr>
        <w:fldChar w:fldCharType="begin"/>
      </w:r>
      <w:r>
        <w:rPr>
          <w:rFonts w:hAnsi="宋体"/>
          <w:snapToGrid w:val="0"/>
          <w:color w:val="auto"/>
          <w:spacing w:val="-6"/>
          <w:kern w:val="21"/>
          <w:szCs w:val="21"/>
          <w:highlight w:val="none"/>
        </w:rPr>
        <w:instrText xml:space="preserve"> = 1 \* GB3 \* MERGEFORMAT </w:instrText>
      </w:r>
      <w:r>
        <w:rPr>
          <w:rFonts w:hAnsi="宋体"/>
          <w:snapToGrid w:val="0"/>
          <w:color w:val="auto"/>
          <w:spacing w:val="-6"/>
          <w:kern w:val="21"/>
          <w:szCs w:val="21"/>
          <w:highlight w:val="none"/>
        </w:rPr>
        <w:fldChar w:fldCharType="separate"/>
      </w:r>
      <w:r>
        <w:rPr>
          <w:rFonts w:hint="eastAsia" w:hAnsi="宋体"/>
          <w:color w:val="auto"/>
          <w:szCs w:val="21"/>
          <w:highlight w:val="none"/>
        </w:rPr>
        <w:t>①</w:t>
      </w:r>
      <w:r>
        <w:rPr>
          <w:rFonts w:hAnsi="宋体"/>
          <w:snapToGrid w:val="0"/>
          <w:color w:val="auto"/>
          <w:spacing w:val="-6"/>
          <w:kern w:val="21"/>
          <w:szCs w:val="21"/>
          <w:highlight w:val="none"/>
        </w:rPr>
        <w:fldChar w:fldCharType="end"/>
      </w:r>
    </w:p>
    <w:p w14:paraId="0C1C0388">
      <w:pPr>
        <w:rPr>
          <w:rFonts w:hint="eastAsia"/>
          <w:color w:val="auto"/>
          <w:highlight w:val="none"/>
        </w:rPr>
      </w:pPr>
    </w:p>
    <w:p w14:paraId="413358EE">
      <w:pPr>
        <w:rPr>
          <w:color w:val="auto"/>
          <w:highlight w:val="none"/>
        </w:rPr>
        <w:sectPr>
          <w:footerReference r:id="rId6"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1BAD378">
      <w:pPr>
        <w:pStyle w:val="19"/>
        <w:adjustRightInd w:val="0"/>
        <w:snapToGrid w:val="0"/>
        <w:spacing w:before="0" w:beforeAutospacing="0" w:after="0" w:afterAutospacing="0"/>
        <w:jc w:val="center"/>
        <w:outlineLvl w:val="0"/>
        <w:rPr>
          <w:rFonts w:hint="eastAsia" w:ascii="黑体" w:hAnsi="黑体" w:eastAsia="黑体" w:cs="黑体"/>
          <w:color w:val="auto"/>
          <w:highlight w:val="none"/>
          <w:lang w:eastAsia="zh-CN"/>
        </w:rPr>
      </w:pPr>
      <w:r>
        <w:rPr>
          <w:rFonts w:hint="eastAsia" w:ascii="黑体" w:hAnsi="黑体" w:eastAsia="黑体" w:cs="黑体"/>
          <w:color w:val="auto"/>
          <w:highlight w:val="none"/>
        </w:rPr>
        <w:t>附图1</w:t>
      </w:r>
      <w:r>
        <w:rPr>
          <w:rFonts w:hint="eastAsia" w:ascii="黑体" w:hAnsi="黑体" w:eastAsia="黑体" w:cs="黑体"/>
          <w:color w:val="auto"/>
          <w:highlight w:val="none"/>
          <w:lang w:val="en-US" w:eastAsia="zh-CN"/>
        </w:rPr>
        <w:t>项目地理位置图</w:t>
      </w:r>
    </w:p>
    <w:p w14:paraId="5A821768">
      <w:pPr>
        <w:tabs>
          <w:tab w:val="left" w:pos="5746"/>
        </w:tabs>
        <w:jc w:val="center"/>
        <w:rPr>
          <w:rFonts w:hint="eastAsia" w:eastAsia="宋体"/>
          <w:color w:val="auto"/>
          <w:sz w:val="24"/>
          <w:highlight w:val="none"/>
          <w:lang w:eastAsia="zh-CN"/>
        </w:rPr>
      </w:pPr>
      <w:r>
        <w:rPr>
          <w:color w:val="auto"/>
          <w:highlight w:val="none"/>
        </w:rPr>
        <w:drawing>
          <wp:inline distT="0" distB="0" distL="114300" distR="114300">
            <wp:extent cx="7877175" cy="4829175"/>
            <wp:effectExtent l="0" t="0" r="9525" b="952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31"/>
                    <a:stretch>
                      <a:fillRect/>
                    </a:stretch>
                  </pic:blipFill>
                  <pic:spPr>
                    <a:xfrm>
                      <a:off x="0" y="0"/>
                      <a:ext cx="7877175" cy="4829175"/>
                    </a:xfrm>
                    <a:prstGeom prst="rect">
                      <a:avLst/>
                    </a:prstGeom>
                    <a:noFill/>
                    <a:ln>
                      <a:noFill/>
                    </a:ln>
                  </pic:spPr>
                </pic:pic>
              </a:graphicData>
            </a:graphic>
          </wp:inline>
        </w:drawing>
      </w:r>
    </w:p>
    <w:p w14:paraId="2065AA41">
      <w:pPr>
        <w:jc w:val="center"/>
        <w:rPr>
          <w:rFonts w:hint="eastAsia" w:ascii="Times New Roman" w:hAnsi="Times New Roman" w:eastAsia="宋体" w:cs="Times New Roman"/>
          <w:b/>
          <w:bCs/>
          <w:color w:val="auto"/>
          <w:sz w:val="24"/>
          <w:highlight w:val="none"/>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3A4098BE">
      <w:pPr>
        <w:pStyle w:val="19"/>
        <w:adjustRightInd w:val="0"/>
        <w:snapToGrid w:val="0"/>
        <w:spacing w:before="0" w:beforeAutospacing="0" w:after="0" w:afterAutospacing="0"/>
        <w:jc w:val="center"/>
        <w:outlineLvl w:val="0"/>
        <w:rPr>
          <w:rFonts w:hint="eastAsia" w:ascii="黑体" w:hAnsi="黑体" w:eastAsia="黑体" w:cs="黑体"/>
          <w:color w:val="auto"/>
          <w:highlight w:val="none"/>
          <w:lang w:eastAsia="zh-CN"/>
        </w:rPr>
      </w:pPr>
      <w:r>
        <w:rPr>
          <w:rFonts w:hint="eastAsia" w:ascii="黑体" w:hAnsi="黑体" w:eastAsia="黑体" w:cs="黑体"/>
          <w:color w:val="auto"/>
          <w:highlight w:val="none"/>
        </w:rPr>
        <w:t>附图</w:t>
      </w:r>
      <w:r>
        <w:rPr>
          <w:rFonts w:hint="eastAsia" w:ascii="黑体" w:hAnsi="黑体" w:eastAsia="黑体" w:cs="黑体"/>
          <w:color w:val="auto"/>
          <w:highlight w:val="none"/>
          <w:lang w:val="en-US" w:eastAsia="zh-CN"/>
        </w:rPr>
        <w:t>2厂区平面布置图</w:t>
      </w:r>
    </w:p>
    <w:p w14:paraId="293FAE71">
      <w:pPr>
        <w:jc w:val="center"/>
        <w:rPr>
          <w:rFonts w:hint="default" w:eastAsia="宋体"/>
          <w:color w:val="auto"/>
          <w:highlight w:val="none"/>
          <w:lang w:val="en-US" w:eastAsia="zh-CN"/>
        </w:rPr>
      </w:pPr>
      <w:r>
        <w:rPr>
          <w:color w:val="auto"/>
          <w:highlight w:val="none"/>
        </w:rPr>
        <w:drawing>
          <wp:inline distT="0" distB="0" distL="114300" distR="114300">
            <wp:extent cx="5155565" cy="5034915"/>
            <wp:effectExtent l="0" t="0" r="635" b="6985"/>
            <wp:docPr id="4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2"/>
                    <pic:cNvPicPr>
                      <a:picLocks noChangeAspect="1"/>
                    </pic:cNvPicPr>
                  </pic:nvPicPr>
                  <pic:blipFill>
                    <a:blip r:embed="rId32"/>
                    <a:stretch>
                      <a:fillRect/>
                    </a:stretch>
                  </pic:blipFill>
                  <pic:spPr>
                    <a:xfrm>
                      <a:off x="0" y="0"/>
                      <a:ext cx="5155565" cy="5034915"/>
                    </a:xfrm>
                    <a:prstGeom prst="rect">
                      <a:avLst/>
                    </a:prstGeom>
                    <a:noFill/>
                    <a:ln>
                      <a:noFill/>
                    </a:ln>
                  </pic:spPr>
                </pic:pic>
              </a:graphicData>
            </a:graphic>
          </wp:inline>
        </w:drawing>
      </w:r>
    </w:p>
    <w:p w14:paraId="1F0392CA">
      <w:pPr>
        <w:pStyle w:val="31"/>
        <w:rPr>
          <w:rFonts w:hint="default"/>
          <w:color w:val="auto"/>
          <w:highlight w:val="none"/>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52B4640">
      <w:pPr>
        <w:pStyle w:val="19"/>
        <w:adjustRightInd w:val="0"/>
        <w:snapToGrid w:val="0"/>
        <w:spacing w:before="0" w:beforeAutospacing="0" w:after="0" w:afterAutospacing="0"/>
        <w:jc w:val="center"/>
        <w:outlineLvl w:val="0"/>
        <w:rPr>
          <w:rFonts w:hint="eastAsia" w:ascii="黑体" w:hAnsi="黑体" w:eastAsia="黑体" w:cs="黑体"/>
          <w:color w:val="auto"/>
          <w:highlight w:val="none"/>
          <w:lang w:eastAsia="zh-CN"/>
        </w:rPr>
      </w:pPr>
      <w:r>
        <w:rPr>
          <w:rFonts w:hint="eastAsia" w:ascii="黑体" w:hAnsi="黑体" w:eastAsia="黑体" w:cs="黑体"/>
          <w:color w:val="auto"/>
          <w:highlight w:val="none"/>
        </w:rPr>
        <w:t>附图</w:t>
      </w:r>
      <w:r>
        <w:rPr>
          <w:rFonts w:hint="eastAsia" w:ascii="黑体" w:hAnsi="黑体" w:eastAsia="黑体" w:cs="黑体"/>
          <w:color w:val="auto"/>
          <w:highlight w:val="none"/>
          <w:lang w:val="en-US" w:eastAsia="zh-CN"/>
        </w:rPr>
        <w:t>3评价范围及保护目标图</w:t>
      </w:r>
    </w:p>
    <w:p w14:paraId="30462D5B">
      <w:pPr>
        <w:tabs>
          <w:tab w:val="left" w:pos="1574"/>
        </w:tabs>
        <w:jc w:val="center"/>
        <w:rPr>
          <w:rFonts w:hint="eastAsia" w:eastAsia="宋体"/>
          <w:color w:val="auto"/>
          <w:sz w:val="24"/>
          <w:highlight w:val="none"/>
          <w:lang w:eastAsia="zh-CN"/>
        </w:rPr>
      </w:pPr>
      <w:r>
        <w:rPr>
          <w:color w:val="auto"/>
          <w:highlight w:val="none"/>
        </w:rPr>
        <w:drawing>
          <wp:inline distT="0" distB="0" distL="114300" distR="114300">
            <wp:extent cx="6828155" cy="5184775"/>
            <wp:effectExtent l="0" t="0" r="4445" b="9525"/>
            <wp:docPr id="4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3"/>
                    <pic:cNvPicPr>
                      <a:picLocks noChangeAspect="1"/>
                    </pic:cNvPicPr>
                  </pic:nvPicPr>
                  <pic:blipFill>
                    <a:blip r:embed="rId33"/>
                    <a:stretch>
                      <a:fillRect/>
                    </a:stretch>
                  </pic:blipFill>
                  <pic:spPr>
                    <a:xfrm>
                      <a:off x="0" y="0"/>
                      <a:ext cx="6828155" cy="5184775"/>
                    </a:xfrm>
                    <a:prstGeom prst="rect">
                      <a:avLst/>
                    </a:prstGeom>
                    <a:noFill/>
                    <a:ln>
                      <a:noFill/>
                    </a:ln>
                  </pic:spPr>
                </pic:pic>
              </a:graphicData>
            </a:graphic>
          </wp:inline>
        </w:drawing>
      </w:r>
    </w:p>
    <w:p w14:paraId="1C7A86F4">
      <w:pPr>
        <w:pStyle w:val="31"/>
        <w:ind w:left="0" w:leftChars="0" w:firstLine="0" w:firstLineChars="0"/>
        <w:rPr>
          <w:rFonts w:hint="eastAsia"/>
          <w:color w:val="auto"/>
          <w:sz w:val="24"/>
          <w:highlight w:val="none"/>
        </w:rPr>
      </w:pPr>
    </w:p>
    <w:p w14:paraId="1791579A">
      <w:pPr>
        <w:pStyle w:val="19"/>
        <w:adjustRightInd w:val="0"/>
        <w:snapToGrid w:val="0"/>
        <w:spacing w:before="0" w:beforeAutospacing="0" w:after="0" w:afterAutospacing="0"/>
        <w:jc w:val="center"/>
        <w:outlineLvl w:val="0"/>
        <w:rPr>
          <w:rFonts w:hint="eastAsia" w:ascii="Times New Roman" w:hAnsi="Times New Roman" w:eastAsia="宋体" w:cs="Times New Roman"/>
          <w:b/>
          <w:color w:val="auto"/>
          <w:sz w:val="24"/>
          <w:highlight w:val="none"/>
          <w:lang w:val="en-US" w:eastAsia="zh-CN"/>
        </w:rPr>
      </w:pPr>
      <w:r>
        <w:rPr>
          <w:rFonts w:hint="eastAsia" w:ascii="黑体" w:hAnsi="黑体" w:eastAsia="黑体" w:cs="黑体"/>
          <w:color w:val="auto"/>
          <w:highlight w:val="none"/>
          <w:lang w:val="en-US" w:eastAsia="zh-CN"/>
        </w:rPr>
        <w:t>附图4监测布点图</w:t>
      </w:r>
    </w:p>
    <w:p w14:paraId="459EE7E8">
      <w:pPr>
        <w:pStyle w:val="31"/>
        <w:jc w:val="center"/>
        <w:rPr>
          <w:rFonts w:hint="eastAsia"/>
          <w:color w:val="auto"/>
          <w:sz w:val="24"/>
          <w:highlight w:val="none"/>
          <w:lang w:val="en-US" w:eastAsia="zh-CN"/>
        </w:rPr>
      </w:pPr>
      <w:r>
        <w:rPr>
          <w:color w:val="auto"/>
          <w:highlight w:val="none"/>
        </w:rPr>
        <w:drawing>
          <wp:inline distT="0" distB="0" distL="114300" distR="114300">
            <wp:extent cx="6099175" cy="5024755"/>
            <wp:effectExtent l="0" t="0" r="9525" b="4445"/>
            <wp:docPr id="4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4"/>
                    <pic:cNvPicPr>
                      <a:picLocks noChangeAspect="1"/>
                    </pic:cNvPicPr>
                  </pic:nvPicPr>
                  <pic:blipFill>
                    <a:blip r:embed="rId34"/>
                    <a:stretch>
                      <a:fillRect/>
                    </a:stretch>
                  </pic:blipFill>
                  <pic:spPr>
                    <a:xfrm>
                      <a:off x="0" y="0"/>
                      <a:ext cx="6099175" cy="5024755"/>
                    </a:xfrm>
                    <a:prstGeom prst="rect">
                      <a:avLst/>
                    </a:prstGeom>
                    <a:noFill/>
                    <a:ln>
                      <a:noFill/>
                    </a:ln>
                  </pic:spPr>
                </pic:pic>
              </a:graphicData>
            </a:graphic>
          </wp:inline>
        </w:drawing>
      </w:r>
    </w:p>
    <w:p w14:paraId="38D0D91C">
      <w:pPr>
        <w:pStyle w:val="31"/>
        <w:jc w:val="center"/>
        <w:rPr>
          <w:rFonts w:hint="default"/>
          <w:color w:val="auto"/>
          <w:sz w:val="24"/>
          <w:highlight w:val="none"/>
          <w:lang w:val="en-US" w:eastAsia="zh-CN"/>
        </w:rPr>
        <w:sectPr>
          <w:footerReference r:id="rId7"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1D1570A0">
      <w:pPr>
        <w:pStyle w:val="19"/>
        <w:adjustRightInd w:val="0"/>
        <w:snapToGrid w:val="0"/>
        <w:spacing w:before="0" w:beforeAutospacing="0" w:after="0" w:afterAutospacing="0"/>
        <w:jc w:val="center"/>
        <w:outlineLvl w:val="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附图5“三线一单”查询结果</w:t>
      </w:r>
    </w:p>
    <w:p w14:paraId="2DB2F1B6">
      <w:pPr>
        <w:rPr>
          <w:rFonts w:hint="eastAsia"/>
          <w:color w:val="auto"/>
          <w:highlight w:val="none"/>
          <w:lang w:val="en-US" w:eastAsia="zh-CN"/>
        </w:rPr>
      </w:pPr>
      <w:r>
        <w:rPr>
          <w:color w:val="auto"/>
          <w:highlight w:val="none"/>
        </w:rPr>
        <w:drawing>
          <wp:inline distT="0" distB="0" distL="114300" distR="114300">
            <wp:extent cx="8510270" cy="5090160"/>
            <wp:effectExtent l="0" t="0" r="11430" b="2540"/>
            <wp:docPr id="4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7"/>
                    <pic:cNvPicPr>
                      <a:picLocks noChangeAspect="1"/>
                    </pic:cNvPicPr>
                  </pic:nvPicPr>
                  <pic:blipFill>
                    <a:blip r:embed="rId35"/>
                    <a:stretch>
                      <a:fillRect/>
                    </a:stretch>
                  </pic:blipFill>
                  <pic:spPr>
                    <a:xfrm>
                      <a:off x="0" y="0"/>
                      <a:ext cx="8510270" cy="5090160"/>
                    </a:xfrm>
                    <a:prstGeom prst="rect">
                      <a:avLst/>
                    </a:prstGeom>
                    <a:noFill/>
                    <a:ln>
                      <a:noFill/>
                    </a:ln>
                  </pic:spPr>
                </pic:pic>
              </a:graphicData>
            </a:graphic>
          </wp:inline>
        </w:drawing>
      </w:r>
    </w:p>
    <w:p w14:paraId="26EC6107">
      <w:pPr>
        <w:pStyle w:val="19"/>
        <w:adjustRightInd w:val="0"/>
        <w:snapToGrid w:val="0"/>
        <w:spacing w:before="0" w:beforeAutospacing="0" w:after="0" w:afterAutospacing="0"/>
        <w:jc w:val="center"/>
        <w:outlineLvl w:val="0"/>
        <w:rPr>
          <w:rFonts w:hint="default" w:ascii="黑体" w:hAnsi="黑体" w:eastAsia="黑体" w:cs="黑体"/>
          <w:color w:val="auto"/>
          <w:highlight w:val="none"/>
          <w:lang w:val="en-US" w:eastAsia="zh-CN"/>
        </w:rPr>
        <w:sectPr>
          <w:pgSz w:w="16838" w:h="11906" w:orient="landscape"/>
          <w:pgMar w:top="1531" w:right="1701" w:bottom="1531" w:left="1701" w:header="851" w:footer="1134" w:gutter="0"/>
          <w:pgBorders>
            <w:top w:val="none" w:sz="0" w:space="0"/>
            <w:left w:val="none" w:sz="0" w:space="0"/>
            <w:bottom w:val="none" w:sz="0" w:space="0"/>
            <w:right w:val="none" w:sz="0" w:space="0"/>
          </w:pgBorders>
          <w:cols w:space="720" w:num="1"/>
          <w:docGrid w:linePitch="312" w:charSpace="0"/>
        </w:sectPr>
      </w:pPr>
    </w:p>
    <w:p w14:paraId="50F62B9F">
      <w:pPr>
        <w:pStyle w:val="19"/>
        <w:adjustRightInd w:val="0"/>
        <w:snapToGrid w:val="0"/>
        <w:spacing w:before="0" w:beforeAutospacing="0" w:after="0" w:afterAutospacing="0"/>
        <w:outlineLvl w:val="0"/>
        <w:rPr>
          <w:rFonts w:hint="eastAsia" w:ascii="黑体" w:hAnsi="黑体" w:eastAsia="黑体" w:cs="黑体"/>
          <w:color w:val="auto"/>
          <w:highlight w:val="none"/>
        </w:rPr>
      </w:pPr>
      <w:r>
        <w:rPr>
          <w:rFonts w:hint="eastAsia" w:ascii="黑体" w:hAnsi="黑体" w:eastAsia="黑体" w:cs="黑体"/>
          <w:color w:val="auto"/>
          <w:highlight w:val="none"/>
        </w:rPr>
        <w:t>附件1环评委托书</w:t>
      </w:r>
    </w:p>
    <w:p w14:paraId="0AD80E57">
      <w:pPr>
        <w:spacing w:line="360" w:lineRule="auto"/>
        <w:jc w:val="center"/>
        <w:rPr>
          <w:rFonts w:hint="default" w:ascii="Times New Roman" w:hAnsi="Times New Roman" w:eastAsia="宋体" w:cs="Times New Roman"/>
          <w:color w:val="auto"/>
          <w:sz w:val="44"/>
          <w:szCs w:val="44"/>
          <w:highlight w:val="none"/>
        </w:rPr>
      </w:pPr>
      <w:r>
        <w:rPr>
          <w:rFonts w:hint="default" w:ascii="Times New Roman" w:hAnsi="Times New Roman" w:eastAsia="宋体" w:cs="Times New Roman"/>
          <w:color w:val="auto"/>
          <w:sz w:val="44"/>
          <w:szCs w:val="44"/>
          <w:highlight w:val="none"/>
        </w:rPr>
        <w:t>委托书</w:t>
      </w:r>
    </w:p>
    <w:p w14:paraId="32B5E85D">
      <w:pPr>
        <w:spacing w:line="360" w:lineRule="auto"/>
        <w:rPr>
          <w:rFonts w:hint="default" w:ascii="Times New Roman" w:hAnsi="Times New Roman" w:eastAsia="宋体" w:cs="Times New Roman"/>
          <w:color w:val="auto"/>
          <w:sz w:val="24"/>
          <w:szCs w:val="24"/>
          <w:highlight w:val="none"/>
        </w:rPr>
      </w:pPr>
    </w:p>
    <w:p w14:paraId="31C74CDF">
      <w:pPr>
        <w:keepNext w:val="0"/>
        <w:keepLines w:val="0"/>
        <w:pageBreakBefore w:val="0"/>
        <w:widowControl w:val="0"/>
        <w:kinsoku/>
        <w:wordWrap/>
        <w:overflowPunct/>
        <w:topLinePunct w:val="0"/>
        <w:autoSpaceDE/>
        <w:autoSpaceDN/>
        <w:bidi w:val="0"/>
        <w:adjustRightInd/>
        <w:spacing w:line="480" w:lineRule="auto"/>
        <w:ind w:right="0" w:rightChars="0"/>
        <w:textAlignment w:val="auto"/>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color w:val="auto"/>
          <w:sz w:val="28"/>
          <w:szCs w:val="28"/>
          <w:highlight w:val="none"/>
          <w:lang w:eastAsia="zh-CN"/>
        </w:rPr>
        <w:t>内蒙古</w:t>
      </w:r>
      <w:r>
        <w:rPr>
          <w:rFonts w:hint="eastAsia" w:ascii="Times New Roman" w:hAnsi="Times New Roman" w:eastAsia="宋体" w:cs="Times New Roman"/>
          <w:color w:val="auto"/>
          <w:sz w:val="28"/>
          <w:szCs w:val="28"/>
          <w:highlight w:val="none"/>
          <w:lang w:val="en-US" w:eastAsia="zh-CN"/>
        </w:rPr>
        <w:t>纳恒环境</w:t>
      </w:r>
      <w:r>
        <w:rPr>
          <w:rFonts w:hint="eastAsia" w:ascii="Times New Roman" w:hAnsi="Times New Roman" w:eastAsia="宋体" w:cs="Times New Roman"/>
          <w:color w:val="auto"/>
          <w:sz w:val="28"/>
          <w:szCs w:val="28"/>
          <w:highlight w:val="none"/>
          <w:lang w:eastAsia="zh-CN"/>
        </w:rPr>
        <w:t>科技有限公司</w:t>
      </w:r>
      <w:r>
        <w:rPr>
          <w:rFonts w:hint="default" w:ascii="Times New Roman" w:hAnsi="Times New Roman" w:eastAsia="宋体" w:cs="Times New Roman"/>
          <w:color w:val="auto"/>
          <w:sz w:val="28"/>
          <w:szCs w:val="28"/>
          <w:highlight w:val="none"/>
        </w:rPr>
        <w:t>：</w:t>
      </w:r>
    </w:p>
    <w:p w14:paraId="6619BA45">
      <w:pPr>
        <w:keepNext w:val="0"/>
        <w:keepLines w:val="0"/>
        <w:pageBreakBefore w:val="0"/>
        <w:widowControl w:val="0"/>
        <w:kinsoku/>
        <w:wordWrap/>
        <w:overflowPunct/>
        <w:topLinePunct w:val="0"/>
        <w:autoSpaceDE/>
        <w:autoSpaceDN/>
        <w:bidi w:val="0"/>
        <w:adjustRightInd/>
        <w:spacing w:line="480" w:lineRule="auto"/>
        <w:ind w:left="0" w:leftChars="0" w:right="0" w:rightChars="0"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根据《中华人民共和国环境影响评价法》及国务院和</w:t>
      </w:r>
      <w:bookmarkStart w:id="9" w:name="_GoBack"/>
      <w:r>
        <w:rPr>
          <w:rFonts w:hint="eastAsia" w:cs="Times New Roman"/>
          <w:color w:val="auto"/>
          <w:sz w:val="28"/>
          <w:szCs w:val="28"/>
          <w:highlight w:val="none"/>
          <w:lang w:eastAsia="zh-CN"/>
        </w:rPr>
        <w:t>生态环境部</w:t>
      </w:r>
      <w:bookmarkEnd w:id="9"/>
      <w:r>
        <w:rPr>
          <w:rFonts w:hint="default" w:ascii="Times New Roman" w:hAnsi="Times New Roman" w:eastAsia="宋体" w:cs="Times New Roman"/>
          <w:color w:val="auto"/>
          <w:sz w:val="28"/>
          <w:szCs w:val="28"/>
          <w:highlight w:val="none"/>
        </w:rPr>
        <w:t>的相关规定，特委托贵公司承担我单位</w:t>
      </w:r>
      <w:r>
        <w:rPr>
          <w:rFonts w:hint="default" w:ascii="Times New Roman" w:hAnsi="Times New Roman" w:eastAsia="宋体" w:cs="Times New Roman"/>
          <w:color w:val="auto"/>
          <w:sz w:val="28"/>
          <w:szCs w:val="28"/>
          <w:highlight w:val="none"/>
          <w:u w:val="single"/>
        </w:rPr>
        <w:t>鄂尔多斯市蒙丰源实业有限责任公司蒙丰源商砼站项目</w:t>
      </w:r>
      <w:r>
        <w:rPr>
          <w:rFonts w:hint="default" w:ascii="Times New Roman" w:hAnsi="Times New Roman" w:eastAsia="宋体" w:cs="Times New Roman"/>
          <w:color w:val="auto"/>
          <w:sz w:val="28"/>
          <w:szCs w:val="28"/>
          <w:highlight w:val="none"/>
        </w:rPr>
        <w:t>的环境影响评价工作，其环境影响报告文本应满足有关环评技术导则和环境保护主管部门的规定和要求。</w:t>
      </w:r>
    </w:p>
    <w:p w14:paraId="5B2B00EB">
      <w:pPr>
        <w:keepNext w:val="0"/>
        <w:keepLines w:val="0"/>
        <w:pageBreakBefore w:val="0"/>
        <w:widowControl w:val="0"/>
        <w:kinsoku/>
        <w:wordWrap/>
        <w:overflowPunct/>
        <w:topLinePunct w:val="0"/>
        <w:autoSpaceDE/>
        <w:autoSpaceDN/>
        <w:bidi w:val="0"/>
        <w:adjustRightInd/>
        <w:spacing w:line="48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p>
    <w:p w14:paraId="2526F6AA">
      <w:pPr>
        <w:keepNext w:val="0"/>
        <w:keepLines w:val="0"/>
        <w:pageBreakBefore w:val="0"/>
        <w:widowControl w:val="0"/>
        <w:kinsoku/>
        <w:wordWrap/>
        <w:overflowPunct/>
        <w:topLinePunct w:val="0"/>
        <w:autoSpaceDE/>
        <w:autoSpaceDN/>
        <w:bidi w:val="0"/>
        <w:adjustRightInd/>
        <w:spacing w:line="48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p>
    <w:p w14:paraId="30A44768">
      <w:pPr>
        <w:pStyle w:val="6"/>
        <w:keepNext w:val="0"/>
        <w:keepLines w:val="0"/>
        <w:pageBreakBefore w:val="0"/>
        <w:widowControl w:val="0"/>
        <w:tabs>
          <w:tab w:val="left" w:pos="360"/>
          <w:tab w:val="left" w:pos="900"/>
        </w:tabs>
        <w:kinsoku/>
        <w:wordWrap/>
        <w:overflowPunct/>
        <w:topLinePunct w:val="0"/>
        <w:autoSpaceDE/>
        <w:autoSpaceDN/>
        <w:bidi w:val="0"/>
        <w:adjustRightInd/>
        <w:spacing w:after="0" w:line="480" w:lineRule="auto"/>
        <w:ind w:right="0" w:rightChars="0"/>
        <w:textAlignment w:val="auto"/>
        <w:rPr>
          <w:rFonts w:hint="default"/>
          <w:color w:val="auto"/>
          <w:sz w:val="28"/>
          <w:szCs w:val="28"/>
          <w:highlight w:val="none"/>
        </w:rPr>
      </w:pPr>
    </w:p>
    <w:p w14:paraId="45F8C74C">
      <w:pPr>
        <w:keepNext w:val="0"/>
        <w:keepLines w:val="0"/>
        <w:pageBreakBefore w:val="0"/>
        <w:widowControl w:val="0"/>
        <w:kinsoku/>
        <w:wordWrap/>
        <w:overflowPunct/>
        <w:topLinePunct w:val="0"/>
        <w:autoSpaceDE/>
        <w:autoSpaceDN/>
        <w:bidi w:val="0"/>
        <w:adjustRightInd/>
        <w:spacing w:line="480" w:lineRule="auto"/>
        <w:ind w:left="0" w:leftChars="0" w:right="0" w:rightChars="0" w:firstLine="560" w:firstLineChars="200"/>
        <w:jc w:val="right"/>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委托单位（盖章）：</w:t>
      </w:r>
      <w:r>
        <w:rPr>
          <w:rFonts w:hint="default" w:ascii="Times New Roman" w:hAnsi="Times New Roman" w:eastAsia="宋体" w:cs="Times New Roman"/>
          <w:color w:val="auto"/>
          <w:sz w:val="28"/>
          <w:szCs w:val="28"/>
          <w:highlight w:val="none"/>
          <w:u w:val="single"/>
        </w:rPr>
        <w:t>鄂尔多斯市蒙丰源实业有限责任公司</w:t>
      </w:r>
    </w:p>
    <w:p w14:paraId="7CFD656F">
      <w:pPr>
        <w:spacing w:line="480" w:lineRule="auto"/>
        <w:jc w:val="right"/>
        <w:rPr>
          <w:rFonts w:hint="default" w:ascii="Times New Roman" w:hAnsi="Times New Roman" w:eastAsia="宋体" w:cs="Times New Roman"/>
          <w:b/>
          <w:bCs/>
          <w:snapToGrid w:val="0"/>
          <w:color w:val="auto"/>
          <w:spacing w:val="-6"/>
          <w:kern w:val="21"/>
          <w:sz w:val="24"/>
          <w:szCs w:val="24"/>
          <w:highlight w:val="none"/>
          <w:lang w:val="en-US" w:eastAsia="zh-CN"/>
        </w:rPr>
        <w:sectPr>
          <w:pgSz w:w="11906" w:h="16838"/>
          <w:pgMar w:top="1701" w:right="1531" w:bottom="1701" w:left="1531" w:header="851" w:footer="1134"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rPr>
        <w:t>年</w:t>
      </w:r>
      <w:r>
        <w:rPr>
          <w:rFonts w:hint="eastAsia"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rPr>
        <w:t>月</w:t>
      </w:r>
      <w:r>
        <w:rPr>
          <w:rFonts w:hint="eastAsia"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rPr>
        <w:t>日</w:t>
      </w:r>
    </w:p>
    <w:p w14:paraId="19AA8EA1">
      <w:pPr>
        <w:pStyle w:val="19"/>
        <w:adjustRightInd w:val="0"/>
        <w:snapToGrid w:val="0"/>
        <w:spacing w:before="0" w:beforeAutospacing="0" w:after="0" w:afterAutospacing="0"/>
        <w:outlineLvl w:val="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附件2项目备案告知书</w:t>
      </w:r>
    </w:p>
    <w:p w14:paraId="61CBB661">
      <w:pPr>
        <w:tabs>
          <w:tab w:val="left" w:pos="3218"/>
        </w:tabs>
        <w:rPr>
          <w:rFonts w:hint="default" w:ascii="黑体" w:hAnsi="黑体" w:eastAsia="黑体" w:cs="黑体"/>
          <w:color w:val="auto"/>
          <w:kern w:val="0"/>
          <w:sz w:val="24"/>
          <w:szCs w:val="20"/>
          <w:highlight w:val="none"/>
          <w:lang w:val="en-US" w:eastAsia="zh-CN" w:bidi="ar-SA"/>
        </w:rPr>
      </w:pPr>
      <w:r>
        <w:rPr>
          <w:color w:val="auto"/>
          <w:highlight w:val="none"/>
        </w:rPr>
        <w:drawing>
          <wp:inline distT="0" distB="0" distL="114300" distR="114300">
            <wp:extent cx="5607685" cy="7936865"/>
            <wp:effectExtent l="0" t="0" r="5715" b="635"/>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36"/>
                    <a:stretch>
                      <a:fillRect/>
                    </a:stretch>
                  </pic:blipFill>
                  <pic:spPr>
                    <a:xfrm>
                      <a:off x="0" y="0"/>
                      <a:ext cx="5607685" cy="7936865"/>
                    </a:xfrm>
                    <a:prstGeom prst="rect">
                      <a:avLst/>
                    </a:prstGeom>
                    <a:noFill/>
                    <a:ln>
                      <a:noFill/>
                    </a:ln>
                  </pic:spPr>
                </pic:pic>
              </a:graphicData>
            </a:graphic>
          </wp:inline>
        </w:drawing>
      </w:r>
    </w:p>
    <w:p w14:paraId="090A5CB8">
      <w:pPr>
        <w:pStyle w:val="31"/>
        <w:rPr>
          <w:rFonts w:hint="default" w:ascii="黑体" w:hAnsi="黑体" w:eastAsia="黑体" w:cs="黑体"/>
          <w:color w:val="auto"/>
          <w:kern w:val="0"/>
          <w:sz w:val="24"/>
          <w:szCs w:val="20"/>
          <w:highlight w:val="none"/>
          <w:lang w:val="en-US" w:eastAsia="zh-CN" w:bidi="ar-SA"/>
        </w:rPr>
      </w:pPr>
    </w:p>
    <w:p w14:paraId="51FD9E22">
      <w:pPr>
        <w:pStyle w:val="19"/>
        <w:adjustRightInd w:val="0"/>
        <w:snapToGrid w:val="0"/>
        <w:spacing w:before="0" w:beforeAutospacing="0" w:after="0" w:afterAutospacing="0"/>
        <w:outlineLvl w:val="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附件3供水协议</w:t>
      </w:r>
    </w:p>
    <w:p w14:paraId="40E0DDBF">
      <w:pPr>
        <w:pStyle w:val="31"/>
        <w:ind w:left="0" w:leftChars="0" w:firstLine="0" w:firstLineChars="0"/>
        <w:rPr>
          <w:rFonts w:hint="default" w:ascii="黑体" w:hAnsi="黑体" w:eastAsia="黑体" w:cs="黑体"/>
          <w:color w:val="auto"/>
          <w:kern w:val="0"/>
          <w:sz w:val="24"/>
          <w:szCs w:val="20"/>
          <w:highlight w:val="none"/>
          <w:lang w:val="en-US" w:eastAsia="zh-CN" w:bidi="ar-SA"/>
        </w:rPr>
        <w:sectPr>
          <w:pgSz w:w="11906" w:h="16838"/>
          <w:pgMar w:top="1701" w:right="1531" w:bottom="1701" w:left="1531" w:header="851" w:footer="850" w:gutter="0"/>
          <w:pgBorders>
            <w:top w:val="none" w:sz="0" w:space="0"/>
            <w:left w:val="none" w:sz="0" w:space="0"/>
            <w:bottom w:val="none" w:sz="0" w:space="0"/>
            <w:right w:val="none" w:sz="0" w:space="0"/>
          </w:pgBorders>
          <w:cols w:space="720" w:num="1"/>
          <w:rtlGutter w:val="0"/>
          <w:docGrid w:linePitch="312" w:charSpace="0"/>
        </w:sectPr>
      </w:pPr>
      <w:r>
        <w:rPr>
          <w:color w:val="auto"/>
          <w:highlight w:val="none"/>
        </w:rPr>
        <w:drawing>
          <wp:inline distT="0" distB="0" distL="114300" distR="114300">
            <wp:extent cx="5615305" cy="7934960"/>
            <wp:effectExtent l="0" t="0" r="10795" b="2540"/>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37"/>
                    <a:stretch>
                      <a:fillRect/>
                    </a:stretch>
                  </pic:blipFill>
                  <pic:spPr>
                    <a:xfrm>
                      <a:off x="0" y="0"/>
                      <a:ext cx="5615305" cy="7934960"/>
                    </a:xfrm>
                    <a:prstGeom prst="rect">
                      <a:avLst/>
                    </a:prstGeom>
                    <a:noFill/>
                    <a:ln>
                      <a:noFill/>
                    </a:ln>
                  </pic:spPr>
                </pic:pic>
              </a:graphicData>
            </a:graphic>
          </wp:inline>
        </w:drawing>
      </w:r>
      <w:r>
        <w:rPr>
          <w:color w:val="auto"/>
          <w:highlight w:val="none"/>
        </w:rPr>
        <w:drawing>
          <wp:inline distT="0" distB="0" distL="114300" distR="114300">
            <wp:extent cx="5609590" cy="7938770"/>
            <wp:effectExtent l="0" t="0" r="3810" b="1143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38"/>
                    <a:stretch>
                      <a:fillRect/>
                    </a:stretch>
                  </pic:blipFill>
                  <pic:spPr>
                    <a:xfrm>
                      <a:off x="0" y="0"/>
                      <a:ext cx="5609590" cy="7938770"/>
                    </a:xfrm>
                    <a:prstGeom prst="rect">
                      <a:avLst/>
                    </a:prstGeom>
                    <a:noFill/>
                    <a:ln>
                      <a:noFill/>
                    </a:ln>
                  </pic:spPr>
                </pic:pic>
              </a:graphicData>
            </a:graphic>
          </wp:inline>
        </w:drawing>
      </w:r>
      <w:r>
        <w:rPr>
          <w:color w:val="auto"/>
          <w:highlight w:val="none"/>
        </w:rPr>
        <w:drawing>
          <wp:inline distT="0" distB="0" distL="114300" distR="114300">
            <wp:extent cx="5615305" cy="7907020"/>
            <wp:effectExtent l="0" t="0" r="10795" b="5080"/>
            <wp:docPr id="4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2"/>
                    <pic:cNvPicPr>
                      <a:picLocks noChangeAspect="1"/>
                    </pic:cNvPicPr>
                  </pic:nvPicPr>
                  <pic:blipFill>
                    <a:blip r:embed="rId39"/>
                    <a:stretch>
                      <a:fillRect/>
                    </a:stretch>
                  </pic:blipFill>
                  <pic:spPr>
                    <a:xfrm>
                      <a:off x="0" y="0"/>
                      <a:ext cx="5615305" cy="7907020"/>
                    </a:xfrm>
                    <a:prstGeom prst="rect">
                      <a:avLst/>
                    </a:prstGeom>
                    <a:noFill/>
                    <a:ln>
                      <a:noFill/>
                    </a:ln>
                  </pic:spPr>
                </pic:pic>
              </a:graphicData>
            </a:graphic>
          </wp:inline>
        </w:drawing>
      </w:r>
      <w:r>
        <w:rPr>
          <w:color w:val="auto"/>
          <w:highlight w:val="none"/>
        </w:rPr>
        <w:drawing>
          <wp:inline distT="0" distB="0" distL="114300" distR="114300">
            <wp:extent cx="5615305" cy="7934960"/>
            <wp:effectExtent l="0" t="0" r="10795" b="2540"/>
            <wp:docPr id="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0"/>
                    <a:stretch>
                      <a:fillRect/>
                    </a:stretch>
                  </pic:blipFill>
                  <pic:spPr>
                    <a:xfrm>
                      <a:off x="0" y="0"/>
                      <a:ext cx="5615305" cy="7934960"/>
                    </a:xfrm>
                    <a:prstGeom prst="rect">
                      <a:avLst/>
                    </a:prstGeom>
                    <a:noFill/>
                    <a:ln>
                      <a:noFill/>
                    </a:ln>
                  </pic:spPr>
                </pic:pic>
              </a:graphicData>
            </a:graphic>
          </wp:inline>
        </w:drawing>
      </w:r>
      <w:r>
        <w:rPr>
          <w:color w:val="auto"/>
          <w:highlight w:val="none"/>
        </w:rPr>
        <w:drawing>
          <wp:inline distT="0" distB="0" distL="114300" distR="114300">
            <wp:extent cx="5615305" cy="7934960"/>
            <wp:effectExtent l="0" t="0" r="10795" b="2540"/>
            <wp:docPr id="4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1"/>
                    <a:stretch>
                      <a:fillRect/>
                    </a:stretch>
                  </pic:blipFill>
                  <pic:spPr>
                    <a:xfrm>
                      <a:off x="0" y="0"/>
                      <a:ext cx="5615305" cy="7934960"/>
                    </a:xfrm>
                    <a:prstGeom prst="rect">
                      <a:avLst/>
                    </a:prstGeom>
                    <a:noFill/>
                    <a:ln>
                      <a:noFill/>
                    </a:ln>
                  </pic:spPr>
                </pic:pic>
              </a:graphicData>
            </a:graphic>
          </wp:inline>
        </w:drawing>
      </w:r>
      <w:r>
        <w:rPr>
          <w:color w:val="auto"/>
          <w:highlight w:val="none"/>
        </w:rPr>
        <w:drawing>
          <wp:inline distT="0" distB="0" distL="114300" distR="114300">
            <wp:extent cx="5609590" cy="7938770"/>
            <wp:effectExtent l="0" t="0" r="3810" b="11430"/>
            <wp:docPr id="5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pic:cNvPicPr>
                      <a:picLocks noChangeAspect="1"/>
                    </pic:cNvPicPr>
                  </pic:nvPicPr>
                  <pic:blipFill>
                    <a:blip r:embed="rId42"/>
                    <a:stretch>
                      <a:fillRect/>
                    </a:stretch>
                  </pic:blipFill>
                  <pic:spPr>
                    <a:xfrm>
                      <a:off x="0" y="0"/>
                      <a:ext cx="5609590" cy="7938770"/>
                    </a:xfrm>
                    <a:prstGeom prst="rect">
                      <a:avLst/>
                    </a:prstGeom>
                    <a:noFill/>
                    <a:ln>
                      <a:noFill/>
                    </a:ln>
                  </pic:spPr>
                </pic:pic>
              </a:graphicData>
            </a:graphic>
          </wp:inline>
        </w:drawing>
      </w:r>
      <w:r>
        <w:rPr>
          <w:color w:val="auto"/>
          <w:highlight w:val="none"/>
        </w:rPr>
        <w:drawing>
          <wp:inline distT="0" distB="0" distL="114300" distR="114300">
            <wp:extent cx="5609590" cy="7938770"/>
            <wp:effectExtent l="0" t="0" r="3810" b="11430"/>
            <wp:docPr id="5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6"/>
                    <pic:cNvPicPr>
                      <a:picLocks noChangeAspect="1"/>
                    </pic:cNvPicPr>
                  </pic:nvPicPr>
                  <pic:blipFill>
                    <a:blip r:embed="rId43"/>
                    <a:stretch>
                      <a:fillRect/>
                    </a:stretch>
                  </pic:blipFill>
                  <pic:spPr>
                    <a:xfrm>
                      <a:off x="0" y="0"/>
                      <a:ext cx="5609590" cy="7938770"/>
                    </a:xfrm>
                    <a:prstGeom prst="rect">
                      <a:avLst/>
                    </a:prstGeom>
                    <a:noFill/>
                    <a:ln>
                      <a:noFill/>
                    </a:ln>
                  </pic:spPr>
                </pic:pic>
              </a:graphicData>
            </a:graphic>
          </wp:inline>
        </w:drawing>
      </w:r>
      <w:r>
        <w:rPr>
          <w:color w:val="auto"/>
          <w:highlight w:val="none"/>
        </w:rPr>
        <w:drawing>
          <wp:inline distT="0" distB="0" distL="114300" distR="114300">
            <wp:extent cx="5615305" cy="7934960"/>
            <wp:effectExtent l="0" t="0" r="10795" b="2540"/>
            <wp:docPr id="5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7"/>
                    <pic:cNvPicPr>
                      <a:picLocks noChangeAspect="1"/>
                    </pic:cNvPicPr>
                  </pic:nvPicPr>
                  <pic:blipFill>
                    <a:blip r:embed="rId44"/>
                    <a:stretch>
                      <a:fillRect/>
                    </a:stretch>
                  </pic:blipFill>
                  <pic:spPr>
                    <a:xfrm>
                      <a:off x="0" y="0"/>
                      <a:ext cx="5615305" cy="7934960"/>
                    </a:xfrm>
                    <a:prstGeom prst="rect">
                      <a:avLst/>
                    </a:prstGeom>
                    <a:noFill/>
                    <a:ln>
                      <a:noFill/>
                    </a:ln>
                  </pic:spPr>
                </pic:pic>
              </a:graphicData>
            </a:graphic>
          </wp:inline>
        </w:drawing>
      </w:r>
      <w:r>
        <w:rPr>
          <w:color w:val="auto"/>
          <w:highlight w:val="none"/>
        </w:rPr>
        <w:drawing>
          <wp:inline distT="0" distB="0" distL="114300" distR="114300">
            <wp:extent cx="5612765" cy="7965440"/>
            <wp:effectExtent l="0" t="0" r="635" b="10160"/>
            <wp:docPr id="5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8"/>
                    <pic:cNvPicPr>
                      <a:picLocks noChangeAspect="1"/>
                    </pic:cNvPicPr>
                  </pic:nvPicPr>
                  <pic:blipFill>
                    <a:blip r:embed="rId45"/>
                    <a:stretch>
                      <a:fillRect/>
                    </a:stretch>
                  </pic:blipFill>
                  <pic:spPr>
                    <a:xfrm>
                      <a:off x="0" y="0"/>
                      <a:ext cx="5612765" cy="7965440"/>
                    </a:xfrm>
                    <a:prstGeom prst="rect">
                      <a:avLst/>
                    </a:prstGeom>
                    <a:noFill/>
                    <a:ln>
                      <a:noFill/>
                    </a:ln>
                  </pic:spPr>
                </pic:pic>
              </a:graphicData>
            </a:graphic>
          </wp:inline>
        </w:drawing>
      </w:r>
      <w:r>
        <w:rPr>
          <w:color w:val="auto"/>
          <w:highlight w:val="none"/>
        </w:rPr>
        <w:drawing>
          <wp:inline distT="0" distB="0" distL="114300" distR="114300">
            <wp:extent cx="5615305" cy="7934960"/>
            <wp:effectExtent l="0" t="0" r="10795" b="2540"/>
            <wp:docPr id="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pic:cNvPicPr>
                      <a:picLocks noChangeAspect="1"/>
                    </pic:cNvPicPr>
                  </pic:nvPicPr>
                  <pic:blipFill>
                    <a:blip r:embed="rId46"/>
                    <a:stretch>
                      <a:fillRect/>
                    </a:stretch>
                  </pic:blipFill>
                  <pic:spPr>
                    <a:xfrm>
                      <a:off x="0" y="0"/>
                      <a:ext cx="5615305" cy="7934960"/>
                    </a:xfrm>
                    <a:prstGeom prst="rect">
                      <a:avLst/>
                    </a:prstGeom>
                    <a:noFill/>
                    <a:ln>
                      <a:noFill/>
                    </a:ln>
                  </pic:spPr>
                </pic:pic>
              </a:graphicData>
            </a:graphic>
          </wp:inline>
        </w:drawing>
      </w:r>
      <w:r>
        <w:rPr>
          <w:color w:val="auto"/>
          <w:highlight w:val="none"/>
        </w:rPr>
        <w:drawing>
          <wp:inline distT="0" distB="0" distL="114300" distR="114300">
            <wp:extent cx="5607685" cy="7951470"/>
            <wp:effectExtent l="0" t="0" r="5715" b="11430"/>
            <wp:docPr id="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0"/>
                    <pic:cNvPicPr>
                      <a:picLocks noChangeAspect="1"/>
                    </pic:cNvPicPr>
                  </pic:nvPicPr>
                  <pic:blipFill>
                    <a:blip r:embed="rId47"/>
                    <a:stretch>
                      <a:fillRect/>
                    </a:stretch>
                  </pic:blipFill>
                  <pic:spPr>
                    <a:xfrm>
                      <a:off x="0" y="0"/>
                      <a:ext cx="5607685" cy="7951470"/>
                    </a:xfrm>
                    <a:prstGeom prst="rect">
                      <a:avLst/>
                    </a:prstGeom>
                    <a:noFill/>
                    <a:ln>
                      <a:noFill/>
                    </a:ln>
                  </pic:spPr>
                </pic:pic>
              </a:graphicData>
            </a:graphic>
          </wp:inline>
        </w:drawing>
      </w:r>
      <w:r>
        <w:rPr>
          <w:color w:val="auto"/>
          <w:highlight w:val="none"/>
        </w:rPr>
        <w:drawing>
          <wp:inline distT="0" distB="0" distL="114300" distR="114300">
            <wp:extent cx="5615305" cy="7949565"/>
            <wp:effectExtent l="0" t="0" r="10795" b="635"/>
            <wp:docPr id="8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1"/>
                    <pic:cNvPicPr>
                      <a:picLocks noChangeAspect="1"/>
                    </pic:cNvPicPr>
                  </pic:nvPicPr>
                  <pic:blipFill>
                    <a:blip r:embed="rId48"/>
                    <a:stretch>
                      <a:fillRect/>
                    </a:stretch>
                  </pic:blipFill>
                  <pic:spPr>
                    <a:xfrm>
                      <a:off x="0" y="0"/>
                      <a:ext cx="5615305" cy="7949565"/>
                    </a:xfrm>
                    <a:prstGeom prst="rect">
                      <a:avLst/>
                    </a:prstGeom>
                    <a:noFill/>
                    <a:ln>
                      <a:noFill/>
                    </a:ln>
                  </pic:spPr>
                </pic:pic>
              </a:graphicData>
            </a:graphic>
          </wp:inline>
        </w:drawing>
      </w:r>
    </w:p>
    <w:p w14:paraId="12E36E0B">
      <w:pPr>
        <w:pStyle w:val="19"/>
        <w:adjustRightInd w:val="0"/>
        <w:snapToGrid w:val="0"/>
        <w:spacing w:before="0" w:beforeAutospacing="0" w:after="0" w:afterAutospacing="0"/>
        <w:outlineLvl w:val="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附件4土地手续</w:t>
      </w:r>
    </w:p>
    <w:p w14:paraId="3E9D205C">
      <w:pPr>
        <w:rPr>
          <w:rFonts w:hint="eastAsia"/>
          <w:lang w:val="en-US" w:eastAsia="zh-CN"/>
        </w:rPr>
      </w:pPr>
      <w:r>
        <w:drawing>
          <wp:inline distT="0" distB="0" distL="114300" distR="114300">
            <wp:extent cx="5239385" cy="7378065"/>
            <wp:effectExtent l="0" t="0" r="635" b="5715"/>
            <wp:docPr id="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pic:cNvPicPr>
                      <a:picLocks noChangeAspect="1"/>
                    </pic:cNvPicPr>
                  </pic:nvPicPr>
                  <pic:blipFill>
                    <a:blip r:embed="rId49"/>
                    <a:stretch>
                      <a:fillRect/>
                    </a:stretch>
                  </pic:blipFill>
                  <pic:spPr>
                    <a:xfrm rot="16200000">
                      <a:off x="0" y="0"/>
                      <a:ext cx="5239385" cy="7378065"/>
                    </a:xfrm>
                    <a:prstGeom prst="rect">
                      <a:avLst/>
                    </a:prstGeom>
                    <a:noFill/>
                    <a:ln>
                      <a:noFill/>
                    </a:ln>
                  </pic:spPr>
                </pic:pic>
              </a:graphicData>
            </a:graphic>
          </wp:inline>
        </w:drawing>
      </w:r>
    </w:p>
    <w:p w14:paraId="423C53F2">
      <w:pPr>
        <w:jc w:val="center"/>
        <w:rPr>
          <w:rFonts w:hint="eastAsia"/>
          <w:color w:val="auto"/>
          <w:lang w:val="en-US" w:eastAsia="zh-CN"/>
        </w:rPr>
      </w:pPr>
    </w:p>
    <w:p w14:paraId="71355013">
      <w:pPr>
        <w:rPr>
          <w:rFonts w:hint="eastAsia"/>
          <w:color w:val="auto"/>
          <w:highlight w:val="none"/>
          <w:lang w:val="en-US" w:eastAsia="zh-CN"/>
        </w:rPr>
      </w:pPr>
      <w:r>
        <w:drawing>
          <wp:inline distT="0" distB="0" distL="114300" distR="114300">
            <wp:extent cx="5520690" cy="7684135"/>
            <wp:effectExtent l="0" t="0" r="12065" b="3810"/>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50"/>
                    <a:stretch>
                      <a:fillRect/>
                    </a:stretch>
                  </pic:blipFill>
                  <pic:spPr>
                    <a:xfrm rot="16200000">
                      <a:off x="0" y="0"/>
                      <a:ext cx="5520690" cy="7684135"/>
                    </a:xfrm>
                    <a:prstGeom prst="rect">
                      <a:avLst/>
                    </a:prstGeom>
                    <a:noFill/>
                    <a:ln>
                      <a:noFill/>
                    </a:ln>
                  </pic:spPr>
                </pic:pic>
              </a:graphicData>
            </a:graphic>
          </wp:inline>
        </w:drawing>
      </w:r>
      <w:r>
        <w:rPr>
          <w:color w:val="auto"/>
        </w:rPr>
        <w:drawing>
          <wp:inline distT="0" distB="0" distL="114300" distR="114300">
            <wp:extent cx="5398135" cy="7521575"/>
            <wp:effectExtent l="0" t="0" r="9525" b="12065"/>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51"/>
                    <a:stretch>
                      <a:fillRect/>
                    </a:stretch>
                  </pic:blipFill>
                  <pic:spPr>
                    <a:xfrm rot="16200000">
                      <a:off x="0" y="0"/>
                      <a:ext cx="5398135" cy="7521575"/>
                    </a:xfrm>
                    <a:prstGeom prst="rect">
                      <a:avLst/>
                    </a:prstGeom>
                    <a:noFill/>
                    <a:ln>
                      <a:noFill/>
                    </a:ln>
                  </pic:spPr>
                </pic:pic>
              </a:graphicData>
            </a:graphic>
          </wp:inline>
        </w:drawing>
      </w:r>
      <w:r>
        <w:drawing>
          <wp:inline distT="0" distB="0" distL="114300" distR="114300">
            <wp:extent cx="5551170" cy="7807325"/>
            <wp:effectExtent l="0" t="0" r="3175" b="114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2"/>
                    <a:stretch>
                      <a:fillRect/>
                    </a:stretch>
                  </pic:blipFill>
                  <pic:spPr>
                    <a:xfrm rot="16200000">
                      <a:off x="0" y="0"/>
                      <a:ext cx="5551170" cy="7807325"/>
                    </a:xfrm>
                    <a:prstGeom prst="rect">
                      <a:avLst/>
                    </a:prstGeom>
                    <a:noFill/>
                    <a:ln>
                      <a:noFill/>
                    </a:ln>
                  </pic:spPr>
                </pic:pic>
              </a:graphicData>
            </a:graphic>
          </wp:inline>
        </w:drawing>
      </w:r>
      <w:r>
        <w:drawing>
          <wp:inline distT="0" distB="0" distL="114300" distR="114300">
            <wp:extent cx="5578475" cy="7824470"/>
            <wp:effectExtent l="0" t="0" r="11430" b="952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53"/>
                    <a:stretch>
                      <a:fillRect/>
                    </a:stretch>
                  </pic:blipFill>
                  <pic:spPr>
                    <a:xfrm rot="5400000">
                      <a:off x="0" y="0"/>
                      <a:ext cx="5578475" cy="7824470"/>
                    </a:xfrm>
                    <a:prstGeom prst="rect">
                      <a:avLst/>
                    </a:prstGeom>
                    <a:noFill/>
                    <a:ln>
                      <a:noFill/>
                    </a:ln>
                  </pic:spPr>
                </pic:pic>
              </a:graphicData>
            </a:graphic>
          </wp:inline>
        </w:drawing>
      </w:r>
    </w:p>
    <w:p w14:paraId="3543223A">
      <w:pPr>
        <w:pStyle w:val="31"/>
        <w:ind w:left="0" w:leftChars="0" w:firstLine="0" w:firstLineChars="0"/>
        <w:rPr>
          <w:color w:val="auto"/>
          <w:highlight w:val="none"/>
        </w:rPr>
        <w:sectPr>
          <w:pgSz w:w="16838" w:h="11906" w:orient="landscape"/>
          <w:pgMar w:top="1531" w:right="1701" w:bottom="1531" w:left="1701" w:header="851" w:footer="850" w:gutter="0"/>
          <w:pgBorders>
            <w:top w:val="none" w:sz="0" w:space="0"/>
            <w:left w:val="none" w:sz="0" w:space="0"/>
            <w:bottom w:val="none" w:sz="0" w:space="0"/>
            <w:right w:val="none" w:sz="0" w:space="0"/>
          </w:pgBorders>
          <w:cols w:space="720" w:num="1"/>
          <w:rtlGutter w:val="0"/>
          <w:docGrid w:linePitch="312" w:charSpace="0"/>
        </w:sectPr>
      </w:pPr>
    </w:p>
    <w:p w14:paraId="40FAD64D">
      <w:pPr>
        <w:pStyle w:val="19"/>
        <w:adjustRightInd w:val="0"/>
        <w:snapToGrid w:val="0"/>
        <w:spacing w:before="0" w:beforeAutospacing="0" w:after="0" w:afterAutospacing="0"/>
        <w:outlineLvl w:val="0"/>
        <w:rPr>
          <w:rFonts w:hint="default"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附件5监测报告（引用）</w:t>
      </w:r>
    </w:p>
    <w:p w14:paraId="1B089AE9">
      <w:pPr>
        <w:tabs>
          <w:tab w:val="left" w:pos="3218"/>
        </w:tabs>
        <w:rPr>
          <w:rFonts w:hint="eastAsia" w:ascii="黑体" w:hAnsi="黑体" w:eastAsia="黑体" w:cs="黑体"/>
          <w:color w:val="auto"/>
          <w:kern w:val="0"/>
          <w:sz w:val="24"/>
          <w:szCs w:val="20"/>
          <w:highlight w:val="none"/>
          <w:lang w:val="en-US" w:eastAsia="zh-CN" w:bidi="ar-SA"/>
        </w:rPr>
      </w:pPr>
      <w:r>
        <w:rPr>
          <w:color w:val="auto"/>
          <w:highlight w:val="none"/>
        </w:rPr>
        <w:drawing>
          <wp:inline distT="0" distB="0" distL="114300" distR="114300">
            <wp:extent cx="5594350" cy="7920990"/>
            <wp:effectExtent l="0" t="0" r="6350" b="381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54"/>
                    <a:stretch>
                      <a:fillRect/>
                    </a:stretch>
                  </pic:blipFill>
                  <pic:spPr>
                    <a:xfrm>
                      <a:off x="0" y="0"/>
                      <a:ext cx="5594350" cy="7920990"/>
                    </a:xfrm>
                    <a:prstGeom prst="rect">
                      <a:avLst/>
                    </a:prstGeom>
                    <a:noFill/>
                    <a:ln>
                      <a:noFill/>
                    </a:ln>
                  </pic:spPr>
                </pic:pic>
              </a:graphicData>
            </a:graphic>
          </wp:inline>
        </w:drawing>
      </w:r>
      <w:r>
        <w:rPr>
          <w:color w:val="auto"/>
          <w:highlight w:val="none"/>
        </w:rPr>
        <w:drawing>
          <wp:inline distT="0" distB="0" distL="114300" distR="114300">
            <wp:extent cx="5612765" cy="7947660"/>
            <wp:effectExtent l="0" t="0" r="635" b="2540"/>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55"/>
                    <a:stretch>
                      <a:fillRect/>
                    </a:stretch>
                  </pic:blipFill>
                  <pic:spPr>
                    <a:xfrm>
                      <a:off x="0" y="0"/>
                      <a:ext cx="5612765" cy="7947660"/>
                    </a:xfrm>
                    <a:prstGeom prst="rect">
                      <a:avLst/>
                    </a:prstGeom>
                    <a:noFill/>
                    <a:ln>
                      <a:noFill/>
                    </a:ln>
                  </pic:spPr>
                </pic:pic>
              </a:graphicData>
            </a:graphic>
          </wp:inline>
        </w:drawing>
      </w:r>
      <w:r>
        <w:rPr>
          <w:color w:val="auto"/>
          <w:highlight w:val="none"/>
        </w:rPr>
        <w:drawing>
          <wp:inline distT="0" distB="0" distL="114300" distR="114300">
            <wp:extent cx="5612765" cy="7947660"/>
            <wp:effectExtent l="0" t="0" r="635" b="2540"/>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56"/>
                    <a:stretch>
                      <a:fillRect/>
                    </a:stretch>
                  </pic:blipFill>
                  <pic:spPr>
                    <a:xfrm>
                      <a:off x="0" y="0"/>
                      <a:ext cx="5612765" cy="7947660"/>
                    </a:xfrm>
                    <a:prstGeom prst="rect">
                      <a:avLst/>
                    </a:prstGeom>
                    <a:noFill/>
                    <a:ln>
                      <a:noFill/>
                    </a:ln>
                  </pic:spPr>
                </pic:pic>
              </a:graphicData>
            </a:graphic>
          </wp:inline>
        </w:drawing>
      </w:r>
      <w:r>
        <w:rPr>
          <w:color w:val="auto"/>
          <w:highlight w:val="none"/>
        </w:rPr>
        <w:drawing>
          <wp:inline distT="0" distB="0" distL="114300" distR="114300">
            <wp:extent cx="5612765" cy="7947660"/>
            <wp:effectExtent l="0" t="0" r="635" b="2540"/>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57"/>
                    <a:stretch>
                      <a:fillRect/>
                    </a:stretch>
                  </pic:blipFill>
                  <pic:spPr>
                    <a:xfrm>
                      <a:off x="0" y="0"/>
                      <a:ext cx="5612765" cy="7947660"/>
                    </a:xfrm>
                    <a:prstGeom prst="rect">
                      <a:avLst/>
                    </a:prstGeom>
                    <a:noFill/>
                    <a:ln>
                      <a:noFill/>
                    </a:ln>
                  </pic:spPr>
                </pic:pic>
              </a:graphicData>
            </a:graphic>
          </wp:inline>
        </w:drawing>
      </w:r>
      <w:r>
        <w:rPr>
          <w:color w:val="auto"/>
          <w:highlight w:val="none"/>
        </w:rPr>
        <w:drawing>
          <wp:inline distT="0" distB="0" distL="114300" distR="114300">
            <wp:extent cx="5612765" cy="7947660"/>
            <wp:effectExtent l="0" t="0" r="635" b="2540"/>
            <wp:docPr id="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
                    <pic:cNvPicPr>
                      <a:picLocks noChangeAspect="1"/>
                    </pic:cNvPicPr>
                  </pic:nvPicPr>
                  <pic:blipFill>
                    <a:blip r:embed="rId58"/>
                    <a:stretch>
                      <a:fillRect/>
                    </a:stretch>
                  </pic:blipFill>
                  <pic:spPr>
                    <a:xfrm>
                      <a:off x="0" y="0"/>
                      <a:ext cx="5612765" cy="7947660"/>
                    </a:xfrm>
                    <a:prstGeom prst="rect">
                      <a:avLst/>
                    </a:prstGeom>
                    <a:noFill/>
                    <a:ln>
                      <a:noFill/>
                    </a:ln>
                  </pic:spPr>
                </pic:pic>
              </a:graphicData>
            </a:graphic>
          </wp:inline>
        </w:drawing>
      </w:r>
      <w:r>
        <w:rPr>
          <w:color w:val="auto"/>
          <w:highlight w:val="none"/>
        </w:rPr>
        <w:drawing>
          <wp:inline distT="0" distB="0" distL="114300" distR="114300">
            <wp:extent cx="5612765" cy="7947660"/>
            <wp:effectExtent l="0" t="0" r="635" b="2540"/>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59"/>
                    <a:stretch>
                      <a:fillRect/>
                    </a:stretch>
                  </pic:blipFill>
                  <pic:spPr>
                    <a:xfrm>
                      <a:off x="0" y="0"/>
                      <a:ext cx="5612765" cy="7947660"/>
                    </a:xfrm>
                    <a:prstGeom prst="rect">
                      <a:avLst/>
                    </a:prstGeom>
                    <a:noFill/>
                    <a:ln>
                      <a:noFill/>
                    </a:ln>
                  </pic:spPr>
                </pic:pic>
              </a:graphicData>
            </a:graphic>
          </wp:inline>
        </w:drawing>
      </w:r>
    </w:p>
    <w:p w14:paraId="6B54EBC6">
      <w:pPr>
        <w:pStyle w:val="31"/>
        <w:rPr>
          <w:rFonts w:hint="eastAsia" w:ascii="黑体" w:hAnsi="黑体" w:eastAsia="黑体" w:cs="黑体"/>
          <w:color w:val="auto"/>
          <w:kern w:val="0"/>
          <w:sz w:val="24"/>
          <w:szCs w:val="20"/>
          <w:highlight w:val="none"/>
          <w:lang w:val="en-US" w:eastAsia="zh-CN" w:bidi="ar-SA"/>
        </w:rPr>
      </w:pPr>
    </w:p>
    <w:p w14:paraId="0193B0E9">
      <w:pPr>
        <w:pStyle w:val="31"/>
        <w:rPr>
          <w:rFonts w:hint="eastAsia" w:ascii="黑体" w:hAnsi="黑体" w:eastAsia="黑体" w:cs="黑体"/>
          <w:color w:val="auto"/>
          <w:kern w:val="0"/>
          <w:sz w:val="24"/>
          <w:szCs w:val="20"/>
          <w:highlight w:val="none"/>
          <w:lang w:val="en-US" w:eastAsia="zh-CN" w:bidi="ar-SA"/>
        </w:rPr>
      </w:pPr>
    </w:p>
    <w:p w14:paraId="15116829">
      <w:pPr>
        <w:pStyle w:val="19"/>
        <w:adjustRightInd w:val="0"/>
        <w:snapToGrid w:val="0"/>
        <w:spacing w:before="0" w:beforeAutospacing="0" w:after="0" w:afterAutospacing="0"/>
        <w:outlineLvl w:val="0"/>
        <w:rPr>
          <w:rFonts w:hint="default"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附件6未批先建处罚单</w:t>
      </w:r>
    </w:p>
    <w:p w14:paraId="13D75940">
      <w:pPr>
        <w:pStyle w:val="31"/>
        <w:ind w:left="0" w:leftChars="0" w:firstLine="0" w:firstLineChars="0"/>
        <w:jc w:val="center"/>
        <w:rPr>
          <w:color w:val="auto"/>
          <w:highlight w:val="none"/>
        </w:rPr>
        <w:sectPr>
          <w:pgSz w:w="11906" w:h="16838"/>
          <w:pgMar w:top="1701" w:right="1531" w:bottom="1701" w:left="1531" w:header="851" w:footer="850" w:gutter="0"/>
          <w:pgBorders>
            <w:top w:val="none" w:sz="0" w:space="0"/>
            <w:left w:val="none" w:sz="0" w:space="0"/>
            <w:bottom w:val="none" w:sz="0" w:space="0"/>
            <w:right w:val="none" w:sz="0" w:space="0"/>
          </w:pgBorders>
          <w:cols w:space="720" w:num="1"/>
          <w:rtlGutter w:val="0"/>
          <w:docGrid w:linePitch="312" w:charSpace="0"/>
        </w:sectPr>
      </w:pPr>
      <w:r>
        <w:rPr>
          <w:color w:val="auto"/>
          <w:highlight w:val="none"/>
        </w:rPr>
        <w:drawing>
          <wp:inline distT="0" distB="0" distL="114300" distR="114300">
            <wp:extent cx="5613400" cy="7884795"/>
            <wp:effectExtent l="0" t="0" r="0" b="1905"/>
            <wp:docPr id="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6"/>
                    <pic:cNvPicPr>
                      <a:picLocks noChangeAspect="1"/>
                    </pic:cNvPicPr>
                  </pic:nvPicPr>
                  <pic:blipFill>
                    <a:blip r:embed="rId60"/>
                    <a:stretch>
                      <a:fillRect/>
                    </a:stretch>
                  </pic:blipFill>
                  <pic:spPr>
                    <a:xfrm>
                      <a:off x="0" y="0"/>
                      <a:ext cx="5613400" cy="7884795"/>
                    </a:xfrm>
                    <a:prstGeom prst="rect">
                      <a:avLst/>
                    </a:prstGeom>
                    <a:noFill/>
                    <a:ln>
                      <a:noFill/>
                    </a:ln>
                  </pic:spPr>
                </pic:pic>
              </a:graphicData>
            </a:graphic>
          </wp:inline>
        </w:drawing>
      </w:r>
      <w:r>
        <w:rPr>
          <w:color w:val="auto"/>
          <w:highlight w:val="none"/>
        </w:rPr>
        <w:drawing>
          <wp:inline distT="0" distB="0" distL="114300" distR="114300">
            <wp:extent cx="5614035" cy="7883525"/>
            <wp:effectExtent l="0" t="0" r="12065" b="317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61"/>
                    <a:stretch>
                      <a:fillRect/>
                    </a:stretch>
                  </pic:blipFill>
                  <pic:spPr>
                    <a:xfrm>
                      <a:off x="0" y="0"/>
                      <a:ext cx="5614035" cy="7883525"/>
                    </a:xfrm>
                    <a:prstGeom prst="rect">
                      <a:avLst/>
                    </a:prstGeom>
                    <a:noFill/>
                    <a:ln>
                      <a:noFill/>
                    </a:ln>
                  </pic:spPr>
                </pic:pic>
              </a:graphicData>
            </a:graphic>
          </wp:inline>
        </w:drawing>
      </w:r>
      <w:r>
        <w:rPr>
          <w:color w:val="auto"/>
          <w:highlight w:val="none"/>
        </w:rPr>
        <w:drawing>
          <wp:inline distT="0" distB="0" distL="114300" distR="114300">
            <wp:extent cx="5611495" cy="7927975"/>
            <wp:effectExtent l="0" t="0" r="1905" b="952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62"/>
                    <a:stretch>
                      <a:fillRect/>
                    </a:stretch>
                  </pic:blipFill>
                  <pic:spPr>
                    <a:xfrm>
                      <a:off x="0" y="0"/>
                      <a:ext cx="5611495" cy="7927975"/>
                    </a:xfrm>
                    <a:prstGeom prst="rect">
                      <a:avLst/>
                    </a:prstGeom>
                    <a:noFill/>
                    <a:ln>
                      <a:noFill/>
                    </a:ln>
                  </pic:spPr>
                </pic:pic>
              </a:graphicData>
            </a:graphic>
          </wp:inline>
        </w:drawing>
      </w:r>
      <w:r>
        <w:rPr>
          <w:color w:val="auto"/>
          <w:highlight w:val="none"/>
        </w:rPr>
        <w:drawing>
          <wp:inline distT="0" distB="0" distL="114300" distR="114300">
            <wp:extent cx="5607685" cy="7976235"/>
            <wp:effectExtent l="0" t="0" r="5715" b="1206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63"/>
                    <a:stretch>
                      <a:fillRect/>
                    </a:stretch>
                  </pic:blipFill>
                  <pic:spPr>
                    <a:xfrm>
                      <a:off x="0" y="0"/>
                      <a:ext cx="5607685" cy="7976235"/>
                    </a:xfrm>
                    <a:prstGeom prst="rect">
                      <a:avLst/>
                    </a:prstGeom>
                    <a:noFill/>
                    <a:ln>
                      <a:noFill/>
                    </a:ln>
                  </pic:spPr>
                </pic:pic>
              </a:graphicData>
            </a:graphic>
          </wp:inline>
        </w:drawing>
      </w:r>
      <w:r>
        <w:rPr>
          <w:color w:val="auto"/>
          <w:highlight w:val="none"/>
        </w:rPr>
        <w:drawing>
          <wp:inline distT="0" distB="0" distL="114300" distR="114300">
            <wp:extent cx="5613400" cy="7903845"/>
            <wp:effectExtent l="0" t="0" r="0" b="8255"/>
            <wp:docPr id="3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0"/>
                    <pic:cNvPicPr>
                      <a:picLocks noChangeAspect="1"/>
                    </pic:cNvPicPr>
                  </pic:nvPicPr>
                  <pic:blipFill>
                    <a:blip r:embed="rId64"/>
                    <a:stretch>
                      <a:fillRect/>
                    </a:stretch>
                  </pic:blipFill>
                  <pic:spPr>
                    <a:xfrm>
                      <a:off x="0" y="0"/>
                      <a:ext cx="5613400" cy="7903845"/>
                    </a:xfrm>
                    <a:prstGeom prst="rect">
                      <a:avLst/>
                    </a:prstGeom>
                    <a:noFill/>
                    <a:ln>
                      <a:noFill/>
                    </a:ln>
                  </pic:spPr>
                </pic:pic>
              </a:graphicData>
            </a:graphic>
          </wp:inline>
        </w:drawing>
      </w:r>
    </w:p>
    <w:p w14:paraId="4E1B1C7D">
      <w:pPr>
        <w:pStyle w:val="19"/>
        <w:adjustRightInd w:val="0"/>
        <w:snapToGrid w:val="0"/>
        <w:spacing w:before="0" w:beforeAutospacing="0" w:after="0" w:afterAutospacing="0"/>
        <w:outlineLvl w:val="0"/>
        <w:rPr>
          <w:rFonts w:hint="default"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附件7关于伊金霍洛旗宏泰建材有限公司伊旗工程建筑砂石材料集散站建设项目环境影响报告表的批复</w:t>
      </w:r>
    </w:p>
    <w:p w14:paraId="6FF879B8">
      <w:pPr>
        <w:pStyle w:val="31"/>
        <w:ind w:left="0" w:leftChars="0" w:firstLine="0" w:firstLineChars="0"/>
        <w:jc w:val="center"/>
        <w:rPr>
          <w:rFonts w:hint="default"/>
          <w:color w:val="auto"/>
          <w:highlight w:val="none"/>
          <w:lang w:val="en-US" w:eastAsia="zh-CN"/>
        </w:rPr>
      </w:pPr>
      <w:r>
        <w:rPr>
          <w:rFonts w:hint="default"/>
          <w:color w:val="auto"/>
          <w:lang w:val="en-US" w:eastAsia="zh-CN"/>
        </w:rPr>
        <w:drawing>
          <wp:inline distT="0" distB="0" distL="114300" distR="114300">
            <wp:extent cx="5476875" cy="7896225"/>
            <wp:effectExtent l="0" t="0" r="9525" b="3175"/>
            <wp:docPr id="1" name="图片 1" descr="85ead8031f20a5512cd4a75f3ba163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5ead8031f20a5512cd4a75f3ba163e3"/>
                    <pic:cNvPicPr>
                      <a:picLocks noChangeAspect="1"/>
                    </pic:cNvPicPr>
                  </pic:nvPicPr>
                  <pic:blipFill>
                    <a:blip r:embed="rId65"/>
                    <a:stretch>
                      <a:fillRect/>
                    </a:stretch>
                  </pic:blipFill>
                  <pic:spPr>
                    <a:xfrm>
                      <a:off x="0" y="0"/>
                      <a:ext cx="5476875" cy="7896225"/>
                    </a:xfrm>
                    <a:prstGeom prst="rect">
                      <a:avLst/>
                    </a:prstGeom>
                  </pic:spPr>
                </pic:pic>
              </a:graphicData>
            </a:graphic>
          </wp:inline>
        </w:drawing>
      </w:r>
      <w:r>
        <w:rPr>
          <w:rFonts w:hint="default"/>
          <w:color w:val="auto"/>
          <w:lang w:val="en-US" w:eastAsia="zh-CN"/>
        </w:rPr>
        <w:drawing>
          <wp:inline distT="0" distB="0" distL="114300" distR="114300">
            <wp:extent cx="5476875" cy="8039100"/>
            <wp:effectExtent l="0" t="0" r="9525" b="0"/>
            <wp:docPr id="10" name="图片 10" descr="e5f354b7791cf1ed7148b549b989ab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5f354b7791cf1ed7148b549b989abe7"/>
                    <pic:cNvPicPr>
                      <a:picLocks noChangeAspect="1"/>
                    </pic:cNvPicPr>
                  </pic:nvPicPr>
                  <pic:blipFill>
                    <a:blip r:embed="rId66"/>
                    <a:stretch>
                      <a:fillRect/>
                    </a:stretch>
                  </pic:blipFill>
                  <pic:spPr>
                    <a:xfrm>
                      <a:off x="0" y="0"/>
                      <a:ext cx="5476875" cy="8039100"/>
                    </a:xfrm>
                    <a:prstGeom prst="rect">
                      <a:avLst/>
                    </a:prstGeom>
                  </pic:spPr>
                </pic:pic>
              </a:graphicData>
            </a:graphic>
          </wp:inline>
        </w:drawing>
      </w:r>
    </w:p>
    <w:sectPr>
      <w:pgSz w:w="11906" w:h="16838"/>
      <w:pgMar w:top="1701" w:right="1531" w:bottom="1701" w:left="1531" w:header="851" w:footer="850" w:gutter="0"/>
      <w:pgBorders>
        <w:top w:val="none" w:sz="0" w:space="0"/>
        <w:left w:val="none" w:sz="0" w:space="0"/>
        <w:bottom w:val="none" w:sz="0" w:space="0"/>
        <w:right w:val="none" w:sz="0" w:space="0"/>
      </w:pgBorders>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D6082D-70C2-429C-9B15-1C71D69B91F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embedRegular r:id="rId2" w:fontKey="{907FFADF-5B0F-49A8-844D-E8F2FF027F9A}"/>
  </w:font>
  <w:font w:name="仿宋">
    <w:panose1 w:val="02010609060101010101"/>
    <w:charset w:val="86"/>
    <w:family w:val="modern"/>
    <w:pitch w:val="default"/>
    <w:sig w:usb0="800002BF" w:usb1="38CF7CFA" w:usb2="00000016" w:usb3="00000000" w:csb0="00040001" w:csb1="00000000"/>
    <w:embedRegular r:id="rId3" w:fontKey="{133C6FFF-99D1-4472-8B9D-E7AEC27DEBEF}"/>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00000001" w:usb1="080E0000" w:usb2="00000000" w:usb3="00000000" w:csb0="00040000" w:csb1="00000000"/>
    <w:embedRegular r:id="rId4" w:fontKey="{B4819D2E-11A6-4CA7-85A2-071EB2C094F3}"/>
  </w:font>
  <w:font w:name="楷体_GB2312">
    <w:altName w:val="楷体"/>
    <w:panose1 w:val="02010609030101010101"/>
    <w:charset w:val="86"/>
    <w:family w:val="modern"/>
    <w:pitch w:val="default"/>
    <w:sig w:usb0="00000000" w:usb1="00000000" w:usb2="00000010" w:usb3="00000000" w:csb0="00040000" w:csb1="00000000"/>
    <w:embedRegular r:id="rId5" w:fontKey="{7859C949-56EE-4454-ADA9-CF66578A668B}"/>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6" w:fontKey="{5E31E0CA-38E2-4CBB-995B-94437F74F19B}"/>
  </w:font>
  <w:font w:name="Cambria Math">
    <w:panose1 w:val="02040503050406030204"/>
    <w:charset w:val="00"/>
    <w:family w:val="auto"/>
    <w:pitch w:val="default"/>
    <w:sig w:usb0="E00006FF" w:usb1="420024FF" w:usb2="02000000" w:usb3="00000000" w:csb0="2000019F" w:csb1="00000000"/>
    <w:embedRegular r:id="rId7" w:fontKey="{88B18520-681D-45E7-B609-C0ABB93150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5BE3E">
    <w:pPr>
      <w:pStyle w:val="1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51B5B">
    <w:pPr>
      <w:pStyle w:val="16"/>
      <w:ind w:right="360" w:firstLine="360"/>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0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A01548">
                          <w:pPr>
                            <w:pStyle w:val="16"/>
                          </w:pPr>
                          <w:r>
                            <w:fldChar w:fldCharType="begin"/>
                          </w:r>
                          <w:r>
                            <w:instrText xml:space="preserve"> PAGE  \* MERGEFORMAT </w:instrText>
                          </w:r>
                          <w:r>
                            <w:fldChar w:fldCharType="separate"/>
                          </w:r>
                          <w:r>
                            <w:t>9</w:t>
                          </w:r>
                          <w:r>
                            <w:fldChar w:fldCharType="end"/>
                          </w:r>
                        </w:p>
                      </w:txbxContent>
                    </wps:txbx>
                    <wps:bodyPr wrap="none" lIns="0" tIns="0" rIns="0" bIns="0" upright="0">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xvdAMsBAACcAwAADgAAAGRycy9lMm9Eb2MueG1srVPNjtMwEL4j8Q6W&#10;79TZSqy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cWxO25x4OefP86//px/fyfL&#10;6u11VqgPUGPifcDUNLzzA+7N7Ad0ZuKDijZ/kRLBOOp7uugrh0REfrRarlYVhgTG5gvis4fnIUJ6&#10;L70l2WhoxAEWXfnxI6QxdU7J1Zy/08aUIRr3jwMxs4fl3sces5WG3TAR2vn2hHx6nH1DHa46JeaD&#10;Q2nzmsxGnI3dbBxC1Puu7FGuB+H2kLCJ0luuMMJOhXFohd20YHkrHt9L1sNPtfk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Mb3QDLAQAAnAMAAA4AAAAAAAAAAQAgAAAAHgEAAGRycy9lMm9E&#10;b2MueG1sUEsFBgAAAAAGAAYAWQEAAFsFAAAAAA==&#10;">
              <v:fill on="f" focussize="0,0"/>
              <v:stroke on="f"/>
              <v:imagedata o:title=""/>
              <o:lock v:ext="edit" aspectratio="f"/>
              <v:textbox inset="0mm,0mm,0mm,0mm" style="mso-fit-shape-to-text:t;">
                <w:txbxContent>
                  <w:p w14:paraId="0FA01548">
                    <w:pPr>
                      <w:pStyle w:val="16"/>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939A7">
    <w:pPr>
      <w:pStyle w:val="16"/>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2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7E9D63">
                          <w:pPr>
                            <w:pStyle w:val="16"/>
                          </w:pPr>
                          <w:r>
                            <w:fldChar w:fldCharType="begin"/>
                          </w:r>
                          <w:r>
                            <w:instrText xml:space="preserve"> PAGE  \* MERGEFORMAT </w:instrText>
                          </w:r>
                          <w:r>
                            <w:fldChar w:fldCharType="separate"/>
                          </w:r>
                          <w:r>
                            <w:t>46</w:t>
                          </w:r>
                          <w:r>
                            <w:fldChar w:fldCharType="end"/>
                          </w:r>
                        </w:p>
                      </w:txbxContent>
                    </wps:txbx>
                    <wps:bodyPr wrap="none" lIns="0" tIns="0" rIns="0" bIns="0" upright="0">
                      <a:spAutoFit/>
                    </wps:bodyPr>
                  </wps:wsp>
                </a:graphicData>
              </a:graphic>
            </wp:anchor>
          </w:drawing>
        </mc:Choice>
        <mc:Fallback>
          <w:pict>
            <v:shape id="文本框 205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IZyn4zAEAAJ0DAAAOAAAAAAAAAAEAIAAAAB4BAABkcnMvZTJv&#10;RG9jLnhtbFBLBQYAAAAABgAGAFkBAABcBQAAAAA=&#10;">
              <v:fill on="f" focussize="0,0"/>
              <v:stroke on="f"/>
              <v:imagedata o:title=""/>
              <o:lock v:ext="edit" aspectratio="f"/>
              <v:textbox inset="0mm,0mm,0mm,0mm" style="mso-fit-shape-to-text:t;">
                <w:txbxContent>
                  <w:p w14:paraId="697E9D63">
                    <w:pPr>
                      <w:pStyle w:val="16"/>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412A1">
    <w:pPr>
      <w:pStyle w:val="16"/>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2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37FF0E">
                          <w:pPr>
                            <w:pStyle w:val="16"/>
                          </w:pPr>
                          <w:r>
                            <w:fldChar w:fldCharType="begin"/>
                          </w:r>
                          <w:r>
                            <w:instrText xml:space="preserve"> PAGE  \* MERGEFORMAT </w:instrText>
                          </w:r>
                          <w:r>
                            <w:fldChar w:fldCharType="separate"/>
                          </w:r>
                          <w:r>
                            <w:t>49</w:t>
                          </w:r>
                          <w:r>
                            <w:fldChar w:fldCharType="end"/>
                          </w:r>
                        </w:p>
                      </w:txbxContent>
                    </wps:txbx>
                    <wps:bodyPr wrap="none" lIns="0" tIns="0" rIns="0" bIns="0" upright="0">
                      <a:spAutoFit/>
                    </wps:bodyPr>
                  </wps:wsp>
                </a:graphicData>
              </a:graphic>
            </wp:anchor>
          </w:drawing>
        </mc:Choice>
        <mc:Fallback>
          <w:pict>
            <v:shape id="文本框 205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s3hfvLAQAAnQMAAA4AAAAAAAAAAQAgAAAAHgEAAGRycy9lMm9E&#10;b2MueG1sUEsFBgAAAAAGAAYAWQEAAFsFAAAAAA==&#10;">
              <v:fill on="f" focussize="0,0"/>
              <v:stroke on="f"/>
              <v:imagedata o:title=""/>
              <o:lock v:ext="edit" aspectratio="f"/>
              <v:textbox inset="0mm,0mm,0mm,0mm" style="mso-fit-shape-to-text:t;">
                <w:txbxContent>
                  <w:p w14:paraId="5537FF0E">
                    <w:pPr>
                      <w:pStyle w:val="16"/>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3AC21">
    <w:pPr>
      <w:pStyle w:val="16"/>
      <w:ind w:right="360"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20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524AC7">
                          <w:pPr>
                            <w:pStyle w:val="16"/>
                          </w:pPr>
                          <w:r>
                            <w:fldChar w:fldCharType="begin"/>
                          </w:r>
                          <w:r>
                            <w:instrText xml:space="preserve"> PAGE  \* MERGEFORMAT </w:instrText>
                          </w:r>
                          <w:r>
                            <w:fldChar w:fldCharType="separate"/>
                          </w:r>
                          <w:r>
                            <w:t>64</w:t>
                          </w:r>
                          <w:r>
                            <w:fldChar w:fldCharType="end"/>
                          </w:r>
                        </w:p>
                      </w:txbxContent>
                    </wps:txbx>
                    <wps:bodyPr wrap="none" lIns="0" tIns="0" rIns="0" bIns="0" upright="0">
                      <a:spAutoFit/>
                    </wps:bodyPr>
                  </wps:wsp>
                </a:graphicData>
              </a:graphic>
            </wp:anchor>
          </w:drawing>
        </mc:Choice>
        <mc:Fallback>
          <w:pict>
            <v:shape id="文本框 205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hOh5NzAEAAJ0DAAAOAAAAAAAAAAEAIAAAAB4BAABkcnMvZTJv&#10;RG9jLnhtbFBLBQYAAAAABgAGAFkBAABcBQAAAAA=&#10;">
              <v:fill on="f" focussize="0,0"/>
              <v:stroke on="f"/>
              <v:imagedata o:title=""/>
              <o:lock v:ext="edit" aspectratio="f"/>
              <v:textbox inset="0mm,0mm,0mm,0mm" style="mso-fit-shape-to-text:t;">
                <w:txbxContent>
                  <w:p w14:paraId="3D524AC7">
                    <w:pPr>
                      <w:pStyle w:val="16"/>
                    </w:pPr>
                    <w:r>
                      <w:fldChar w:fldCharType="begin"/>
                    </w:r>
                    <w:r>
                      <w:instrText xml:space="preserve"> PAGE  \* MERGEFORMAT </w:instrText>
                    </w:r>
                    <w:r>
                      <w:fldChar w:fldCharType="separate"/>
                    </w:r>
                    <w:r>
                      <w:t>64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E293B6"/>
    <w:multiLevelType w:val="singleLevel"/>
    <w:tmpl w:val="1CE293B6"/>
    <w:lvl w:ilvl="0" w:tentative="0">
      <w:start w:val="7"/>
      <w:numFmt w:val="decimal"/>
      <w:suff w:val="nothing"/>
      <w:lvlText w:val="（%1）"/>
      <w:lvlJc w:val="left"/>
    </w:lvl>
  </w:abstractNum>
  <w:abstractNum w:abstractNumId="1">
    <w:nsid w:val="3418C3B9"/>
    <w:multiLevelType w:val="multilevel"/>
    <w:tmpl w:val="3418C3B9"/>
    <w:lvl w:ilvl="0" w:tentative="0">
      <w:start w:val="1"/>
      <w:numFmt w:val="decimal"/>
      <w:suff w:val="space"/>
      <w:lvlText w:val="%1."/>
      <w:lvlJc w:val="left"/>
      <w:pPr>
        <w:ind w:left="96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pStyle w:val="4"/>
      <w:suff w:val="space"/>
      <w:lvlText w:val="%1.%2.%3.%4"/>
      <w:lvlJc w:val="left"/>
      <w:pPr>
        <w:ind w:left="2977" w:firstLine="0"/>
      </w:pPr>
      <w:rPr>
        <w:rFonts w:hint="eastAsia"/>
      </w:rPr>
    </w:lvl>
    <w:lvl w:ilvl="4" w:tentative="0">
      <w:start w:val="1"/>
      <w:numFmt w:val="decimal"/>
      <w:lvlRestart w:val="2"/>
      <w:suff w:val="space"/>
      <w:lvlText w:val="表%1.%2-%5"/>
      <w:lvlJc w:val="left"/>
      <w:pPr>
        <w:ind w:left="2880" w:firstLine="0"/>
      </w:pPr>
      <w:rPr>
        <w:rFonts w:hint="eastAsia"/>
        <w:lang w:val="en-US"/>
      </w:rPr>
    </w:lvl>
    <w:lvl w:ilvl="5" w:tentative="0">
      <w:start w:val="1"/>
      <w:numFmt w:val="decimal"/>
      <w:lvlRestart w:val="2"/>
      <w:suff w:val="space"/>
      <w:lvlText w:val="图%1.%2-%6"/>
      <w:lvlJc w:val="left"/>
      <w:pPr>
        <w:ind w:left="3119" w:firstLine="0"/>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63F58548"/>
    <w:multiLevelType w:val="singleLevel"/>
    <w:tmpl w:val="63F58548"/>
    <w:lvl w:ilvl="0" w:tentative="0">
      <w:start w:val="1"/>
      <w:numFmt w:val="bullet"/>
      <w:pStyle w:val="12"/>
      <w:lvlText w:val=""/>
      <w:lvlJc w:val="left"/>
      <w:pPr>
        <w:tabs>
          <w:tab w:val="left" w:pos="2040"/>
        </w:tabs>
        <w:ind w:left="204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lZGJmNjA3YjZjODYxNjA3ODkyZGJhZTU1YmY0NjcifQ=="/>
  </w:docVars>
  <w:rsids>
    <w:rsidRoot w:val="00172A27"/>
    <w:rsid w:val="00000521"/>
    <w:rsid w:val="000060B3"/>
    <w:rsid w:val="00010894"/>
    <w:rsid w:val="000138F4"/>
    <w:rsid w:val="00016723"/>
    <w:rsid w:val="00034812"/>
    <w:rsid w:val="00036050"/>
    <w:rsid w:val="0004106B"/>
    <w:rsid w:val="0004364B"/>
    <w:rsid w:val="00043748"/>
    <w:rsid w:val="00052E0C"/>
    <w:rsid w:val="000559B4"/>
    <w:rsid w:val="00056261"/>
    <w:rsid w:val="00061B1F"/>
    <w:rsid w:val="00065075"/>
    <w:rsid w:val="00067DB8"/>
    <w:rsid w:val="0007035A"/>
    <w:rsid w:val="00071512"/>
    <w:rsid w:val="000733C4"/>
    <w:rsid w:val="00074783"/>
    <w:rsid w:val="0008070B"/>
    <w:rsid w:val="000810AC"/>
    <w:rsid w:val="00081A02"/>
    <w:rsid w:val="00081E02"/>
    <w:rsid w:val="00082231"/>
    <w:rsid w:val="00086A42"/>
    <w:rsid w:val="00087F00"/>
    <w:rsid w:val="00092D38"/>
    <w:rsid w:val="0009377B"/>
    <w:rsid w:val="00095217"/>
    <w:rsid w:val="000A20C9"/>
    <w:rsid w:val="000A2BFA"/>
    <w:rsid w:val="000B058F"/>
    <w:rsid w:val="000B1447"/>
    <w:rsid w:val="000B42F7"/>
    <w:rsid w:val="000B4467"/>
    <w:rsid w:val="000B4DB9"/>
    <w:rsid w:val="000C09AC"/>
    <w:rsid w:val="000C1AA1"/>
    <w:rsid w:val="000C6CB6"/>
    <w:rsid w:val="000C767F"/>
    <w:rsid w:val="000D0049"/>
    <w:rsid w:val="000D5A44"/>
    <w:rsid w:val="000E103A"/>
    <w:rsid w:val="000E2025"/>
    <w:rsid w:val="000E3ED2"/>
    <w:rsid w:val="000E4ACB"/>
    <w:rsid w:val="000E5575"/>
    <w:rsid w:val="000E748A"/>
    <w:rsid w:val="000F03EB"/>
    <w:rsid w:val="000F1A37"/>
    <w:rsid w:val="000F6AEB"/>
    <w:rsid w:val="00112BF4"/>
    <w:rsid w:val="0011331D"/>
    <w:rsid w:val="001139F3"/>
    <w:rsid w:val="0012390E"/>
    <w:rsid w:val="001265D6"/>
    <w:rsid w:val="0013181C"/>
    <w:rsid w:val="00131F42"/>
    <w:rsid w:val="0013506A"/>
    <w:rsid w:val="001357F1"/>
    <w:rsid w:val="00140FA8"/>
    <w:rsid w:val="00142FEB"/>
    <w:rsid w:val="00143433"/>
    <w:rsid w:val="00143A2D"/>
    <w:rsid w:val="00145A41"/>
    <w:rsid w:val="00145E9C"/>
    <w:rsid w:val="00151675"/>
    <w:rsid w:val="00157435"/>
    <w:rsid w:val="00160147"/>
    <w:rsid w:val="0017504D"/>
    <w:rsid w:val="0017671A"/>
    <w:rsid w:val="00177422"/>
    <w:rsid w:val="00184590"/>
    <w:rsid w:val="001870D1"/>
    <w:rsid w:val="0018781E"/>
    <w:rsid w:val="00187D3E"/>
    <w:rsid w:val="0019262D"/>
    <w:rsid w:val="00195368"/>
    <w:rsid w:val="001A1B35"/>
    <w:rsid w:val="001A2891"/>
    <w:rsid w:val="001A48A2"/>
    <w:rsid w:val="001A55FD"/>
    <w:rsid w:val="001A6F61"/>
    <w:rsid w:val="001B0C9A"/>
    <w:rsid w:val="001B72B8"/>
    <w:rsid w:val="001C5021"/>
    <w:rsid w:val="001C69B3"/>
    <w:rsid w:val="001D15CF"/>
    <w:rsid w:val="001D5595"/>
    <w:rsid w:val="001D7874"/>
    <w:rsid w:val="001D7BE6"/>
    <w:rsid w:val="001D7F22"/>
    <w:rsid w:val="001E2341"/>
    <w:rsid w:val="001E68AD"/>
    <w:rsid w:val="001F01D2"/>
    <w:rsid w:val="001F0F17"/>
    <w:rsid w:val="001F3347"/>
    <w:rsid w:val="001F64C5"/>
    <w:rsid w:val="001F69E4"/>
    <w:rsid w:val="00205A86"/>
    <w:rsid w:val="002125B4"/>
    <w:rsid w:val="002155B8"/>
    <w:rsid w:val="00224839"/>
    <w:rsid w:val="002249B2"/>
    <w:rsid w:val="00226574"/>
    <w:rsid w:val="002278EC"/>
    <w:rsid w:val="0023280E"/>
    <w:rsid w:val="002340B0"/>
    <w:rsid w:val="002377D1"/>
    <w:rsid w:val="002431CB"/>
    <w:rsid w:val="002506BC"/>
    <w:rsid w:val="002510AF"/>
    <w:rsid w:val="00254345"/>
    <w:rsid w:val="00264557"/>
    <w:rsid w:val="00271134"/>
    <w:rsid w:val="00272867"/>
    <w:rsid w:val="0028003E"/>
    <w:rsid w:val="002805AB"/>
    <w:rsid w:val="00283312"/>
    <w:rsid w:val="00284204"/>
    <w:rsid w:val="00291773"/>
    <w:rsid w:val="00294196"/>
    <w:rsid w:val="002A168C"/>
    <w:rsid w:val="002A3DC7"/>
    <w:rsid w:val="002A67BD"/>
    <w:rsid w:val="002B2B36"/>
    <w:rsid w:val="002B49E2"/>
    <w:rsid w:val="002B7AF3"/>
    <w:rsid w:val="002B7B00"/>
    <w:rsid w:val="002B7C44"/>
    <w:rsid w:val="002C2B17"/>
    <w:rsid w:val="002D0D8F"/>
    <w:rsid w:val="002D2D91"/>
    <w:rsid w:val="002D3DD0"/>
    <w:rsid w:val="002E1F3A"/>
    <w:rsid w:val="002E298A"/>
    <w:rsid w:val="002E4240"/>
    <w:rsid w:val="002F2A1B"/>
    <w:rsid w:val="003009C5"/>
    <w:rsid w:val="00301978"/>
    <w:rsid w:val="0030332C"/>
    <w:rsid w:val="003048AF"/>
    <w:rsid w:val="003051C2"/>
    <w:rsid w:val="00312296"/>
    <w:rsid w:val="00314F0E"/>
    <w:rsid w:val="0032136F"/>
    <w:rsid w:val="003213D6"/>
    <w:rsid w:val="00321D8E"/>
    <w:rsid w:val="00322B12"/>
    <w:rsid w:val="0032327F"/>
    <w:rsid w:val="00325928"/>
    <w:rsid w:val="00332863"/>
    <w:rsid w:val="0033478F"/>
    <w:rsid w:val="003357D8"/>
    <w:rsid w:val="0033684D"/>
    <w:rsid w:val="00337B42"/>
    <w:rsid w:val="00337F7C"/>
    <w:rsid w:val="00341B42"/>
    <w:rsid w:val="0034348F"/>
    <w:rsid w:val="00343F78"/>
    <w:rsid w:val="003523FC"/>
    <w:rsid w:val="00354929"/>
    <w:rsid w:val="00355318"/>
    <w:rsid w:val="00356653"/>
    <w:rsid w:val="003568FF"/>
    <w:rsid w:val="0035743F"/>
    <w:rsid w:val="00357BE2"/>
    <w:rsid w:val="0036170C"/>
    <w:rsid w:val="00366E0F"/>
    <w:rsid w:val="0038173A"/>
    <w:rsid w:val="00381A72"/>
    <w:rsid w:val="00381D53"/>
    <w:rsid w:val="00384676"/>
    <w:rsid w:val="00390857"/>
    <w:rsid w:val="00396B12"/>
    <w:rsid w:val="003A2EC6"/>
    <w:rsid w:val="003A4BF3"/>
    <w:rsid w:val="003A6CA3"/>
    <w:rsid w:val="003B0BF5"/>
    <w:rsid w:val="003B28B2"/>
    <w:rsid w:val="003B420D"/>
    <w:rsid w:val="003C2BDE"/>
    <w:rsid w:val="003C310A"/>
    <w:rsid w:val="003C6C16"/>
    <w:rsid w:val="003D2E76"/>
    <w:rsid w:val="003D5879"/>
    <w:rsid w:val="003D794D"/>
    <w:rsid w:val="003E3058"/>
    <w:rsid w:val="003E76A9"/>
    <w:rsid w:val="003F0809"/>
    <w:rsid w:val="003F1CBC"/>
    <w:rsid w:val="003F5AFB"/>
    <w:rsid w:val="003F6A8C"/>
    <w:rsid w:val="003F755C"/>
    <w:rsid w:val="004025EA"/>
    <w:rsid w:val="00402D65"/>
    <w:rsid w:val="004034AD"/>
    <w:rsid w:val="00406F01"/>
    <w:rsid w:val="00410FE2"/>
    <w:rsid w:val="004141F4"/>
    <w:rsid w:val="00416D50"/>
    <w:rsid w:val="00416FD5"/>
    <w:rsid w:val="00417772"/>
    <w:rsid w:val="00420E6A"/>
    <w:rsid w:val="00425A9E"/>
    <w:rsid w:val="00426D6B"/>
    <w:rsid w:val="004301F8"/>
    <w:rsid w:val="00431E6C"/>
    <w:rsid w:val="00433CE7"/>
    <w:rsid w:val="00443E53"/>
    <w:rsid w:val="00451CC8"/>
    <w:rsid w:val="00452738"/>
    <w:rsid w:val="00453583"/>
    <w:rsid w:val="0045531C"/>
    <w:rsid w:val="00456091"/>
    <w:rsid w:val="0046220B"/>
    <w:rsid w:val="004631C6"/>
    <w:rsid w:val="00466321"/>
    <w:rsid w:val="00470E0E"/>
    <w:rsid w:val="00482123"/>
    <w:rsid w:val="00484B9B"/>
    <w:rsid w:val="004855F6"/>
    <w:rsid w:val="0048661E"/>
    <w:rsid w:val="0049163F"/>
    <w:rsid w:val="00492602"/>
    <w:rsid w:val="00494670"/>
    <w:rsid w:val="00494704"/>
    <w:rsid w:val="004952E8"/>
    <w:rsid w:val="004A2EBA"/>
    <w:rsid w:val="004A36FA"/>
    <w:rsid w:val="004A3823"/>
    <w:rsid w:val="004C248C"/>
    <w:rsid w:val="004E1E16"/>
    <w:rsid w:val="004E6946"/>
    <w:rsid w:val="004F1AD8"/>
    <w:rsid w:val="004F5412"/>
    <w:rsid w:val="004F5D03"/>
    <w:rsid w:val="004F6A35"/>
    <w:rsid w:val="00503004"/>
    <w:rsid w:val="005039CB"/>
    <w:rsid w:val="0050558F"/>
    <w:rsid w:val="00506286"/>
    <w:rsid w:val="00510813"/>
    <w:rsid w:val="00511990"/>
    <w:rsid w:val="00511DE0"/>
    <w:rsid w:val="00514870"/>
    <w:rsid w:val="00514B9B"/>
    <w:rsid w:val="00517F02"/>
    <w:rsid w:val="00524303"/>
    <w:rsid w:val="005258A2"/>
    <w:rsid w:val="00533F41"/>
    <w:rsid w:val="00535837"/>
    <w:rsid w:val="0053643C"/>
    <w:rsid w:val="005401AE"/>
    <w:rsid w:val="00542E07"/>
    <w:rsid w:val="005438ED"/>
    <w:rsid w:val="00545424"/>
    <w:rsid w:val="00554A7B"/>
    <w:rsid w:val="0055572C"/>
    <w:rsid w:val="0056106A"/>
    <w:rsid w:val="00561B0C"/>
    <w:rsid w:val="00563567"/>
    <w:rsid w:val="00563C40"/>
    <w:rsid w:val="005720AE"/>
    <w:rsid w:val="00590D07"/>
    <w:rsid w:val="00594D77"/>
    <w:rsid w:val="0059680A"/>
    <w:rsid w:val="005969E4"/>
    <w:rsid w:val="005A06B7"/>
    <w:rsid w:val="005A1759"/>
    <w:rsid w:val="005A68A7"/>
    <w:rsid w:val="005A7104"/>
    <w:rsid w:val="005B3785"/>
    <w:rsid w:val="005B3E42"/>
    <w:rsid w:val="005D36AB"/>
    <w:rsid w:val="005D3CA5"/>
    <w:rsid w:val="005E13EE"/>
    <w:rsid w:val="005E7406"/>
    <w:rsid w:val="005F053D"/>
    <w:rsid w:val="005F4A8B"/>
    <w:rsid w:val="005F5389"/>
    <w:rsid w:val="0060373D"/>
    <w:rsid w:val="00605632"/>
    <w:rsid w:val="00611FB1"/>
    <w:rsid w:val="0061599D"/>
    <w:rsid w:val="00617CC3"/>
    <w:rsid w:val="00621616"/>
    <w:rsid w:val="00631A36"/>
    <w:rsid w:val="00632DAD"/>
    <w:rsid w:val="00634B8C"/>
    <w:rsid w:val="006377A6"/>
    <w:rsid w:val="00637A3D"/>
    <w:rsid w:val="006411EF"/>
    <w:rsid w:val="006471BF"/>
    <w:rsid w:val="00647FAF"/>
    <w:rsid w:val="00651035"/>
    <w:rsid w:val="006562F8"/>
    <w:rsid w:val="0065794C"/>
    <w:rsid w:val="006748B8"/>
    <w:rsid w:val="006775C3"/>
    <w:rsid w:val="00683470"/>
    <w:rsid w:val="0069290A"/>
    <w:rsid w:val="0069414A"/>
    <w:rsid w:val="0069626C"/>
    <w:rsid w:val="00696F05"/>
    <w:rsid w:val="0069775A"/>
    <w:rsid w:val="00697813"/>
    <w:rsid w:val="0069792C"/>
    <w:rsid w:val="006A3EE8"/>
    <w:rsid w:val="006A72BF"/>
    <w:rsid w:val="006B03F2"/>
    <w:rsid w:val="006B37DC"/>
    <w:rsid w:val="006B43AC"/>
    <w:rsid w:val="006B4F68"/>
    <w:rsid w:val="006C0592"/>
    <w:rsid w:val="006C272E"/>
    <w:rsid w:val="006C4135"/>
    <w:rsid w:val="006C5479"/>
    <w:rsid w:val="006D0E9A"/>
    <w:rsid w:val="006D13B5"/>
    <w:rsid w:val="006E12FF"/>
    <w:rsid w:val="006E607E"/>
    <w:rsid w:val="006F14C9"/>
    <w:rsid w:val="00700247"/>
    <w:rsid w:val="00702128"/>
    <w:rsid w:val="00705ACC"/>
    <w:rsid w:val="00706C5D"/>
    <w:rsid w:val="00711B51"/>
    <w:rsid w:val="007227D6"/>
    <w:rsid w:val="00723C2C"/>
    <w:rsid w:val="00723FE6"/>
    <w:rsid w:val="00732922"/>
    <w:rsid w:val="00732D6A"/>
    <w:rsid w:val="0074261F"/>
    <w:rsid w:val="007457AB"/>
    <w:rsid w:val="00750384"/>
    <w:rsid w:val="0075162E"/>
    <w:rsid w:val="00754034"/>
    <w:rsid w:val="007559B2"/>
    <w:rsid w:val="00756556"/>
    <w:rsid w:val="00757333"/>
    <w:rsid w:val="00760A90"/>
    <w:rsid w:val="007618C4"/>
    <w:rsid w:val="007649C8"/>
    <w:rsid w:val="00767980"/>
    <w:rsid w:val="00770B19"/>
    <w:rsid w:val="0077463F"/>
    <w:rsid w:val="007828C5"/>
    <w:rsid w:val="007836EA"/>
    <w:rsid w:val="00784CDA"/>
    <w:rsid w:val="00787CBF"/>
    <w:rsid w:val="007904E6"/>
    <w:rsid w:val="007906C4"/>
    <w:rsid w:val="007940EA"/>
    <w:rsid w:val="007967E8"/>
    <w:rsid w:val="00797E03"/>
    <w:rsid w:val="007A2170"/>
    <w:rsid w:val="007A22BF"/>
    <w:rsid w:val="007A3323"/>
    <w:rsid w:val="007B11CC"/>
    <w:rsid w:val="007B1434"/>
    <w:rsid w:val="007B72B8"/>
    <w:rsid w:val="007B7A58"/>
    <w:rsid w:val="007B7B99"/>
    <w:rsid w:val="007C21B5"/>
    <w:rsid w:val="007C3E12"/>
    <w:rsid w:val="007C3FCC"/>
    <w:rsid w:val="007C55F1"/>
    <w:rsid w:val="007D1633"/>
    <w:rsid w:val="007D2793"/>
    <w:rsid w:val="007D52F1"/>
    <w:rsid w:val="007E1E84"/>
    <w:rsid w:val="007E4BD2"/>
    <w:rsid w:val="007F66CD"/>
    <w:rsid w:val="007F6C9D"/>
    <w:rsid w:val="00801393"/>
    <w:rsid w:val="00802F88"/>
    <w:rsid w:val="00805629"/>
    <w:rsid w:val="0081293E"/>
    <w:rsid w:val="00815465"/>
    <w:rsid w:val="00817E9A"/>
    <w:rsid w:val="008200A5"/>
    <w:rsid w:val="008237CC"/>
    <w:rsid w:val="008306BD"/>
    <w:rsid w:val="00831778"/>
    <w:rsid w:val="00831A80"/>
    <w:rsid w:val="00832309"/>
    <w:rsid w:val="00833743"/>
    <w:rsid w:val="008340A4"/>
    <w:rsid w:val="00835CDE"/>
    <w:rsid w:val="008450A4"/>
    <w:rsid w:val="008679AD"/>
    <w:rsid w:val="0087135F"/>
    <w:rsid w:val="00872D94"/>
    <w:rsid w:val="00873DC6"/>
    <w:rsid w:val="00880364"/>
    <w:rsid w:val="00887120"/>
    <w:rsid w:val="00887F51"/>
    <w:rsid w:val="00890906"/>
    <w:rsid w:val="00891592"/>
    <w:rsid w:val="00891E9E"/>
    <w:rsid w:val="008A2F68"/>
    <w:rsid w:val="008A5A19"/>
    <w:rsid w:val="008B2BAB"/>
    <w:rsid w:val="008B2DAF"/>
    <w:rsid w:val="008B4FA6"/>
    <w:rsid w:val="008B5282"/>
    <w:rsid w:val="008B5BB9"/>
    <w:rsid w:val="008B68D3"/>
    <w:rsid w:val="008B7C17"/>
    <w:rsid w:val="008C2D01"/>
    <w:rsid w:val="008C40E6"/>
    <w:rsid w:val="008D0F7A"/>
    <w:rsid w:val="008D189C"/>
    <w:rsid w:val="008D68E4"/>
    <w:rsid w:val="008E0506"/>
    <w:rsid w:val="008E0CFF"/>
    <w:rsid w:val="008E19B6"/>
    <w:rsid w:val="008E1CF2"/>
    <w:rsid w:val="008E30F8"/>
    <w:rsid w:val="008E3AF4"/>
    <w:rsid w:val="008E5D6B"/>
    <w:rsid w:val="008E76F0"/>
    <w:rsid w:val="008F15FE"/>
    <w:rsid w:val="008F2D29"/>
    <w:rsid w:val="008F5187"/>
    <w:rsid w:val="008F60D8"/>
    <w:rsid w:val="00902727"/>
    <w:rsid w:val="0090312B"/>
    <w:rsid w:val="00905BA9"/>
    <w:rsid w:val="00906E50"/>
    <w:rsid w:val="0091736D"/>
    <w:rsid w:val="009260DF"/>
    <w:rsid w:val="0093037A"/>
    <w:rsid w:val="00935B6B"/>
    <w:rsid w:val="00936FFF"/>
    <w:rsid w:val="00940127"/>
    <w:rsid w:val="0094154D"/>
    <w:rsid w:val="0094469B"/>
    <w:rsid w:val="0095155F"/>
    <w:rsid w:val="0095241C"/>
    <w:rsid w:val="00954429"/>
    <w:rsid w:val="009563CE"/>
    <w:rsid w:val="00957DBE"/>
    <w:rsid w:val="00960A7A"/>
    <w:rsid w:val="00962102"/>
    <w:rsid w:val="00963322"/>
    <w:rsid w:val="00966AA4"/>
    <w:rsid w:val="00967936"/>
    <w:rsid w:val="0097240B"/>
    <w:rsid w:val="00972D77"/>
    <w:rsid w:val="00976328"/>
    <w:rsid w:val="0097680D"/>
    <w:rsid w:val="0097791F"/>
    <w:rsid w:val="00982376"/>
    <w:rsid w:val="00982438"/>
    <w:rsid w:val="0098404C"/>
    <w:rsid w:val="00985283"/>
    <w:rsid w:val="00991C49"/>
    <w:rsid w:val="00994F4D"/>
    <w:rsid w:val="00995992"/>
    <w:rsid w:val="009A03E5"/>
    <w:rsid w:val="009A0F3B"/>
    <w:rsid w:val="009A1BB4"/>
    <w:rsid w:val="009A2628"/>
    <w:rsid w:val="009A3200"/>
    <w:rsid w:val="009A58F7"/>
    <w:rsid w:val="009A7A47"/>
    <w:rsid w:val="009B0897"/>
    <w:rsid w:val="009B5901"/>
    <w:rsid w:val="009B7BD9"/>
    <w:rsid w:val="009C5A24"/>
    <w:rsid w:val="009C7DD5"/>
    <w:rsid w:val="009D0F66"/>
    <w:rsid w:val="009E05B2"/>
    <w:rsid w:val="009E227D"/>
    <w:rsid w:val="009E5019"/>
    <w:rsid w:val="009E5C80"/>
    <w:rsid w:val="009F177A"/>
    <w:rsid w:val="009F2D0F"/>
    <w:rsid w:val="00A00855"/>
    <w:rsid w:val="00A04F1B"/>
    <w:rsid w:val="00A0501B"/>
    <w:rsid w:val="00A07B6D"/>
    <w:rsid w:val="00A10C72"/>
    <w:rsid w:val="00A11482"/>
    <w:rsid w:val="00A14947"/>
    <w:rsid w:val="00A15781"/>
    <w:rsid w:val="00A32A83"/>
    <w:rsid w:val="00A368DB"/>
    <w:rsid w:val="00A373A2"/>
    <w:rsid w:val="00A41675"/>
    <w:rsid w:val="00A423AA"/>
    <w:rsid w:val="00A44AA0"/>
    <w:rsid w:val="00A44F39"/>
    <w:rsid w:val="00A45B12"/>
    <w:rsid w:val="00A4657F"/>
    <w:rsid w:val="00A46A3C"/>
    <w:rsid w:val="00A470F3"/>
    <w:rsid w:val="00A47C13"/>
    <w:rsid w:val="00A53EC6"/>
    <w:rsid w:val="00A54C18"/>
    <w:rsid w:val="00A55211"/>
    <w:rsid w:val="00A55C0F"/>
    <w:rsid w:val="00A566D5"/>
    <w:rsid w:val="00A60432"/>
    <w:rsid w:val="00A618EC"/>
    <w:rsid w:val="00A636D1"/>
    <w:rsid w:val="00A63AE0"/>
    <w:rsid w:val="00A6455E"/>
    <w:rsid w:val="00A65CE1"/>
    <w:rsid w:val="00A67BEE"/>
    <w:rsid w:val="00A72956"/>
    <w:rsid w:val="00A73190"/>
    <w:rsid w:val="00A73874"/>
    <w:rsid w:val="00A73CDB"/>
    <w:rsid w:val="00A73F4E"/>
    <w:rsid w:val="00A75E2A"/>
    <w:rsid w:val="00A8340E"/>
    <w:rsid w:val="00A8713F"/>
    <w:rsid w:val="00A90BA1"/>
    <w:rsid w:val="00A97A9A"/>
    <w:rsid w:val="00AA0671"/>
    <w:rsid w:val="00AA1FDC"/>
    <w:rsid w:val="00AA2531"/>
    <w:rsid w:val="00AA42EB"/>
    <w:rsid w:val="00AA53FA"/>
    <w:rsid w:val="00AA5F8F"/>
    <w:rsid w:val="00AB1E09"/>
    <w:rsid w:val="00AB5330"/>
    <w:rsid w:val="00AB7747"/>
    <w:rsid w:val="00AC14CE"/>
    <w:rsid w:val="00AC2A56"/>
    <w:rsid w:val="00AC58C6"/>
    <w:rsid w:val="00AC5E4F"/>
    <w:rsid w:val="00AC6B4C"/>
    <w:rsid w:val="00AD055E"/>
    <w:rsid w:val="00AD0A5C"/>
    <w:rsid w:val="00AD47A7"/>
    <w:rsid w:val="00AE3591"/>
    <w:rsid w:val="00AF0CBF"/>
    <w:rsid w:val="00AF257F"/>
    <w:rsid w:val="00AF33CF"/>
    <w:rsid w:val="00AF4D50"/>
    <w:rsid w:val="00AF58F3"/>
    <w:rsid w:val="00AF6179"/>
    <w:rsid w:val="00B039F3"/>
    <w:rsid w:val="00B05CAB"/>
    <w:rsid w:val="00B10791"/>
    <w:rsid w:val="00B11934"/>
    <w:rsid w:val="00B11A10"/>
    <w:rsid w:val="00B1295A"/>
    <w:rsid w:val="00B15894"/>
    <w:rsid w:val="00B15ADC"/>
    <w:rsid w:val="00B20A45"/>
    <w:rsid w:val="00B21A82"/>
    <w:rsid w:val="00B22C5C"/>
    <w:rsid w:val="00B24095"/>
    <w:rsid w:val="00B24F30"/>
    <w:rsid w:val="00B31ABF"/>
    <w:rsid w:val="00B33BE3"/>
    <w:rsid w:val="00B3442D"/>
    <w:rsid w:val="00B3462C"/>
    <w:rsid w:val="00B3794A"/>
    <w:rsid w:val="00B52368"/>
    <w:rsid w:val="00B528B3"/>
    <w:rsid w:val="00B53B5D"/>
    <w:rsid w:val="00B543A9"/>
    <w:rsid w:val="00B6055E"/>
    <w:rsid w:val="00B6317D"/>
    <w:rsid w:val="00B7723F"/>
    <w:rsid w:val="00B80534"/>
    <w:rsid w:val="00B83721"/>
    <w:rsid w:val="00B8433C"/>
    <w:rsid w:val="00B84650"/>
    <w:rsid w:val="00B8549F"/>
    <w:rsid w:val="00B87491"/>
    <w:rsid w:val="00B878B4"/>
    <w:rsid w:val="00B942AA"/>
    <w:rsid w:val="00B95EE0"/>
    <w:rsid w:val="00B96670"/>
    <w:rsid w:val="00BA29E9"/>
    <w:rsid w:val="00BA632A"/>
    <w:rsid w:val="00BA7142"/>
    <w:rsid w:val="00BA7D17"/>
    <w:rsid w:val="00BB0684"/>
    <w:rsid w:val="00BB1483"/>
    <w:rsid w:val="00BB237C"/>
    <w:rsid w:val="00BB41A3"/>
    <w:rsid w:val="00BC32DC"/>
    <w:rsid w:val="00BC35B6"/>
    <w:rsid w:val="00BD01BD"/>
    <w:rsid w:val="00BD1B51"/>
    <w:rsid w:val="00BD37B9"/>
    <w:rsid w:val="00BD4596"/>
    <w:rsid w:val="00BD4C67"/>
    <w:rsid w:val="00BE0B04"/>
    <w:rsid w:val="00BE1405"/>
    <w:rsid w:val="00BE26EA"/>
    <w:rsid w:val="00BE312D"/>
    <w:rsid w:val="00BE41D6"/>
    <w:rsid w:val="00BE68A9"/>
    <w:rsid w:val="00BF128F"/>
    <w:rsid w:val="00BF1C20"/>
    <w:rsid w:val="00C04682"/>
    <w:rsid w:val="00C10578"/>
    <w:rsid w:val="00C135BC"/>
    <w:rsid w:val="00C15C95"/>
    <w:rsid w:val="00C160A2"/>
    <w:rsid w:val="00C23B22"/>
    <w:rsid w:val="00C2596A"/>
    <w:rsid w:val="00C27537"/>
    <w:rsid w:val="00C30B0D"/>
    <w:rsid w:val="00C328FE"/>
    <w:rsid w:val="00C33507"/>
    <w:rsid w:val="00C4409D"/>
    <w:rsid w:val="00C44E72"/>
    <w:rsid w:val="00C45A06"/>
    <w:rsid w:val="00C47E5B"/>
    <w:rsid w:val="00C61E4B"/>
    <w:rsid w:val="00C64BFF"/>
    <w:rsid w:val="00C66833"/>
    <w:rsid w:val="00C704E9"/>
    <w:rsid w:val="00C763C9"/>
    <w:rsid w:val="00C80057"/>
    <w:rsid w:val="00C812B4"/>
    <w:rsid w:val="00C82232"/>
    <w:rsid w:val="00C82913"/>
    <w:rsid w:val="00C82D3D"/>
    <w:rsid w:val="00C901C8"/>
    <w:rsid w:val="00C972B1"/>
    <w:rsid w:val="00CA04A1"/>
    <w:rsid w:val="00CA063A"/>
    <w:rsid w:val="00CA17D3"/>
    <w:rsid w:val="00CA1944"/>
    <w:rsid w:val="00CA1DA1"/>
    <w:rsid w:val="00CA2CCE"/>
    <w:rsid w:val="00CA43FD"/>
    <w:rsid w:val="00CA70CF"/>
    <w:rsid w:val="00CA7EF8"/>
    <w:rsid w:val="00CC10FF"/>
    <w:rsid w:val="00CC241D"/>
    <w:rsid w:val="00CC3ECE"/>
    <w:rsid w:val="00CC489B"/>
    <w:rsid w:val="00CD2BCD"/>
    <w:rsid w:val="00CD3A4C"/>
    <w:rsid w:val="00CE10E9"/>
    <w:rsid w:val="00CE2910"/>
    <w:rsid w:val="00CE5393"/>
    <w:rsid w:val="00CF36BE"/>
    <w:rsid w:val="00CF6000"/>
    <w:rsid w:val="00D003F3"/>
    <w:rsid w:val="00D0364F"/>
    <w:rsid w:val="00D06834"/>
    <w:rsid w:val="00D21F3C"/>
    <w:rsid w:val="00D257B4"/>
    <w:rsid w:val="00D308ED"/>
    <w:rsid w:val="00D32F76"/>
    <w:rsid w:val="00D36D86"/>
    <w:rsid w:val="00D428AA"/>
    <w:rsid w:val="00D451D7"/>
    <w:rsid w:val="00D46529"/>
    <w:rsid w:val="00D4654E"/>
    <w:rsid w:val="00D50233"/>
    <w:rsid w:val="00D50A34"/>
    <w:rsid w:val="00D53EFA"/>
    <w:rsid w:val="00D615EC"/>
    <w:rsid w:val="00D743AD"/>
    <w:rsid w:val="00D824AF"/>
    <w:rsid w:val="00D840EF"/>
    <w:rsid w:val="00D87725"/>
    <w:rsid w:val="00D94A7C"/>
    <w:rsid w:val="00D95386"/>
    <w:rsid w:val="00D95896"/>
    <w:rsid w:val="00DA19D6"/>
    <w:rsid w:val="00DB2500"/>
    <w:rsid w:val="00DB2983"/>
    <w:rsid w:val="00DB2F58"/>
    <w:rsid w:val="00DB7569"/>
    <w:rsid w:val="00DC1257"/>
    <w:rsid w:val="00DC179E"/>
    <w:rsid w:val="00DC3941"/>
    <w:rsid w:val="00DC3DC0"/>
    <w:rsid w:val="00DC5B2B"/>
    <w:rsid w:val="00DD318D"/>
    <w:rsid w:val="00DD36B1"/>
    <w:rsid w:val="00DD4ED0"/>
    <w:rsid w:val="00DD5248"/>
    <w:rsid w:val="00DE3868"/>
    <w:rsid w:val="00DF2E12"/>
    <w:rsid w:val="00DF514A"/>
    <w:rsid w:val="00DF6690"/>
    <w:rsid w:val="00DF6804"/>
    <w:rsid w:val="00DF700F"/>
    <w:rsid w:val="00E03586"/>
    <w:rsid w:val="00E0358D"/>
    <w:rsid w:val="00E04323"/>
    <w:rsid w:val="00E070A2"/>
    <w:rsid w:val="00E148C1"/>
    <w:rsid w:val="00E246C9"/>
    <w:rsid w:val="00E25EAC"/>
    <w:rsid w:val="00E2656A"/>
    <w:rsid w:val="00E400CE"/>
    <w:rsid w:val="00E412D0"/>
    <w:rsid w:val="00E4286B"/>
    <w:rsid w:val="00E4731E"/>
    <w:rsid w:val="00E56322"/>
    <w:rsid w:val="00E60982"/>
    <w:rsid w:val="00E62C62"/>
    <w:rsid w:val="00E654C1"/>
    <w:rsid w:val="00E65D97"/>
    <w:rsid w:val="00E67CA1"/>
    <w:rsid w:val="00E70AC7"/>
    <w:rsid w:val="00E713B5"/>
    <w:rsid w:val="00E72A5A"/>
    <w:rsid w:val="00E73354"/>
    <w:rsid w:val="00E779E4"/>
    <w:rsid w:val="00E828FD"/>
    <w:rsid w:val="00E82910"/>
    <w:rsid w:val="00E875F8"/>
    <w:rsid w:val="00E9242D"/>
    <w:rsid w:val="00E93F11"/>
    <w:rsid w:val="00EB22C3"/>
    <w:rsid w:val="00EB5255"/>
    <w:rsid w:val="00EB5C47"/>
    <w:rsid w:val="00EB60C5"/>
    <w:rsid w:val="00EB7A5E"/>
    <w:rsid w:val="00EC6F69"/>
    <w:rsid w:val="00ED0639"/>
    <w:rsid w:val="00ED37B7"/>
    <w:rsid w:val="00EE0AB9"/>
    <w:rsid w:val="00EE62F0"/>
    <w:rsid w:val="00EF4755"/>
    <w:rsid w:val="00EF52B2"/>
    <w:rsid w:val="00EF7135"/>
    <w:rsid w:val="00F027DB"/>
    <w:rsid w:val="00F02AA0"/>
    <w:rsid w:val="00F07ACF"/>
    <w:rsid w:val="00F14A7A"/>
    <w:rsid w:val="00F20F80"/>
    <w:rsid w:val="00F22985"/>
    <w:rsid w:val="00F23F80"/>
    <w:rsid w:val="00F24E2A"/>
    <w:rsid w:val="00F30840"/>
    <w:rsid w:val="00F3383E"/>
    <w:rsid w:val="00F375DE"/>
    <w:rsid w:val="00F40450"/>
    <w:rsid w:val="00F43FD6"/>
    <w:rsid w:val="00F465A7"/>
    <w:rsid w:val="00F50B7C"/>
    <w:rsid w:val="00F53347"/>
    <w:rsid w:val="00F550E6"/>
    <w:rsid w:val="00F60956"/>
    <w:rsid w:val="00F614FF"/>
    <w:rsid w:val="00F7115B"/>
    <w:rsid w:val="00F73CD3"/>
    <w:rsid w:val="00F74345"/>
    <w:rsid w:val="00F761E6"/>
    <w:rsid w:val="00F764AF"/>
    <w:rsid w:val="00F7677E"/>
    <w:rsid w:val="00F80A0A"/>
    <w:rsid w:val="00F82579"/>
    <w:rsid w:val="00F82B19"/>
    <w:rsid w:val="00F87D8B"/>
    <w:rsid w:val="00F91324"/>
    <w:rsid w:val="00F9212D"/>
    <w:rsid w:val="00F965DA"/>
    <w:rsid w:val="00FA12A4"/>
    <w:rsid w:val="00FA1532"/>
    <w:rsid w:val="00FA406A"/>
    <w:rsid w:val="00FB1488"/>
    <w:rsid w:val="00FB503A"/>
    <w:rsid w:val="00FB516C"/>
    <w:rsid w:val="00FC16D9"/>
    <w:rsid w:val="00FC3264"/>
    <w:rsid w:val="00FD0236"/>
    <w:rsid w:val="00FD18F4"/>
    <w:rsid w:val="00FD54DB"/>
    <w:rsid w:val="00FD619F"/>
    <w:rsid w:val="00FD6FB2"/>
    <w:rsid w:val="00FE4028"/>
    <w:rsid w:val="01290F7E"/>
    <w:rsid w:val="015D1E09"/>
    <w:rsid w:val="02697903"/>
    <w:rsid w:val="02F96569"/>
    <w:rsid w:val="033C1589"/>
    <w:rsid w:val="03D251BA"/>
    <w:rsid w:val="03EA7B21"/>
    <w:rsid w:val="0444095C"/>
    <w:rsid w:val="04967ABA"/>
    <w:rsid w:val="05F83EAE"/>
    <w:rsid w:val="06034BD8"/>
    <w:rsid w:val="063E7D85"/>
    <w:rsid w:val="07293586"/>
    <w:rsid w:val="07295285"/>
    <w:rsid w:val="074819D5"/>
    <w:rsid w:val="07636392"/>
    <w:rsid w:val="076E3F95"/>
    <w:rsid w:val="07770C56"/>
    <w:rsid w:val="07BC6589"/>
    <w:rsid w:val="086C7C76"/>
    <w:rsid w:val="08A358C4"/>
    <w:rsid w:val="092217DD"/>
    <w:rsid w:val="093A7294"/>
    <w:rsid w:val="09B82C7E"/>
    <w:rsid w:val="09F05C10"/>
    <w:rsid w:val="0A263993"/>
    <w:rsid w:val="0A2D3AC2"/>
    <w:rsid w:val="0A5B2F38"/>
    <w:rsid w:val="0A8A443E"/>
    <w:rsid w:val="0AA755DF"/>
    <w:rsid w:val="0B120D44"/>
    <w:rsid w:val="0B503E7D"/>
    <w:rsid w:val="0BB31CBA"/>
    <w:rsid w:val="0BD27BF6"/>
    <w:rsid w:val="0C3B3C7D"/>
    <w:rsid w:val="0C994C14"/>
    <w:rsid w:val="0CAB2EAE"/>
    <w:rsid w:val="0D621C7D"/>
    <w:rsid w:val="0D780CCE"/>
    <w:rsid w:val="0E5F6979"/>
    <w:rsid w:val="0E73034D"/>
    <w:rsid w:val="0F13775A"/>
    <w:rsid w:val="0F5F45FE"/>
    <w:rsid w:val="0F9A112B"/>
    <w:rsid w:val="0FAB3552"/>
    <w:rsid w:val="106D2F64"/>
    <w:rsid w:val="10B63710"/>
    <w:rsid w:val="10F10820"/>
    <w:rsid w:val="110754FD"/>
    <w:rsid w:val="111C2F7A"/>
    <w:rsid w:val="112F4F09"/>
    <w:rsid w:val="1131366D"/>
    <w:rsid w:val="116250C5"/>
    <w:rsid w:val="11665CA1"/>
    <w:rsid w:val="11872596"/>
    <w:rsid w:val="12C56148"/>
    <w:rsid w:val="13051255"/>
    <w:rsid w:val="1350638F"/>
    <w:rsid w:val="135947FB"/>
    <w:rsid w:val="136A10B9"/>
    <w:rsid w:val="13951726"/>
    <w:rsid w:val="14396509"/>
    <w:rsid w:val="14DD2C3C"/>
    <w:rsid w:val="151C63E2"/>
    <w:rsid w:val="15A514E0"/>
    <w:rsid w:val="16087E1D"/>
    <w:rsid w:val="17701D14"/>
    <w:rsid w:val="17735226"/>
    <w:rsid w:val="17B26BE8"/>
    <w:rsid w:val="1808218C"/>
    <w:rsid w:val="182A56AD"/>
    <w:rsid w:val="189F624C"/>
    <w:rsid w:val="18A44D77"/>
    <w:rsid w:val="18E43605"/>
    <w:rsid w:val="19542B5C"/>
    <w:rsid w:val="199232AF"/>
    <w:rsid w:val="19AF7825"/>
    <w:rsid w:val="1A1C66C0"/>
    <w:rsid w:val="1A244A84"/>
    <w:rsid w:val="1A385208"/>
    <w:rsid w:val="1A42393B"/>
    <w:rsid w:val="1A8A66BF"/>
    <w:rsid w:val="1AAD45DE"/>
    <w:rsid w:val="1B046F80"/>
    <w:rsid w:val="1B3267B5"/>
    <w:rsid w:val="1B40161D"/>
    <w:rsid w:val="1B441859"/>
    <w:rsid w:val="1B6606B1"/>
    <w:rsid w:val="1C5E7925"/>
    <w:rsid w:val="1CA05B4B"/>
    <w:rsid w:val="1CFD070F"/>
    <w:rsid w:val="1D5F6196"/>
    <w:rsid w:val="1D6132A5"/>
    <w:rsid w:val="1D8E56D5"/>
    <w:rsid w:val="1E7A43DA"/>
    <w:rsid w:val="1F2E13A7"/>
    <w:rsid w:val="1F437576"/>
    <w:rsid w:val="1F4F144C"/>
    <w:rsid w:val="1F672950"/>
    <w:rsid w:val="1FE7539E"/>
    <w:rsid w:val="20671BE0"/>
    <w:rsid w:val="20963CB8"/>
    <w:rsid w:val="20A81A1B"/>
    <w:rsid w:val="20B07FB6"/>
    <w:rsid w:val="20B646FB"/>
    <w:rsid w:val="20E22461"/>
    <w:rsid w:val="213B74B1"/>
    <w:rsid w:val="215679D8"/>
    <w:rsid w:val="215A2310"/>
    <w:rsid w:val="21DE318A"/>
    <w:rsid w:val="21EF5B80"/>
    <w:rsid w:val="22576990"/>
    <w:rsid w:val="22F47480"/>
    <w:rsid w:val="23DE1C48"/>
    <w:rsid w:val="240210CD"/>
    <w:rsid w:val="240510B5"/>
    <w:rsid w:val="240D61A2"/>
    <w:rsid w:val="24BF09F7"/>
    <w:rsid w:val="252D53FE"/>
    <w:rsid w:val="25831BD5"/>
    <w:rsid w:val="25D320C9"/>
    <w:rsid w:val="25EC2D81"/>
    <w:rsid w:val="26DA0F55"/>
    <w:rsid w:val="27061601"/>
    <w:rsid w:val="272E037E"/>
    <w:rsid w:val="277057A2"/>
    <w:rsid w:val="27D946EC"/>
    <w:rsid w:val="288B6B6C"/>
    <w:rsid w:val="28E026ED"/>
    <w:rsid w:val="28F90ABD"/>
    <w:rsid w:val="29206EB8"/>
    <w:rsid w:val="29595666"/>
    <w:rsid w:val="29874881"/>
    <w:rsid w:val="29916F47"/>
    <w:rsid w:val="29E325E0"/>
    <w:rsid w:val="2A452503"/>
    <w:rsid w:val="2AE94E2B"/>
    <w:rsid w:val="2BA936A8"/>
    <w:rsid w:val="2C315A5A"/>
    <w:rsid w:val="2C4A586E"/>
    <w:rsid w:val="2C4B1C25"/>
    <w:rsid w:val="2CE11F94"/>
    <w:rsid w:val="2D041638"/>
    <w:rsid w:val="2D7C1CBC"/>
    <w:rsid w:val="2D9E56F5"/>
    <w:rsid w:val="2E0F7678"/>
    <w:rsid w:val="2E667F96"/>
    <w:rsid w:val="2E8226AB"/>
    <w:rsid w:val="2E823302"/>
    <w:rsid w:val="2E934AAE"/>
    <w:rsid w:val="2EC21951"/>
    <w:rsid w:val="2EDC6EB7"/>
    <w:rsid w:val="2F307202"/>
    <w:rsid w:val="2F707E3C"/>
    <w:rsid w:val="2FB01FDB"/>
    <w:rsid w:val="2FD065E6"/>
    <w:rsid w:val="2FD91648"/>
    <w:rsid w:val="2FD96870"/>
    <w:rsid w:val="30580BC9"/>
    <w:rsid w:val="3075311F"/>
    <w:rsid w:val="30D66871"/>
    <w:rsid w:val="30D87EB1"/>
    <w:rsid w:val="30DF6727"/>
    <w:rsid w:val="30FF3071"/>
    <w:rsid w:val="311E2ED7"/>
    <w:rsid w:val="313C2E97"/>
    <w:rsid w:val="315619EE"/>
    <w:rsid w:val="315C449C"/>
    <w:rsid w:val="316F2692"/>
    <w:rsid w:val="31A737AC"/>
    <w:rsid w:val="31B82709"/>
    <w:rsid w:val="31CE3611"/>
    <w:rsid w:val="31D05482"/>
    <w:rsid w:val="31F05239"/>
    <w:rsid w:val="3216448E"/>
    <w:rsid w:val="32400B34"/>
    <w:rsid w:val="32747D9E"/>
    <w:rsid w:val="329E6876"/>
    <w:rsid w:val="32D56DB1"/>
    <w:rsid w:val="333015F2"/>
    <w:rsid w:val="334438C3"/>
    <w:rsid w:val="334B6320"/>
    <w:rsid w:val="33AB6E58"/>
    <w:rsid w:val="33D934D4"/>
    <w:rsid w:val="33FE2F6A"/>
    <w:rsid w:val="340E07E5"/>
    <w:rsid w:val="34235BF7"/>
    <w:rsid w:val="34B87A7E"/>
    <w:rsid w:val="352630BF"/>
    <w:rsid w:val="353510CF"/>
    <w:rsid w:val="355D23D3"/>
    <w:rsid w:val="358C5FA8"/>
    <w:rsid w:val="35C15DF1"/>
    <w:rsid w:val="36074A7F"/>
    <w:rsid w:val="36923549"/>
    <w:rsid w:val="36B75FBF"/>
    <w:rsid w:val="36BD0C45"/>
    <w:rsid w:val="37673C83"/>
    <w:rsid w:val="37E00298"/>
    <w:rsid w:val="37E51876"/>
    <w:rsid w:val="38B302F9"/>
    <w:rsid w:val="38F12CD3"/>
    <w:rsid w:val="38F94775"/>
    <w:rsid w:val="392971ED"/>
    <w:rsid w:val="39325651"/>
    <w:rsid w:val="3A872856"/>
    <w:rsid w:val="3A9B1983"/>
    <w:rsid w:val="3B3763D1"/>
    <w:rsid w:val="3C2F6E1E"/>
    <w:rsid w:val="3C4F64BA"/>
    <w:rsid w:val="3C6949E4"/>
    <w:rsid w:val="3CDA245A"/>
    <w:rsid w:val="3D1E06B7"/>
    <w:rsid w:val="3D80500B"/>
    <w:rsid w:val="3E72419A"/>
    <w:rsid w:val="3EDA0523"/>
    <w:rsid w:val="3F020CE4"/>
    <w:rsid w:val="407A6407"/>
    <w:rsid w:val="40933B39"/>
    <w:rsid w:val="41004C87"/>
    <w:rsid w:val="41043DB6"/>
    <w:rsid w:val="4171348E"/>
    <w:rsid w:val="4200449D"/>
    <w:rsid w:val="423A3BCC"/>
    <w:rsid w:val="424E57D2"/>
    <w:rsid w:val="427E2307"/>
    <w:rsid w:val="42B26C49"/>
    <w:rsid w:val="433A6FE6"/>
    <w:rsid w:val="43480868"/>
    <w:rsid w:val="4350713C"/>
    <w:rsid w:val="436653E0"/>
    <w:rsid w:val="43C4431A"/>
    <w:rsid w:val="44564BBE"/>
    <w:rsid w:val="44B951CC"/>
    <w:rsid w:val="44CD14E0"/>
    <w:rsid w:val="44D83ADF"/>
    <w:rsid w:val="44F20B0B"/>
    <w:rsid w:val="4529759D"/>
    <w:rsid w:val="452E5F4C"/>
    <w:rsid w:val="4535161A"/>
    <w:rsid w:val="45612018"/>
    <w:rsid w:val="458946E9"/>
    <w:rsid w:val="458D460F"/>
    <w:rsid w:val="459F4DA2"/>
    <w:rsid w:val="45A47C0E"/>
    <w:rsid w:val="46412754"/>
    <w:rsid w:val="46577FD6"/>
    <w:rsid w:val="46D955A7"/>
    <w:rsid w:val="47133957"/>
    <w:rsid w:val="47A07E0C"/>
    <w:rsid w:val="4870272E"/>
    <w:rsid w:val="487B7191"/>
    <w:rsid w:val="489F13DB"/>
    <w:rsid w:val="494F7DF8"/>
    <w:rsid w:val="49BC5E71"/>
    <w:rsid w:val="49DC7715"/>
    <w:rsid w:val="49E07403"/>
    <w:rsid w:val="4A023139"/>
    <w:rsid w:val="4A2F038B"/>
    <w:rsid w:val="4A7465C4"/>
    <w:rsid w:val="4A7B576F"/>
    <w:rsid w:val="4A9B1DC1"/>
    <w:rsid w:val="4AF561A9"/>
    <w:rsid w:val="4B3D7942"/>
    <w:rsid w:val="4B5F18B4"/>
    <w:rsid w:val="4B685902"/>
    <w:rsid w:val="4B6B3A2E"/>
    <w:rsid w:val="4BCE4FB1"/>
    <w:rsid w:val="4BE60F1D"/>
    <w:rsid w:val="4C3A2C93"/>
    <w:rsid w:val="4C4A0649"/>
    <w:rsid w:val="4C7E5ECA"/>
    <w:rsid w:val="4C876AA5"/>
    <w:rsid w:val="4CCE3E8B"/>
    <w:rsid w:val="4CD64E73"/>
    <w:rsid w:val="4D0E00FB"/>
    <w:rsid w:val="4D176606"/>
    <w:rsid w:val="4D2239F2"/>
    <w:rsid w:val="4D6245D3"/>
    <w:rsid w:val="4DEC4FB0"/>
    <w:rsid w:val="4E075D8A"/>
    <w:rsid w:val="4EC00FAD"/>
    <w:rsid w:val="4ECA68D4"/>
    <w:rsid w:val="4ECB7FBD"/>
    <w:rsid w:val="4ED40312"/>
    <w:rsid w:val="4F9843DC"/>
    <w:rsid w:val="4FC62A8C"/>
    <w:rsid w:val="4FE20F0D"/>
    <w:rsid w:val="4FE51552"/>
    <w:rsid w:val="50177C3B"/>
    <w:rsid w:val="50504C4B"/>
    <w:rsid w:val="509C6E7C"/>
    <w:rsid w:val="5162104E"/>
    <w:rsid w:val="524F49EF"/>
    <w:rsid w:val="5284013F"/>
    <w:rsid w:val="5326518E"/>
    <w:rsid w:val="53A039CC"/>
    <w:rsid w:val="53A1505A"/>
    <w:rsid w:val="53A31C57"/>
    <w:rsid w:val="54063E08"/>
    <w:rsid w:val="543437E8"/>
    <w:rsid w:val="54EB6F89"/>
    <w:rsid w:val="54F73313"/>
    <w:rsid w:val="54F80955"/>
    <w:rsid w:val="555170A7"/>
    <w:rsid w:val="5587536D"/>
    <w:rsid w:val="559B174B"/>
    <w:rsid w:val="55CE0CF4"/>
    <w:rsid w:val="56910713"/>
    <w:rsid w:val="56B22A9C"/>
    <w:rsid w:val="56D24FEE"/>
    <w:rsid w:val="577613A7"/>
    <w:rsid w:val="57AC301B"/>
    <w:rsid w:val="57B72A76"/>
    <w:rsid w:val="57C3426C"/>
    <w:rsid w:val="57CE1F93"/>
    <w:rsid w:val="588743D1"/>
    <w:rsid w:val="5887701A"/>
    <w:rsid w:val="59934492"/>
    <w:rsid w:val="59C0439F"/>
    <w:rsid w:val="59C073EF"/>
    <w:rsid w:val="5A7C7997"/>
    <w:rsid w:val="5ABE2233"/>
    <w:rsid w:val="5BD64706"/>
    <w:rsid w:val="5BDF5D95"/>
    <w:rsid w:val="5BFE7528"/>
    <w:rsid w:val="5C7825F6"/>
    <w:rsid w:val="5E2467F1"/>
    <w:rsid w:val="5E565311"/>
    <w:rsid w:val="5EBB55B8"/>
    <w:rsid w:val="5F021772"/>
    <w:rsid w:val="5F1A2B43"/>
    <w:rsid w:val="5F5C5FB8"/>
    <w:rsid w:val="5FB837BB"/>
    <w:rsid w:val="60CC405A"/>
    <w:rsid w:val="612E2416"/>
    <w:rsid w:val="619549BF"/>
    <w:rsid w:val="61E215D8"/>
    <w:rsid w:val="621B3775"/>
    <w:rsid w:val="62364782"/>
    <w:rsid w:val="628F5A13"/>
    <w:rsid w:val="630E2C35"/>
    <w:rsid w:val="633D3E84"/>
    <w:rsid w:val="63544DA0"/>
    <w:rsid w:val="636522D0"/>
    <w:rsid w:val="6394356A"/>
    <w:rsid w:val="63C61B2C"/>
    <w:rsid w:val="63D40BE9"/>
    <w:rsid w:val="64102431"/>
    <w:rsid w:val="64260742"/>
    <w:rsid w:val="64264155"/>
    <w:rsid w:val="64A5243A"/>
    <w:rsid w:val="64CC2881"/>
    <w:rsid w:val="64EB5D65"/>
    <w:rsid w:val="64F531DE"/>
    <w:rsid w:val="65373578"/>
    <w:rsid w:val="654F29B6"/>
    <w:rsid w:val="665F5EBC"/>
    <w:rsid w:val="66AE4ED4"/>
    <w:rsid w:val="671F124A"/>
    <w:rsid w:val="677A33C6"/>
    <w:rsid w:val="67E5705E"/>
    <w:rsid w:val="681F6961"/>
    <w:rsid w:val="68307350"/>
    <w:rsid w:val="68610A2F"/>
    <w:rsid w:val="68666B58"/>
    <w:rsid w:val="68805514"/>
    <w:rsid w:val="69194288"/>
    <w:rsid w:val="69316E2F"/>
    <w:rsid w:val="693D6EB4"/>
    <w:rsid w:val="694E2071"/>
    <w:rsid w:val="69766163"/>
    <w:rsid w:val="697A3B33"/>
    <w:rsid w:val="69D44760"/>
    <w:rsid w:val="6A520EC7"/>
    <w:rsid w:val="6AF87E20"/>
    <w:rsid w:val="6B322639"/>
    <w:rsid w:val="6B7A5812"/>
    <w:rsid w:val="6B9320D0"/>
    <w:rsid w:val="6C636C38"/>
    <w:rsid w:val="6CCB5899"/>
    <w:rsid w:val="6DB34098"/>
    <w:rsid w:val="6DB545B6"/>
    <w:rsid w:val="6DE02FB4"/>
    <w:rsid w:val="6E514CED"/>
    <w:rsid w:val="6E750DAD"/>
    <w:rsid w:val="6EB563D5"/>
    <w:rsid w:val="6ED92677"/>
    <w:rsid w:val="6F225983"/>
    <w:rsid w:val="6FFC5590"/>
    <w:rsid w:val="706D1DD0"/>
    <w:rsid w:val="70856B87"/>
    <w:rsid w:val="70B4359C"/>
    <w:rsid w:val="70D527EE"/>
    <w:rsid w:val="70D94A29"/>
    <w:rsid w:val="70EE7F53"/>
    <w:rsid w:val="715B5300"/>
    <w:rsid w:val="71D27F8A"/>
    <w:rsid w:val="71D67B3A"/>
    <w:rsid w:val="72190E55"/>
    <w:rsid w:val="721D24D9"/>
    <w:rsid w:val="72553024"/>
    <w:rsid w:val="725E22EE"/>
    <w:rsid w:val="72837629"/>
    <w:rsid w:val="73122968"/>
    <w:rsid w:val="731F5D5E"/>
    <w:rsid w:val="73A34E7A"/>
    <w:rsid w:val="73C51AD5"/>
    <w:rsid w:val="741E793C"/>
    <w:rsid w:val="745E3944"/>
    <w:rsid w:val="75220020"/>
    <w:rsid w:val="754A0745"/>
    <w:rsid w:val="75736ACE"/>
    <w:rsid w:val="7635099D"/>
    <w:rsid w:val="767753C0"/>
    <w:rsid w:val="76C13F86"/>
    <w:rsid w:val="77762421"/>
    <w:rsid w:val="77B56B1F"/>
    <w:rsid w:val="780F09F4"/>
    <w:rsid w:val="781A169E"/>
    <w:rsid w:val="78A90480"/>
    <w:rsid w:val="78BF130C"/>
    <w:rsid w:val="7A364017"/>
    <w:rsid w:val="7A3F1680"/>
    <w:rsid w:val="7A8265E1"/>
    <w:rsid w:val="7ABD72DD"/>
    <w:rsid w:val="7B4F2B66"/>
    <w:rsid w:val="7B686D42"/>
    <w:rsid w:val="7B841746"/>
    <w:rsid w:val="7BAB1B3A"/>
    <w:rsid w:val="7BB76F01"/>
    <w:rsid w:val="7BC57958"/>
    <w:rsid w:val="7BEC3554"/>
    <w:rsid w:val="7C156B31"/>
    <w:rsid w:val="7C6C5AC7"/>
    <w:rsid w:val="7CAA7064"/>
    <w:rsid w:val="7CC6544B"/>
    <w:rsid w:val="7CD2563E"/>
    <w:rsid w:val="7CF229CE"/>
    <w:rsid w:val="7D0239FF"/>
    <w:rsid w:val="7D0A5F6A"/>
    <w:rsid w:val="7D5E40CD"/>
    <w:rsid w:val="7DCD56F2"/>
    <w:rsid w:val="7DDA02D5"/>
    <w:rsid w:val="7E026C41"/>
    <w:rsid w:val="7EA32E1E"/>
    <w:rsid w:val="7F001CE7"/>
    <w:rsid w:val="7F823A46"/>
    <w:rsid w:val="7FC05262"/>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99"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iPriority="99"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99"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3"/>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unhideWhenUsed/>
    <w:qFormat/>
    <w:locked/>
    <w:uiPriority w:val="9"/>
    <w:pPr>
      <w:keepNext/>
      <w:keepLines/>
      <w:numPr>
        <w:ilvl w:val="3"/>
        <w:numId w:val="1"/>
      </w:numPr>
      <w:spacing w:line="360" w:lineRule="auto"/>
      <w:ind w:left="0" w:firstLine="880" w:firstLineChars="0"/>
      <w:jc w:val="left"/>
      <w:outlineLvl w:val="3"/>
    </w:pPr>
    <w:rPr>
      <w:rFonts w:ascii="Times New Roman" w:hAnsi="Times New Roman" w:eastAsia="宋体" w:cs="Times New Roman"/>
      <w:b/>
      <w:sz w:val="24"/>
    </w:rPr>
  </w:style>
  <w:style w:type="character" w:default="1" w:styleId="24">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5">
    <w:name w:val="Normal Indent"/>
    <w:basedOn w:val="1"/>
    <w:next w:val="6"/>
    <w:unhideWhenUsed/>
    <w:qFormat/>
    <w:locked/>
    <w:uiPriority w:val="99"/>
    <w:pPr>
      <w:spacing w:line="460" w:lineRule="atLeast"/>
      <w:ind w:firstLine="420"/>
    </w:pPr>
    <w:rPr>
      <w:sz w:val="24"/>
    </w:rPr>
  </w:style>
  <w:style w:type="paragraph" w:styleId="6">
    <w:name w:val="Body Text First Indent 2"/>
    <w:basedOn w:val="7"/>
    <w:next w:val="1"/>
    <w:link w:val="38"/>
    <w:qFormat/>
    <w:locked/>
    <w:uiPriority w:val="0"/>
    <w:pPr>
      <w:ind w:firstLine="420" w:firstLineChars="200"/>
    </w:pPr>
    <w:rPr>
      <w:kern w:val="2"/>
      <w:sz w:val="21"/>
      <w:szCs w:val="24"/>
    </w:rPr>
  </w:style>
  <w:style w:type="paragraph" w:styleId="7">
    <w:name w:val="Body Text Indent"/>
    <w:basedOn w:val="1"/>
    <w:next w:val="1"/>
    <w:link w:val="37"/>
    <w:qFormat/>
    <w:uiPriority w:val="0"/>
    <w:pPr>
      <w:spacing w:after="120"/>
      <w:ind w:left="420" w:leftChars="200"/>
    </w:pPr>
    <w:rPr>
      <w:kern w:val="0"/>
      <w:sz w:val="24"/>
      <w:szCs w:val="20"/>
    </w:rPr>
  </w:style>
  <w:style w:type="paragraph" w:styleId="8">
    <w:name w:val="caption"/>
    <w:basedOn w:val="1"/>
    <w:next w:val="1"/>
    <w:qFormat/>
    <w:locked/>
    <w:uiPriority w:val="99"/>
    <w:pPr>
      <w:adjustRightInd w:val="0"/>
      <w:snapToGrid w:val="0"/>
      <w:jc w:val="center"/>
    </w:pPr>
    <w:rPr>
      <w:rFonts w:ascii="Cambria" w:hAnsi="Cambria"/>
      <w:b/>
      <w:szCs w:val="21"/>
    </w:rPr>
  </w:style>
  <w:style w:type="paragraph" w:styleId="9">
    <w:name w:val="annotation text"/>
    <w:basedOn w:val="1"/>
    <w:link w:val="39"/>
    <w:semiHidden/>
    <w:qFormat/>
    <w:uiPriority w:val="0"/>
    <w:pPr>
      <w:jc w:val="left"/>
    </w:pPr>
    <w:rPr>
      <w:kern w:val="0"/>
      <w:sz w:val="24"/>
      <w:szCs w:val="20"/>
    </w:rPr>
  </w:style>
  <w:style w:type="paragraph" w:styleId="10">
    <w:name w:val="Body Text"/>
    <w:basedOn w:val="1"/>
    <w:link w:val="40"/>
    <w:qFormat/>
    <w:uiPriority w:val="0"/>
    <w:pPr>
      <w:widowControl/>
      <w:snapToGrid w:val="0"/>
      <w:spacing w:before="60" w:after="160" w:line="259" w:lineRule="auto"/>
      <w:ind w:right="113"/>
    </w:pPr>
    <w:rPr>
      <w:kern w:val="0"/>
      <w:sz w:val="18"/>
      <w:szCs w:val="20"/>
    </w:rPr>
  </w:style>
  <w:style w:type="paragraph" w:styleId="11">
    <w:name w:val="List Continue"/>
    <w:basedOn w:val="1"/>
    <w:qFormat/>
    <w:locked/>
    <w:uiPriority w:val="0"/>
    <w:pPr>
      <w:widowControl w:val="0"/>
      <w:spacing w:after="120"/>
      <w:ind w:left="420" w:leftChars="200"/>
      <w:jc w:val="both"/>
    </w:pPr>
    <w:rPr>
      <w:rFonts w:ascii="Times New Roman" w:hAnsi="Times New Roman" w:cs="Times New Roman"/>
      <w:kern w:val="2"/>
      <w:sz w:val="21"/>
      <w:szCs w:val="20"/>
    </w:rPr>
  </w:style>
  <w:style w:type="paragraph" w:styleId="12">
    <w:name w:val="List Bullet 5"/>
    <w:basedOn w:val="1"/>
    <w:qFormat/>
    <w:locked/>
    <w:uiPriority w:val="0"/>
    <w:pPr>
      <w:numPr>
        <w:ilvl w:val="0"/>
        <w:numId w:val="2"/>
      </w:numPr>
    </w:pPr>
  </w:style>
  <w:style w:type="paragraph" w:styleId="13">
    <w:name w:val="Date"/>
    <w:basedOn w:val="1"/>
    <w:next w:val="1"/>
    <w:link w:val="41"/>
    <w:qFormat/>
    <w:uiPriority w:val="0"/>
    <w:pPr>
      <w:ind w:left="100" w:leftChars="2500"/>
    </w:pPr>
    <w:rPr>
      <w:kern w:val="0"/>
      <w:sz w:val="24"/>
      <w:szCs w:val="20"/>
    </w:rPr>
  </w:style>
  <w:style w:type="paragraph" w:styleId="14">
    <w:name w:val="Body Text Indent 2"/>
    <w:basedOn w:val="1"/>
    <w:next w:val="1"/>
    <w:link w:val="42"/>
    <w:qFormat/>
    <w:locked/>
    <w:uiPriority w:val="0"/>
    <w:pPr>
      <w:spacing w:after="120" w:line="480" w:lineRule="auto"/>
      <w:ind w:left="420" w:leftChars="200"/>
    </w:pPr>
  </w:style>
  <w:style w:type="paragraph" w:styleId="15">
    <w:name w:val="Balloon Text"/>
    <w:basedOn w:val="1"/>
    <w:link w:val="43"/>
    <w:semiHidden/>
    <w:qFormat/>
    <w:uiPriority w:val="0"/>
    <w:rPr>
      <w:kern w:val="0"/>
      <w:sz w:val="18"/>
      <w:szCs w:val="20"/>
    </w:rPr>
  </w:style>
  <w:style w:type="paragraph" w:styleId="16">
    <w:name w:val="footer"/>
    <w:basedOn w:val="1"/>
    <w:link w:val="44"/>
    <w:qFormat/>
    <w:uiPriority w:val="99"/>
    <w:pPr>
      <w:tabs>
        <w:tab w:val="center" w:pos="4153"/>
        <w:tab w:val="right" w:pos="8306"/>
      </w:tabs>
      <w:snapToGrid w:val="0"/>
      <w:jc w:val="left"/>
    </w:pPr>
    <w:rPr>
      <w:kern w:val="0"/>
      <w:sz w:val="18"/>
      <w:szCs w:val="20"/>
    </w:rPr>
  </w:style>
  <w:style w:type="paragraph" w:styleId="17">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2"/>
    <w:basedOn w:val="1"/>
    <w:next w:val="1"/>
    <w:qFormat/>
    <w:locked/>
    <w:uiPriority w:val="0"/>
    <w:pPr>
      <w:ind w:left="420" w:leftChars="200"/>
    </w:pPr>
  </w:style>
  <w:style w:type="paragraph" w:styleId="19">
    <w:name w:val="Normal (Web)"/>
    <w:basedOn w:val="1"/>
    <w:link w:val="46"/>
    <w:qFormat/>
    <w:uiPriority w:val="99"/>
    <w:pPr>
      <w:widowControl/>
      <w:spacing w:before="100" w:beforeAutospacing="1" w:after="100" w:afterAutospacing="1"/>
      <w:jc w:val="left"/>
    </w:pPr>
    <w:rPr>
      <w:rFonts w:ascii="宋体" w:hAnsi="宋体"/>
      <w:kern w:val="0"/>
      <w:sz w:val="24"/>
      <w:szCs w:val="20"/>
    </w:rPr>
  </w:style>
  <w:style w:type="paragraph" w:styleId="20">
    <w:name w:val="annotation subject"/>
    <w:basedOn w:val="9"/>
    <w:next w:val="9"/>
    <w:link w:val="47"/>
    <w:semiHidden/>
    <w:qFormat/>
    <w:uiPriority w:val="0"/>
    <w:rPr>
      <w:b/>
      <w:sz w:val="24"/>
      <w:szCs w:val="20"/>
    </w:rPr>
  </w:style>
  <w:style w:type="paragraph" w:styleId="21">
    <w:name w:val="Body Text First Indent"/>
    <w:basedOn w:val="10"/>
    <w:next w:val="1"/>
    <w:unhideWhenUsed/>
    <w:qFormat/>
    <w:locked/>
    <w:uiPriority w:val="99"/>
    <w:pPr>
      <w:ind w:firstLine="420" w:firstLineChars="100"/>
    </w:pPr>
    <w:rPr>
      <w:rFonts w:eastAsia="宋体"/>
    </w:rPr>
  </w:style>
  <w:style w:type="table" w:styleId="23">
    <w:name w:val="Table Grid"/>
    <w:basedOn w:val="22"/>
    <w:qFormat/>
    <w:uiPriority w:val="99"/>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locked/>
    <w:uiPriority w:val="0"/>
    <w:rPr>
      <w:b/>
    </w:rPr>
  </w:style>
  <w:style w:type="character" w:styleId="26">
    <w:name w:val="page number"/>
    <w:qFormat/>
    <w:locked/>
    <w:uiPriority w:val="0"/>
  </w:style>
  <w:style w:type="character" w:styleId="27">
    <w:name w:val="Emphasis"/>
    <w:basedOn w:val="24"/>
    <w:qFormat/>
    <w:locked/>
    <w:uiPriority w:val="0"/>
    <w:rPr>
      <w:i/>
    </w:rPr>
  </w:style>
  <w:style w:type="character" w:styleId="28">
    <w:name w:val="Hyperlink"/>
    <w:qFormat/>
    <w:locked/>
    <w:uiPriority w:val="0"/>
    <w:rPr>
      <w:color w:val="0563C1"/>
      <w:u w:val="single"/>
    </w:rPr>
  </w:style>
  <w:style w:type="character" w:styleId="29">
    <w:name w:val="annotation reference"/>
    <w:semiHidden/>
    <w:qFormat/>
    <w:uiPriority w:val="0"/>
    <w:rPr>
      <w:sz w:val="21"/>
    </w:rPr>
  </w:style>
  <w:style w:type="paragraph" w:customStyle="1" w:styleId="30">
    <w:name w:val="表格文字"/>
    <w:basedOn w:val="10"/>
    <w:next w:val="1"/>
    <w:qFormat/>
    <w:uiPriority w:val="0"/>
    <w:pPr>
      <w:autoSpaceDE w:val="0"/>
      <w:autoSpaceDN w:val="0"/>
      <w:adjustRightInd w:val="0"/>
      <w:spacing w:before="60" w:after="60"/>
      <w:jc w:val="center"/>
      <w:textAlignment w:val="bottom"/>
    </w:pPr>
    <w:rPr>
      <w:rFonts w:ascii="Times New Roman" w:eastAsia="仿宋_GB2312"/>
      <w:kern w:val="0"/>
      <w:sz w:val="24"/>
      <w:szCs w:val="20"/>
    </w:rPr>
  </w:style>
  <w:style w:type="paragraph" w:customStyle="1" w:styleId="31">
    <w:name w:val="样式 正文缩进正文缩进2正文缩进 Char Char正文缩进 Char Char Char Char正文缩进 Char ..."/>
    <w:basedOn w:val="5"/>
    <w:qFormat/>
    <w:uiPriority w:val="0"/>
    <w:pPr>
      <w:spacing w:line="360" w:lineRule="auto"/>
      <w:ind w:firstLine="200"/>
    </w:pPr>
    <w:rPr>
      <w:rFonts w:cs="宋体"/>
      <w:sz w:val="24"/>
    </w:rPr>
  </w:style>
  <w:style w:type="paragraph" w:customStyle="1" w:styleId="32">
    <w:name w:val="xl27"/>
    <w:basedOn w:val="1"/>
    <w:next w:val="9"/>
    <w:qFormat/>
    <w:uiPriority w:val="0"/>
    <w:pPr>
      <w:widowControl/>
      <w:spacing w:before="280" w:after="280"/>
      <w:jc w:val="center"/>
    </w:pPr>
    <w:rPr>
      <w:rFonts w:hAnsi="宋体" w:cs="宋体"/>
      <w:sz w:val="21"/>
    </w:rPr>
  </w:style>
  <w:style w:type="paragraph" w:customStyle="1" w:styleId="33">
    <w:name w:val="Default"/>
    <w:basedOn w:val="34"/>
    <w:next w:val="30"/>
    <w:unhideWhenUsed/>
    <w:qFormat/>
    <w:uiPriority w:val="0"/>
    <w:pPr>
      <w:widowControl w:val="0"/>
      <w:autoSpaceDE w:val="0"/>
      <w:autoSpaceDN w:val="0"/>
      <w:adjustRightInd w:val="0"/>
    </w:pPr>
    <w:rPr>
      <w:rFonts w:ascii="仿宋" w:hAnsi="仿宋" w:eastAsia="仿宋" w:cs="Times New Roman"/>
      <w:color w:val="000000"/>
      <w:sz w:val="24"/>
      <w:szCs w:val="24"/>
      <w:lang w:val="en-US" w:eastAsia="zh-CN" w:bidi="ar-SA"/>
    </w:rPr>
  </w:style>
  <w:style w:type="paragraph" w:customStyle="1" w:styleId="34">
    <w:name w:val="文本"/>
    <w:basedOn w:val="1"/>
    <w:next w:val="1"/>
    <w:qFormat/>
    <w:uiPriority w:val="0"/>
    <w:pPr>
      <w:autoSpaceDE w:val="0"/>
      <w:autoSpaceDN w:val="0"/>
      <w:ind w:firstLine="480"/>
    </w:pPr>
    <w:rPr>
      <w:lang w:val="zh-CN"/>
    </w:rPr>
  </w:style>
  <w:style w:type="paragraph" w:customStyle="1" w:styleId="35">
    <w:name w:val="表格编号"/>
    <w:basedOn w:val="11"/>
    <w:next w:val="30"/>
    <w:qFormat/>
    <w:uiPriority w:val="0"/>
    <w:pPr>
      <w:snapToGrid w:val="0"/>
      <w:spacing w:line="20" w:lineRule="atLeast"/>
      <w:ind w:firstLine="0" w:firstLineChars="0"/>
    </w:pPr>
    <w:rPr>
      <w:sz w:val="21"/>
    </w:rPr>
  </w:style>
  <w:style w:type="paragraph" w:customStyle="1" w:styleId="36">
    <w:name w:val="p16"/>
    <w:next w:val="18"/>
    <w:qFormat/>
    <w:uiPriority w:val="0"/>
    <w:pPr>
      <w:ind w:firstLine="420"/>
      <w:jc w:val="both"/>
    </w:pPr>
    <w:rPr>
      <w:rFonts w:ascii="宋体" w:hAnsi="Times New Roman" w:eastAsia="宋体" w:cs="宋体"/>
      <w:sz w:val="21"/>
      <w:szCs w:val="21"/>
      <w:lang w:val="en-US" w:eastAsia="zh-CN" w:bidi="ar-SA"/>
    </w:rPr>
  </w:style>
  <w:style w:type="character" w:customStyle="1" w:styleId="37">
    <w:name w:val="正文文本缩进 字符"/>
    <w:link w:val="7"/>
    <w:semiHidden/>
    <w:qFormat/>
    <w:locked/>
    <w:uiPriority w:val="0"/>
    <w:rPr>
      <w:rFonts w:ascii="Times New Roman" w:hAnsi="Times New Roman" w:eastAsia="宋体"/>
      <w:sz w:val="24"/>
    </w:rPr>
  </w:style>
  <w:style w:type="character" w:customStyle="1" w:styleId="38">
    <w:name w:val="正文首行缩进 2 字符"/>
    <w:link w:val="6"/>
    <w:qFormat/>
    <w:uiPriority w:val="0"/>
    <w:rPr>
      <w:rFonts w:ascii="Times New Roman" w:hAnsi="Times New Roman" w:eastAsia="宋体"/>
      <w:kern w:val="2"/>
      <w:sz w:val="21"/>
      <w:szCs w:val="24"/>
    </w:rPr>
  </w:style>
  <w:style w:type="character" w:customStyle="1" w:styleId="39">
    <w:name w:val="批注文字 字符"/>
    <w:link w:val="9"/>
    <w:qFormat/>
    <w:locked/>
    <w:uiPriority w:val="0"/>
    <w:rPr>
      <w:rFonts w:ascii="Times New Roman" w:hAnsi="Times New Roman" w:eastAsia="宋体"/>
      <w:sz w:val="24"/>
    </w:rPr>
  </w:style>
  <w:style w:type="character" w:customStyle="1" w:styleId="40">
    <w:name w:val="正文文本 字符"/>
    <w:link w:val="10"/>
    <w:qFormat/>
    <w:locked/>
    <w:uiPriority w:val="0"/>
    <w:rPr>
      <w:sz w:val="18"/>
    </w:rPr>
  </w:style>
  <w:style w:type="character" w:customStyle="1" w:styleId="41">
    <w:name w:val="日期 字符1"/>
    <w:link w:val="13"/>
    <w:qFormat/>
    <w:locked/>
    <w:uiPriority w:val="0"/>
    <w:rPr>
      <w:rFonts w:ascii="Times New Roman" w:hAnsi="Times New Roman" w:eastAsia="宋体"/>
      <w:sz w:val="24"/>
    </w:rPr>
  </w:style>
  <w:style w:type="character" w:customStyle="1" w:styleId="42">
    <w:name w:val="正文文本缩进 2 字符"/>
    <w:link w:val="14"/>
    <w:qFormat/>
    <w:uiPriority w:val="0"/>
    <w:rPr>
      <w:kern w:val="2"/>
      <w:sz w:val="21"/>
      <w:szCs w:val="24"/>
    </w:rPr>
  </w:style>
  <w:style w:type="character" w:customStyle="1" w:styleId="43">
    <w:name w:val="批注框文本 字符"/>
    <w:link w:val="15"/>
    <w:semiHidden/>
    <w:qFormat/>
    <w:locked/>
    <w:uiPriority w:val="0"/>
    <w:rPr>
      <w:rFonts w:ascii="Times New Roman" w:hAnsi="Times New Roman" w:eastAsia="宋体"/>
      <w:sz w:val="18"/>
    </w:rPr>
  </w:style>
  <w:style w:type="character" w:customStyle="1" w:styleId="44">
    <w:name w:val="页脚 字符1"/>
    <w:link w:val="16"/>
    <w:qFormat/>
    <w:locked/>
    <w:uiPriority w:val="99"/>
    <w:rPr>
      <w:sz w:val="18"/>
    </w:rPr>
  </w:style>
  <w:style w:type="character" w:customStyle="1" w:styleId="45">
    <w:name w:val="页眉 字符"/>
    <w:link w:val="17"/>
    <w:qFormat/>
    <w:locked/>
    <w:uiPriority w:val="0"/>
    <w:rPr>
      <w:sz w:val="18"/>
    </w:rPr>
  </w:style>
  <w:style w:type="character" w:customStyle="1" w:styleId="46">
    <w:name w:val="普通(网站) 字符"/>
    <w:link w:val="19"/>
    <w:qFormat/>
    <w:locked/>
    <w:uiPriority w:val="0"/>
    <w:rPr>
      <w:rFonts w:ascii="宋体" w:hAnsi="宋体" w:eastAsia="宋体"/>
      <w:sz w:val="24"/>
    </w:rPr>
  </w:style>
  <w:style w:type="character" w:customStyle="1" w:styleId="47">
    <w:name w:val="批注主题 字符"/>
    <w:link w:val="20"/>
    <w:semiHidden/>
    <w:qFormat/>
    <w:locked/>
    <w:uiPriority w:val="0"/>
    <w:rPr>
      <w:rFonts w:ascii="Times New Roman" w:hAnsi="Times New Roman" w:eastAsia="宋体"/>
      <w:b/>
      <w:kern w:val="2"/>
      <w:sz w:val="24"/>
    </w:rPr>
  </w:style>
  <w:style w:type="character" w:customStyle="1" w:styleId="48">
    <w:name w:val="页脚 字符"/>
    <w:qFormat/>
    <w:uiPriority w:val="99"/>
  </w:style>
  <w:style w:type="character" w:customStyle="1" w:styleId="49">
    <w:name w:val="正文文本 字符1"/>
    <w:semiHidden/>
    <w:qFormat/>
    <w:uiPriority w:val="0"/>
    <w:rPr>
      <w:rFonts w:ascii="Times New Roman" w:hAnsi="Times New Roman" w:eastAsia="宋体"/>
      <w:sz w:val="24"/>
    </w:rPr>
  </w:style>
  <w:style w:type="character" w:customStyle="1" w:styleId="50">
    <w:name w:val="表格 Char"/>
    <w:link w:val="51"/>
    <w:qFormat/>
    <w:locked/>
    <w:uiPriority w:val="0"/>
    <w:rPr>
      <w:rFonts w:ascii="宋体"/>
      <w:sz w:val="21"/>
    </w:rPr>
  </w:style>
  <w:style w:type="paragraph" w:customStyle="1" w:styleId="51">
    <w:name w:val="表格"/>
    <w:basedOn w:val="1"/>
    <w:next w:val="1"/>
    <w:link w:val="50"/>
    <w:qFormat/>
    <w:uiPriority w:val="0"/>
    <w:pPr>
      <w:adjustRightInd w:val="0"/>
      <w:snapToGrid w:val="0"/>
      <w:spacing w:beforeLines="10" w:afterLines="10" w:line="259" w:lineRule="auto"/>
      <w:jc w:val="center"/>
    </w:pPr>
    <w:rPr>
      <w:rFonts w:ascii="宋体"/>
      <w:kern w:val="0"/>
      <w:szCs w:val="20"/>
    </w:rPr>
  </w:style>
  <w:style w:type="character" w:customStyle="1" w:styleId="52">
    <w:name w:val="日期 字符"/>
    <w:semiHidden/>
    <w:qFormat/>
    <w:uiPriority w:val="0"/>
    <w:rPr>
      <w:rFonts w:ascii="Times New Roman" w:hAnsi="Times New Roman" w:eastAsia="宋体"/>
      <w:sz w:val="24"/>
    </w:rPr>
  </w:style>
  <w:style w:type="character" w:customStyle="1" w:styleId="53">
    <w:name w:val="批注文字 字符1"/>
    <w:semiHidden/>
    <w:qFormat/>
    <w:uiPriority w:val="0"/>
    <w:rPr>
      <w:rFonts w:ascii="Times New Roman" w:hAnsi="Times New Roman" w:eastAsia="宋体"/>
      <w:sz w:val="24"/>
    </w:rPr>
  </w:style>
  <w:style w:type="paragraph" w:customStyle="1" w:styleId="5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5">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6">
    <w:name w:val="表中文字"/>
    <w:basedOn w:val="1"/>
    <w:qFormat/>
    <w:uiPriority w:val="0"/>
    <w:pPr>
      <w:topLinePunct/>
      <w:spacing w:line="360" w:lineRule="auto"/>
      <w:jc w:val="center"/>
    </w:pPr>
    <w:rPr>
      <w:rFonts w:ascii="仿宋_GB2312" w:hAnsi="宋体" w:eastAsia="仿宋_GB2312" w:cs="宋体"/>
      <w:sz w:val="28"/>
      <w:szCs w:val="28"/>
    </w:rPr>
  </w:style>
  <w:style w:type="paragraph" w:customStyle="1" w:styleId="57">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58">
    <w:name w:val="J1234表格内容"/>
    <w:basedOn w:val="1"/>
    <w:next w:val="1"/>
    <w:qFormat/>
    <w:uiPriority w:val="0"/>
    <w:pPr>
      <w:widowControl/>
      <w:spacing w:line="240" w:lineRule="atLeast"/>
      <w:jc w:val="center"/>
    </w:pPr>
    <w:rPr>
      <w:b/>
      <w:szCs w:val="21"/>
    </w:rPr>
  </w:style>
  <w:style w:type="paragraph" w:customStyle="1" w:styleId="59">
    <w:name w:val="【表头】"/>
    <w:basedOn w:val="1"/>
    <w:qFormat/>
    <w:uiPriority w:val="0"/>
    <w:pPr>
      <w:spacing w:line="360" w:lineRule="auto"/>
      <w:jc w:val="center"/>
    </w:pPr>
    <w:rPr>
      <w:b/>
      <w:szCs w:val="21"/>
    </w:rPr>
  </w:style>
  <w:style w:type="character" w:customStyle="1" w:styleId="60">
    <w:name w:val="15"/>
    <w:qFormat/>
    <w:uiPriority w:val="0"/>
    <w:rPr>
      <w:rFonts w:hint="default" w:ascii="Times New Roman" w:hAnsi="Times New Roman" w:cs="Times New Roman"/>
      <w:sz w:val="21"/>
      <w:szCs w:val="21"/>
    </w:rPr>
  </w:style>
  <w:style w:type="paragraph" w:customStyle="1" w:styleId="61">
    <w:name w:val="正文_4"/>
    <w:basedOn w:val="1"/>
    <w:qFormat/>
    <w:uiPriority w:val="0"/>
    <w:rPr>
      <w:rFonts w:ascii="Calibri" w:hAnsi="Calibri"/>
      <w:szCs w:val="21"/>
    </w:rPr>
  </w:style>
  <w:style w:type="paragraph" w:customStyle="1" w:styleId="62">
    <w:name w:val="Normal (Web)"/>
    <w:basedOn w:val="1"/>
    <w:qFormat/>
    <w:uiPriority w:val="0"/>
    <w:pPr>
      <w:widowControl/>
      <w:autoSpaceDE w:val="0"/>
      <w:jc w:val="left"/>
    </w:pPr>
    <w:rPr>
      <w:rFonts w:ascii="宋体" w:hAnsi="宋体" w:cs="宋体"/>
      <w:sz w:val="24"/>
    </w:rPr>
  </w:style>
  <w:style w:type="paragraph" w:styleId="63">
    <w:name w:val="List Paragraph"/>
    <w:basedOn w:val="1"/>
    <w:qFormat/>
    <w:uiPriority w:val="0"/>
    <w:pPr>
      <w:ind w:firstLine="420" w:firstLineChars="200"/>
    </w:pPr>
  </w:style>
  <w:style w:type="paragraph" w:customStyle="1" w:styleId="64">
    <w:name w:val="Ay正文"/>
    <w:basedOn w:val="1"/>
    <w:qFormat/>
    <w:uiPriority w:val="0"/>
    <w:pPr>
      <w:spacing w:line="360" w:lineRule="auto"/>
      <w:ind w:firstLine="200" w:firstLineChars="200"/>
    </w:pPr>
    <w:rPr>
      <w:sz w:val="24"/>
    </w:rPr>
  </w:style>
  <w:style w:type="paragraph" w:customStyle="1" w:styleId="65">
    <w:name w:val="环保正文"/>
    <w:basedOn w:val="1"/>
    <w:qFormat/>
    <w:uiPriority w:val="99"/>
    <w:pPr>
      <w:widowControl/>
      <w:tabs>
        <w:tab w:val="left" w:pos="0"/>
        <w:tab w:val="left" w:pos="7012"/>
      </w:tabs>
      <w:spacing w:line="360" w:lineRule="auto"/>
      <w:ind w:firstLine="200"/>
      <w:jc w:val="left"/>
    </w:pPr>
    <w:rPr>
      <w:rFonts w:ascii="宋体" w:hAnsi="宋体" w:cs="宋体"/>
      <w:color w:val="000000"/>
      <w:kern w:val="1"/>
      <w:sz w:val="24"/>
    </w:rPr>
  </w:style>
  <w:style w:type="paragraph" w:customStyle="1" w:styleId="66">
    <w:name w:val="B-1、标题"/>
    <w:basedOn w:val="1"/>
    <w:qFormat/>
    <w:uiPriority w:val="0"/>
    <w:pPr>
      <w:widowControl/>
      <w:spacing w:line="360" w:lineRule="auto"/>
      <w:ind w:firstLine="482" w:firstLineChars="200"/>
      <w:jc w:val="left"/>
    </w:pPr>
    <w:rPr>
      <w:b/>
      <w:bCs/>
      <w:sz w:val="24"/>
    </w:rPr>
  </w:style>
  <w:style w:type="paragraph" w:customStyle="1" w:styleId="67">
    <w:name w:val="ae正文zzzzzzzz"/>
    <w:basedOn w:val="1"/>
    <w:qFormat/>
    <w:uiPriority w:val="0"/>
    <w:rPr>
      <w:rFonts w:cs="宋体"/>
      <w:szCs w:val="20"/>
    </w:rPr>
  </w:style>
  <w:style w:type="paragraph" w:customStyle="1" w:styleId="68">
    <w:name w:val="正文A"/>
    <w:basedOn w:val="1"/>
    <w:qFormat/>
    <w:uiPriority w:val="0"/>
    <w:pPr>
      <w:spacing w:line="360" w:lineRule="auto"/>
      <w:ind w:firstLine="720" w:firstLineChars="200"/>
    </w:pPr>
    <w:rPr>
      <w:sz w:val="24"/>
    </w:rPr>
  </w:style>
  <w:style w:type="table" w:customStyle="1" w:styleId="69">
    <w:name w:val="Table Normal"/>
    <w:unhideWhenUsed/>
    <w:qFormat/>
    <w:uiPriority w:val="0"/>
    <w:tblPr>
      <w:tblCellMar>
        <w:top w:w="0" w:type="dxa"/>
        <w:left w:w="0" w:type="dxa"/>
        <w:bottom w:w="0" w:type="dxa"/>
        <w:right w:w="0" w:type="dxa"/>
      </w:tblCellMar>
    </w:tblPr>
  </w:style>
  <w:style w:type="paragraph" w:customStyle="1" w:styleId="70">
    <w:name w:val="Table Paragraph"/>
    <w:basedOn w:val="1"/>
    <w:qFormat/>
    <w:uiPriority w:val="1"/>
    <w:pPr>
      <w:jc w:val="center"/>
    </w:pPr>
    <w:rPr>
      <w:rFonts w:ascii="宋体" w:hAnsi="宋体" w:eastAsia="宋体" w:cs="宋体"/>
      <w:lang w:val="zh-CN" w:eastAsia="zh-CN" w:bidi="zh-CN"/>
    </w:rPr>
  </w:style>
  <w:style w:type="paragraph" w:customStyle="1" w:styleId="71">
    <w:name w:val="阿表"/>
    <w:basedOn w:val="1"/>
    <w:qFormat/>
    <w:uiPriority w:val="0"/>
    <w:pPr>
      <w:jc w:val="center"/>
    </w:pPr>
    <w:rPr>
      <w:rFonts w:ascii="Calibri" w:hAnsi="Calibri"/>
      <w:szCs w:val="21"/>
    </w:rPr>
  </w:style>
  <w:style w:type="paragraph" w:customStyle="1" w:styleId="72">
    <w:name w:val="高-正文"/>
    <w:basedOn w:val="1"/>
    <w:qFormat/>
    <w:uiPriority w:val="0"/>
    <w:pPr>
      <w:spacing w:before="0" w:beforeAutospacing="0" w:after="0" w:afterAutospacing="0" w:line="360" w:lineRule="auto"/>
      <w:ind w:left="0" w:right="0" w:firstLine="643" w:firstLineChars="200"/>
      <w:jc w:val="both"/>
    </w:pPr>
    <w:rPr>
      <w:rFonts w:hint="default" w:ascii="Times New Roman" w:hAnsi="Times New Roman" w:eastAsia="宋体" w:cs="黑体"/>
      <w:kern w:val="0"/>
      <w:sz w:val="24"/>
      <w:szCs w:val="24"/>
      <w:lang w:val="en-US" w:eastAsia="zh-CN" w:bidi="ar"/>
    </w:rPr>
  </w:style>
  <w:style w:type="paragraph" w:customStyle="1" w:styleId="73">
    <w:name w:val="Table Text"/>
    <w:basedOn w:val="1"/>
    <w:semiHidden/>
    <w:qFormat/>
    <w:uiPriority w:val="0"/>
    <w:rPr>
      <w:rFonts w:ascii="Arial" w:hAnsi="Arial" w:eastAsia="Arial" w:cs="Arial"/>
      <w:sz w:val="21"/>
      <w:szCs w:val="21"/>
      <w:lang w:val="en-US" w:eastAsia="en-US" w:bidi="ar-SA"/>
    </w:rPr>
  </w:style>
  <w:style w:type="paragraph" w:customStyle="1" w:styleId="74">
    <w:name w:val="HP 表格内容"/>
    <w:basedOn w:val="1"/>
    <w:qFormat/>
    <w:uiPriority w:val="0"/>
    <w:pPr>
      <w:widowControl/>
      <w:spacing w:line="440" w:lineRule="exact"/>
      <w:jc w:val="center"/>
    </w:pPr>
    <w:rPr>
      <w:kern w:val="0"/>
      <w:szCs w:val="21"/>
    </w:rPr>
  </w:style>
  <w:style w:type="paragraph" w:customStyle="1" w:styleId="75">
    <w:name w:val="A样式 小四 行距: 1.5 倍行距 首行缩进:  2 字符"/>
    <w:basedOn w:val="1"/>
    <w:qFormat/>
    <w:uiPriority w:val="0"/>
    <w:pPr>
      <w:ind w:firstLine="480"/>
    </w:pPr>
    <w:rPr>
      <w:rFonts w:ascii="Calibri" w:hAnsi="Calibri" w:cs="宋体"/>
      <w:szCs w:val="22"/>
    </w:rPr>
  </w:style>
  <w:style w:type="paragraph" w:customStyle="1" w:styleId="76">
    <w:name w:val="表格（龙）"/>
    <w:basedOn w:val="1"/>
    <w:qFormat/>
    <w:uiPriority w:val="0"/>
    <w:pPr>
      <w:autoSpaceDE w:val="0"/>
      <w:autoSpaceDN w:val="0"/>
      <w:jc w:val="center"/>
    </w:pPr>
    <w:rPr>
      <w:rFonts w:cs="宋体"/>
      <w:kern w:val="0"/>
      <w:szCs w:val="22"/>
      <w:lang w:val="zh-CN" w:bidi="zh-CN"/>
    </w:rPr>
  </w:style>
  <w:style w:type="character" w:customStyle="1" w:styleId="77">
    <w:name w:val="font21"/>
    <w:basedOn w:val="24"/>
    <w:qFormat/>
    <w:uiPriority w:val="0"/>
    <w:rPr>
      <w:rFonts w:ascii="宋体" w:hAnsi="宋体" w:eastAsia="宋体" w:cs="宋体"/>
      <w:color w:val="000000"/>
      <w:sz w:val="30"/>
      <w:szCs w:val="30"/>
      <w:u w:val="none"/>
    </w:rPr>
  </w:style>
  <w:style w:type="character" w:customStyle="1" w:styleId="78">
    <w:name w:val="文章正文 Char Char"/>
    <w:qFormat/>
    <w:uiPriority w:val="0"/>
    <w:rPr>
      <w:kern w:val="0"/>
      <w:sz w:val="24"/>
    </w:rPr>
  </w:style>
  <w:style w:type="paragraph" w:customStyle="1" w:styleId="79">
    <w:name w:val="文章正文"/>
    <w:basedOn w:val="1"/>
    <w:qFormat/>
    <w:uiPriority w:val="0"/>
    <w:pPr>
      <w:spacing w:line="440" w:lineRule="exact"/>
      <w:ind w:firstLine="600" w:firstLineChars="200"/>
    </w:pPr>
    <w:rPr>
      <w:kern w:val="0"/>
      <w:sz w:val="24"/>
      <w:szCs w:val="20"/>
    </w:rPr>
  </w:style>
  <w:style w:type="character" w:customStyle="1" w:styleId="80">
    <w:name w:val="font61"/>
    <w:qFormat/>
    <w:uiPriority w:val="99"/>
    <w:rPr>
      <w:rFonts w:ascii="等线" w:hAnsi="等线" w:eastAsia="等线" w:cs="等线"/>
      <w:color w:val="000000"/>
      <w:sz w:val="22"/>
      <w:szCs w:val="22"/>
      <w:u w:val="none"/>
    </w:rPr>
  </w:style>
  <w:style w:type="character" w:customStyle="1" w:styleId="81">
    <w:name w:val="font71"/>
    <w:qFormat/>
    <w:uiPriority w:val="0"/>
    <w:rPr>
      <w:rFonts w:hint="default" w:ascii="Times New Roman" w:hAnsi="Times New Roman" w:cs="Times New Roman"/>
      <w:color w:val="000000"/>
      <w:sz w:val="21"/>
      <w:szCs w:val="21"/>
      <w:u w:val="none"/>
      <w:vertAlign w:val="superscript"/>
    </w:rPr>
  </w:style>
  <w:style w:type="paragraph" w:customStyle="1" w:styleId="82">
    <w:name w:val="表题头"/>
    <w:basedOn w:val="1"/>
    <w:qFormat/>
    <w:uiPriority w:val="0"/>
    <w:pPr>
      <w:ind w:firstLine="0" w:firstLineChars="0"/>
      <w:jc w:val="center"/>
    </w:pPr>
    <w:rPr>
      <w:rFonts w:ascii="Times New Roman" w:hAnsi="Times New Roman" w:eastAsia="宋体"/>
      <w:b/>
    </w:rPr>
  </w:style>
  <w:style w:type="paragraph" w:customStyle="1" w:styleId="83">
    <w:name w:val="表中"/>
    <w:qFormat/>
    <w:uiPriority w:val="0"/>
    <w:pPr>
      <w:spacing w:line="240" w:lineRule="auto"/>
      <w:jc w:val="center"/>
    </w:pPr>
    <w:rPr>
      <w:rFonts w:ascii="Times New Roman" w:hAnsi="Times New Roman" w:eastAsia="宋体" w:cs="Times New Roman"/>
      <w:color w:val="auto"/>
      <w:kern w:val="44"/>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0" Type="http://schemas.openxmlformats.org/officeDocument/2006/relationships/fontTable" Target="fontTable.xml"/><Relationship Id="rId7" Type="http://schemas.openxmlformats.org/officeDocument/2006/relationships/footer" Target="footer5.xml"/><Relationship Id="rId69" Type="http://schemas.openxmlformats.org/officeDocument/2006/relationships/customXml" Target="../customXml/item2.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png"/><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4.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footer" Target="footer3.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footer" Target="foot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er" Target="foot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emf"/><Relationship Id="rId16" Type="http://schemas.openxmlformats.org/officeDocument/2006/relationships/oleObject" Target="embeddings/oleObject2.bin"/><Relationship Id="rId15" Type="http://schemas.openxmlformats.org/officeDocument/2006/relationships/image" Target="media/image6.emf"/><Relationship Id="rId14" Type="http://schemas.openxmlformats.org/officeDocument/2006/relationships/oleObject" Target="embeddings/oleObject1.bin"/><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197eac49-2130-4d05-ac17-cb4cbbbfd7af</errorID>
      <errorWord>（</errorWord>
      <group>L1_Format</group>
      <groupName>格式问题</groupName>
      <ability>L2_HalfPunc_CN</ability>
      <abilityName>全半角问题</abilityName>
      <candidateList>
        <item>(</item>
      </candidateList>
      <explain>文本全半角错误。</explain>
      <paraID>47B8A420</paraID>
      <start>0</start>
      <end>1</end>
      <status>unmodified</status>
      <modifiedWord/>
      <trackRevisions>false</trackRevisions>
    </reviewItem>
    <reviewItem>
      <errorID>899b9dbc-2c89-4978-92ef-1725e2aaafb6</errorID>
      <errorWord>，</errorWord>
      <group>L1_Format</group>
      <groupName>格式问题</groupName>
      <ability>L2_HalfPunc_CN</ability>
      <abilityName>全半角问题</abilityName>
      <candidateList>
        <item>, </item>
      </candidateList>
      <explain>文本全半角错误。</explain>
      <paraID>47B8A420</paraID>
      <start>16</start>
      <end>17</end>
      <status>unmodified</status>
      <modifiedWord/>
      <trackRevisions>false</trackRevisions>
    </reviewItem>
    <reviewItem>
      <errorID>ec2076e0-ffb4-48fb-ade6-f5022e4f3412</errorID>
      <errorWord>）</errorWord>
      <group>L1_Format</group>
      <groupName>格式问题</groupName>
      <ability>L2_HalfPunc_CN</ability>
      <abilityName>全半角问题</abilityName>
      <candidateList>
        <item>)</item>
      </candidateList>
      <explain>文本全半角错误。</explain>
      <paraID>47B8A420</paraID>
      <start>31</start>
      <end>32</end>
      <status>unmodified</status>
      <modifiedWord/>
      <trackRevisions>false</trackRevisions>
    </reviewItem>
    <reviewItem>
      <errorID>626567f5-3cf6-469c-83c5-97aa0e5b03a2</errorID>
      <errorWord>[2024]</errorWord>
      <group>L1_Punc</group>
      <groupName>标点问题</groupName>
      <ability>L2_Punc_CN</ability>
      <abilityName>标点符号问题</abilityName>
      <candidateList>
        <item>〔2024〕</item>
      </candidateList>
      <explain/>
      <paraID>1CE95388</paraID>
      <start>50</start>
      <end>56</end>
      <status>modified</status>
      <modifiedWord>〔2024〕</modifiedWord>
      <trackRevisions>false</trackRevisions>
    </reviewItem>
    <reviewItem>
      <errorID>5d138769-7529-4a4c-8bab-e15a4c3dc8a1</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35058EF1</paraID>
      <start>57</start>
      <end>61</end>
      <status>unmodified</status>
      <modifiedWord/>
      <trackRevisions>false</trackRevisions>
    </reviewItem>
    <reviewItem>
      <errorID>5e3f1e5f-8d39-4f85-bd23-52d4921ea09f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29C37F5E</paraID>
      <start>72</start>
      <end>76</end>
      <status>unmodified</status>
      <modifiedWord/>
      <trackRevisions>false</trackRevisions>
    </reviewItem>
    <reviewItem>
      <errorID>af71c6f3-63c1-40dd-a6c5-bb9fe650e12f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2B7CE67F</paraID>
      <start>6</start>
      <end>10</end>
      <status>unmodified</status>
      <modifiedWord/>
      <trackRevisions>false</trackRevisions>
    </reviewItem>
    <reviewItem>
      <errorID>f5e272e7-0b71-46c6-8a2f-e591c9bb8d34</errorID>
      <errorWord>一般工业工体废物</errorWord>
      <group>L1_Knowledge</group>
      <groupName>知识性问题</groupName>
      <ability>L2_Term</ability>
      <abilityName>专业术语</abilityName>
      <candidateList>
        <item>一般工业固体废物</item>
      </candidateList>
      <explain/>
      <paraID>7BCBE0A7</paraID>
      <start>24</start>
      <end>32</end>
      <status>modified</status>
      <modifiedWord>一般工业固体废物</modifiedWord>
      <trackRevisions>false</trackRevisions>
    </reviewItem>
    <reviewItem>
      <errorID>3d4be0a7-c0ea-450f-b994-c3ee5c1321ce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7BCBE0A7</paraID>
      <start>84</start>
      <end>85</end>
      <status>unmodified</status>
      <modifiedWord/>
      <trackRevisions>false</trackRevisions>
    </reviewItem>
    <reviewItem>
      <errorID>9d9bdfb3-fb83-439d-876e-61d2c58f5acc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7BCBE0A7</paraID>
      <start>87</start>
      <end>88</end>
      <status>unmodified</status>
      <modifiedWord/>
      <trackRevisions>false</trackRevisions>
    </reviewItem>
    <reviewItem>
      <errorID>a3a9ec93-024c-48ae-a254-079f6dd4c3f4</errorID>
      <errorWord>(2010)1544号</errorWord>
      <group>L1_Knowledge</group>
      <groupName>知识性问题</groupName>
      <ability>L2_Knowledge</ability>
      <abilityName>其他知识</abilityName>
      <candidateList>
        <item>〔2010〕1544号</item>
      </candidateList>
      <explain>发文字号格式错误。</explain>
      <paraID>452454CE</paraID>
      <start>30</start>
      <end>41</end>
      <status>modified</status>
      <modifiedWord>〔2010〕1544号</modifiedWord>
      <trackRevisions>false</trackRevisions>
    </reviewItem>
    <reviewItem>
      <errorID>299cd18e-1f7d-4081-a9c8-1c0187118b43</errorID>
      <errorWord>的批复”</errorWord>
      <group>L1_Punc</group>
      <groupName>标点问题</groupName>
      <ability>L2_Punc_CN</ability>
      <abilityName>标点符号问题</abilityName>
      <candidateList>
        <item>的批复》</item>
      </candidateList>
      <explain/>
      <paraID>452454CE</paraID>
      <start>81</start>
      <end>85</end>
      <status>unmodified</status>
      <modifiedWord/>
      <trackRevisions>false</trackRevisions>
    </reviewItem>
    <reviewItem>
      <errorID>858743e0-2c98-40bf-966f-3585684553d2</errorID>
      <errorWord>(</errorWord>
      <group>L1_Format</group>
      <groupName>格式问题</groupName>
      <ability>L2_HalfPunc_CN</ability>
      <abilityName>全半角问题</abilityName>
      <candidateList>
        <item>（</item>
      </candidateList>
      <explain>文本全半角错误。</explain>
      <paraID>452454CE</paraID>
      <start>85</start>
      <end>86</end>
      <status>unmodified</status>
      <modifiedWord/>
      <trackRevisions>false</trackRevisions>
    </reviewItem>
    <reviewItem>
      <errorID>ac5347ee-edfd-42f4-b220-b04a85e348cf</errorID>
      <errorWord>)</errorWord>
      <group>L1_Format</group>
      <groupName>格式问题</groupName>
      <ability>L2_HalfPunc_CN</ability>
      <abilityName>全半角问题</abilityName>
      <candidateList>
        <item>）</item>
      </candidateList>
      <explain>文本全半角错误。</explain>
      <paraID>452454CE</paraID>
      <start>93</start>
      <end>94</end>
      <status>unmodified</status>
      <modifiedWord/>
      <trackRevisions>false</trackRevisions>
    </reviewItem>
    <reviewItem>
      <errorID>0dc469ed-8cee-4c3e-a596-b5fe4c6cf8b3</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509412DF</paraID>
      <start>0</start>
      <end>2</end>
      <status>unmodified</status>
      <modifiedWord/>
      <trackRevisions>false</trackRevisions>
    </reviewItem>
    <reviewItem>
      <errorID>6967b37a-9882-44d5-893e-b4d640acaaff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6434DF3A</paraID>
      <start>0</start>
      <end>2</end>
      <status>unmodified</status>
      <modifiedWord/>
      <trackRevisions>false</trackRevisions>
    </reviewItem>
    <reviewItem>
      <errorID>b3cb4fa2-ff45-474f-bc12-99b693534ae5</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7B79D555</paraID>
      <start>0</start>
      <end>2</end>
      <status>unmodified</status>
      <modifiedWord/>
      <trackRevisions>false</trackRevisions>
    </reviewItem>
    <reviewItem>
      <errorID>28d609e6-3afe-4397-a9ae-886a32b888cd</errorID>
      <errorWord>上线</errorWord>
      <group>L1_Word</group>
      <groupName>字词问题</groupName>
      <ability>L2_Typo</ability>
      <abilityName>字词错误</abilityName>
      <candidateList>
        <item>上限</item>
      </candidateList>
      <explain>存在发音相同字词的误用。</explain>
      <paraID> C084DFC</paraID>
      <start>5</start>
      <end>7</end>
      <status>unmodified</status>
      <modifiedWord/>
      <trackRevisions>false</trackRevisions>
    </reviewItem>
    <reviewItem>
      <errorID>a87aa54b-c93b-4263-8dfd-919ccde71b00</errorID>
      <errorWord>乏值</errorWord>
      <group>L1_Word</group>
      <groupName>字词问题</groupName>
      <ability>L2_Typo</ability>
      <abilityName>字词错误</abilityName>
      <candidateList>
        <item>贬值</item>
      </candidateList>
      <explain>存在字形相近字词的误用。</explain>
      <paraID>12D231B4</paraID>
      <start>16</start>
      <end>18</end>
      <status>modified</status>
      <modifiedWord>贬值</modifiedWord>
      <trackRevisions>false</trackRevisions>
    </reviewItem>
    <reviewItem>
      <errorID>ff798c7b-1f26-4904-b351-d96fdecb6d0c</errorID>
      <errorWord>上线</errorWord>
      <group>L1_Word</group>
      <groupName>字词问题</groupName>
      <ability>L2_Typo</ability>
      <abilityName>字词错误</abilityName>
      <candidateList>
        <item>上限</item>
      </candidateList>
      <explain/>
      <paraID>56ED0889</paraID>
      <start>28</start>
      <end>30</end>
      <status>unmodified</status>
      <modifiedWord/>
      <trackRevisions>false</trackRevisions>
    </reviewItem>
    <reviewItem>
      <errorID>9b1f6827-9cfb-4839-b537-30c50a19acf1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7FF51C16</paraID>
      <start>0</start>
      <end>2</end>
      <status>unmodified</status>
      <modifiedWord/>
      <trackRevisions>false</trackRevisions>
    </reviewItem>
    <reviewItem>
      <errorID>385d2ee9-bc98-422b-a9d9-641ad098f54b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213F8006</paraID>
      <start>0</start>
      <end>2</end>
      <status>unmodified</status>
      <modifiedWord/>
      <trackRevisions>false</trackRevisions>
    </reviewItem>
    <reviewItem>
      <errorID>169bb96c-b80d-4125-a170-1f1e6499ebd5</errorID>
      <errorWord>[2024]</errorWord>
      <group>L1_Punc</group>
      <groupName>标点问题</groupName>
      <ability>L2_Punc_CN</ability>
      <abilityName>标点符号问题</abilityName>
      <candidateList>
        <item>〔2024〕</item>
      </candidateList>
      <explain/>
      <paraID>71A46A1F</paraID>
      <start>120</start>
      <end>126</end>
      <status>modified</status>
      <modifiedWord>〔2024〕</modifiedWord>
      <trackRevisions>false</trackRevisions>
    </reviewItem>
    <reviewItem>
      <errorID>0c9dbd4e-cd28-4e74-af46-9bf50ad6129e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5124B553</paraID>
      <start>0</start>
      <end>2</end>
      <status>unmodified</status>
      <modifiedWord/>
      <trackRevisions>false</trackRevisions>
    </reviewItem>
    <reviewItem>
      <errorID>0f6cca11-d090-4879-b5e9-27e4a2056798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62F2034C</paraID>
      <start>0</start>
      <end>2</end>
      <status>unmodified</status>
      <modifiedWord/>
      <trackRevisions>false</trackRevisions>
    </reviewItem>
    <reviewItem>
      <errorID>153fa08f-b6b6-41ce-9aa1-1ca55b5c38c2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5BE7DFFC</paraID>
      <start>0</start>
      <end>2</end>
      <status>unmodified</status>
      <modifiedWord/>
      <trackRevisions>false</trackRevisions>
    </reviewItem>
    <reviewItem>
      <errorID>da0b95e4-839b-42e7-8298-ef6e41d62665</errorID>
      <errorWord>程</errorWord>
      <group>L1_Word</group>
      <groupName>字词问题</groupName>
      <ability>L2_Typo</ability>
      <abilityName>字词错误</abilityName>
      <candidateList>
        <item>程中</item>
      </candidateList>
      <explain/>
      <paraID>3B7A9E3D</paraID>
      <start>6</start>
      <end>8</end>
      <status>modified</status>
      <modifiedWord>程中</modifiedWord>
      <trackRevisions>false</trackRevisions>
    </reviewItem>
    <reviewItem>
      <errorID>ab2f9eba-2d31-485c-a302-6afc752956d3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475489C6</paraID>
      <start>112</start>
      <end>113</end>
      <status>unmodified</status>
      <modifiedWord/>
      <trackRevisions>false</trackRevisions>
    </reviewItem>
    <reviewItem>
      <errorID>6677c1d2-9f02-4b8d-b98d-4059c6d3efa2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3A4356BA</paraID>
      <start>0</start>
      <end>2</end>
      <status>unmodified</status>
      <modifiedWord/>
      <trackRevisions>false</trackRevisions>
    </reviewItem>
    <reviewItem>
      <errorID>9f0376eb-03d9-4c77-8706-c247da6b2959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2774A5B</paraID>
      <start>0</start>
      <end>2</end>
      <status>unmodified</status>
      <modifiedWord/>
      <trackRevisions>false</trackRevisions>
    </reviewItem>
    <reviewItem>
      <errorID>4133329c-6439-4ad0-a313-c73869aca533</errorID>
      <errorWord>砂子</errorWord>
      <group>L1_Word</group>
      <groupName>字词问题</groupName>
      <ability>L2_Typo</ability>
      <abilityName>字词错误</abilityName>
      <candidateList>
        <item>沙子</item>
      </candidateList>
      <explain>存在发音相同字词的误用。</explain>
      <paraID>363E2519</paraID>
      <start>0</start>
      <end>2</end>
      <status>unmodified</status>
      <modifiedWord/>
      <trackRevisions>false</trackRevisions>
    </reviewItem>
    <reviewItem>
      <errorID>5cb1b6e6-5ee3-4869-a7b8-5075c4b94240</errorID>
      <errorWord>的</errorWord>
      <group>L1_Word</group>
      <groupName>字词问题</groupName>
      <ability>L2_DDD</ability>
      <abilityName>的地得用法</abilityName>
      <candidateList>
        <item>地</item>
      </candidateList>
      <explain/>
      <paraID>172730F3</paraID>
      <start>35</start>
      <end>36</end>
      <status>modified</status>
      <modifiedWord>地</modifiedWord>
      <trackRevisions>false</trackRevisions>
    </reviewItem>
    <reviewItem>
      <errorID>5d1e713a-6a57-43e2-9b80-e3d8e3f95498</errorID>
      <errorWord>:</errorWord>
      <group>L1_Format</group>
      <groupName>格式问题</groupName>
      <ability>L2_HalfPunc_CN</ability>
      <abilityName>全半角问题</abilityName>
      <candidateList>
        <item>：</item>
      </candidateList>
      <explain>文本全半角错误。</explain>
      <paraID>3FDADF9D</paraID>
      <start>57</start>
      <end>58</end>
      <status>unmodified</status>
      <modifiedWord/>
      <trackRevisions>false</trackRevisions>
    </reviewItem>
    <reviewItem>
      <errorID>f1b3d012-0e53-4d8f-a214-52aefa4f82ab</errorID>
      <errorWord>岩页</errorWord>
      <group>L1_Word</group>
      <groupName>字词问题</groupName>
      <ability>L2_Typo</ability>
      <abilityName>字词错误</abilityName>
      <candidateList>
        <item>页岩</item>
      </candidateList>
      <explain/>
      <paraID>3FDADF9D</paraID>
      <start>131</start>
      <end>133</end>
      <status>modified</status>
      <modifiedWord>页岩</modifiedWord>
      <trackRevisions>false</trackRevisions>
    </reviewItem>
    <reviewItem>
      <errorID>7e732822-7f17-4bb5-9faf-dff2d9a18e16</errorID>
      <errorWord>~</errorWord>
      <group>L1_Format</group>
      <groupName>格式问题</groupName>
      <ability>L2_HalfPunc_CN</ability>
      <abilityName>全半角问题</abilityName>
      <candidateList>
        <item>～</item>
      </candidateList>
      <explain>文本全半角错误。</explain>
      <paraID>2EBF509B</paraID>
      <start>77</start>
      <end>78</end>
      <status>unmodified</status>
      <modifiedWord/>
      <trackRevisions>false</trackRevisions>
    </reviewItem>
    <reviewItem>
      <errorID>0e808197-195b-432d-9249-59518c1945bb</errorID>
      <errorWord>~</errorWord>
      <group>L1_Format</group>
      <groupName>格式问题</groupName>
      <ability>L2_HalfPunc_CN</ability>
      <abilityName>全半角问题</abilityName>
      <candidateList>
        <item>～</item>
      </candidateList>
      <explain>文本全半角错误。</explain>
      <paraID>2EBF509B</paraID>
      <start>119</start>
      <end>120</end>
      <status>unmodified</status>
      <modifiedWord/>
      <trackRevisions>false</trackRevisions>
    </reviewItem>
    <reviewItem>
      <errorID>9eead69a-f83e-4043-84fa-982bf9b64b48</errorID>
      <errorWord>0.50%~29.12%</errorWord>
      <group>L1_Knowledge</group>
      <groupName>知识性问题</groupName>
      <ability>L2_Knowledge</ability>
      <abilityName>其他知识</abilityName>
      <candidateList>
        <item>0.50%～29.12%</item>
      </candidateList>
      <explain>1. “0.50%~29.12%”中的单位“%”仅出现在后一个数字上，容易引起歧义；根据《现代汉语标点符号数字用法规范手册》，数字表示范围两边需要使用统一的格式。2. 根据标点国标 4.13 中的规则，数字、时间或地域连接符应使用（视觉上更长的）“—”或“～”。</explain>
      <paraID>2EBF509B</paraID>
      <start>182</start>
      <end>194</end>
      <status>unmodified</status>
      <modifiedWord/>
      <trackRevisions>false</trackRevisions>
    </reviewItem>
    <reviewItem>
      <errorID>e449e2d5-2a57-4ea2-b05b-7b89bf9615fc</errorID>
      <errorWord>，</errorWord>
      <group>L1_Word</group>
      <groupName>字词问题</groupName>
      <ability>L2_Typo</ability>
      <abilityName>字词错误</abilityName>
      <candidateList>
        <item>，具</item>
      </candidateList>
      <explain/>
      <paraID> 9952179</paraID>
      <start>134</start>
      <end>136</end>
      <status>modified</status>
      <modifiedWord>，具</modifiedWord>
      <trackRevisions>false</trackRevisions>
    </reviewItem>
    <reviewItem>
      <errorID>9ed499fd-c442-44c6-b447-0b0a8fb5fc3e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10575E88</paraID>
      <start>0</start>
      <end>2</end>
      <status>unmodified</status>
      <modifiedWord/>
      <trackRevisions>false</trackRevisions>
    </reviewItem>
    <reviewItem>
      <errorID>c8402655-5b57-46da-b4c1-f171f580cda6</errorID>
      <errorWord>砂子</errorWord>
      <group>L1_Word</group>
      <groupName>字词问题</groupName>
      <ability>L2_Typo</ability>
      <abilityName>字词错误</abilityName>
      <candidateList>
        <item>沙子</item>
      </candidateList>
      <explain>存在发音相同字词的误用。</explain>
      <paraID>63686AB7</paraID>
      <start>0</start>
      <end>2</end>
      <status>unmodified</status>
      <modifiedWord/>
      <trackRevisions>false</trackRevisions>
    </reviewItem>
    <reviewItem>
      <errorID>c7182211-4c27-47dd-8023-f81ba24feb37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4ADA50A5</paraID>
      <start>0</start>
      <end>2</end>
      <status>unmodified</status>
      <modifiedWord/>
      <trackRevisions>false</trackRevisions>
    </reviewItem>
    <reviewItem>
      <errorID>0166afd8-60ea-4341-814a-2bccbf59c6f1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69963CE3</paraID>
      <start>0</start>
      <end>2</end>
      <status>unmodified</status>
      <modifiedWord/>
      <trackRevisions>false</trackRevisions>
    </reviewItem>
    <reviewItem>
      <errorID>46136188-5a9a-4a3d-b21e-28aed5beaec1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622C6AEE</paraID>
      <start>0</start>
      <end>3</end>
      <status>unmodified</status>
      <modifiedWord/>
      <trackRevisions>false</trackRevisions>
    </reviewItem>
    <reviewItem>
      <errorID>70414da7-c1b7-4b81-9412-184e91cf1b3e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571582FA</paraID>
      <start>0</start>
      <end>3</end>
      <status>unmodified</status>
      <modifiedWord/>
      <trackRevisions>false</trackRevisions>
    </reviewItem>
    <reviewItem>
      <errorID>5db0f77a-3177-452c-8cdd-dfc52057debd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5D374018</paraID>
      <start>0</start>
      <end>2</end>
      <status>unmodified</status>
      <modifiedWord/>
      <trackRevisions>false</trackRevisions>
    </reviewItem>
    <reviewItem>
      <errorID>299fc184-a30d-4ce9-80d4-6c0d3dd43b7f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20E46307</paraID>
      <start>0</start>
      <end>2</end>
      <status>unmodified</status>
      <modifiedWord/>
      <trackRevisions>false</trackRevisions>
    </reviewItem>
    <reviewItem>
      <errorID>1ee08fe0-5d3d-4e6d-979b-120a21bea307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4846B0F3</paraID>
      <start>0</start>
      <end>2</end>
      <status>unmodified</status>
      <modifiedWord/>
      <trackRevisions>false</trackRevisions>
    </reviewItem>
    <reviewItem>
      <errorID>cc111518-7883-4bd1-a93f-aee85fcb52e4</errorID>
      <errorWord>程</errorWord>
      <group>L1_Word</group>
      <groupName>字词问题</groupName>
      <ability>L2_Typo</ability>
      <abilityName>字词错误</abilityName>
      <candidateList>
        <item>程中</item>
      </candidateList>
      <explain/>
      <paraID>6CC82287</paraID>
      <start>29</start>
      <end>31</end>
      <status>modified</status>
      <modifiedWord>程中</modifiedWord>
      <trackRevisions>false</trackRevisions>
    </reviewItem>
    <reviewItem>
      <errorID>9816f91b-9c24-4c89-86cf-ccd6ebb96dc4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8FDCA10</paraID>
      <start>0</start>
      <end>2</end>
      <status>unmodified</status>
      <modifiedWord/>
      <trackRevisions>false</trackRevisions>
    </reviewItem>
    <reviewItem>
      <errorID>587d2cf2-7705-4604-95cd-41a245c17dda</errorID>
      <errorWord>程</errorWord>
      <group>L1_Word</group>
      <groupName>字词问题</groupName>
      <ability>L2_Typo</ability>
      <abilityName>字词错误</abilityName>
      <candidateList>
        <item>程中</item>
      </candidateList>
      <explain/>
      <paraID>30BFCC55</paraID>
      <start>28</start>
      <end>30</end>
      <status>modified</status>
      <modifiedWord>程中</modifiedWord>
      <trackRevisions>false</trackRevisions>
    </reviewItem>
    <reviewItem>
      <errorID>635cddf2-59cd-4e5c-9769-cd0fbc30dce8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3F65FDEC</paraID>
      <start>0</start>
      <end>2</end>
      <status>unmodified</status>
      <modifiedWord/>
      <trackRevisions>false</trackRevisions>
    </reviewItem>
    <reviewItem>
      <errorID>c308053f-3073-49b9-a1c6-e45345a53dca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4AB641A2</paraID>
      <start>0</start>
      <end>2</end>
      <status>unmodified</status>
      <modifiedWord/>
      <trackRevisions>false</trackRevisions>
    </reviewItem>
    <reviewItem>
      <errorID>7de988c7-b2f7-41dc-b52b-c21408481e6a</errorID>
      <errorWord>"</errorWord>
      <group>L1_Format</group>
      <groupName>格式问题</groupName>
      <ability>L2_HalfPunc_CN</ability>
      <abilityName>全半角问题</abilityName>
      <candidateList>
        <item>”</item>
      </candidateList>
      <explain>文本全半角错误。</explain>
      <paraID>6E1281CA</paraID>
      <start>137</start>
      <end>138</end>
      <status>unmodified</status>
      <modifiedWord/>
      <trackRevisions>false</trackRevisions>
    </reviewItem>
    <reviewItem>
      <errorID>bbd38c0e-377d-4c35-a118-64f4d6628828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6E1281CA</paraID>
      <start>163</start>
      <end>164</end>
      <status>unmodified</status>
      <modifiedWord/>
      <trackRevisions>false</trackRevisions>
    </reviewItem>
    <reviewItem>
      <errorID>467cb53e-39ba-4aa8-a77b-23af2742395f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4E6DE313</paraID>
      <start>205</start>
      <end>206</end>
      <status>unmodified</status>
      <modifiedWord/>
      <trackRevisions>false</trackRevisions>
    </reviewItem>
    <reviewItem>
      <errorID>808763a4-a61b-4e4c-ab32-127b778a7852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54C79954</paraID>
      <start>0</start>
      <end>2</end>
      <status>unmodified</status>
      <modifiedWord/>
      <trackRevisions>false</trackRevisions>
    </reviewItem>
    <reviewItem>
      <errorID>4223ca90-56e8-450b-8a85-9dce39755f80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574B5DBA</paraID>
      <start>0</start>
      <end>2</end>
      <status>unmodified</status>
      <modifiedWord/>
      <trackRevisions>false</trackRevisions>
    </reviewItem>
    <reviewItem>
      <errorID>f1153826-0f88-4b04-8f3c-bfe10422d316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591E521E</paraID>
      <start>0</start>
      <end>2</end>
      <status>unmodified</status>
      <modifiedWord/>
      <trackRevisions>false</trackRevisions>
    </reviewItem>
    <reviewItem>
      <errorID>dff23178-f6f1-4597-a4a2-59ac2f8f4f3f</errorID>
      <errorWord>（</errorWord>
      <group>L1_Format</group>
      <groupName>格式问题</groupName>
      <ability>L2_HalfPunc_CN</ability>
      <abilityName>全半角问题</abilityName>
      <candidateList>
        <item>(</item>
      </candidateList>
      <explain>文本全半角错误。</explain>
      <paraID>64480842</paraID>
      <start>4</start>
      <end>5</end>
      <status>unmodified</status>
      <modifiedWord/>
      <trackRevisions>false</trackRevisions>
    </reviewItem>
    <reviewItem>
      <errorID>ea9a3ef6-e4eb-484c-ad85-464a4065535c</errorID>
      <errorWord>）</errorWord>
      <group>L1_Format</group>
      <groupName>格式问题</groupName>
      <ability>L2_HalfPunc_CN</ability>
      <abilityName>全半角问题</abilityName>
      <candidateList>
        <item>)</item>
      </candidateList>
      <explain>文本全半角错误。</explain>
      <paraID>64480842</paraID>
      <start>6</start>
      <end>7</end>
      <status>unmodified</status>
      <modifiedWord/>
      <trackRevisions>false</trackRevisions>
    </reviewItem>
    <reviewItem>
      <errorID>c41b0926-6f7c-4ff7-a211-f4e8898057ec</errorID>
      <errorWord>（</errorWord>
      <group>L1_Format</group>
      <groupName>格式问题</groupName>
      <ability>L2_HalfPunc_CN</ability>
      <abilityName>全半角问题</abilityName>
      <candidateList>
        <item>(</item>
      </candidateList>
      <explain>文本全半角错误。</explain>
      <paraID>7012248E</paraID>
      <start>4</start>
      <end>5</end>
      <status>unmodified</status>
      <modifiedWord/>
      <trackRevisions>false</trackRevisions>
    </reviewItem>
    <reviewItem>
      <errorID>a3ebda0a-43d9-4022-9c25-af85a29d3256</errorID>
      <errorWord>）</errorWord>
      <group>L1_Format</group>
      <groupName>格式问题</groupName>
      <ability>L2_HalfPunc_CN</ability>
      <abilityName>全半角问题</abilityName>
      <candidateList>
        <item>)</item>
      </candidateList>
      <explain>文本全半角错误。</explain>
      <paraID>7012248E</paraID>
      <start>6</start>
      <end>7</end>
      <status>unmodified</status>
      <modifiedWord/>
      <trackRevisions>false</trackRevisions>
    </reviewItem>
    <reviewItem>
      <errorID>a2b7d86c-08c3-4f3b-86a4-a4c99ed77553</errorID>
      <errorWord>（</errorWord>
      <group>L1_Format</group>
      <groupName>格式问题</groupName>
      <ability>L2_HalfPunc_CN</ability>
      <abilityName>全半角问题</abilityName>
      <candidateList>
        <item>(</item>
      </candidateList>
      <explain>文本全半角错误。</explain>
      <paraID>54C4C896</paraID>
      <start>4</start>
      <end>5</end>
      <status>unmodified</status>
      <modifiedWord/>
      <trackRevisions>false</trackRevisions>
    </reviewItem>
    <reviewItem>
      <errorID>4c2554b6-9a01-4579-8681-41364d25f0c1</errorID>
      <errorWord>）</errorWord>
      <group>L1_Format</group>
      <groupName>格式问题</groupName>
      <ability>L2_HalfPunc_CN</ability>
      <abilityName>全半角问题</abilityName>
      <candidateList>
        <item>)</item>
      </candidateList>
      <explain>文本全半角错误。</explain>
      <paraID>54C4C896</paraID>
      <start>6</start>
      <end>7</end>
      <status>unmodified</status>
      <modifiedWord/>
      <trackRevisions>false</trackRevisions>
    </reviewItem>
    <reviewItem>
      <errorID>f94ac927-b435-40a9-aa9f-c36bd88f1c75</errorID>
      <errorWord>（</errorWord>
      <group>L1_Format</group>
      <groupName>格式问题</groupName>
      <ability>L2_HalfPunc_CN</ability>
      <abilityName>全半角问题</abilityName>
      <candidateList>
        <item>(</item>
      </candidateList>
      <explain>文本全半角错误。</explain>
      <paraID>1BE337DA</paraID>
      <start>4</start>
      <end>5</end>
      <status>unmodified</status>
      <modifiedWord/>
      <trackRevisions>false</trackRevisions>
    </reviewItem>
    <reviewItem>
      <errorID>2ff47c66-29d4-42e9-b071-5da152668b0d</errorID>
      <errorWord>）</errorWord>
      <group>L1_Format</group>
      <groupName>格式问题</groupName>
      <ability>L2_HalfPunc_CN</ability>
      <abilityName>全半角问题</abilityName>
      <candidateList>
        <item>)</item>
      </candidateList>
      <explain>文本全半角错误。</explain>
      <paraID>1BE337DA</paraID>
      <start>6</start>
      <end>7</end>
      <status>unmodified</status>
      <modifiedWord/>
      <trackRevisions>false</trackRevisions>
    </reviewItem>
    <reviewItem>
      <errorID>9a3a31ab-5aeb-41b5-93c2-55c38c4132af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5A001B9E</paraID>
      <start>0</start>
      <end>2</end>
      <status>unmodified</status>
      <modifiedWord/>
      <trackRevisions>false</trackRevisions>
    </reviewItem>
    <reviewItem>
      <errorID>eeaa596a-c2e5-41d6-a57a-97299efca1c1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20967D13</paraID>
      <start>46</start>
      <end>47</end>
      <status>unmodified</status>
      <modifiedWord/>
      <trackRevisions>false</trackRevisions>
    </reviewItem>
    <reviewItem>
      <errorID>d97139c6-e368-473e-9826-ed562d3cd7d6</errorID>
      <errorWord>措</errorWord>
      <group>L1_Word</group>
      <groupName>字词问题</groupName>
      <ability>L2_Typo</ability>
      <abilityName>字词错误</abilityName>
      <candidateList>
        <item>措施</item>
      </candidateList>
      <explain/>
      <paraID>3001567B</paraID>
      <start>1</start>
      <end>2</end>
      <status>unmodified</status>
      <modifiedWord/>
      <trackRevisions>false</trackRevisions>
    </reviewItem>
    <reviewItem>
      <errorID>0f7d3930-62d6-4d6a-90b0-d891ecc02280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7E636036</paraID>
      <start>0</start>
      <end>2</end>
      <status>unmodified</status>
      <modifiedWord/>
      <trackRevisions>false</trackRevisions>
    </reviewItem>
    <reviewItem>
      <errorID>01872c19-f88f-4961-ad89-6cd0836c284b</errorID>
      <errorWord>程</errorWord>
      <group>L1_Word</group>
      <groupName>字词问题</groupName>
      <ability>L2_Typo</ability>
      <abilityName>字词错误</abilityName>
      <candidateList>
        <item>程中</item>
      </candidateList>
      <explain/>
      <paraID>219E4EE7</paraID>
      <start>24</start>
      <end>26</end>
      <status>modified</status>
      <modifiedWord>程中</modifiedWord>
      <trackRevisions>false</trackRevisions>
    </reviewItem>
    <reviewItem>
      <errorID>f1ea116c-b637-4a1c-b331-54dff09e074e</errorID>
      <errorWord>｛</errorWord>
      <group>L1_Format</group>
      <groupName>格式问题</groupName>
      <ability>L2_HalfPunc_CN</ability>
      <abilityName>全半角问题</abilityName>
      <candidateList>
        <item>{</item>
      </candidateList>
      <explain>文本全半角错误。</explain>
      <paraID>3234B331</paraID>
      <start>10</start>
      <end>11</end>
      <status>unmodified</status>
      <modifiedWord/>
      <trackRevisions>false</trackRevisions>
    </reviewItem>
    <reviewItem>
      <errorID>95f0f9fd-5f33-48b7-b235-8d0ff089b0f5</errorID>
      <errorWord>（</errorWord>
      <group>L1_Format</group>
      <groupName>格式问题</groupName>
      <ability>L2_HalfPunc_CN</ability>
      <abilityName>全半角问题</abilityName>
      <candidateList>
        <item>(</item>
      </candidateList>
      <explain>文本全半角错误。</explain>
      <paraID>3234B331</paraID>
      <start>16</start>
      <end>17</end>
      <status>unmodified</status>
      <modifiedWord/>
      <trackRevisions>false</trackRevisions>
    </reviewItem>
    <reviewItem>
      <errorID>44e3c03c-ff6b-4170-a4ff-6a31fcad1501</errorID>
      <errorWord>）＋</errorWord>
      <group>L1_Format</group>
      <groupName>格式问题</groupName>
      <ability>L2_HalfPunc_CN</ability>
      <abilityName>全半角问题</abilityName>
      <candidateList>
        <item>)+</item>
      </candidateList>
      <explain>文本全半角错误。</explain>
      <paraID>3234B331</paraID>
      <start>20</start>
      <end>22</end>
      <status>unmodified</status>
      <modifiedWord/>
      <trackRevisions>false</trackRevisions>
    </reviewItem>
    <reviewItem>
      <errorID>4754743b-d8b6-4e83-9cd4-96368ba3ea0c</errorID>
      <errorWord>｝</errorWord>
      <group>L1_Format</group>
      <groupName>格式问题</groupName>
      <ability>L2_HalfPunc_CN</ability>
      <abilityName>全半角问题</abilityName>
      <candidateList>
        <item>}</item>
      </candidateList>
      <explain>文本全半角错误。</explain>
      <paraID>3234B331</paraID>
      <start>28</start>
      <end>29</end>
      <status>unmodified</status>
      <modifiedWord/>
      <trackRevisions>false</trackRevisions>
    </reviewItem>
    <reviewItem>
      <errorID>b2d6431e-b31c-44e1-8460-782cc05ba7c8</errorID>
      <errorWord>（</errorWord>
      <group>L1_Format</group>
      <groupName>格式问题</groupName>
      <ability>L2_HalfPunc_CN</ability>
      <abilityName>全半角问题</abilityName>
      <candidateList>
        <item>(</item>
      </candidateList>
      <explain>文本全半角错误。</explain>
      <paraID>617873EA</paraID>
      <start>7</start>
      <end>8</end>
      <status>unmodified</status>
      <modifiedWord/>
      <trackRevisions>false</trackRevisions>
    </reviewItem>
    <reviewItem>
      <errorID>715037c1-e5d9-4c30-9dfa-9bbb91eca0ac</errorID>
      <errorWord>）</errorWord>
      <group>L1_Format</group>
      <groupName>格式问题</groupName>
      <ability>L2_HalfPunc_CN</ability>
      <abilityName>全半角问题</abilityName>
      <candidateList>
        <item>)</item>
      </candidateList>
      <explain>文本全半角错误。</explain>
      <paraID>617873EA</paraID>
      <start>13</start>
      <end>14</end>
      <status>unmodified</status>
      <modifiedWord/>
      <trackRevisions>false</trackRevisions>
    </reviewItem>
    <reviewItem>
      <errorID>3fd2cf58-fb7d-4e6c-80fd-aa367fb77f6d</errorID>
      <errorWord>（</errorWord>
      <group>L1_Format</group>
      <groupName>格式问题</groupName>
      <ability>L2_HalfPunc_CN</ability>
      <abilityName>全半角问题</abilityName>
      <candidateList>
        <item>(</item>
      </candidateList>
      <explain>文本全半角错误。</explain>
      <paraID>617873EA</paraID>
      <start>16</start>
      <end>17</end>
      <status>unmodified</status>
      <modifiedWord/>
      <trackRevisions>false</trackRevisions>
    </reviewItem>
    <reviewItem>
      <errorID>c91a8a70-0a4e-473c-bb60-bc3edaeb4e62</errorID>
      <errorWord>）</errorWord>
      <group>L1_Format</group>
      <groupName>格式问题</groupName>
      <ability>L2_HalfPunc_CN</ability>
      <abilityName>全半角问题</abilityName>
      <candidateList>
        <item>)</item>
      </candidateList>
      <explain>文本全半角错误。</explain>
      <paraID>617873EA</paraID>
      <start>24</start>
      <end>25</end>
      <status>unmodified</status>
      <modifiedWord/>
      <trackRevisions>false</trackRevisions>
    </reviewItem>
    <reviewItem>
      <errorID>4473604e-8ab8-4a97-8412-d6c7462f5814</errorID>
      <errorWord>（</errorWord>
      <group>L1_Format</group>
      <groupName>格式问题</groupName>
      <ability>L2_HalfPunc_CN</ability>
      <abilityName>全半角问题</abilityName>
      <candidateList>
        <item>(</item>
      </candidateList>
      <explain>文本全半角错误。</explain>
      <paraID>617873EA</paraID>
      <start>32</start>
      <end>33</end>
      <status>unmodified</status>
      <modifiedWord/>
      <trackRevisions>false</trackRevisions>
    </reviewItem>
    <reviewItem>
      <errorID>c6af3db7-7a58-459b-916d-92ec6ea7a0ce</errorID>
      <errorWord>）</errorWord>
      <group>L1_Format</group>
      <groupName>格式问题</groupName>
      <ability>L2_HalfPunc_CN</ability>
      <abilityName>全半角问题</abilityName>
      <candidateList>
        <item>)</item>
      </candidateList>
      <explain>文本全半角错误。</explain>
      <paraID>617873EA</paraID>
      <start>41</start>
      <end>42</end>
      <status>unmodified</status>
      <modifiedWord/>
      <trackRevisions>false</trackRevisions>
    </reviewItem>
    <reviewItem>
      <errorID>2d3f372d-51da-4798-a3c3-2da1165a4ce9</errorID>
      <errorWord>砂子</errorWord>
      <group>L1_Word</group>
      <groupName>字词问题</groupName>
      <ability>L2_Typo</ability>
      <abilityName>字词错误</abilityName>
      <candidateList>
        <item>沙子</item>
      </candidateList>
      <explain>存在发音相同字词的误用。</explain>
      <paraID>21FA7499</paraID>
      <start>0</start>
      <end>2</end>
      <status>unmodified</status>
      <modifiedWord/>
      <trackRevisions>false</trackRevisions>
    </reviewItem>
    <reviewItem>
      <errorID>66ddfdb3-d214-4024-aa5c-9dc3d2538ce5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53D7E16B</paraID>
      <start>0</start>
      <end>2</end>
      <status>unmodified</status>
      <modifiedWord/>
      <trackRevisions>false</trackRevisions>
    </reviewItem>
    <reviewItem>
      <errorID>1baca846-9ff3-40e9-b816-8b57bd851feb</errorID>
      <errorWord>聚增</errorWord>
      <group>L1_Word</group>
      <groupName>字词问题</groupName>
      <ability>L2_Typo</ability>
      <abilityName>字词错误</abilityName>
      <candidateList>
        <item>剧增</item>
      </candidateList>
      <explain/>
      <paraID>767BC66C</paraID>
      <start>234</start>
      <end>236</end>
      <status>modified</status>
      <modifiedWord>剧增</modifiedWord>
      <trackRevisions>false</trackRevisions>
    </reviewItem>
    <reviewItem>
      <errorID>21d231d4-142a-4a23-92b3-1a2c1a79b7bd</errorID>
      <errorWord>粘</errorWord>
      <group>L1_Word</group>
      <groupName>字词问题</groupName>
      <ability>L2_Typo</ability>
      <abilityName>字词错误</abilityName>
      <candidateList>
        <item>黏</item>
      </candidateList>
      <explain>存在发音相同字词的误用。</explain>
      <paraID>767BC66C</paraID>
      <start>251</start>
      <end>252</end>
      <status>modified</status>
      <modifiedWord>黏</modifiedWord>
      <trackRevisions>false</trackRevisions>
    </reviewItem>
    <reviewItem>
      <errorID>2f9cd844-9603-4315-ba61-63e493d5ab1e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4AEAC1C7</paraID>
      <start>0</start>
      <end>2</end>
      <status>unmodified</status>
      <modifiedWord/>
      <trackRevisions>false</trackRevisions>
    </reviewItem>
    <reviewItem>
      <errorID>e6663b60-3c66-48d8-a2a3-39f0c17460e8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5918F50D</paraID>
      <start>0</start>
      <end>2</end>
      <status>unmodified</status>
      <modifiedWord/>
      <trackRevisions>false</trackRevisions>
    </reviewItem>
    <reviewItem>
      <errorID>c31f5b3c-528b-404a-9eef-24fa34953d51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57F5349B</paraID>
      <start>0</start>
      <end>2</end>
      <status>unmodified</status>
      <modifiedWord/>
      <trackRevisions>false</trackRevisions>
    </reviewItem>
    <reviewItem>
      <errorID>11a666f9-2901-4af4-b734-501697e761bf</errorID>
      <errorWord>污水厂</errorWord>
      <group>L1_Word</group>
      <groupName>字词问题</groupName>
      <ability>L2_Typo</ability>
      <abilityName>字词错误</abilityName>
      <candidateList>
        <item>污水处理厂</item>
      </candidateList>
      <explain/>
      <paraID>5022EA80</paraID>
      <start>181</start>
      <end>186</end>
      <status>modified</status>
      <modifiedWord>污水处理厂</modifiedWord>
      <trackRevisions>false</trackRevisions>
    </reviewItem>
    <reviewItem>
      <errorID>fec6f88b-99d5-4274-b28d-26aab56e6b3c</errorID>
      <errorWord>污水厂</errorWord>
      <group>L1_Word</group>
      <groupName>字词问题</groupName>
      <ability>L2_Typo</ability>
      <abilityName>字词错误</abilityName>
      <candidateList>
        <item>污水处理厂</item>
      </candidateList>
      <explain/>
      <paraID>5022EA80</paraID>
      <start>279</start>
      <end>284</end>
      <status>modified</status>
      <modifiedWord>污水处理厂</modifiedWord>
      <trackRevisions>false</trackRevisions>
    </reviewItem>
    <reviewItem>
      <errorID>78019bff-2bd7-4f9e-99ac-5c4822ae114f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5DDA917C</paraID>
      <start>0</start>
      <end>2</end>
      <status>unmodified</status>
      <modifiedWord/>
      <trackRevisions>false</trackRevisions>
    </reviewItem>
    <reviewItem>
      <errorID>5ac6fd08-2206-4e32-bae3-518dd67b000b</errorID>
      <errorWord>（</errorWord>
      <group>L1_Format</group>
      <groupName>格式问题</groupName>
      <ability>L2_HalfPunc_CN</ability>
      <abilityName>全半角问题</abilityName>
      <candidateList>
        <item>(</item>
      </candidateList>
      <explain>文本全半角错误。</explain>
      <paraID>17C18A98</paraID>
      <start>2</start>
      <end>3</end>
      <status>unmodified</status>
      <modifiedWord/>
      <trackRevisions>false</trackRevisions>
    </reviewItem>
    <reviewItem>
      <errorID>d339a527-a5a9-4ea9-a63a-8f2ee048d827</errorID>
      <errorWord>）</errorWord>
      <group>L1_Format</group>
      <groupName>格式问题</groupName>
      <ability>L2_HalfPunc_CN</ability>
      <abilityName>全半角问题</abilityName>
      <candidateList>
        <item>)</item>
      </candidateList>
      <explain>文本全半角错误。</explain>
      <paraID>17C18A98</paraID>
      <start>4</start>
      <end>5</end>
      <status>unmodified</status>
      <modifiedWord/>
      <trackRevisions>false</trackRevisions>
    </reviewItem>
    <reviewItem>
      <errorID>22aa2f7f-adc5-44c3-8c1d-bfba825bc0f3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15D5F0</paraID>
      <start>0</start>
      <end>2</end>
      <status>unmodified</status>
      <modifiedWord/>
      <trackRevisions>false</trackRevisions>
    </reviewItem>
    <reviewItem>
      <errorID>03e4634b-dab5-42db-9c7e-733915c0ffb1</errorID>
      <errorWord>选</errorWord>
      <group>L1_Word</group>
      <groupName>字词问题</groupName>
      <ability>L2_Typo</ability>
      <abilityName>字词错误</abilityName>
      <candidateList>
        <item>选择</item>
      </candidateList>
      <explain/>
      <paraID>7034050B</paraID>
      <start>22</start>
      <end>24</end>
      <status>modified</status>
      <modifiedWord>选择</modifiedWord>
      <trackRevisions>false</trackRevisions>
    </reviewItem>
    <reviewItem>
      <errorID>84240baa-1e3a-46d6-b281-8c8174e35eaa</errorID>
      <errorWord>（</errorWord>
      <group>L1_Format</group>
      <groupName>格式问题</groupName>
      <ability>L2_HalfPunc_CN</ability>
      <abilityName>全半角问题</abilityName>
      <candidateList>
        <item>(</item>
      </candidateList>
      <explain>文本全半角错误。</explain>
      <paraID>4428132D</paraID>
      <start>1</start>
      <end>2</end>
      <status>unmodified</status>
      <modifiedWord/>
      <trackRevisions>false</trackRevisions>
    </reviewItem>
    <reviewItem>
      <errorID>986337f6-9839-4b2b-ab13-190dbd1af9ea</errorID>
      <errorWord>）</errorWord>
      <group>L1_Format</group>
      <groupName>格式问题</groupName>
      <ability>L2_HalfPunc_CN</ability>
      <abilityName>全半角问题</abilityName>
      <candidateList>
        <item>)</item>
      </candidateList>
      <explain>文本全半角错误。</explain>
      <paraID>4428132D</paraID>
      <start>3</start>
      <end>4</end>
      <status>unmodified</status>
      <modifiedWord/>
      <trackRevisions>false</trackRevisions>
    </reviewItem>
    <reviewItem>
      <errorID>902966b8-a325-442b-9c15-f848b6f39b28</errorID>
      <errorWord>（</errorWord>
      <group>L1_Format</group>
      <groupName>格式问题</groupName>
      <ability>L2_HalfPunc_CN</ability>
      <abilityName>全半角问题</abilityName>
      <candidateList>
        <item>(</item>
      </candidateList>
      <explain>文本全半角错误。</explain>
      <paraID> 19941C5</paraID>
      <start>1</start>
      <end>2</end>
      <status>unmodified</status>
      <modifiedWord/>
      <trackRevisions>false</trackRevisions>
    </reviewItem>
    <reviewItem>
      <errorID>6335eb6e-b592-4ca5-8107-19aef04c5e30</errorID>
      <errorWord>）</errorWord>
      <group>L1_Format</group>
      <groupName>格式问题</groupName>
      <ability>L2_HalfPunc_CN</ability>
      <abilityName>全半角问题</abilityName>
      <candidateList>
        <item>)</item>
      </candidateList>
      <explain>文本全半角错误。</explain>
      <paraID> 19941C5</paraID>
      <start>3</start>
      <end>4</end>
      <status>unmodified</status>
      <modifiedWord/>
      <trackRevisions>false</trackRevisions>
    </reviewItem>
    <reviewItem>
      <errorID>698daca8-5696-4c86-a1ae-0aebc4e4c347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2FD2F2E7</paraID>
      <start>0</start>
      <end>2</end>
      <status>unmodified</status>
      <modifiedWord/>
      <trackRevisions>false</trackRevisions>
    </reviewItem>
    <reviewItem>
      <errorID>d8fd6596-dd6f-42cc-b0b9-c3c9c126a030</errorID>
      <errorWord>散</errorWord>
      <group>L1_Word</group>
      <groupName>字词问题</groupName>
      <ability>L2_Typo</ability>
      <abilityName>字词错误</abilityName>
      <candidateList>
        <item>撒</item>
      </candidateList>
      <explain>存在发音相近字词的误用。</explain>
      <paraID>7F442B99</paraID>
      <start>22</start>
      <end>23</end>
      <status>modified</status>
      <modifiedWord>撒</modifiedWord>
      <trackRevisions>false</trackRevisions>
    </reviewItem>
    <reviewItem>
      <errorID>3d1ef772-5f76-4579-ae14-41bab464ee7b</errorID>
      <errorWord>，</errorWord>
      <group>L1_Word</group>
      <groupName>字词问题</groupName>
      <ability>L2_Typo</ability>
      <abilityName>字词错误</abilityName>
      <candidateList>
        <item>，在</item>
      </candidateList>
      <explain/>
      <paraID> E0DB564</paraID>
      <start>111</start>
      <end>113</end>
      <status>modified</status>
      <modifiedWord>，在</modifiedWord>
      <trackRevisions>false</trackRevisions>
    </reviewItem>
    <reviewItem>
      <errorID>1301fc4f-48bc-4b1b-b421-ebf6cb131630</errorID>
      <errorWord>程</errorWord>
      <group>L1_Word</group>
      <groupName>字词问题</groupName>
      <ability>L2_Typo</ability>
      <abilityName>字词错误</abilityName>
      <candidateList>
        <item>程中</item>
      </candidateList>
      <explain/>
      <paraID> E0DB564</paraID>
      <start>148</start>
      <end>150</end>
      <status>modified</status>
      <modifiedWord>程中</modifiedWord>
      <trackRevisions>false</trackRevisions>
    </reviewItem>
    <reviewItem>
      <errorID>376a93e0-f22c-4a37-85f9-544440fdb181</errorID>
      <errorWord>（</errorWord>
      <group>L1_Format</group>
      <groupName>格式问题</groupName>
      <ability>L2_HalfPunc_CN</ability>
      <abilityName>全半角问题</abilityName>
      <candidateList>
        <item>(</item>
      </candidateList>
      <explain>文本全半角错误。</explain>
      <paraID>5A0B07C5</paraID>
      <start>0</start>
      <end>1</end>
      <status>unmodified</status>
      <modifiedWord/>
      <trackRevisions>false</trackRevisions>
    </reviewItem>
    <reviewItem>
      <errorID>964d8874-e1db-4846-b687-b28404a5ce99</errorID>
      <errorWord>）</errorWord>
      <group>L1_Format</group>
      <groupName>格式问题</groupName>
      <ability>L2_HalfPunc_CN</ability>
      <abilityName>全半角问题</abilityName>
      <candidateList>
        <item>)</item>
      </candidateList>
      <explain>文本全半角错误。</explain>
      <paraID>5A0B07C5</paraID>
      <start>12</start>
      <end>13</end>
      <status>unmodified</status>
      <modifiedWord/>
      <trackRevisions>false</trackRevisions>
    </reviewItem>
    <reviewItem>
      <errorID>5ccb3575-fbc0-4bf3-93a7-82d929ba355f</errorID>
      <errorWord>（</errorWord>
      <group>L1_Format</group>
      <groupName>格式问题</groupName>
      <ability>L2_HalfPunc_CN</ability>
      <abilityName>全半角问题</abilityName>
      <candidateList>
        <item>(</item>
      </candidateList>
      <explain>文本全半角错误。</explain>
      <paraID>46FEFBD9</paraID>
      <start>0</start>
      <end>1</end>
      <status>unmodified</status>
      <modifiedWord/>
      <trackRevisions>false</trackRevisions>
    </reviewItem>
    <reviewItem>
      <errorID>76108f8f-55cd-4556-8f9e-f7554b116ddd</errorID>
      <errorWord>）</errorWord>
      <group>L1_Format</group>
      <groupName>格式问题</groupName>
      <ability>L2_HalfPunc_CN</ability>
      <abilityName>全半角问题</abilityName>
      <candidateList>
        <item>)</item>
      </candidateList>
      <explain>文本全半角错误。</explain>
      <paraID>46FEFBD9</paraID>
      <start>12</start>
      <end>13</end>
      <status>unmodified</status>
      <modifiedWord/>
      <trackRevisions>false</trackRevisions>
    </reviewItem>
    <reviewItem>
      <errorID>d382fda1-5e98-4d59-99b8-817de5160339</errorID>
      <errorWord>（</errorWord>
      <group>L1_Format</group>
      <groupName>格式问题</groupName>
      <ability>L2_HalfPunc_CN</ability>
      <abilityName>全半角问题</abilityName>
      <candidateList>
        <item>(</item>
      </candidateList>
      <explain>文本全半角错误。</explain>
      <paraID>15077A05</paraID>
      <start>0</start>
      <end>1</end>
      <status>unmodified</status>
      <modifiedWord/>
      <trackRevisions>false</trackRevisions>
    </reviewItem>
    <reviewItem>
      <errorID>99fa4509-40cd-4aec-bf8e-e685092806c6</errorID>
      <errorWord>）</errorWord>
      <group>L1_Format</group>
      <groupName>格式问题</groupName>
      <ability>L2_HalfPunc_CN</ability>
      <abilityName>全半角问题</abilityName>
      <candidateList>
        <item>)</item>
      </candidateList>
      <explain>文本全半角错误。</explain>
      <paraID>15077A05</paraID>
      <start>12</start>
      <end>13</end>
      <status>unmodified</status>
      <modifiedWord/>
      <trackRevisions>false</trackRevisions>
    </reviewItem>
    <reviewItem>
      <errorID>0a0a6460-f711-4cce-a2cd-adf4e620bd71</errorID>
      <errorWord>（</errorWord>
      <group>L1_Format</group>
      <groupName>格式问题</groupName>
      <ability>L2_HalfPunc_CN</ability>
      <abilityName>全半角问题</abilityName>
      <candidateList>
        <item>(</item>
      </candidateList>
      <explain>文本全半角错误。</explain>
      <paraID>150BD335</paraID>
      <start>0</start>
      <end>1</end>
      <status>unmodified</status>
      <modifiedWord/>
      <trackRevisions>false</trackRevisions>
    </reviewItem>
    <reviewItem>
      <errorID>335162da-db7e-448e-be9e-ab7b6825c481</errorID>
      <errorWord>）</errorWord>
      <group>L1_Format</group>
      <groupName>格式问题</groupName>
      <ability>L2_HalfPunc_CN</ability>
      <abilityName>全半角问题</abilityName>
      <candidateList>
        <item>)</item>
      </candidateList>
      <explain>文本全半角错误。</explain>
      <paraID>150BD335</paraID>
      <start>12</start>
      <end>13</end>
      <status>unmodified</status>
      <modifiedWord/>
      <trackRevisions>false</trackRevisions>
    </reviewItem>
    <reviewItem>
      <errorID>92f7ec23-9f30-4d25-b1ce-d31366945050</errorID>
      <errorWord>（</errorWord>
      <group>L1_Format</group>
      <groupName>格式问题</groupName>
      <ability>L2_HalfPunc_CN</ability>
      <abilityName>全半角问题</abilityName>
      <candidateList>
        <item>(</item>
      </candidateList>
      <explain>文本全半角错误。</explain>
      <paraID>2C12AE3D</paraID>
      <start>0</start>
      <end>1</end>
      <status>unmodified</status>
      <modifiedWord/>
      <trackRevisions>false</trackRevisions>
    </reviewItem>
    <reviewItem>
      <errorID>6ebe18d4-6ccd-4df8-b4a6-fb9d29c2091f</errorID>
      <errorWord>）</errorWord>
      <group>L1_Format</group>
      <groupName>格式问题</groupName>
      <ability>L2_HalfPunc_CN</ability>
      <abilityName>全半角问题</abilityName>
      <candidateList>
        <item>)</item>
      </candidateList>
      <explain>文本全半角错误。</explain>
      <paraID>2C12AE3D</paraID>
      <start>12</start>
      <end>13</end>
      <status>unmodified</status>
      <modifiedWord/>
      <trackRevisions>false</trackRevisions>
    </reviewItem>
    <reviewItem>
      <errorID>daa275df-4c57-411a-9cee-9ded107406ae</errorID>
      <errorWord>（</errorWord>
      <group>L1_Format</group>
      <groupName>格式问题</groupName>
      <ability>L2_HalfPunc_CN</ability>
      <abilityName>全半角问题</abilityName>
      <candidateList>
        <item>(</item>
      </candidateList>
      <explain>文本全半角错误。</explain>
      <paraID>29860BD6</paraID>
      <start>4</start>
      <end>5</end>
      <status>unmodified</status>
      <modifiedWord/>
      <trackRevisions>false</trackRevisions>
    </reviewItem>
    <reviewItem>
      <errorID>7704138c-6a4d-45f2-a646-1865a4728c3d</errorID>
      <errorWord>）</errorWord>
      <group>L1_Format</group>
      <groupName>格式问题</groupName>
      <ability>L2_HalfPunc_CN</ability>
      <abilityName>全半角问题</abilityName>
      <candidateList>
        <item>)</item>
      </candidateList>
      <explain>文本全半角错误。</explain>
      <paraID>29860BD6</paraID>
      <start>15</start>
      <end>16</end>
      <status>unmodified</status>
      <modifiedWord/>
      <trackRevisions>false</trackRevisions>
    </reviewItem>
    <reviewItem>
      <errorID>90b51997-d7fe-437a-b8b4-ed5290c7af08</errorID>
      <errorWord>（</errorWord>
      <group>L1_Format</group>
      <groupName>格式问题</groupName>
      <ability>L2_HalfPunc_CN</ability>
      <abilityName>全半角问题</abilityName>
      <candidateList>
        <item>(</item>
      </candidateList>
      <explain>文本全半角错误。</explain>
      <paraID>7E7411C6</paraID>
      <start>4</start>
      <end>5</end>
      <status>unmodified</status>
      <modifiedWord/>
      <trackRevisions>false</trackRevisions>
    </reviewItem>
    <reviewItem>
      <errorID>90152093-70a2-4aeb-8e60-703f1f298658</errorID>
      <errorWord>）</errorWord>
      <group>L1_Format</group>
      <groupName>格式问题</groupName>
      <ability>L2_HalfPunc_CN</ability>
      <abilityName>全半角问题</abilityName>
      <candidateList>
        <item>)</item>
      </candidateList>
      <explain>文本全半角错误。</explain>
      <paraID>7E7411C6</paraID>
      <start>15</start>
      <end>16</end>
      <status>unmodified</status>
      <modifiedWord/>
      <trackRevisions>false</trackRevisions>
    </reviewItem>
    <reviewItem>
      <errorID>898028b4-be35-464a-bf9c-8032caa76824</errorID>
      <errorWord>（</errorWord>
      <group>L1_Format</group>
      <groupName>格式问题</groupName>
      <ability>L2_HalfPunc_CN</ability>
      <abilityName>全半角问题</abilityName>
      <candidateList>
        <item>(</item>
      </candidateList>
      <explain>文本全半角错误。</explain>
      <paraID>2D02B5B6</paraID>
      <start>0</start>
      <end>1</end>
      <status>unmodified</status>
      <modifiedWord/>
      <trackRevisions>false</trackRevisions>
    </reviewItem>
    <reviewItem>
      <errorID>03d9e6eb-4e70-45dd-a587-168779fa8086</errorID>
      <errorWord>）</errorWord>
      <group>L1_Format</group>
      <groupName>格式问题</groupName>
      <ability>L2_HalfPunc_CN</ability>
      <abilityName>全半角问题</abilityName>
      <candidateList>
        <item>)</item>
      </candidateList>
      <explain>文本全半角错误。</explain>
      <paraID>2D02B5B6</paraID>
      <start>11</start>
      <end>12</end>
      <status>unmodified</status>
      <modifiedWord/>
      <trackRevisions>false</trackRevisions>
    </reviewItem>
    <reviewItem>
      <errorID>059efd1f-794c-4335-b833-2c2f31f9ab5e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6297962B</paraID>
      <start>0</start>
      <end>2</end>
      <status>unmodified</status>
      <modifiedWord/>
      <trackRevisions>false</trackRevisions>
    </reviewItem>
    <reviewItem>
      <errorID>7020d8d7-493a-436e-866a-23652aa5a21e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4D336A94</paraID>
      <start>208</start>
      <end>209</end>
      <status>unmodified</status>
      <modifiedWord/>
      <trackRevisions>false</trackRevisions>
    </reviewItem>
    <reviewItem>
      <errorID>402c5448-d222-4a55-9763-619e06a56d09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4D336A94</paraID>
      <start>247</start>
      <end>248</end>
      <status>unmodified</status>
      <modifiedWord/>
      <trackRevisions>false</trackRevisions>
    </reviewItem>
    <reviewItem>
      <errorID>9a2b8769-1166-4088-b04a-67f75a1cf5c8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37AE27C2</paraID>
      <start>45</start>
      <end>48</end>
      <status>unmodified</status>
      <modifiedWord/>
      <trackRevisions>false</trackRevisions>
    </reviewItem>
    <reviewItem>
      <errorID>bed4f165-309a-4467-bda3-47b6c796b637</errorID>
      <errorWord>化</errorWord>
      <group>L1_Word</group>
      <groupName>字词问题</groupName>
      <ability>L2_Typo</ability>
      <abilityName>字词错误</abilityName>
      <candidateList>
        <item>化等</item>
      </candidateList>
      <explain/>
      <paraID>2468FB6A</paraID>
      <start>134</start>
      <end>136</end>
      <status>modified</status>
      <modifiedWord>化等</modifiedWord>
      <trackRevisions>false</trackRevisions>
    </reviewItem>
    <reviewItem>
      <errorID>8c48b170-fdb2-4fe8-9447-46a82d73ba5d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2EAAF980</paraID>
      <start>106</start>
      <end>107</end>
      <status>unmodified</status>
      <modifiedWord/>
      <trackRevisions>false</trackRevisions>
    </reviewItem>
    <reviewItem>
      <errorID>08926e56-f8f9-4155-9582-1dba5bdaabf0</errorID>
      <errorWord>程</errorWord>
      <group>L1_Word</group>
      <groupName>字词问题</groupName>
      <ability>L2_Typo</ability>
      <abilityName>字词错误</abilityName>
      <candidateList>
        <item>程中</item>
      </candidateList>
      <explain/>
      <paraID>1513A128</paraID>
      <start>28</start>
      <end>30</end>
      <status>modified</status>
      <modifiedWord>程中</modifiedWord>
      <trackRevisions>false</trackRevisions>
    </reviewItem>
    <reviewItem>
      <errorID>2e2f1fb8-fdf5-49ab-a332-17fe379190ab</errorID>
      <errorWord>集</errorWord>
      <group>L1_Word</group>
      <groupName>字词问题</groupName>
      <ability>L2_Typo</ability>
      <abilityName>字词错误</abilityName>
      <candidateList>
        <item>集在</item>
      </candidateList>
      <explain/>
      <paraID>137F2BD4</paraID>
      <start>60</start>
      <end>62</end>
      <status>modified</status>
      <modifiedWord>集在</modifiedWord>
      <trackRevisions>false</trackRevisions>
    </reviewItem>
    <reviewItem>
      <errorID>7e9851d2-8c9c-4c47-b918-c9c43fa68923</errorID>
      <errorWord>…，</errorWord>
      <group>L1_Punc</group>
      <groupName>标点问题</groupName>
      <ability>L2_Punc_CN</ability>
      <abilityName>标点符号问题</abilityName>
      <candidateList>
        <item>…</item>
      </candidateList>
      <explain/>
      <paraID>2BAA4EED</paraID>
      <start>8</start>
      <end>10</end>
      <status>unmodified</status>
      <modifiedWord/>
      <trackRevisions>false</trackRevisions>
    </reviewItem>
    <reviewItem>
      <errorID>fd3a20b0-18fb-4a13-ae1e-73c8b08716e2</errorID>
      <errorWord>饮用水源保护区</errorWord>
      <group>L1_Political</group>
      <groupName>政治性问题</groupName>
      <ability>L2_Keyword</ability>
      <abilityName>固定表述</abilityName>
      <candidateList>
        <item>饮用水水源保护区</item>
      </candidateList>
      <explain>词汇“饮用水水源保护区”在特定场景下为固定表述形式，请确认此处的“饮用水源保护区”是否存在不当。</explain>
      <paraID>6D7471AD</paraID>
      <start>53</start>
      <end>61</end>
      <status>modified</status>
      <modifiedWord>饮用水水源保护区</modifiedWord>
      <trackRevisions>false</trackRevisions>
    </reviewItem>
    <reviewItem>
      <errorID>284a2375-a98b-481f-b57c-7c6b63d7e11a</errorID>
      <errorWord>见</errorWord>
      <group>L1_Word</group>
      <groupName>字词问题</groupName>
      <ability>L2_Typo</ability>
      <abilityName>字词错误</abilityName>
      <candidateList>
        <item>见下</item>
      </candidateList>
      <explain/>
      <paraID> 59D347F</paraID>
      <start>66</start>
      <end>68</end>
      <status>modified</status>
      <modifiedWord>见下</modifiedWord>
      <trackRevisions>false</trackRevisions>
    </reviewItem>
    <reviewItem>
      <errorID>3c7bc239-e69b-401e-a058-4c0ec408254e</errorID>
      <errorWord>临近</errorWord>
      <group>L1_Word</group>
      <groupName>字词问题</groupName>
      <ability>L2_Typo</ability>
      <abilityName>字词错误</abilityName>
      <candidateList>
        <item>邻近</item>
      </candidateList>
      <explain>存在发音相同字词的误用。</explain>
      <paraID>2163586F</paraID>
      <start>6</start>
      <end>8</end>
      <status>modified</status>
      <modifiedWord>邻近</modifiedWord>
      <trackRevisions>false</trackRevisions>
    </reviewItem>
    <reviewItem>
      <errorID>2e12b07a-16e4-4930-80c7-68dedab32ce1</errorID>
      <errorWord>事故应急通讯</errorWord>
      <group>L1_Word</group>
      <groupName>字词问题</groupName>
      <ability>L2_Typo</ability>
      <abilityName>字词错误</abilityName>
      <candidateList>
        <item>事故应急通信</item>
      </candidateList>
      <explain/>
      <paraID>723EC810</paraID>
      <start>7</start>
      <end>13</end>
      <status>modified</status>
      <modifiedWord>事故应急通信</modifiedWord>
      <trackRevisions>false</trackRevisions>
    </reviewItem>
    <reviewItem>
      <errorID>0fab8790-4ec2-4268-a432-e122d88b2e1d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6583E244</paraID>
      <start>0</start>
      <end>2</end>
      <status>unmodified</status>
      <modifiedWord/>
      <trackRevisions>false</trackRevisions>
    </reviewItem>
    <reviewItem>
      <errorID>3faa0389-23cb-49e6-be64-4c5194e102da</errorID>
      <errorWord>、</errorWord>
      <group>L1_Word</group>
      <groupName>字词问题</groupName>
      <ability>L2_Typo</ability>
      <abilityName>字词错误</abilityName>
      <candidateList>
        <item>、各</item>
      </candidateList>
      <explain/>
      <paraID>3E5C7193</paraID>
      <start>16</start>
      <end>18</end>
      <status>modified</status>
      <modifiedWord>、各</modifiedWord>
      <trackRevisions>false</trackRevisions>
    </reviewItem>
    <reviewItem>
      <errorID>d68ae024-ab15-444a-9c17-cec6fb7a82a8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31AE028C</paraID>
      <start>0</start>
      <end>2</end>
      <status>unmodified</status>
      <modifiedWord/>
      <trackRevisions>false</trackRevisions>
    </reviewItem>
    <reviewItem>
      <errorID>6eaf4d20-290c-458a-83c5-57bf6e533418</errorID>
      <errorWord>(</errorWord>
      <group>L1_Format</group>
      <groupName>格式问题</groupName>
      <ability>L2_HalfPunc_CN</ability>
      <abilityName>全半角问题</abilityName>
      <candidateList>
        <item>（</item>
      </candidateList>
      <explain>文本全半角错误。</explain>
      <paraID>529A7E2E</paraID>
      <start>59</start>
      <end>60</end>
      <status>unmodified</status>
      <modifiedWord/>
      <trackRevisions>false</trackRevisions>
    </reviewItem>
    <reviewItem>
      <errorID>dce44f4c-b34e-4598-853b-b5c165aef110</errorID>
      <errorWord>)</errorWord>
      <group>L1_Format</group>
      <groupName>格式问题</groupName>
      <ability>L2_HalfPunc_CN</ability>
      <abilityName>全半角问题</abilityName>
      <candidateList>
        <item>）</item>
      </candidateList>
      <explain>文本全半角错误。</explain>
      <paraID>529A7E2E</paraID>
      <start>70</start>
      <end>71</end>
      <status>unmodified</status>
      <modifiedWord/>
      <trackRevisions>false</trackRevisions>
    </reviewItem>
    <reviewItem>
      <errorID>249c2452-ae52-4e72-ace3-d0245ecb541e</errorID>
      <errorWord>程</errorWord>
      <group>L1_Word</group>
      <groupName>字词问题</groupName>
      <ability>L2_Typo</ability>
      <abilityName>字词错误</abilityName>
      <candidateList>
        <item>程中</item>
      </candidateList>
      <explain/>
      <paraID>649EC884</paraID>
      <start>6</start>
      <end>8</end>
      <status>modified</status>
      <modifiedWord>程中</modifiedWord>
      <trackRevisions>false</trackRevisions>
    </reviewItem>
    <reviewItem>
      <errorID>56e7e18b-b21b-4ae2-b1fc-ab752bddf26d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473107B</paraID>
      <start>106</start>
      <end>107</end>
      <status>unmodified</status>
      <modifiedWord/>
      <trackRevisions>false</trackRevisions>
    </reviewItem>
    <reviewItem>
      <errorID>5a2c2a2d-98dc-42a8-9a63-5bf3c355635b</errorID>
      <errorWord>(</errorWord>
      <group>L1_Format</group>
      <groupName>格式问题</groupName>
      <ability>L2_HalfPunc_CN</ability>
      <abilityName>全半角问题</abilityName>
      <candidateList>
        <item>（</item>
      </candidateList>
      <explain>文本全半角错误。</explain>
      <paraID> 6884097</paraID>
      <start>3</start>
      <end>4</end>
      <status>unmodified</status>
      <modifiedWord/>
      <trackRevisions>false</trackRevisions>
    </reviewItem>
    <reviewItem>
      <errorID>1152ed52-e41a-49d3-82bc-d3980fa5b1f3</errorID>
      <errorWord>)</errorWord>
      <group>L1_Format</group>
      <groupName>格式问题</groupName>
      <ability>L2_HalfPunc_CN</ability>
      <abilityName>全半角问题</abilityName>
      <candidateList>
        <item>）</item>
      </candidateList>
      <explain>文本全半角错误。</explain>
      <paraID>4F8EE80F</paraID>
      <start>2</start>
      <end>3</end>
      <status>unmodified</status>
      <modifiedWord/>
      <trackRevisions>false</trackRevisions>
    </reviewItem>
    <reviewItem>
      <errorID>ab6f6330-247b-4b04-9e65-37a2172e03bc</errorID>
      <errorWord>程</errorWord>
      <group>L1_Word</group>
      <groupName>字词问题</groupName>
      <ability>L2_Typo</ability>
      <abilityName>字词错误</abilityName>
      <candidateList>
        <item>程中</item>
      </candidateList>
      <explain/>
      <paraID>79CC907E</paraID>
      <start>50</start>
      <end>52</end>
      <status>modified</status>
      <modifiedWord>程中</modifiedWord>
      <trackRevisions>false</trackRevisions>
    </reviewItem>
    <reviewItem>
      <errorID>5311ecd1-df88-45ee-a437-ad8768e96e68</errorID>
      <errorWord>程</errorWord>
      <group>L1_Word</group>
      <groupName>字词问题</groupName>
      <ability>L2_Typo</ability>
      <abilityName>字词错误</abilityName>
      <candidateList>
        <item>程中</item>
      </candidateList>
      <explain/>
      <paraID>62698394</paraID>
      <start>9</start>
      <end>11</end>
      <status>modified</status>
      <modifiedWord>程中</modifiedWord>
      <trackRevisions>false</trackRevisions>
    </reviewItem>
    <reviewItem>
      <errorID>40316f88-eb2c-4dc8-9090-9cb64e28c622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33E2B7BB</paraID>
      <start>112</start>
      <end>113</end>
      <status>unmodified</status>
      <modifiedWord/>
      <trackRevisions>false</trackRevisions>
    </reviewItem>
    <reviewItem>
      <errorID>0feef096-07ef-4215-a50b-d2e7be0883a7</errorID>
      <errorWord>、</errorWord>
      <group>L1_Word</group>
      <groupName>字词问题</groupName>
      <ability>L2_Typo</ability>
      <abilityName>字词错误</abilityName>
      <candidateList>
        <item>、各</item>
      </candidateList>
      <explain/>
      <paraID>59D8FD70</paraID>
      <start>16</start>
      <end>18</end>
      <status>modified</status>
      <modifiedWord>、各</modifiedWord>
      <trackRevisions>false</trackRevisions>
    </reviewItem>
    <reviewItem>
      <errorID>57d73963-12e4-45bb-b629-0e348bf93ad7</errorID>
      <errorWord>国家生态环境部</errorWord>
      <group>L1_Political</group>
      <groupName>政治性问题</groupName>
      <ability>L2_Unpolitical</ability>
      <abilityName>政治敏感错误</abilityName>
      <candidateList>
        <item>生态环境部</item>
      </candidateList>
      <explain/>
      <paraID>6619BA45</paraID>
      <start>23</start>
      <end>28</end>
      <status>modified</status>
      <modifiedWord>生态环境部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4eea51-16cf-45e3-8f9d-f1be80db1645}">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104</Pages>
  <Words>12646</Words>
  <Characters>14269</Characters>
  <Lines>252</Lines>
  <Paragraphs>71</Paragraphs>
  <TotalTime>8</TotalTime>
  <ScaleCrop>false</ScaleCrop>
  <LinksUpToDate>false</LinksUpToDate>
  <CharactersWithSpaces>14269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初心す</cp:lastModifiedBy>
  <cp:lastPrinted>2023-08-11T03:29:00Z</cp:lastPrinted>
  <dcterms:modified xsi:type="dcterms:W3CDTF">2026-09-18T07:09:41Z</dcterms:modified>
  <dc:title>附件2</dc:title>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EAD2B30F9BC349678C24011A5BC9B516_13</vt:lpwstr>
  </property>
  <property fmtid="{D5CDD505-2E9C-101B-9397-08002B2CF9AE}" pid="4" name="KSOTemplateDocerSaveRecord">
    <vt:lpwstr>eyJoZGlkIjoiYWY3OTRlZmI3NmJiZjMzODcwZjM3YzI4YTJjZTI4MGUiLCJ1c2VySWQiOiIzMTQyNjY5OTIifQ==</vt:lpwstr>
  </property>
</Properties>
</file>