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9A4505">
      <w:pPr>
        <w:rPr>
          <w:rFonts w:hint="default" w:eastAsia="宋体"/>
          <w:color w:val="auto"/>
          <w:sz w:val="36"/>
          <w:szCs w:val="36"/>
        </w:rPr>
      </w:pPr>
    </w:p>
    <w:p w14:paraId="1EDC0C06">
      <w:pPr>
        <w:rPr>
          <w:rFonts w:hint="default" w:eastAsia="宋体"/>
          <w:color w:val="auto"/>
          <w:sz w:val="36"/>
          <w:szCs w:val="36"/>
        </w:rPr>
      </w:pPr>
    </w:p>
    <w:p w14:paraId="4FB41709">
      <w:pPr>
        <w:rPr>
          <w:rFonts w:hint="default" w:eastAsia="宋体"/>
          <w:color w:val="auto"/>
          <w:sz w:val="36"/>
          <w:szCs w:val="36"/>
        </w:rPr>
      </w:pPr>
    </w:p>
    <w:p w14:paraId="7C1AAC57">
      <w:pPr>
        <w:rPr>
          <w:rFonts w:hint="default" w:eastAsia="宋体"/>
          <w:color w:val="auto"/>
          <w:sz w:val="36"/>
          <w:szCs w:val="36"/>
        </w:rPr>
      </w:pPr>
    </w:p>
    <w:p w14:paraId="6321814C">
      <w:pPr>
        <w:adjustRightInd w:val="0"/>
        <w:snapToGrid w:val="0"/>
        <w:ind w:firstLine="0" w:firstLineChars="0"/>
        <w:jc w:val="center"/>
        <w:outlineLvl w:val="0"/>
        <w:rPr>
          <w:rFonts w:hint="default" w:eastAsia="宋体"/>
          <w:b/>
          <w:color w:val="auto"/>
          <w:sz w:val="72"/>
          <w:szCs w:val="72"/>
        </w:rPr>
      </w:pPr>
      <w:r>
        <w:rPr>
          <w:rFonts w:hint="default" w:eastAsia="宋体"/>
          <w:b/>
          <w:color w:val="auto"/>
          <w:sz w:val="72"/>
          <w:szCs w:val="72"/>
        </w:rPr>
        <w:t>建设项目环境影响报告表</w:t>
      </w:r>
    </w:p>
    <w:p w14:paraId="762F956D">
      <w:pPr>
        <w:adjustRightInd w:val="0"/>
        <w:snapToGrid w:val="0"/>
        <w:spacing w:before="192" w:beforeLines="80"/>
        <w:ind w:firstLine="0" w:firstLineChars="0"/>
        <w:jc w:val="center"/>
        <w:rPr>
          <w:rFonts w:hint="default" w:eastAsia="宋体"/>
          <w:b/>
          <w:color w:val="auto"/>
          <w:sz w:val="48"/>
          <w:szCs w:val="48"/>
        </w:rPr>
      </w:pPr>
      <w:r>
        <w:rPr>
          <w:rFonts w:hint="default" w:eastAsia="宋体"/>
          <w:b/>
          <w:color w:val="auto"/>
          <w:sz w:val="48"/>
          <w:szCs w:val="48"/>
        </w:rPr>
        <w:t>（污染影响类）</w:t>
      </w:r>
    </w:p>
    <w:p w14:paraId="4A9341CF">
      <w:pPr>
        <w:adjustRightInd w:val="0"/>
        <w:snapToGrid w:val="0"/>
        <w:spacing w:line="288" w:lineRule="auto"/>
        <w:ind w:firstLine="880"/>
        <w:jc w:val="center"/>
        <w:outlineLvl w:val="0"/>
        <w:rPr>
          <w:rFonts w:hint="default" w:eastAsia="宋体"/>
          <w:color w:val="auto"/>
          <w:kern w:val="44"/>
          <w:sz w:val="44"/>
          <w:szCs w:val="44"/>
        </w:rPr>
      </w:pPr>
    </w:p>
    <w:p w14:paraId="7307733C">
      <w:pPr>
        <w:ind w:firstLine="1040"/>
        <w:jc w:val="center"/>
        <w:rPr>
          <w:rFonts w:hint="default" w:eastAsia="宋体"/>
          <w:color w:val="auto"/>
          <w:sz w:val="52"/>
          <w:szCs w:val="52"/>
        </w:rPr>
      </w:pPr>
    </w:p>
    <w:p w14:paraId="1EEF3CCD">
      <w:pPr>
        <w:ind w:firstLine="880"/>
        <w:jc w:val="center"/>
        <w:rPr>
          <w:rFonts w:hint="default" w:eastAsia="宋体"/>
          <w:color w:val="auto"/>
          <w:sz w:val="44"/>
          <w:szCs w:val="44"/>
        </w:rPr>
      </w:pPr>
    </w:p>
    <w:p w14:paraId="36F1437B">
      <w:pPr>
        <w:adjustRightInd w:val="0"/>
        <w:snapToGrid w:val="0"/>
        <w:spacing w:line="288" w:lineRule="auto"/>
        <w:ind w:firstLine="0" w:firstLineChars="0"/>
        <w:jc w:val="center"/>
        <w:rPr>
          <w:rFonts w:hint="default" w:eastAsia="宋体"/>
          <w:b/>
          <w:color w:val="auto"/>
          <w:sz w:val="36"/>
          <w:szCs w:val="36"/>
          <w:u w:val="single"/>
        </w:rPr>
      </w:pPr>
      <w:r>
        <w:rPr>
          <w:rFonts w:hint="default" w:eastAsia="宋体"/>
          <w:b/>
          <w:color w:val="auto"/>
          <w:sz w:val="36"/>
          <w:szCs w:val="36"/>
        </w:rPr>
        <w:t>项目名称：</w:t>
      </w:r>
      <w:r>
        <w:rPr>
          <w:rFonts w:hint="eastAsia" w:eastAsia="宋体"/>
          <w:b/>
          <w:color w:val="auto"/>
          <w:sz w:val="36"/>
          <w:szCs w:val="36"/>
          <w:u w:val="single"/>
          <w:lang w:eastAsia="zh-CN"/>
        </w:rPr>
        <w:t>中煤张家口煤矿机械有限责任公司鄂尔多斯分公司</w:t>
      </w:r>
      <w:r>
        <w:rPr>
          <w:rFonts w:hint="default" w:eastAsia="宋体"/>
          <w:b/>
          <w:color w:val="auto"/>
          <w:sz w:val="36"/>
          <w:szCs w:val="36"/>
          <w:u w:val="single"/>
        </w:rPr>
        <w:t>危险废物贮存库建设项目</w:t>
      </w:r>
    </w:p>
    <w:p w14:paraId="55BE0730">
      <w:pPr>
        <w:adjustRightInd w:val="0"/>
        <w:snapToGrid w:val="0"/>
        <w:spacing w:line="288" w:lineRule="auto"/>
        <w:ind w:firstLine="0" w:firstLineChars="0"/>
        <w:jc w:val="center"/>
        <w:rPr>
          <w:rFonts w:hint="eastAsia" w:eastAsia="宋体"/>
          <w:b/>
          <w:color w:val="auto"/>
          <w:sz w:val="36"/>
          <w:szCs w:val="36"/>
          <w:u w:val="single"/>
          <w:lang w:eastAsia="zh-CN"/>
        </w:rPr>
      </w:pPr>
      <w:r>
        <w:rPr>
          <w:rFonts w:hint="default" w:eastAsia="宋体"/>
          <w:b/>
          <w:color w:val="auto"/>
          <w:sz w:val="36"/>
          <w:szCs w:val="36"/>
        </w:rPr>
        <w:t>建设单位（盖章）：</w:t>
      </w:r>
      <w:r>
        <w:rPr>
          <w:rFonts w:hint="eastAsia" w:eastAsia="宋体"/>
          <w:b/>
          <w:color w:val="auto"/>
          <w:sz w:val="36"/>
          <w:szCs w:val="36"/>
          <w:u w:val="single"/>
          <w:lang w:eastAsia="zh-CN"/>
        </w:rPr>
        <w:t>中煤张家口煤矿机械有限责任公司</w:t>
      </w:r>
    </w:p>
    <w:p w14:paraId="181D3D10">
      <w:pPr>
        <w:adjustRightInd w:val="0"/>
        <w:snapToGrid w:val="0"/>
        <w:spacing w:line="288" w:lineRule="auto"/>
        <w:ind w:firstLine="0" w:firstLineChars="0"/>
        <w:jc w:val="center"/>
        <w:rPr>
          <w:rFonts w:hint="eastAsia" w:eastAsia="宋体"/>
          <w:b/>
          <w:color w:val="auto"/>
          <w:sz w:val="36"/>
          <w:szCs w:val="36"/>
          <w:u w:val="single"/>
          <w:lang w:eastAsia="zh-CN"/>
        </w:rPr>
      </w:pPr>
      <w:r>
        <w:rPr>
          <w:rFonts w:hint="eastAsia" w:eastAsia="宋体"/>
          <w:b/>
          <w:color w:val="auto"/>
          <w:sz w:val="36"/>
          <w:szCs w:val="36"/>
          <w:u w:val="single"/>
          <w:lang w:eastAsia="zh-CN"/>
        </w:rPr>
        <w:t>鄂尔多斯分公司</w:t>
      </w:r>
    </w:p>
    <w:p w14:paraId="4ABE494E">
      <w:pPr>
        <w:adjustRightInd w:val="0"/>
        <w:snapToGrid w:val="0"/>
        <w:spacing w:line="288" w:lineRule="auto"/>
        <w:ind w:firstLine="723"/>
        <w:jc w:val="center"/>
        <w:rPr>
          <w:rFonts w:hint="default" w:eastAsia="宋体"/>
          <w:b/>
          <w:color w:val="auto"/>
          <w:sz w:val="36"/>
          <w:szCs w:val="36"/>
        </w:rPr>
      </w:pPr>
    </w:p>
    <w:p w14:paraId="3AC797A1">
      <w:pPr>
        <w:adjustRightInd w:val="0"/>
        <w:snapToGrid w:val="0"/>
        <w:spacing w:line="288" w:lineRule="auto"/>
        <w:ind w:firstLine="0" w:firstLineChars="0"/>
        <w:jc w:val="center"/>
        <w:rPr>
          <w:rFonts w:hint="default" w:eastAsia="宋体"/>
          <w:b/>
          <w:color w:val="auto"/>
          <w:sz w:val="36"/>
          <w:szCs w:val="36"/>
          <w:u w:val="single"/>
        </w:rPr>
      </w:pPr>
      <w:r>
        <w:rPr>
          <w:rFonts w:hint="default" w:eastAsia="宋体"/>
          <w:b/>
          <w:color w:val="auto"/>
          <w:sz w:val="36"/>
          <w:szCs w:val="36"/>
        </w:rPr>
        <w:t>编制日期：</w:t>
      </w:r>
      <w:r>
        <w:rPr>
          <w:rFonts w:hint="default" w:eastAsia="宋体"/>
          <w:b/>
          <w:color w:val="auto"/>
          <w:sz w:val="36"/>
          <w:szCs w:val="36"/>
          <w:u w:val="single"/>
        </w:rPr>
        <w:t>202</w:t>
      </w:r>
      <w:r>
        <w:rPr>
          <w:rFonts w:hint="eastAsia" w:eastAsia="宋体"/>
          <w:b/>
          <w:color w:val="auto"/>
          <w:sz w:val="36"/>
          <w:szCs w:val="36"/>
          <w:u w:val="single"/>
          <w:lang w:val="en-US" w:eastAsia="zh-CN"/>
        </w:rPr>
        <w:t>6</w:t>
      </w:r>
      <w:r>
        <w:rPr>
          <w:rFonts w:hint="default" w:eastAsia="宋体"/>
          <w:b/>
          <w:color w:val="auto"/>
          <w:sz w:val="36"/>
          <w:szCs w:val="36"/>
          <w:u w:val="single"/>
        </w:rPr>
        <w:t>年</w:t>
      </w:r>
      <w:r>
        <w:rPr>
          <w:rFonts w:hint="eastAsia" w:eastAsia="宋体"/>
          <w:b/>
          <w:color w:val="auto"/>
          <w:sz w:val="36"/>
          <w:szCs w:val="36"/>
          <w:u w:val="single"/>
          <w:lang w:val="en-US" w:eastAsia="zh-CN"/>
        </w:rPr>
        <w:t>4</w:t>
      </w:r>
      <w:r>
        <w:rPr>
          <w:rFonts w:hint="default" w:eastAsia="宋体"/>
          <w:b/>
          <w:color w:val="auto"/>
          <w:sz w:val="36"/>
          <w:szCs w:val="36"/>
          <w:u w:val="single"/>
        </w:rPr>
        <w:t>月</w:t>
      </w:r>
    </w:p>
    <w:p w14:paraId="339E5198">
      <w:pPr>
        <w:adjustRightInd w:val="0"/>
        <w:snapToGrid w:val="0"/>
        <w:spacing w:line="288" w:lineRule="auto"/>
        <w:jc w:val="center"/>
        <w:rPr>
          <w:rFonts w:hint="default" w:eastAsia="宋体"/>
          <w:color w:val="auto"/>
          <w:sz w:val="36"/>
          <w:szCs w:val="36"/>
          <w:u w:val="single"/>
        </w:rPr>
      </w:pPr>
      <w:bookmarkStart w:id="0" w:name="_Hlk57884087"/>
    </w:p>
    <w:p w14:paraId="7CD39DA6">
      <w:pPr>
        <w:adjustRightInd w:val="0"/>
        <w:snapToGrid w:val="0"/>
        <w:spacing w:line="288" w:lineRule="auto"/>
        <w:jc w:val="center"/>
        <w:rPr>
          <w:rFonts w:hint="default" w:eastAsia="宋体"/>
          <w:color w:val="auto"/>
          <w:sz w:val="36"/>
          <w:szCs w:val="36"/>
        </w:rPr>
      </w:pPr>
    </w:p>
    <w:bookmarkEnd w:id="0"/>
    <w:p w14:paraId="1CA3C4AA">
      <w:pPr>
        <w:adjustRightInd w:val="0"/>
        <w:snapToGrid w:val="0"/>
        <w:spacing w:line="288" w:lineRule="auto"/>
        <w:ind w:firstLine="0" w:firstLineChars="0"/>
        <w:jc w:val="center"/>
        <w:rPr>
          <w:rFonts w:hint="default" w:eastAsia="宋体"/>
          <w:color w:val="auto"/>
          <w:sz w:val="36"/>
          <w:szCs w:val="36"/>
        </w:rPr>
      </w:pPr>
      <w:r>
        <w:rPr>
          <w:rFonts w:hint="default" w:eastAsia="宋体"/>
          <w:b/>
          <w:color w:val="auto"/>
          <w:sz w:val="36"/>
          <w:szCs w:val="36"/>
        </w:rPr>
        <w:t>中华人民共和国生态环境部制</w:t>
      </w:r>
    </w:p>
    <w:p w14:paraId="425F41B2">
      <w:pPr>
        <w:adjustRightInd w:val="0"/>
        <w:snapToGrid w:val="0"/>
        <w:spacing w:line="288" w:lineRule="auto"/>
        <w:rPr>
          <w:rFonts w:hint="default" w:eastAsia="宋体"/>
          <w:color w:val="auto"/>
          <w:sz w:val="36"/>
          <w:szCs w:val="36"/>
        </w:rPr>
        <w:sectPr>
          <w:footerReference r:id="rId5" w:type="default"/>
          <w:pgSz w:w="11906" w:h="16838"/>
          <w:pgMar w:top="1701" w:right="1531" w:bottom="1701" w:left="1531" w:header="851" w:footer="1077" w:gutter="0"/>
          <w:pgNumType w:fmt="numberInDash" w:start="3"/>
          <w:cols w:space="720" w:num="1"/>
          <w:docGrid w:linePitch="312" w:charSpace="0"/>
        </w:sectPr>
      </w:pPr>
    </w:p>
    <w:p w14:paraId="2E24015F">
      <w:pPr>
        <w:pStyle w:val="13"/>
        <w:rPr>
          <w:rFonts w:hint="default" w:eastAsia="宋体"/>
          <w:color w:val="auto"/>
        </w:rPr>
        <w:sectPr>
          <w:pgSz w:w="11906" w:h="16838"/>
          <w:pgMar w:top="1701" w:right="1531" w:bottom="1701" w:left="1531" w:header="851" w:footer="1077" w:gutter="0"/>
          <w:pgNumType w:fmt="numberInDash" w:start="3"/>
          <w:cols w:space="720" w:num="1"/>
          <w:docGrid w:linePitch="312" w:charSpace="0"/>
        </w:sectPr>
      </w:pPr>
    </w:p>
    <w:p w14:paraId="79FC5ABE">
      <w:pPr>
        <w:pStyle w:val="12"/>
        <w:ind w:firstLine="0" w:firstLineChars="0"/>
        <w:jc w:val="center"/>
        <w:outlineLvl w:val="0"/>
        <w:rPr>
          <w:rFonts w:ascii="Times New Roman" w:hAnsi="Times New Roman"/>
          <w:b/>
          <w:snapToGrid w:val="0"/>
          <w:color w:val="auto"/>
          <w:sz w:val="30"/>
          <w:szCs w:val="30"/>
        </w:rPr>
      </w:pPr>
      <w:r>
        <w:rPr>
          <w:rFonts w:ascii="Times New Roman" w:hAnsi="Times New Roman"/>
          <w:b/>
          <w:snapToGrid w:val="0"/>
          <w:color w:val="auto"/>
          <w:sz w:val="30"/>
          <w:szCs w:val="30"/>
        </w:rPr>
        <w:t>一、建设项目基本情况</w:t>
      </w:r>
    </w:p>
    <w:tbl>
      <w:tblPr>
        <w:tblStyle w:val="14"/>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2223"/>
        <w:gridCol w:w="1796"/>
        <w:gridCol w:w="1909"/>
        <w:gridCol w:w="2942"/>
      </w:tblGrid>
      <w:tr w14:paraId="161899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223" w:type="dxa"/>
            <w:tcBorders>
              <w:top w:val="single" w:color="auto" w:sz="8" w:space="0"/>
              <w:left w:val="single" w:color="auto" w:sz="8" w:space="0"/>
              <w:bottom w:val="single" w:color="auto" w:sz="4" w:space="0"/>
              <w:right w:val="single" w:color="auto" w:sz="4" w:space="0"/>
              <w:tl2br w:val="nil"/>
              <w:tr2bl w:val="nil"/>
            </w:tcBorders>
            <w:tcMar>
              <w:top w:w="16" w:type="dxa"/>
              <w:left w:w="16" w:type="dxa"/>
              <w:right w:w="16" w:type="dxa"/>
            </w:tcMar>
            <w:vAlign w:val="center"/>
          </w:tcPr>
          <w:p w14:paraId="6ACDE92B">
            <w:pPr>
              <w:adjustRightInd w:val="0"/>
              <w:snapToGrid w:val="0"/>
              <w:spacing w:line="240" w:lineRule="auto"/>
              <w:ind w:firstLine="0" w:firstLineChars="0"/>
              <w:jc w:val="center"/>
              <w:rPr>
                <w:rFonts w:hint="default"/>
                <w:color w:val="auto"/>
              </w:rPr>
            </w:pPr>
            <w:r>
              <w:rPr>
                <w:rFonts w:hint="default" w:eastAsia="宋体"/>
                <w:color w:val="auto"/>
              </w:rPr>
              <w:t>建设项目名称</w:t>
            </w:r>
          </w:p>
        </w:tc>
        <w:tc>
          <w:tcPr>
            <w:tcW w:w="6647" w:type="dxa"/>
            <w:gridSpan w:val="3"/>
            <w:tcBorders>
              <w:top w:val="single" w:color="auto" w:sz="8" w:space="0"/>
              <w:left w:val="single" w:color="auto" w:sz="4" w:space="0"/>
              <w:bottom w:val="single" w:color="auto" w:sz="4" w:space="0"/>
              <w:right w:val="single" w:color="auto" w:sz="8" w:space="0"/>
              <w:tl2br w:val="nil"/>
              <w:tr2bl w:val="nil"/>
            </w:tcBorders>
            <w:vAlign w:val="center"/>
          </w:tcPr>
          <w:p w14:paraId="5FF0118A">
            <w:pPr>
              <w:adjustRightInd w:val="0"/>
              <w:snapToGrid w:val="0"/>
              <w:spacing w:line="240" w:lineRule="auto"/>
              <w:ind w:firstLine="0" w:firstLineChars="0"/>
              <w:jc w:val="center"/>
              <w:rPr>
                <w:rFonts w:hint="default"/>
                <w:color w:val="auto"/>
              </w:rPr>
            </w:pPr>
            <w:r>
              <w:rPr>
                <w:rFonts w:hint="eastAsia" w:eastAsia="宋体"/>
                <w:color w:val="auto"/>
                <w:lang w:eastAsia="zh-CN"/>
              </w:rPr>
              <w:t>中煤张家口煤矿机械有限责任公司鄂尔多斯分公司</w:t>
            </w:r>
            <w:r>
              <w:rPr>
                <w:rFonts w:hint="default" w:eastAsia="宋体"/>
                <w:color w:val="auto"/>
              </w:rPr>
              <w:t>危险废物贮存库建设项目</w:t>
            </w:r>
          </w:p>
        </w:tc>
      </w:tr>
      <w:tr w14:paraId="1F9E6E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223" w:type="dxa"/>
            <w:tcBorders>
              <w:top w:val="single" w:color="auto" w:sz="4" w:space="0"/>
              <w:left w:val="single" w:color="auto" w:sz="8" w:space="0"/>
              <w:bottom w:val="single" w:color="auto" w:sz="4" w:space="0"/>
              <w:right w:val="single" w:color="auto" w:sz="4" w:space="0"/>
              <w:tl2br w:val="nil"/>
              <w:tr2bl w:val="nil"/>
            </w:tcBorders>
            <w:tcMar>
              <w:top w:w="16" w:type="dxa"/>
              <w:left w:w="16" w:type="dxa"/>
              <w:right w:w="16" w:type="dxa"/>
            </w:tcMar>
            <w:vAlign w:val="center"/>
          </w:tcPr>
          <w:p w14:paraId="386E9014">
            <w:pPr>
              <w:adjustRightInd w:val="0"/>
              <w:snapToGrid w:val="0"/>
              <w:spacing w:line="240" w:lineRule="auto"/>
              <w:ind w:firstLine="0" w:firstLineChars="0"/>
              <w:jc w:val="center"/>
              <w:rPr>
                <w:rFonts w:hint="default"/>
                <w:color w:val="auto"/>
              </w:rPr>
            </w:pPr>
            <w:r>
              <w:rPr>
                <w:rFonts w:hint="default" w:eastAsia="宋体"/>
                <w:color w:val="auto"/>
              </w:rPr>
              <w:t>项目代码</w:t>
            </w:r>
          </w:p>
        </w:tc>
        <w:tc>
          <w:tcPr>
            <w:tcW w:w="6647" w:type="dxa"/>
            <w:gridSpan w:val="3"/>
            <w:tcBorders>
              <w:top w:val="single" w:color="auto" w:sz="4" w:space="0"/>
              <w:left w:val="single" w:color="auto" w:sz="4" w:space="0"/>
              <w:bottom w:val="single" w:color="auto" w:sz="4" w:space="0"/>
              <w:right w:val="single" w:color="auto" w:sz="8" w:space="0"/>
              <w:tl2br w:val="nil"/>
              <w:tr2bl w:val="nil"/>
            </w:tcBorders>
            <w:vAlign w:val="center"/>
          </w:tcPr>
          <w:p w14:paraId="33DAC104">
            <w:pPr>
              <w:adjustRightInd w:val="0"/>
              <w:snapToGrid w:val="0"/>
              <w:spacing w:line="240" w:lineRule="auto"/>
              <w:ind w:firstLine="0" w:firstLineChars="0"/>
              <w:jc w:val="center"/>
              <w:rPr>
                <w:rFonts w:hint="default"/>
                <w:color w:val="auto"/>
              </w:rPr>
            </w:pPr>
            <w:r>
              <w:rPr>
                <w:rFonts w:hint="default"/>
                <w:color w:val="auto"/>
              </w:rPr>
              <w:t>/</w:t>
            </w:r>
          </w:p>
        </w:tc>
      </w:tr>
      <w:tr w14:paraId="4A8756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223" w:type="dxa"/>
            <w:tcBorders>
              <w:top w:val="single" w:color="auto" w:sz="4" w:space="0"/>
              <w:left w:val="single" w:color="auto" w:sz="8" w:space="0"/>
              <w:bottom w:val="single" w:color="auto" w:sz="4" w:space="0"/>
              <w:right w:val="single" w:color="auto" w:sz="4" w:space="0"/>
              <w:tl2br w:val="nil"/>
              <w:tr2bl w:val="nil"/>
            </w:tcBorders>
            <w:tcMar>
              <w:top w:w="16" w:type="dxa"/>
              <w:left w:w="16" w:type="dxa"/>
              <w:right w:w="16" w:type="dxa"/>
            </w:tcMar>
            <w:vAlign w:val="center"/>
          </w:tcPr>
          <w:p w14:paraId="54EF2693">
            <w:pPr>
              <w:adjustRightInd w:val="0"/>
              <w:snapToGrid w:val="0"/>
              <w:spacing w:line="240" w:lineRule="auto"/>
              <w:ind w:firstLine="0" w:firstLineChars="0"/>
              <w:jc w:val="center"/>
              <w:rPr>
                <w:rFonts w:hint="default"/>
                <w:color w:val="auto"/>
              </w:rPr>
            </w:pPr>
            <w:r>
              <w:rPr>
                <w:rFonts w:hint="default" w:eastAsia="宋体"/>
                <w:color w:val="auto"/>
              </w:rPr>
              <w:t>建设单位联系人</w:t>
            </w:r>
          </w:p>
        </w:tc>
        <w:tc>
          <w:tcPr>
            <w:tcW w:w="1796" w:type="dxa"/>
            <w:tcBorders>
              <w:top w:val="single" w:color="auto" w:sz="4" w:space="0"/>
              <w:left w:val="single" w:color="auto" w:sz="4" w:space="0"/>
              <w:bottom w:val="single" w:color="auto" w:sz="4" w:space="0"/>
              <w:right w:val="single" w:color="auto" w:sz="4" w:space="0"/>
              <w:tl2br w:val="nil"/>
              <w:tr2bl w:val="nil"/>
            </w:tcBorders>
            <w:vAlign w:val="center"/>
          </w:tcPr>
          <w:p w14:paraId="4F3CEB70">
            <w:pPr>
              <w:adjustRightInd w:val="0"/>
              <w:snapToGrid w:val="0"/>
              <w:spacing w:line="240" w:lineRule="auto"/>
              <w:ind w:firstLine="0" w:firstLineChars="0"/>
              <w:jc w:val="center"/>
              <w:rPr>
                <w:rFonts w:hint="default"/>
                <w:color w:val="auto"/>
              </w:rPr>
            </w:pPr>
          </w:p>
        </w:tc>
        <w:tc>
          <w:tcPr>
            <w:tcW w:w="1909" w:type="dxa"/>
            <w:tcBorders>
              <w:top w:val="single" w:color="auto" w:sz="4" w:space="0"/>
              <w:left w:val="single" w:color="auto" w:sz="4" w:space="0"/>
              <w:bottom w:val="single" w:color="auto" w:sz="4" w:space="0"/>
              <w:right w:val="single" w:color="auto" w:sz="4" w:space="0"/>
              <w:tl2br w:val="nil"/>
              <w:tr2bl w:val="nil"/>
            </w:tcBorders>
            <w:vAlign w:val="center"/>
          </w:tcPr>
          <w:p w14:paraId="797FD61B">
            <w:pPr>
              <w:adjustRightInd w:val="0"/>
              <w:snapToGrid w:val="0"/>
              <w:spacing w:line="240" w:lineRule="auto"/>
              <w:ind w:firstLine="0" w:firstLineChars="0"/>
              <w:jc w:val="center"/>
              <w:rPr>
                <w:rFonts w:hint="default"/>
                <w:color w:val="auto"/>
              </w:rPr>
            </w:pPr>
            <w:r>
              <w:rPr>
                <w:rFonts w:hint="default" w:eastAsia="宋体"/>
                <w:color w:val="auto"/>
              </w:rPr>
              <w:t>联系方式</w:t>
            </w:r>
          </w:p>
        </w:tc>
        <w:tc>
          <w:tcPr>
            <w:tcW w:w="2942" w:type="dxa"/>
            <w:tcBorders>
              <w:top w:val="single" w:color="auto" w:sz="4" w:space="0"/>
              <w:left w:val="single" w:color="auto" w:sz="4" w:space="0"/>
              <w:bottom w:val="single" w:color="auto" w:sz="4" w:space="0"/>
              <w:right w:val="single" w:color="auto" w:sz="8" w:space="0"/>
              <w:tl2br w:val="nil"/>
              <w:tr2bl w:val="nil"/>
            </w:tcBorders>
            <w:vAlign w:val="center"/>
          </w:tcPr>
          <w:p w14:paraId="4F866D55">
            <w:pPr>
              <w:adjustRightInd w:val="0"/>
              <w:snapToGrid w:val="0"/>
              <w:spacing w:line="240" w:lineRule="auto"/>
              <w:ind w:firstLine="0" w:firstLineChars="0"/>
              <w:jc w:val="center"/>
              <w:rPr>
                <w:rFonts w:hint="default"/>
                <w:color w:val="auto"/>
              </w:rPr>
            </w:pPr>
          </w:p>
        </w:tc>
      </w:tr>
      <w:tr w14:paraId="6F3D63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223" w:type="dxa"/>
            <w:tcBorders>
              <w:top w:val="single" w:color="auto" w:sz="4" w:space="0"/>
              <w:left w:val="single" w:color="auto" w:sz="8" w:space="0"/>
              <w:bottom w:val="single" w:color="auto" w:sz="4" w:space="0"/>
              <w:right w:val="single" w:color="auto" w:sz="4" w:space="0"/>
              <w:tl2br w:val="nil"/>
              <w:tr2bl w:val="nil"/>
            </w:tcBorders>
            <w:tcMar>
              <w:top w:w="16" w:type="dxa"/>
              <w:left w:w="16" w:type="dxa"/>
              <w:right w:w="16" w:type="dxa"/>
            </w:tcMar>
            <w:vAlign w:val="center"/>
          </w:tcPr>
          <w:p w14:paraId="67CFC7A4">
            <w:pPr>
              <w:adjustRightInd w:val="0"/>
              <w:snapToGrid w:val="0"/>
              <w:spacing w:line="240" w:lineRule="auto"/>
              <w:ind w:firstLine="0" w:firstLineChars="0"/>
              <w:jc w:val="center"/>
              <w:rPr>
                <w:rFonts w:hint="default"/>
                <w:color w:val="auto"/>
              </w:rPr>
            </w:pPr>
            <w:r>
              <w:rPr>
                <w:rFonts w:hint="default" w:eastAsia="宋体"/>
                <w:color w:val="auto"/>
              </w:rPr>
              <w:t>建设地点</w:t>
            </w:r>
          </w:p>
        </w:tc>
        <w:tc>
          <w:tcPr>
            <w:tcW w:w="6647" w:type="dxa"/>
            <w:gridSpan w:val="3"/>
            <w:tcBorders>
              <w:top w:val="single" w:color="auto" w:sz="4" w:space="0"/>
              <w:left w:val="single" w:color="auto" w:sz="4" w:space="0"/>
              <w:bottom w:val="single" w:color="auto" w:sz="4" w:space="0"/>
              <w:right w:val="single" w:color="auto" w:sz="8" w:space="0"/>
              <w:tl2br w:val="nil"/>
              <w:tr2bl w:val="nil"/>
            </w:tcBorders>
            <w:vAlign w:val="center"/>
          </w:tcPr>
          <w:p w14:paraId="301BCED5">
            <w:pPr>
              <w:adjustRightInd w:val="0"/>
              <w:snapToGrid w:val="0"/>
              <w:spacing w:line="240" w:lineRule="auto"/>
              <w:ind w:firstLine="0" w:firstLineChars="0"/>
              <w:rPr>
                <w:rFonts w:hint="default"/>
                <w:color w:val="auto"/>
              </w:rPr>
            </w:pPr>
            <w:r>
              <w:rPr>
                <w:rFonts w:hint="eastAsia" w:eastAsia="宋体"/>
                <w:color w:val="auto"/>
                <w:lang w:eastAsia="zh-CN"/>
              </w:rPr>
              <w:t>内蒙古鄂尔多斯市伊金霍洛旗阿镇现代装备制造基地，中煤张家口煤矿机械有限责任公司鄂尔多斯分公司现有工业场地内</w:t>
            </w:r>
          </w:p>
        </w:tc>
      </w:tr>
      <w:tr w14:paraId="220C49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223" w:type="dxa"/>
            <w:tcBorders>
              <w:top w:val="single" w:color="auto" w:sz="4" w:space="0"/>
              <w:left w:val="single" w:color="auto" w:sz="8" w:space="0"/>
              <w:bottom w:val="single" w:color="auto" w:sz="4" w:space="0"/>
              <w:right w:val="single" w:color="auto" w:sz="4" w:space="0"/>
              <w:tl2br w:val="nil"/>
              <w:tr2bl w:val="nil"/>
            </w:tcBorders>
            <w:tcMar>
              <w:top w:w="16" w:type="dxa"/>
              <w:left w:w="16" w:type="dxa"/>
              <w:right w:w="16" w:type="dxa"/>
            </w:tcMar>
            <w:vAlign w:val="center"/>
          </w:tcPr>
          <w:p w14:paraId="4CCDB0C5">
            <w:pPr>
              <w:adjustRightInd w:val="0"/>
              <w:snapToGrid w:val="0"/>
              <w:spacing w:line="240" w:lineRule="auto"/>
              <w:ind w:firstLine="0" w:firstLineChars="0"/>
              <w:jc w:val="center"/>
              <w:rPr>
                <w:rFonts w:hint="default"/>
                <w:color w:val="auto"/>
              </w:rPr>
            </w:pPr>
            <w:r>
              <w:rPr>
                <w:rFonts w:hint="default" w:eastAsia="宋体"/>
                <w:color w:val="auto"/>
              </w:rPr>
              <w:t>地理坐标</w:t>
            </w:r>
          </w:p>
        </w:tc>
        <w:tc>
          <w:tcPr>
            <w:tcW w:w="6647" w:type="dxa"/>
            <w:gridSpan w:val="3"/>
            <w:tcBorders>
              <w:top w:val="single" w:color="auto" w:sz="4" w:space="0"/>
              <w:left w:val="single" w:color="auto" w:sz="4" w:space="0"/>
              <w:bottom w:val="single" w:color="auto" w:sz="4" w:space="0"/>
              <w:right w:val="single" w:color="auto" w:sz="8" w:space="0"/>
              <w:tl2br w:val="nil"/>
              <w:tr2bl w:val="nil"/>
            </w:tcBorders>
            <w:vAlign w:val="center"/>
          </w:tcPr>
          <w:p w14:paraId="3B2CAD5A">
            <w:pPr>
              <w:spacing w:line="240" w:lineRule="auto"/>
              <w:ind w:firstLine="0" w:firstLineChars="0"/>
              <w:jc w:val="center"/>
              <w:rPr>
                <w:rFonts w:hint="default"/>
                <w:color w:val="auto"/>
              </w:rPr>
            </w:pPr>
            <w:r>
              <w:rPr>
                <w:rFonts w:hint="default" w:eastAsia="宋体"/>
                <w:color w:val="auto"/>
              </w:rPr>
              <w:t>（</w:t>
            </w:r>
            <w:r>
              <w:rPr>
                <w:rFonts w:hint="eastAsia" w:eastAsia="宋体"/>
                <w:color w:val="auto"/>
                <w:u w:val="single"/>
                <w:lang w:val="en-US" w:eastAsia="zh-CN"/>
              </w:rPr>
              <w:t>109</w:t>
            </w:r>
            <w:r>
              <w:rPr>
                <w:rFonts w:hint="default" w:eastAsia="宋体"/>
                <w:color w:val="auto"/>
              </w:rPr>
              <w:t>度</w:t>
            </w:r>
            <w:r>
              <w:rPr>
                <w:rFonts w:hint="eastAsia" w:eastAsia="宋体"/>
                <w:color w:val="auto"/>
                <w:u w:val="single"/>
                <w:lang w:val="en-US" w:eastAsia="zh-CN"/>
              </w:rPr>
              <w:t>48</w:t>
            </w:r>
            <w:r>
              <w:rPr>
                <w:rFonts w:hint="default" w:eastAsia="宋体"/>
                <w:color w:val="auto"/>
              </w:rPr>
              <w:t>分</w:t>
            </w:r>
            <w:r>
              <w:rPr>
                <w:rFonts w:hint="eastAsia" w:eastAsia="宋体"/>
                <w:color w:val="auto"/>
                <w:u w:val="single"/>
                <w:lang w:val="en-US" w:eastAsia="zh-CN"/>
              </w:rPr>
              <w:t>22.101</w:t>
            </w:r>
            <w:r>
              <w:rPr>
                <w:rFonts w:hint="default" w:eastAsia="宋体"/>
                <w:color w:val="auto"/>
              </w:rPr>
              <w:t>秒，</w:t>
            </w:r>
            <w:r>
              <w:rPr>
                <w:rFonts w:hint="default"/>
                <w:color w:val="auto"/>
                <w:u w:val="single"/>
              </w:rPr>
              <w:t>39</w:t>
            </w:r>
            <w:bookmarkStart w:id="13" w:name="_GoBack"/>
            <w:bookmarkEnd w:id="13"/>
            <w:r>
              <w:rPr>
                <w:rFonts w:hint="default" w:eastAsia="宋体"/>
                <w:color w:val="auto"/>
              </w:rPr>
              <w:t>度</w:t>
            </w:r>
            <w:r>
              <w:rPr>
                <w:rFonts w:hint="eastAsia" w:eastAsia="宋体"/>
                <w:color w:val="auto"/>
                <w:u w:val="single"/>
                <w:lang w:val="en-US" w:eastAsia="zh-CN"/>
              </w:rPr>
              <w:t>31</w:t>
            </w:r>
            <w:r>
              <w:rPr>
                <w:rFonts w:hint="default" w:eastAsia="宋体"/>
                <w:color w:val="auto"/>
              </w:rPr>
              <w:t>分</w:t>
            </w:r>
            <w:r>
              <w:rPr>
                <w:rFonts w:hint="eastAsia" w:eastAsia="宋体"/>
                <w:color w:val="auto"/>
                <w:u w:val="single"/>
                <w:lang w:val="en-US" w:eastAsia="zh-CN"/>
              </w:rPr>
              <w:t>5.002</w:t>
            </w:r>
            <w:r>
              <w:rPr>
                <w:rFonts w:hint="default" w:eastAsia="宋体"/>
                <w:color w:val="auto"/>
              </w:rPr>
              <w:t>秒）</w:t>
            </w:r>
          </w:p>
        </w:tc>
      </w:tr>
      <w:tr w14:paraId="732553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2223" w:type="dxa"/>
            <w:tcBorders>
              <w:top w:val="single" w:color="auto" w:sz="4" w:space="0"/>
              <w:left w:val="single" w:color="auto" w:sz="8" w:space="0"/>
              <w:bottom w:val="single" w:color="auto" w:sz="4" w:space="0"/>
              <w:right w:val="single" w:color="auto" w:sz="4" w:space="0"/>
              <w:tl2br w:val="nil"/>
              <w:tr2bl w:val="nil"/>
            </w:tcBorders>
            <w:tcMar>
              <w:top w:w="16" w:type="dxa"/>
              <w:left w:w="16" w:type="dxa"/>
              <w:right w:w="16" w:type="dxa"/>
            </w:tcMar>
            <w:vAlign w:val="center"/>
          </w:tcPr>
          <w:p w14:paraId="5FD1BE82">
            <w:pPr>
              <w:adjustRightInd w:val="0"/>
              <w:snapToGrid w:val="0"/>
              <w:spacing w:line="240" w:lineRule="auto"/>
              <w:ind w:firstLine="0" w:firstLineChars="0"/>
              <w:jc w:val="center"/>
              <w:rPr>
                <w:rFonts w:hint="default"/>
                <w:color w:val="auto"/>
              </w:rPr>
            </w:pPr>
            <w:r>
              <w:rPr>
                <w:rFonts w:hint="default" w:eastAsia="宋体"/>
                <w:color w:val="auto"/>
              </w:rPr>
              <w:t>国民经济</w:t>
            </w:r>
          </w:p>
          <w:p w14:paraId="58426253">
            <w:pPr>
              <w:adjustRightInd w:val="0"/>
              <w:snapToGrid w:val="0"/>
              <w:spacing w:line="240" w:lineRule="auto"/>
              <w:ind w:firstLine="0" w:firstLineChars="0"/>
              <w:jc w:val="center"/>
              <w:rPr>
                <w:rFonts w:hint="default"/>
                <w:color w:val="auto"/>
              </w:rPr>
            </w:pPr>
            <w:r>
              <w:rPr>
                <w:rFonts w:hint="default" w:eastAsia="宋体"/>
                <w:color w:val="auto"/>
              </w:rPr>
              <w:t>行业类别</w:t>
            </w:r>
          </w:p>
        </w:tc>
        <w:tc>
          <w:tcPr>
            <w:tcW w:w="1796" w:type="dxa"/>
            <w:tcBorders>
              <w:top w:val="single" w:color="auto" w:sz="4" w:space="0"/>
              <w:left w:val="single" w:color="auto" w:sz="4" w:space="0"/>
              <w:bottom w:val="single" w:color="auto" w:sz="4" w:space="0"/>
              <w:right w:val="single" w:color="auto" w:sz="4" w:space="0"/>
              <w:tl2br w:val="nil"/>
              <w:tr2bl w:val="nil"/>
            </w:tcBorders>
            <w:vAlign w:val="center"/>
          </w:tcPr>
          <w:p w14:paraId="25E2E28C">
            <w:pPr>
              <w:adjustRightInd w:val="0"/>
              <w:snapToGrid w:val="0"/>
              <w:spacing w:line="240" w:lineRule="auto"/>
              <w:ind w:firstLine="0" w:firstLineChars="0"/>
              <w:jc w:val="center"/>
              <w:rPr>
                <w:rFonts w:hint="default"/>
                <w:color w:val="auto"/>
              </w:rPr>
            </w:pPr>
            <w:r>
              <w:rPr>
                <w:rFonts w:hint="default"/>
                <w:color w:val="auto"/>
              </w:rPr>
              <w:t>N7724</w:t>
            </w:r>
            <w:r>
              <w:rPr>
                <w:rFonts w:hint="default" w:eastAsia="宋体"/>
                <w:color w:val="auto"/>
              </w:rPr>
              <w:t>危险废物治理</w:t>
            </w:r>
          </w:p>
        </w:tc>
        <w:tc>
          <w:tcPr>
            <w:tcW w:w="1909" w:type="dxa"/>
            <w:tcBorders>
              <w:top w:val="single" w:color="auto" w:sz="4" w:space="0"/>
              <w:left w:val="single" w:color="auto" w:sz="4" w:space="0"/>
              <w:bottom w:val="single" w:color="auto" w:sz="4" w:space="0"/>
              <w:right w:val="single" w:color="auto" w:sz="4" w:space="0"/>
              <w:tl2br w:val="nil"/>
              <w:tr2bl w:val="nil"/>
            </w:tcBorders>
            <w:vAlign w:val="center"/>
          </w:tcPr>
          <w:p w14:paraId="1E8C8B7F">
            <w:pPr>
              <w:adjustRightInd w:val="0"/>
              <w:snapToGrid w:val="0"/>
              <w:spacing w:line="240" w:lineRule="auto"/>
              <w:ind w:firstLine="0" w:firstLineChars="0"/>
              <w:jc w:val="center"/>
              <w:rPr>
                <w:rFonts w:hint="default"/>
                <w:color w:val="auto"/>
              </w:rPr>
            </w:pPr>
            <w:bookmarkStart w:id="1" w:name="_Hlk49843745"/>
            <w:r>
              <w:rPr>
                <w:rFonts w:hint="default" w:eastAsia="宋体"/>
                <w:color w:val="auto"/>
              </w:rPr>
              <w:t>建设项目</w:t>
            </w:r>
          </w:p>
          <w:p w14:paraId="1EAAAF0C">
            <w:pPr>
              <w:adjustRightInd w:val="0"/>
              <w:snapToGrid w:val="0"/>
              <w:spacing w:line="240" w:lineRule="auto"/>
              <w:ind w:firstLine="0" w:firstLineChars="0"/>
              <w:jc w:val="center"/>
              <w:rPr>
                <w:rFonts w:hint="default"/>
                <w:color w:val="auto"/>
              </w:rPr>
            </w:pPr>
            <w:r>
              <w:rPr>
                <w:rFonts w:hint="default" w:eastAsia="宋体"/>
                <w:color w:val="auto"/>
              </w:rPr>
              <w:t>行业类别</w:t>
            </w:r>
            <w:bookmarkEnd w:id="1"/>
          </w:p>
        </w:tc>
        <w:tc>
          <w:tcPr>
            <w:tcW w:w="2942" w:type="dxa"/>
            <w:tcBorders>
              <w:top w:val="single" w:color="auto" w:sz="4" w:space="0"/>
              <w:left w:val="single" w:color="auto" w:sz="4" w:space="0"/>
              <w:bottom w:val="single" w:color="auto" w:sz="4" w:space="0"/>
              <w:right w:val="single" w:color="auto" w:sz="8" w:space="0"/>
              <w:tl2br w:val="nil"/>
              <w:tr2bl w:val="nil"/>
            </w:tcBorders>
            <w:vAlign w:val="center"/>
          </w:tcPr>
          <w:p w14:paraId="12084A0A">
            <w:pPr>
              <w:adjustRightInd w:val="0"/>
              <w:snapToGrid w:val="0"/>
              <w:spacing w:line="240" w:lineRule="auto"/>
              <w:ind w:firstLine="0" w:firstLineChars="0"/>
              <w:rPr>
                <w:rFonts w:hint="default"/>
                <w:color w:val="auto"/>
              </w:rPr>
            </w:pPr>
            <w:r>
              <w:rPr>
                <w:rFonts w:hint="default" w:eastAsia="宋体"/>
                <w:color w:val="auto"/>
              </w:rPr>
              <w:t>四十七、生态保护和环境治理业-101、危险废物（不含医疗废物）利用及处置中的其他</w:t>
            </w:r>
          </w:p>
        </w:tc>
      </w:tr>
      <w:tr w14:paraId="2B1928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2223" w:type="dxa"/>
            <w:tcBorders>
              <w:top w:val="single" w:color="auto" w:sz="4" w:space="0"/>
              <w:left w:val="single" w:color="auto" w:sz="8" w:space="0"/>
              <w:bottom w:val="single" w:color="auto" w:sz="4" w:space="0"/>
              <w:right w:val="single" w:color="auto" w:sz="4" w:space="0"/>
              <w:tl2br w:val="nil"/>
              <w:tr2bl w:val="nil"/>
            </w:tcBorders>
            <w:tcMar>
              <w:top w:w="16" w:type="dxa"/>
              <w:left w:w="16" w:type="dxa"/>
              <w:right w:w="16" w:type="dxa"/>
            </w:tcMar>
            <w:vAlign w:val="center"/>
          </w:tcPr>
          <w:p w14:paraId="05A0823E">
            <w:pPr>
              <w:adjustRightInd w:val="0"/>
              <w:snapToGrid w:val="0"/>
              <w:spacing w:line="240" w:lineRule="auto"/>
              <w:ind w:firstLine="0" w:firstLineChars="0"/>
              <w:jc w:val="center"/>
              <w:rPr>
                <w:rFonts w:hint="default"/>
                <w:color w:val="auto"/>
              </w:rPr>
            </w:pPr>
            <w:r>
              <w:rPr>
                <w:rFonts w:hint="default" w:eastAsia="宋体"/>
                <w:color w:val="auto"/>
              </w:rPr>
              <w:t>建设性质</w:t>
            </w:r>
          </w:p>
        </w:tc>
        <w:tc>
          <w:tcPr>
            <w:tcW w:w="1796" w:type="dxa"/>
            <w:tcBorders>
              <w:top w:val="single" w:color="auto" w:sz="4" w:space="0"/>
              <w:left w:val="single" w:color="auto" w:sz="4" w:space="0"/>
              <w:bottom w:val="single" w:color="auto" w:sz="4" w:space="0"/>
              <w:right w:val="single" w:color="auto" w:sz="4" w:space="0"/>
              <w:tl2br w:val="nil"/>
              <w:tr2bl w:val="nil"/>
            </w:tcBorders>
            <w:vAlign w:val="center"/>
          </w:tcPr>
          <w:p w14:paraId="51533470">
            <w:pPr>
              <w:spacing w:line="240" w:lineRule="auto"/>
              <w:ind w:firstLine="0" w:firstLineChars="0"/>
              <w:jc w:val="left"/>
              <w:rPr>
                <w:rFonts w:hint="default"/>
                <w:color w:val="auto"/>
              </w:rPr>
            </w:pPr>
            <w:r>
              <w:rPr>
                <w:rFonts w:eastAsia="宋体"/>
                <w:color w:val="auto"/>
              </w:rPr>
              <w:t>☑</w:t>
            </w:r>
            <w:r>
              <w:rPr>
                <w:rFonts w:hint="default" w:eastAsia="宋体"/>
                <w:color w:val="auto"/>
              </w:rPr>
              <w:t>新建（迁建）</w:t>
            </w:r>
          </w:p>
          <w:p w14:paraId="14CE4313">
            <w:pPr>
              <w:spacing w:line="240" w:lineRule="auto"/>
              <w:ind w:firstLine="0" w:firstLineChars="0"/>
              <w:jc w:val="left"/>
              <w:rPr>
                <w:rFonts w:hint="default"/>
                <w:color w:val="auto"/>
              </w:rPr>
            </w:pPr>
            <w:r>
              <w:rPr>
                <w:rFonts w:eastAsia="宋体"/>
                <w:color w:val="auto"/>
              </w:rPr>
              <w:t>□</w:t>
            </w:r>
            <w:r>
              <w:rPr>
                <w:rFonts w:hint="default" w:eastAsia="宋体"/>
                <w:color w:val="auto"/>
              </w:rPr>
              <w:t>改建</w:t>
            </w:r>
          </w:p>
          <w:p w14:paraId="7EFBD4FA">
            <w:pPr>
              <w:spacing w:line="240" w:lineRule="auto"/>
              <w:ind w:firstLine="0" w:firstLineChars="0"/>
              <w:jc w:val="left"/>
              <w:rPr>
                <w:rFonts w:hint="default"/>
                <w:color w:val="auto"/>
              </w:rPr>
            </w:pPr>
            <w:r>
              <w:rPr>
                <w:rFonts w:eastAsia="宋体"/>
                <w:color w:val="auto"/>
              </w:rPr>
              <w:t>□</w:t>
            </w:r>
            <w:r>
              <w:rPr>
                <w:rFonts w:hint="default" w:eastAsia="宋体"/>
                <w:color w:val="auto"/>
              </w:rPr>
              <w:t>扩建</w:t>
            </w:r>
          </w:p>
          <w:p w14:paraId="1FFED70D">
            <w:pPr>
              <w:spacing w:line="240" w:lineRule="auto"/>
              <w:ind w:firstLine="0" w:firstLineChars="0"/>
              <w:jc w:val="left"/>
              <w:rPr>
                <w:rFonts w:hint="default"/>
                <w:color w:val="auto"/>
              </w:rPr>
            </w:pPr>
            <w:r>
              <w:rPr>
                <w:rFonts w:eastAsia="宋体"/>
                <w:color w:val="auto"/>
              </w:rPr>
              <w:t>□</w:t>
            </w:r>
            <w:r>
              <w:rPr>
                <w:rFonts w:hint="default" w:eastAsia="宋体"/>
                <w:color w:val="auto"/>
              </w:rPr>
              <w:t>技术改造</w:t>
            </w:r>
          </w:p>
        </w:tc>
        <w:tc>
          <w:tcPr>
            <w:tcW w:w="1909" w:type="dxa"/>
            <w:tcBorders>
              <w:top w:val="single" w:color="auto" w:sz="4" w:space="0"/>
              <w:left w:val="single" w:color="auto" w:sz="4" w:space="0"/>
              <w:bottom w:val="single" w:color="auto" w:sz="4" w:space="0"/>
              <w:right w:val="single" w:color="auto" w:sz="4" w:space="0"/>
              <w:tl2br w:val="nil"/>
              <w:tr2bl w:val="nil"/>
            </w:tcBorders>
            <w:vAlign w:val="center"/>
          </w:tcPr>
          <w:p w14:paraId="3FF07119">
            <w:pPr>
              <w:adjustRightInd w:val="0"/>
              <w:snapToGrid w:val="0"/>
              <w:spacing w:line="240" w:lineRule="auto"/>
              <w:ind w:firstLine="0" w:firstLineChars="0"/>
              <w:jc w:val="center"/>
              <w:rPr>
                <w:rFonts w:hint="default" w:eastAsia="宋体"/>
                <w:color w:val="auto"/>
              </w:rPr>
            </w:pPr>
            <w:r>
              <w:rPr>
                <w:rFonts w:hint="default" w:eastAsia="宋体"/>
                <w:color w:val="auto"/>
              </w:rPr>
              <w:t>建设项目</w:t>
            </w:r>
          </w:p>
          <w:p w14:paraId="19034289">
            <w:pPr>
              <w:adjustRightInd w:val="0"/>
              <w:snapToGrid w:val="0"/>
              <w:spacing w:line="240" w:lineRule="auto"/>
              <w:ind w:firstLine="0" w:firstLineChars="0"/>
              <w:jc w:val="center"/>
              <w:rPr>
                <w:rFonts w:hint="default" w:eastAsia="宋体"/>
                <w:color w:val="auto"/>
              </w:rPr>
            </w:pPr>
            <w:r>
              <w:rPr>
                <w:rFonts w:hint="default" w:eastAsia="宋体"/>
                <w:color w:val="auto"/>
              </w:rPr>
              <w:t>申报情形</w:t>
            </w:r>
          </w:p>
        </w:tc>
        <w:tc>
          <w:tcPr>
            <w:tcW w:w="2942" w:type="dxa"/>
            <w:tcBorders>
              <w:top w:val="single" w:color="auto" w:sz="4" w:space="0"/>
              <w:left w:val="single" w:color="auto" w:sz="4" w:space="0"/>
              <w:bottom w:val="single" w:color="auto" w:sz="4" w:space="0"/>
              <w:right w:val="single" w:color="auto" w:sz="8" w:space="0"/>
              <w:tl2br w:val="nil"/>
              <w:tr2bl w:val="nil"/>
            </w:tcBorders>
            <w:vAlign w:val="center"/>
          </w:tcPr>
          <w:p w14:paraId="1911429E">
            <w:pPr>
              <w:adjustRightInd w:val="0"/>
              <w:snapToGrid w:val="0"/>
              <w:spacing w:line="240" w:lineRule="auto"/>
              <w:ind w:firstLine="0" w:firstLineChars="0"/>
              <w:rPr>
                <w:rFonts w:hint="default" w:eastAsia="宋体"/>
                <w:color w:val="auto"/>
              </w:rPr>
            </w:pPr>
            <w:r>
              <w:rPr>
                <w:rFonts w:hint="default" w:eastAsia="宋体"/>
                <w:color w:val="auto"/>
              </w:rPr>
              <w:t>☑首次申报项目</w:t>
            </w:r>
          </w:p>
          <w:p w14:paraId="08319BDD">
            <w:pPr>
              <w:adjustRightInd w:val="0"/>
              <w:snapToGrid w:val="0"/>
              <w:spacing w:line="240" w:lineRule="auto"/>
              <w:ind w:firstLine="0" w:firstLineChars="0"/>
              <w:rPr>
                <w:rFonts w:hint="default" w:eastAsia="宋体"/>
                <w:color w:val="auto"/>
              </w:rPr>
            </w:pPr>
            <w:r>
              <w:rPr>
                <w:rFonts w:eastAsia="宋体"/>
                <w:color w:val="auto"/>
              </w:rPr>
              <w:t>□</w:t>
            </w:r>
            <w:r>
              <w:rPr>
                <w:rFonts w:hint="default" w:eastAsia="宋体"/>
                <w:color w:val="auto"/>
              </w:rPr>
              <w:t>不予批准后再次申报项目</w:t>
            </w:r>
          </w:p>
          <w:p w14:paraId="0C021E6A">
            <w:pPr>
              <w:adjustRightInd w:val="0"/>
              <w:snapToGrid w:val="0"/>
              <w:spacing w:line="240" w:lineRule="auto"/>
              <w:ind w:firstLine="0" w:firstLineChars="0"/>
              <w:rPr>
                <w:rFonts w:hint="default" w:eastAsia="宋体"/>
                <w:color w:val="auto"/>
              </w:rPr>
            </w:pPr>
            <w:r>
              <w:rPr>
                <w:rFonts w:eastAsia="宋体"/>
                <w:color w:val="auto"/>
              </w:rPr>
              <w:t>□</w:t>
            </w:r>
            <w:r>
              <w:rPr>
                <w:rFonts w:hint="default" w:eastAsia="宋体"/>
                <w:color w:val="auto"/>
              </w:rPr>
              <w:t>超五年重新审核项目</w:t>
            </w:r>
          </w:p>
          <w:p w14:paraId="1EE5337D">
            <w:pPr>
              <w:adjustRightInd w:val="0"/>
              <w:snapToGrid w:val="0"/>
              <w:spacing w:line="240" w:lineRule="auto"/>
              <w:ind w:firstLine="0" w:firstLineChars="0"/>
              <w:rPr>
                <w:rFonts w:hint="default" w:eastAsia="宋体"/>
                <w:color w:val="auto"/>
              </w:rPr>
            </w:pPr>
            <w:r>
              <w:rPr>
                <w:rFonts w:eastAsia="宋体"/>
                <w:color w:val="auto"/>
              </w:rPr>
              <w:t>□</w:t>
            </w:r>
            <w:r>
              <w:rPr>
                <w:rFonts w:hint="default" w:eastAsia="宋体"/>
                <w:color w:val="auto"/>
              </w:rPr>
              <w:t>重大变动重新报批项目</w:t>
            </w:r>
          </w:p>
        </w:tc>
      </w:tr>
      <w:tr w14:paraId="245F8A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2223" w:type="dxa"/>
            <w:tcBorders>
              <w:top w:val="single" w:color="auto" w:sz="4" w:space="0"/>
              <w:left w:val="single" w:color="auto" w:sz="8" w:space="0"/>
              <w:bottom w:val="single" w:color="auto" w:sz="4" w:space="0"/>
              <w:right w:val="single" w:color="auto" w:sz="4" w:space="0"/>
              <w:tl2br w:val="nil"/>
              <w:tr2bl w:val="nil"/>
            </w:tcBorders>
            <w:tcMar>
              <w:top w:w="16" w:type="dxa"/>
              <w:left w:w="16" w:type="dxa"/>
              <w:right w:w="16" w:type="dxa"/>
            </w:tcMar>
            <w:vAlign w:val="center"/>
          </w:tcPr>
          <w:p w14:paraId="37E59E55">
            <w:pPr>
              <w:adjustRightInd w:val="0"/>
              <w:snapToGrid w:val="0"/>
              <w:spacing w:line="240" w:lineRule="auto"/>
              <w:ind w:firstLine="0" w:firstLineChars="0"/>
              <w:jc w:val="center"/>
              <w:rPr>
                <w:rFonts w:hint="default"/>
                <w:color w:val="auto"/>
              </w:rPr>
            </w:pPr>
            <w:r>
              <w:rPr>
                <w:rFonts w:hint="default" w:eastAsia="宋体"/>
                <w:color w:val="auto"/>
              </w:rPr>
              <w:t>项目审批（核准/</w:t>
            </w:r>
          </w:p>
          <w:p w14:paraId="3E962456">
            <w:pPr>
              <w:adjustRightInd w:val="0"/>
              <w:snapToGrid w:val="0"/>
              <w:spacing w:line="240" w:lineRule="auto"/>
              <w:ind w:firstLine="0" w:firstLineChars="0"/>
              <w:jc w:val="center"/>
              <w:rPr>
                <w:rFonts w:hint="default"/>
                <w:color w:val="auto"/>
              </w:rPr>
            </w:pPr>
            <w:r>
              <w:rPr>
                <w:rFonts w:hint="default" w:eastAsia="宋体"/>
                <w:color w:val="auto"/>
              </w:rPr>
              <w:t>备案）部门（选填）</w:t>
            </w:r>
          </w:p>
        </w:tc>
        <w:tc>
          <w:tcPr>
            <w:tcW w:w="1796" w:type="dxa"/>
            <w:tcBorders>
              <w:top w:val="single" w:color="auto" w:sz="4" w:space="0"/>
              <w:left w:val="single" w:color="auto" w:sz="4" w:space="0"/>
              <w:bottom w:val="single" w:color="auto" w:sz="4" w:space="0"/>
              <w:right w:val="single" w:color="auto" w:sz="4" w:space="0"/>
              <w:tl2br w:val="nil"/>
              <w:tr2bl w:val="nil"/>
            </w:tcBorders>
            <w:vAlign w:val="center"/>
          </w:tcPr>
          <w:p w14:paraId="50BEFF3F">
            <w:pPr>
              <w:adjustRightInd w:val="0"/>
              <w:snapToGrid w:val="0"/>
              <w:spacing w:line="240" w:lineRule="auto"/>
              <w:ind w:firstLine="0" w:firstLineChars="0"/>
              <w:jc w:val="center"/>
              <w:rPr>
                <w:rFonts w:hint="default"/>
                <w:color w:val="auto"/>
              </w:rPr>
            </w:pPr>
            <w:r>
              <w:rPr>
                <w:rFonts w:hint="default"/>
                <w:color w:val="auto"/>
              </w:rPr>
              <w:t>/</w:t>
            </w:r>
          </w:p>
        </w:tc>
        <w:tc>
          <w:tcPr>
            <w:tcW w:w="1909" w:type="dxa"/>
            <w:tcBorders>
              <w:top w:val="single" w:color="auto" w:sz="4" w:space="0"/>
              <w:left w:val="single" w:color="auto" w:sz="4" w:space="0"/>
              <w:bottom w:val="single" w:color="auto" w:sz="4" w:space="0"/>
              <w:right w:val="single" w:color="auto" w:sz="4" w:space="0"/>
              <w:tl2br w:val="nil"/>
              <w:tr2bl w:val="nil"/>
            </w:tcBorders>
            <w:vAlign w:val="center"/>
          </w:tcPr>
          <w:p w14:paraId="4EF66F94">
            <w:pPr>
              <w:adjustRightInd w:val="0"/>
              <w:snapToGrid w:val="0"/>
              <w:spacing w:line="240" w:lineRule="auto"/>
              <w:ind w:firstLine="0" w:firstLineChars="0"/>
              <w:jc w:val="center"/>
              <w:rPr>
                <w:rFonts w:hint="default"/>
                <w:color w:val="auto"/>
              </w:rPr>
            </w:pPr>
            <w:r>
              <w:rPr>
                <w:rFonts w:hint="default" w:eastAsia="宋体"/>
                <w:color w:val="auto"/>
              </w:rPr>
              <w:t>项目审批（核准/备案）文号（选填）</w:t>
            </w:r>
          </w:p>
        </w:tc>
        <w:tc>
          <w:tcPr>
            <w:tcW w:w="2942" w:type="dxa"/>
            <w:tcBorders>
              <w:top w:val="single" w:color="auto" w:sz="4" w:space="0"/>
              <w:left w:val="single" w:color="auto" w:sz="4" w:space="0"/>
              <w:bottom w:val="single" w:color="auto" w:sz="4" w:space="0"/>
              <w:right w:val="single" w:color="auto" w:sz="8" w:space="0"/>
              <w:tl2br w:val="nil"/>
              <w:tr2bl w:val="nil"/>
            </w:tcBorders>
            <w:vAlign w:val="center"/>
          </w:tcPr>
          <w:p w14:paraId="34901620">
            <w:pPr>
              <w:adjustRightInd w:val="0"/>
              <w:snapToGrid w:val="0"/>
              <w:spacing w:line="240" w:lineRule="auto"/>
              <w:ind w:firstLine="0" w:firstLineChars="0"/>
              <w:jc w:val="center"/>
              <w:rPr>
                <w:rFonts w:hint="default"/>
                <w:color w:val="auto"/>
              </w:rPr>
            </w:pPr>
            <w:r>
              <w:rPr>
                <w:rFonts w:hint="default"/>
                <w:color w:val="auto"/>
              </w:rPr>
              <w:t>/</w:t>
            </w:r>
          </w:p>
        </w:tc>
      </w:tr>
      <w:tr w14:paraId="33EB0B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223" w:type="dxa"/>
            <w:tcBorders>
              <w:top w:val="single" w:color="auto" w:sz="4" w:space="0"/>
              <w:left w:val="single" w:color="auto" w:sz="8" w:space="0"/>
              <w:bottom w:val="single" w:color="auto" w:sz="4" w:space="0"/>
              <w:right w:val="single" w:color="auto" w:sz="4" w:space="0"/>
              <w:tl2br w:val="nil"/>
              <w:tr2bl w:val="nil"/>
            </w:tcBorders>
            <w:tcMar>
              <w:top w:w="16" w:type="dxa"/>
              <w:left w:w="16" w:type="dxa"/>
              <w:right w:w="16" w:type="dxa"/>
            </w:tcMar>
            <w:vAlign w:val="center"/>
          </w:tcPr>
          <w:p w14:paraId="7B3660EF">
            <w:pPr>
              <w:adjustRightInd w:val="0"/>
              <w:snapToGrid w:val="0"/>
              <w:spacing w:line="240" w:lineRule="auto"/>
              <w:ind w:firstLine="0" w:firstLineChars="0"/>
              <w:jc w:val="center"/>
              <w:rPr>
                <w:rFonts w:hint="default"/>
                <w:color w:val="auto"/>
              </w:rPr>
            </w:pPr>
            <w:r>
              <w:rPr>
                <w:rFonts w:hint="default" w:eastAsia="宋体"/>
                <w:color w:val="auto"/>
              </w:rPr>
              <w:t>总投资（万元）</w:t>
            </w:r>
          </w:p>
        </w:tc>
        <w:tc>
          <w:tcPr>
            <w:tcW w:w="1796" w:type="dxa"/>
            <w:tcBorders>
              <w:top w:val="single" w:color="auto" w:sz="4" w:space="0"/>
              <w:left w:val="single" w:color="auto" w:sz="4" w:space="0"/>
              <w:bottom w:val="single" w:color="auto" w:sz="4" w:space="0"/>
              <w:right w:val="single" w:color="auto" w:sz="4" w:space="0"/>
              <w:tl2br w:val="nil"/>
              <w:tr2bl w:val="nil"/>
            </w:tcBorders>
            <w:vAlign w:val="center"/>
          </w:tcPr>
          <w:p w14:paraId="2A1D138B">
            <w:pPr>
              <w:adjustRightInd w:val="0"/>
              <w:snapToGrid w:val="0"/>
              <w:spacing w:line="240" w:lineRule="auto"/>
              <w:ind w:firstLine="0" w:firstLineChars="0"/>
              <w:jc w:val="center"/>
              <w:rPr>
                <w:rFonts w:hint="default" w:eastAsia="宋体"/>
                <w:color w:val="auto"/>
                <w:lang w:val="en-US" w:eastAsia="zh-CN"/>
              </w:rPr>
            </w:pPr>
            <w:r>
              <w:rPr>
                <w:rFonts w:hint="eastAsia" w:eastAsia="宋体"/>
                <w:color w:val="auto"/>
                <w:lang w:val="en-US" w:eastAsia="zh-CN"/>
              </w:rPr>
              <w:t>15</w:t>
            </w:r>
          </w:p>
        </w:tc>
        <w:tc>
          <w:tcPr>
            <w:tcW w:w="1909" w:type="dxa"/>
            <w:tcBorders>
              <w:top w:val="single" w:color="auto" w:sz="4" w:space="0"/>
              <w:left w:val="single" w:color="auto" w:sz="4" w:space="0"/>
              <w:bottom w:val="single" w:color="auto" w:sz="4" w:space="0"/>
              <w:right w:val="single" w:color="auto" w:sz="4" w:space="0"/>
              <w:tl2br w:val="nil"/>
              <w:tr2bl w:val="nil"/>
            </w:tcBorders>
            <w:tcMar>
              <w:top w:w="16" w:type="dxa"/>
              <w:left w:w="16" w:type="dxa"/>
              <w:right w:w="16" w:type="dxa"/>
            </w:tcMar>
            <w:vAlign w:val="center"/>
          </w:tcPr>
          <w:p w14:paraId="430C10C9">
            <w:pPr>
              <w:adjustRightInd w:val="0"/>
              <w:snapToGrid w:val="0"/>
              <w:spacing w:line="240" w:lineRule="auto"/>
              <w:ind w:firstLine="0" w:firstLineChars="0"/>
              <w:jc w:val="center"/>
              <w:rPr>
                <w:rFonts w:hint="default"/>
                <w:color w:val="auto"/>
              </w:rPr>
            </w:pPr>
            <w:r>
              <w:rPr>
                <w:rFonts w:hint="default" w:eastAsia="宋体"/>
                <w:color w:val="auto"/>
              </w:rPr>
              <w:t>环保投资（万元）</w:t>
            </w:r>
          </w:p>
        </w:tc>
        <w:tc>
          <w:tcPr>
            <w:tcW w:w="2942" w:type="dxa"/>
            <w:tcBorders>
              <w:top w:val="single" w:color="auto" w:sz="4" w:space="0"/>
              <w:left w:val="single" w:color="auto" w:sz="4" w:space="0"/>
              <w:bottom w:val="single" w:color="auto" w:sz="4" w:space="0"/>
              <w:right w:val="single" w:color="auto" w:sz="8" w:space="0"/>
              <w:tl2br w:val="nil"/>
              <w:tr2bl w:val="nil"/>
            </w:tcBorders>
            <w:vAlign w:val="center"/>
          </w:tcPr>
          <w:p w14:paraId="0200354E">
            <w:pPr>
              <w:adjustRightInd w:val="0"/>
              <w:snapToGrid w:val="0"/>
              <w:spacing w:line="240" w:lineRule="auto"/>
              <w:ind w:firstLine="0" w:firstLineChars="0"/>
              <w:jc w:val="center"/>
              <w:rPr>
                <w:rFonts w:hint="default" w:eastAsia="宋体"/>
                <w:color w:val="auto"/>
                <w:lang w:val="en-US" w:eastAsia="zh-CN"/>
              </w:rPr>
            </w:pPr>
            <w:r>
              <w:rPr>
                <w:rFonts w:hint="eastAsia" w:eastAsia="宋体"/>
                <w:color w:val="auto"/>
                <w:lang w:val="en-US" w:eastAsia="zh-CN"/>
              </w:rPr>
              <w:t>15</w:t>
            </w:r>
          </w:p>
        </w:tc>
      </w:tr>
      <w:tr w14:paraId="7A1C09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223" w:type="dxa"/>
            <w:tcBorders>
              <w:top w:val="single" w:color="auto" w:sz="4" w:space="0"/>
              <w:left w:val="single" w:color="auto" w:sz="8" w:space="0"/>
              <w:bottom w:val="single" w:color="auto" w:sz="4" w:space="0"/>
              <w:right w:val="single" w:color="auto" w:sz="4" w:space="0"/>
              <w:tl2br w:val="nil"/>
              <w:tr2bl w:val="nil"/>
            </w:tcBorders>
            <w:tcMar>
              <w:top w:w="16" w:type="dxa"/>
              <w:left w:w="16" w:type="dxa"/>
              <w:right w:w="16" w:type="dxa"/>
            </w:tcMar>
            <w:vAlign w:val="center"/>
          </w:tcPr>
          <w:p w14:paraId="1A42537B">
            <w:pPr>
              <w:adjustRightInd w:val="0"/>
              <w:snapToGrid w:val="0"/>
              <w:spacing w:line="240" w:lineRule="auto"/>
              <w:ind w:firstLine="0" w:firstLineChars="0"/>
              <w:jc w:val="center"/>
              <w:rPr>
                <w:rFonts w:hint="default"/>
                <w:color w:val="auto"/>
              </w:rPr>
            </w:pPr>
            <w:r>
              <w:rPr>
                <w:rFonts w:hint="default" w:eastAsia="宋体"/>
                <w:color w:val="auto"/>
              </w:rPr>
              <w:t>环保投资占比（%）</w:t>
            </w:r>
          </w:p>
        </w:tc>
        <w:tc>
          <w:tcPr>
            <w:tcW w:w="1796" w:type="dxa"/>
            <w:tcBorders>
              <w:top w:val="single" w:color="auto" w:sz="4" w:space="0"/>
              <w:left w:val="single" w:color="auto" w:sz="4" w:space="0"/>
              <w:bottom w:val="single" w:color="auto" w:sz="4" w:space="0"/>
              <w:right w:val="single" w:color="auto" w:sz="4" w:space="0"/>
              <w:tl2br w:val="nil"/>
              <w:tr2bl w:val="nil"/>
            </w:tcBorders>
            <w:vAlign w:val="center"/>
          </w:tcPr>
          <w:p w14:paraId="33D18BBF">
            <w:pPr>
              <w:adjustRightInd w:val="0"/>
              <w:snapToGrid w:val="0"/>
              <w:spacing w:line="240" w:lineRule="auto"/>
              <w:ind w:firstLine="0" w:firstLineChars="0"/>
              <w:jc w:val="center"/>
              <w:rPr>
                <w:rFonts w:hint="default"/>
                <w:color w:val="auto"/>
              </w:rPr>
            </w:pPr>
            <w:r>
              <w:rPr>
                <w:rFonts w:hint="default"/>
                <w:color w:val="auto"/>
              </w:rPr>
              <w:t>100</w:t>
            </w:r>
          </w:p>
        </w:tc>
        <w:tc>
          <w:tcPr>
            <w:tcW w:w="1909" w:type="dxa"/>
            <w:tcBorders>
              <w:top w:val="single" w:color="auto" w:sz="4" w:space="0"/>
              <w:left w:val="single" w:color="auto" w:sz="4" w:space="0"/>
              <w:bottom w:val="single" w:color="auto" w:sz="4" w:space="0"/>
              <w:right w:val="single" w:color="auto" w:sz="4" w:space="0"/>
              <w:tl2br w:val="nil"/>
              <w:tr2bl w:val="nil"/>
            </w:tcBorders>
            <w:tcMar>
              <w:top w:w="16" w:type="dxa"/>
              <w:left w:w="16" w:type="dxa"/>
              <w:right w:w="16" w:type="dxa"/>
            </w:tcMar>
            <w:vAlign w:val="center"/>
          </w:tcPr>
          <w:p w14:paraId="481539BD">
            <w:pPr>
              <w:adjustRightInd w:val="0"/>
              <w:snapToGrid w:val="0"/>
              <w:spacing w:line="240" w:lineRule="auto"/>
              <w:ind w:firstLine="0" w:firstLineChars="0"/>
              <w:jc w:val="center"/>
              <w:rPr>
                <w:rFonts w:hint="default"/>
                <w:color w:val="auto"/>
              </w:rPr>
            </w:pPr>
            <w:r>
              <w:rPr>
                <w:rFonts w:hint="default" w:eastAsia="宋体"/>
                <w:color w:val="auto"/>
              </w:rPr>
              <w:t>施工工期</w:t>
            </w:r>
          </w:p>
        </w:tc>
        <w:tc>
          <w:tcPr>
            <w:tcW w:w="2942" w:type="dxa"/>
            <w:tcBorders>
              <w:top w:val="single" w:color="auto" w:sz="4" w:space="0"/>
              <w:left w:val="single" w:color="auto" w:sz="4" w:space="0"/>
              <w:bottom w:val="single" w:color="auto" w:sz="4" w:space="0"/>
              <w:right w:val="single" w:color="auto" w:sz="8" w:space="0"/>
              <w:tl2br w:val="nil"/>
              <w:tr2bl w:val="nil"/>
            </w:tcBorders>
            <w:vAlign w:val="center"/>
          </w:tcPr>
          <w:p w14:paraId="5276F029">
            <w:pPr>
              <w:adjustRightInd w:val="0"/>
              <w:snapToGrid w:val="0"/>
              <w:spacing w:line="240" w:lineRule="auto"/>
              <w:ind w:firstLine="0" w:firstLineChars="0"/>
              <w:jc w:val="center"/>
              <w:rPr>
                <w:rFonts w:hint="default"/>
                <w:color w:val="auto"/>
              </w:rPr>
            </w:pPr>
            <w:r>
              <w:rPr>
                <w:rFonts w:hint="default"/>
                <w:color w:val="auto"/>
              </w:rPr>
              <w:t>1</w:t>
            </w:r>
            <w:r>
              <w:rPr>
                <w:rFonts w:hint="default" w:eastAsia="宋体"/>
                <w:color w:val="auto"/>
              </w:rPr>
              <w:t>个月</w:t>
            </w:r>
          </w:p>
        </w:tc>
      </w:tr>
      <w:tr w14:paraId="2817B4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223" w:type="dxa"/>
            <w:tcBorders>
              <w:top w:val="single" w:color="auto" w:sz="4" w:space="0"/>
              <w:left w:val="single" w:color="auto" w:sz="8" w:space="0"/>
              <w:bottom w:val="single" w:color="auto" w:sz="4" w:space="0"/>
              <w:right w:val="single" w:color="auto" w:sz="4" w:space="0"/>
              <w:tl2br w:val="nil"/>
              <w:tr2bl w:val="nil"/>
            </w:tcBorders>
            <w:tcMar>
              <w:top w:w="16" w:type="dxa"/>
              <w:left w:w="16" w:type="dxa"/>
              <w:right w:w="16" w:type="dxa"/>
            </w:tcMar>
            <w:vAlign w:val="center"/>
          </w:tcPr>
          <w:p w14:paraId="6FF62FB7">
            <w:pPr>
              <w:adjustRightInd w:val="0"/>
              <w:snapToGrid w:val="0"/>
              <w:spacing w:line="240" w:lineRule="auto"/>
              <w:ind w:firstLine="0" w:firstLineChars="0"/>
              <w:jc w:val="center"/>
              <w:rPr>
                <w:rFonts w:hint="default"/>
                <w:color w:val="auto"/>
              </w:rPr>
            </w:pPr>
            <w:r>
              <w:rPr>
                <w:rFonts w:hint="default" w:eastAsia="宋体"/>
                <w:color w:val="auto"/>
              </w:rPr>
              <w:t>是否开工建设</w:t>
            </w:r>
          </w:p>
        </w:tc>
        <w:tc>
          <w:tcPr>
            <w:tcW w:w="1796" w:type="dxa"/>
            <w:tcBorders>
              <w:top w:val="single" w:color="auto" w:sz="4" w:space="0"/>
              <w:left w:val="single" w:color="auto" w:sz="4" w:space="0"/>
              <w:bottom w:val="single" w:color="auto" w:sz="4" w:space="0"/>
              <w:right w:val="single" w:color="auto" w:sz="4" w:space="0"/>
              <w:tl2br w:val="nil"/>
              <w:tr2bl w:val="nil"/>
            </w:tcBorders>
            <w:vAlign w:val="center"/>
          </w:tcPr>
          <w:p w14:paraId="35AFF8D7">
            <w:pPr>
              <w:adjustRightInd w:val="0"/>
              <w:snapToGrid w:val="0"/>
              <w:spacing w:line="240" w:lineRule="auto"/>
              <w:ind w:firstLine="0" w:firstLineChars="0"/>
              <w:rPr>
                <w:rFonts w:hint="default"/>
                <w:color w:val="auto"/>
              </w:rPr>
            </w:pPr>
            <w:r>
              <w:rPr>
                <w:rFonts w:hint="eastAsia" w:eastAsia="宋体"/>
                <w:color w:val="auto"/>
                <w:lang w:eastAsia="zh-CN"/>
              </w:rPr>
              <w:t>☑</w:t>
            </w:r>
            <w:r>
              <w:rPr>
                <w:rFonts w:hint="default" w:eastAsia="宋体"/>
                <w:color w:val="auto"/>
              </w:rPr>
              <w:t>否</w:t>
            </w:r>
          </w:p>
          <w:p w14:paraId="3C5D4922">
            <w:pPr>
              <w:adjustRightInd w:val="0"/>
              <w:snapToGrid w:val="0"/>
              <w:spacing w:line="240" w:lineRule="auto"/>
              <w:ind w:firstLine="0" w:firstLineChars="0"/>
              <w:rPr>
                <w:rFonts w:hint="default"/>
                <w:color w:val="auto"/>
              </w:rPr>
            </w:pPr>
            <w:r>
              <w:rPr>
                <w:rFonts w:eastAsia="宋体"/>
                <w:color w:val="auto"/>
              </w:rPr>
              <w:t>□</w:t>
            </w:r>
            <w:r>
              <w:rPr>
                <w:rFonts w:hint="default" w:eastAsia="宋体"/>
                <w:color w:val="auto"/>
              </w:rPr>
              <w:t>是：</w:t>
            </w:r>
          </w:p>
        </w:tc>
        <w:tc>
          <w:tcPr>
            <w:tcW w:w="1909" w:type="dxa"/>
            <w:tcBorders>
              <w:top w:val="single" w:color="auto" w:sz="4" w:space="0"/>
              <w:left w:val="single" w:color="auto" w:sz="4" w:space="0"/>
              <w:bottom w:val="single" w:color="auto" w:sz="4" w:space="0"/>
              <w:right w:val="single" w:color="auto" w:sz="4" w:space="0"/>
              <w:tl2br w:val="nil"/>
              <w:tr2bl w:val="nil"/>
            </w:tcBorders>
            <w:tcMar>
              <w:top w:w="16" w:type="dxa"/>
              <w:left w:w="16" w:type="dxa"/>
              <w:right w:w="16" w:type="dxa"/>
            </w:tcMar>
            <w:vAlign w:val="center"/>
          </w:tcPr>
          <w:p w14:paraId="407D350D">
            <w:pPr>
              <w:adjustRightInd w:val="0"/>
              <w:snapToGrid w:val="0"/>
              <w:spacing w:line="240" w:lineRule="auto"/>
              <w:ind w:firstLine="0" w:firstLineChars="0"/>
              <w:jc w:val="center"/>
              <w:rPr>
                <w:rFonts w:hint="default"/>
                <w:color w:val="auto"/>
              </w:rPr>
            </w:pPr>
            <w:r>
              <w:rPr>
                <w:rFonts w:hint="default" w:eastAsia="宋体"/>
                <w:color w:val="auto"/>
                <w:spacing w:val="-6"/>
              </w:rPr>
              <w:t>用地面积（㎡）</w:t>
            </w:r>
          </w:p>
        </w:tc>
        <w:tc>
          <w:tcPr>
            <w:tcW w:w="2942" w:type="dxa"/>
            <w:tcBorders>
              <w:top w:val="single" w:color="auto" w:sz="4" w:space="0"/>
              <w:left w:val="single" w:color="auto" w:sz="4" w:space="0"/>
              <w:bottom w:val="single" w:color="auto" w:sz="4" w:space="0"/>
              <w:right w:val="single" w:color="auto" w:sz="8" w:space="0"/>
              <w:tl2br w:val="nil"/>
              <w:tr2bl w:val="nil"/>
            </w:tcBorders>
            <w:vAlign w:val="center"/>
          </w:tcPr>
          <w:p w14:paraId="7EC543DF">
            <w:pPr>
              <w:adjustRightInd w:val="0"/>
              <w:snapToGrid w:val="0"/>
              <w:spacing w:line="240" w:lineRule="auto"/>
              <w:ind w:firstLine="0" w:firstLineChars="0"/>
              <w:jc w:val="center"/>
              <w:rPr>
                <w:rFonts w:hint="eastAsia" w:eastAsia="宋体"/>
                <w:color w:val="auto"/>
                <w:lang w:eastAsia="zh-CN"/>
              </w:rPr>
            </w:pPr>
            <w:r>
              <w:rPr>
                <w:rFonts w:hint="eastAsia" w:eastAsia="宋体"/>
                <w:color w:val="auto"/>
                <w:lang w:eastAsia="zh-CN"/>
              </w:rPr>
              <w:t>21.6</w:t>
            </w:r>
          </w:p>
        </w:tc>
      </w:tr>
      <w:tr w14:paraId="6D7A24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2223" w:type="dxa"/>
            <w:tcBorders>
              <w:top w:val="single" w:color="auto" w:sz="4" w:space="0"/>
              <w:left w:val="single" w:color="auto" w:sz="8" w:space="0"/>
              <w:bottom w:val="single" w:color="auto" w:sz="4" w:space="0"/>
              <w:right w:val="single" w:color="auto" w:sz="4" w:space="0"/>
              <w:tl2br w:val="nil"/>
              <w:tr2bl w:val="nil"/>
            </w:tcBorders>
            <w:vAlign w:val="center"/>
          </w:tcPr>
          <w:p w14:paraId="391B1075">
            <w:pPr>
              <w:autoSpaceDE w:val="0"/>
              <w:autoSpaceDN w:val="0"/>
              <w:adjustRightInd w:val="0"/>
              <w:snapToGrid w:val="0"/>
              <w:ind w:firstLine="0" w:firstLineChars="0"/>
              <w:jc w:val="center"/>
              <w:rPr>
                <w:rFonts w:hint="default"/>
                <w:color w:val="auto"/>
                <w:kern w:val="0"/>
              </w:rPr>
            </w:pPr>
            <w:r>
              <w:rPr>
                <w:rFonts w:hint="default" w:eastAsia="宋体"/>
                <w:color w:val="auto"/>
                <w:kern w:val="0"/>
              </w:rPr>
              <w:t>专项评价设置情况</w:t>
            </w:r>
          </w:p>
        </w:tc>
        <w:tc>
          <w:tcPr>
            <w:tcW w:w="6647" w:type="dxa"/>
            <w:gridSpan w:val="3"/>
            <w:tcBorders>
              <w:top w:val="single" w:color="auto" w:sz="4" w:space="0"/>
              <w:left w:val="single" w:color="auto" w:sz="4" w:space="0"/>
              <w:bottom w:val="single" w:color="auto" w:sz="4" w:space="0"/>
              <w:right w:val="single" w:color="auto" w:sz="8" w:space="0"/>
              <w:tl2br w:val="nil"/>
              <w:tr2bl w:val="nil"/>
            </w:tcBorders>
            <w:vAlign w:val="center"/>
          </w:tcPr>
          <w:p w14:paraId="68B5EB4A">
            <w:pPr>
              <w:pStyle w:val="21"/>
              <w:widowControl w:val="0"/>
              <w:ind w:firstLine="480"/>
              <w:rPr>
                <w:rFonts w:hint="default"/>
                <w:color w:val="auto"/>
              </w:rPr>
            </w:pPr>
            <w:r>
              <w:rPr>
                <w:rFonts w:hint="default" w:eastAsia="宋体"/>
                <w:color w:val="auto"/>
              </w:rPr>
              <w:t>根据《建设项目环境影响报告表编制技术指南（污染影响类）（试行）》，本项目不需要开展“大气、地表水、环境风险、生态和海洋”专项评价工作，具体对照分析见表1-1。</w:t>
            </w:r>
          </w:p>
          <w:p w14:paraId="067D45FC">
            <w:pPr>
              <w:pStyle w:val="22"/>
              <w:spacing w:before="60" w:after="60" w:line="240" w:lineRule="auto"/>
              <w:jc w:val="center"/>
              <w:rPr>
                <w:rFonts w:hint="default"/>
                <w:color w:val="auto"/>
              </w:rPr>
            </w:pPr>
            <w:r>
              <w:rPr>
                <w:rFonts w:hint="default" w:eastAsia="宋体"/>
                <w:color w:val="auto"/>
              </w:rPr>
              <w:t>表1-1专项评价设置情况判定表</w:t>
            </w:r>
          </w:p>
          <w:tbl>
            <w:tblPr>
              <w:tblStyle w:val="1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859"/>
              <w:gridCol w:w="2712"/>
              <w:gridCol w:w="1948"/>
              <w:gridCol w:w="902"/>
            </w:tblGrid>
            <w:tr w14:paraId="7DF47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9" w:hRule="atLeast"/>
                <w:jc w:val="center"/>
              </w:trPr>
              <w:tc>
                <w:tcPr>
                  <w:tcW w:w="668" w:type="pct"/>
                  <w:tcBorders>
                    <w:top w:val="single" w:color="auto" w:sz="4" w:space="0"/>
                    <w:left w:val="single" w:color="auto" w:sz="4" w:space="0"/>
                    <w:bottom w:val="single" w:color="auto" w:sz="4" w:space="0"/>
                    <w:right w:val="single" w:color="auto" w:sz="4" w:space="0"/>
                    <w:tl2br w:val="nil"/>
                    <w:tr2bl w:val="nil"/>
                  </w:tcBorders>
                  <w:vAlign w:val="center"/>
                </w:tcPr>
                <w:p w14:paraId="67EA20DE">
                  <w:pPr>
                    <w:spacing w:line="240" w:lineRule="auto"/>
                    <w:ind w:firstLine="0" w:firstLineChars="0"/>
                    <w:jc w:val="center"/>
                    <w:rPr>
                      <w:rFonts w:hint="default"/>
                      <w:color w:val="auto"/>
                    </w:rPr>
                  </w:pPr>
                  <w:r>
                    <w:rPr>
                      <w:rFonts w:hint="default" w:eastAsia="宋体"/>
                      <w:color w:val="auto"/>
                    </w:rPr>
                    <w:t>专项评价类别</w:t>
                  </w:r>
                </w:p>
              </w:tc>
              <w:tc>
                <w:tcPr>
                  <w:tcW w:w="2111" w:type="pct"/>
                  <w:tcBorders>
                    <w:top w:val="single" w:color="auto" w:sz="4" w:space="0"/>
                    <w:left w:val="single" w:color="auto" w:sz="4" w:space="0"/>
                    <w:bottom w:val="single" w:color="auto" w:sz="4" w:space="0"/>
                    <w:right w:val="single" w:color="auto" w:sz="4" w:space="0"/>
                    <w:tl2br w:val="nil"/>
                    <w:tr2bl w:val="nil"/>
                  </w:tcBorders>
                  <w:vAlign w:val="center"/>
                </w:tcPr>
                <w:p w14:paraId="09248370">
                  <w:pPr>
                    <w:spacing w:line="240" w:lineRule="auto"/>
                    <w:ind w:firstLine="0" w:firstLineChars="0"/>
                    <w:jc w:val="center"/>
                    <w:rPr>
                      <w:rFonts w:hint="default"/>
                      <w:color w:val="auto"/>
                    </w:rPr>
                  </w:pPr>
                  <w:r>
                    <w:rPr>
                      <w:rFonts w:hint="default" w:eastAsia="宋体"/>
                      <w:color w:val="auto"/>
                    </w:rPr>
                    <w:t>设置原则</w:t>
                  </w:r>
                </w:p>
              </w:tc>
              <w:tc>
                <w:tcPr>
                  <w:tcW w:w="1516" w:type="pct"/>
                  <w:tcBorders>
                    <w:top w:val="single" w:color="auto" w:sz="4" w:space="0"/>
                    <w:left w:val="single" w:color="auto" w:sz="4" w:space="0"/>
                    <w:bottom w:val="single" w:color="auto" w:sz="4" w:space="0"/>
                    <w:right w:val="single" w:color="auto" w:sz="4" w:space="0"/>
                    <w:tl2br w:val="nil"/>
                    <w:tr2bl w:val="nil"/>
                  </w:tcBorders>
                  <w:vAlign w:val="center"/>
                </w:tcPr>
                <w:p w14:paraId="48FE3D32">
                  <w:pPr>
                    <w:spacing w:line="240" w:lineRule="auto"/>
                    <w:ind w:firstLine="0" w:firstLineChars="0"/>
                    <w:jc w:val="center"/>
                    <w:rPr>
                      <w:rFonts w:hint="default"/>
                      <w:color w:val="auto"/>
                    </w:rPr>
                  </w:pPr>
                  <w:r>
                    <w:rPr>
                      <w:rFonts w:hint="default" w:eastAsia="宋体"/>
                      <w:color w:val="auto"/>
                    </w:rPr>
                    <w:t>本项目情况</w:t>
                  </w:r>
                </w:p>
              </w:tc>
              <w:tc>
                <w:tcPr>
                  <w:tcW w:w="702" w:type="pct"/>
                  <w:tcBorders>
                    <w:top w:val="single" w:color="auto" w:sz="4" w:space="0"/>
                    <w:left w:val="single" w:color="auto" w:sz="4" w:space="0"/>
                    <w:bottom w:val="single" w:color="auto" w:sz="4" w:space="0"/>
                    <w:right w:val="single" w:color="auto" w:sz="4" w:space="0"/>
                    <w:tl2br w:val="nil"/>
                    <w:tr2bl w:val="nil"/>
                  </w:tcBorders>
                  <w:vAlign w:val="center"/>
                </w:tcPr>
                <w:p w14:paraId="1177C5E8">
                  <w:pPr>
                    <w:spacing w:line="240" w:lineRule="auto"/>
                    <w:ind w:firstLine="0" w:firstLineChars="0"/>
                    <w:jc w:val="center"/>
                    <w:rPr>
                      <w:rFonts w:hint="default"/>
                      <w:color w:val="auto"/>
                    </w:rPr>
                  </w:pPr>
                  <w:r>
                    <w:rPr>
                      <w:rFonts w:hint="default" w:eastAsia="宋体"/>
                      <w:color w:val="auto"/>
                    </w:rPr>
                    <w:t>是否设置专项</w:t>
                  </w:r>
                </w:p>
              </w:tc>
            </w:tr>
            <w:tr w14:paraId="3B62B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9" w:hRule="atLeast"/>
                <w:jc w:val="center"/>
              </w:trPr>
              <w:tc>
                <w:tcPr>
                  <w:tcW w:w="668" w:type="pct"/>
                  <w:tcBorders>
                    <w:top w:val="single" w:color="auto" w:sz="4" w:space="0"/>
                    <w:left w:val="single" w:color="auto" w:sz="4" w:space="0"/>
                    <w:bottom w:val="single" w:color="auto" w:sz="4" w:space="0"/>
                    <w:right w:val="single" w:color="auto" w:sz="4" w:space="0"/>
                    <w:tl2br w:val="nil"/>
                    <w:tr2bl w:val="nil"/>
                  </w:tcBorders>
                  <w:vAlign w:val="center"/>
                </w:tcPr>
                <w:p w14:paraId="589533F0">
                  <w:pPr>
                    <w:spacing w:line="240" w:lineRule="auto"/>
                    <w:ind w:firstLine="0" w:firstLineChars="0"/>
                    <w:jc w:val="center"/>
                    <w:rPr>
                      <w:rFonts w:hint="default"/>
                      <w:color w:val="auto"/>
                    </w:rPr>
                  </w:pPr>
                  <w:r>
                    <w:rPr>
                      <w:rFonts w:hint="default" w:eastAsia="宋体"/>
                      <w:color w:val="auto"/>
                    </w:rPr>
                    <w:t>大气</w:t>
                  </w:r>
                </w:p>
              </w:tc>
              <w:tc>
                <w:tcPr>
                  <w:tcW w:w="2111" w:type="pct"/>
                  <w:tcBorders>
                    <w:top w:val="single" w:color="auto" w:sz="4" w:space="0"/>
                    <w:left w:val="single" w:color="auto" w:sz="4" w:space="0"/>
                    <w:bottom w:val="single" w:color="auto" w:sz="4" w:space="0"/>
                    <w:right w:val="single" w:color="auto" w:sz="4" w:space="0"/>
                    <w:tl2br w:val="nil"/>
                    <w:tr2bl w:val="nil"/>
                  </w:tcBorders>
                  <w:vAlign w:val="center"/>
                </w:tcPr>
                <w:p w14:paraId="0C41EF97">
                  <w:pPr>
                    <w:spacing w:line="240" w:lineRule="auto"/>
                    <w:ind w:firstLine="0" w:firstLineChars="0"/>
                    <w:jc w:val="center"/>
                    <w:rPr>
                      <w:rFonts w:hint="default"/>
                      <w:color w:val="auto"/>
                    </w:rPr>
                  </w:pPr>
                  <w:r>
                    <w:rPr>
                      <w:rFonts w:hint="default" w:eastAsia="宋体"/>
                      <w:color w:val="auto"/>
                    </w:rPr>
                    <w:t>排放废气含有毒有害污染物、二噁英、苯并[a]芘、氰化物、氯气且厂界外500米范围内有环境空气保护目标的建设项目</w:t>
                  </w:r>
                </w:p>
              </w:tc>
              <w:tc>
                <w:tcPr>
                  <w:tcW w:w="1516" w:type="pct"/>
                  <w:tcBorders>
                    <w:top w:val="single" w:color="auto" w:sz="4" w:space="0"/>
                    <w:left w:val="single" w:color="auto" w:sz="4" w:space="0"/>
                    <w:bottom w:val="single" w:color="auto" w:sz="4" w:space="0"/>
                    <w:right w:val="single" w:color="auto" w:sz="4" w:space="0"/>
                    <w:tl2br w:val="nil"/>
                    <w:tr2bl w:val="nil"/>
                  </w:tcBorders>
                  <w:vAlign w:val="center"/>
                </w:tcPr>
                <w:p w14:paraId="26467AD4">
                  <w:pPr>
                    <w:spacing w:line="240" w:lineRule="auto"/>
                    <w:ind w:firstLine="0" w:firstLineChars="0"/>
                    <w:rPr>
                      <w:rFonts w:hint="default"/>
                      <w:color w:val="auto"/>
                    </w:rPr>
                  </w:pPr>
                  <w:r>
                    <w:rPr>
                      <w:rFonts w:hint="default" w:eastAsia="宋体"/>
                      <w:color w:val="auto"/>
                    </w:rPr>
                    <w:t>本项目排放废气中不含有毒有害污染物、二噁英、</w:t>
                  </w:r>
                  <w:r>
                    <w:rPr>
                      <w:rFonts w:eastAsia="宋体"/>
                      <w:color w:val="auto"/>
                    </w:rPr>
                    <w:t>苯并[a]芘</w:t>
                  </w:r>
                  <w:r>
                    <w:rPr>
                      <w:rFonts w:hint="default" w:eastAsia="宋体"/>
                      <w:color w:val="auto"/>
                    </w:rPr>
                    <w:t>、氰化物、氯气等污染物</w:t>
                  </w:r>
                </w:p>
              </w:tc>
              <w:tc>
                <w:tcPr>
                  <w:tcW w:w="702" w:type="pct"/>
                  <w:tcBorders>
                    <w:top w:val="single" w:color="auto" w:sz="4" w:space="0"/>
                    <w:left w:val="single" w:color="auto" w:sz="4" w:space="0"/>
                    <w:bottom w:val="single" w:color="auto" w:sz="4" w:space="0"/>
                    <w:right w:val="single" w:color="auto" w:sz="4" w:space="0"/>
                    <w:tl2br w:val="nil"/>
                    <w:tr2bl w:val="nil"/>
                  </w:tcBorders>
                  <w:vAlign w:val="center"/>
                </w:tcPr>
                <w:p w14:paraId="7E0389B9">
                  <w:pPr>
                    <w:spacing w:line="240" w:lineRule="auto"/>
                    <w:ind w:firstLine="0" w:firstLineChars="0"/>
                    <w:jc w:val="center"/>
                    <w:rPr>
                      <w:rFonts w:hint="default"/>
                      <w:color w:val="auto"/>
                    </w:rPr>
                  </w:pPr>
                  <w:r>
                    <w:rPr>
                      <w:rFonts w:hint="default" w:eastAsia="宋体"/>
                      <w:color w:val="auto"/>
                    </w:rPr>
                    <w:t>否</w:t>
                  </w:r>
                </w:p>
              </w:tc>
            </w:tr>
            <w:tr w14:paraId="52DA6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9" w:hRule="atLeast"/>
                <w:jc w:val="center"/>
              </w:trPr>
              <w:tc>
                <w:tcPr>
                  <w:tcW w:w="668" w:type="pct"/>
                  <w:tcBorders>
                    <w:top w:val="single" w:color="auto" w:sz="4" w:space="0"/>
                    <w:left w:val="single" w:color="auto" w:sz="4" w:space="0"/>
                    <w:bottom w:val="single" w:color="auto" w:sz="4" w:space="0"/>
                    <w:right w:val="single" w:color="auto" w:sz="4" w:space="0"/>
                    <w:tl2br w:val="nil"/>
                    <w:tr2bl w:val="nil"/>
                  </w:tcBorders>
                  <w:vAlign w:val="center"/>
                </w:tcPr>
                <w:p w14:paraId="329B8099">
                  <w:pPr>
                    <w:spacing w:line="240" w:lineRule="auto"/>
                    <w:ind w:firstLine="0" w:firstLineChars="0"/>
                    <w:jc w:val="center"/>
                    <w:rPr>
                      <w:rFonts w:hint="default"/>
                      <w:color w:val="auto"/>
                    </w:rPr>
                  </w:pPr>
                  <w:r>
                    <w:rPr>
                      <w:rFonts w:hint="default" w:eastAsia="宋体"/>
                      <w:color w:val="auto"/>
                    </w:rPr>
                    <w:t>地表水</w:t>
                  </w:r>
                </w:p>
              </w:tc>
              <w:tc>
                <w:tcPr>
                  <w:tcW w:w="2111" w:type="pct"/>
                  <w:tcBorders>
                    <w:top w:val="single" w:color="auto" w:sz="4" w:space="0"/>
                    <w:left w:val="single" w:color="auto" w:sz="4" w:space="0"/>
                    <w:bottom w:val="single" w:color="auto" w:sz="4" w:space="0"/>
                    <w:right w:val="single" w:color="auto" w:sz="4" w:space="0"/>
                    <w:tl2br w:val="nil"/>
                    <w:tr2bl w:val="nil"/>
                  </w:tcBorders>
                  <w:vAlign w:val="center"/>
                </w:tcPr>
                <w:p w14:paraId="7BA1E556">
                  <w:pPr>
                    <w:spacing w:line="240" w:lineRule="auto"/>
                    <w:ind w:firstLine="0" w:firstLineChars="0"/>
                    <w:jc w:val="center"/>
                    <w:rPr>
                      <w:rFonts w:hint="default"/>
                      <w:color w:val="auto"/>
                    </w:rPr>
                  </w:pPr>
                  <w:r>
                    <w:rPr>
                      <w:rFonts w:hint="default" w:eastAsia="宋体"/>
                      <w:color w:val="auto"/>
                    </w:rPr>
                    <w:t>新增工业废水直排建设项目（槽罐车外送污水处理厂的除外）；新增废水直排的污水集中处理厂</w:t>
                  </w:r>
                </w:p>
              </w:tc>
              <w:tc>
                <w:tcPr>
                  <w:tcW w:w="1516" w:type="pct"/>
                  <w:tcBorders>
                    <w:top w:val="single" w:color="auto" w:sz="4" w:space="0"/>
                    <w:left w:val="single" w:color="auto" w:sz="4" w:space="0"/>
                    <w:bottom w:val="single" w:color="auto" w:sz="4" w:space="0"/>
                    <w:right w:val="single" w:color="auto" w:sz="4" w:space="0"/>
                    <w:tl2br w:val="nil"/>
                    <w:tr2bl w:val="nil"/>
                  </w:tcBorders>
                  <w:vAlign w:val="center"/>
                </w:tcPr>
                <w:p w14:paraId="03886FAF">
                  <w:pPr>
                    <w:spacing w:line="240" w:lineRule="auto"/>
                    <w:ind w:firstLine="0" w:firstLineChars="0"/>
                    <w:rPr>
                      <w:rFonts w:hint="default" w:eastAsia="宋体"/>
                      <w:color w:val="auto"/>
                    </w:rPr>
                  </w:pPr>
                  <w:r>
                    <w:rPr>
                      <w:rFonts w:hint="default" w:eastAsia="宋体"/>
                      <w:color w:val="auto"/>
                    </w:rPr>
                    <w:t>本项目无废水外排</w:t>
                  </w:r>
                </w:p>
              </w:tc>
              <w:tc>
                <w:tcPr>
                  <w:tcW w:w="702" w:type="pct"/>
                  <w:tcBorders>
                    <w:top w:val="single" w:color="auto" w:sz="4" w:space="0"/>
                    <w:left w:val="single" w:color="auto" w:sz="4" w:space="0"/>
                    <w:bottom w:val="single" w:color="auto" w:sz="4" w:space="0"/>
                    <w:right w:val="single" w:color="auto" w:sz="4" w:space="0"/>
                    <w:tl2br w:val="nil"/>
                    <w:tr2bl w:val="nil"/>
                  </w:tcBorders>
                  <w:vAlign w:val="center"/>
                </w:tcPr>
                <w:p w14:paraId="4539E56F">
                  <w:pPr>
                    <w:spacing w:line="240" w:lineRule="auto"/>
                    <w:ind w:firstLine="0" w:firstLineChars="0"/>
                    <w:jc w:val="center"/>
                    <w:rPr>
                      <w:rFonts w:hint="default"/>
                      <w:color w:val="auto"/>
                    </w:rPr>
                  </w:pPr>
                  <w:r>
                    <w:rPr>
                      <w:rFonts w:hint="default" w:eastAsia="宋体"/>
                      <w:color w:val="auto"/>
                    </w:rPr>
                    <w:t>否</w:t>
                  </w:r>
                </w:p>
              </w:tc>
            </w:tr>
            <w:tr w14:paraId="7224E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11" w:hRule="atLeast"/>
                <w:jc w:val="center"/>
              </w:trPr>
              <w:tc>
                <w:tcPr>
                  <w:tcW w:w="668" w:type="pct"/>
                  <w:tcBorders>
                    <w:top w:val="single" w:color="auto" w:sz="4" w:space="0"/>
                    <w:left w:val="single" w:color="auto" w:sz="4" w:space="0"/>
                    <w:bottom w:val="single" w:color="auto" w:sz="4" w:space="0"/>
                    <w:right w:val="single" w:color="auto" w:sz="4" w:space="0"/>
                    <w:tl2br w:val="nil"/>
                    <w:tr2bl w:val="nil"/>
                  </w:tcBorders>
                  <w:vAlign w:val="center"/>
                </w:tcPr>
                <w:p w14:paraId="704DE2FB">
                  <w:pPr>
                    <w:spacing w:line="240" w:lineRule="auto"/>
                    <w:ind w:firstLine="0" w:firstLineChars="0"/>
                    <w:jc w:val="center"/>
                    <w:rPr>
                      <w:rFonts w:hint="default"/>
                      <w:color w:val="auto"/>
                    </w:rPr>
                  </w:pPr>
                  <w:r>
                    <w:rPr>
                      <w:rFonts w:hint="default" w:eastAsia="宋体"/>
                      <w:color w:val="auto"/>
                    </w:rPr>
                    <w:t>环境风险</w:t>
                  </w:r>
                </w:p>
              </w:tc>
              <w:tc>
                <w:tcPr>
                  <w:tcW w:w="2111" w:type="pct"/>
                  <w:tcBorders>
                    <w:top w:val="single" w:color="auto" w:sz="4" w:space="0"/>
                    <w:left w:val="single" w:color="auto" w:sz="4" w:space="0"/>
                    <w:bottom w:val="single" w:color="auto" w:sz="4" w:space="0"/>
                    <w:right w:val="single" w:color="auto" w:sz="4" w:space="0"/>
                    <w:tl2br w:val="nil"/>
                    <w:tr2bl w:val="nil"/>
                  </w:tcBorders>
                  <w:vAlign w:val="center"/>
                </w:tcPr>
                <w:p w14:paraId="7F7E77B3">
                  <w:pPr>
                    <w:spacing w:line="240" w:lineRule="auto"/>
                    <w:ind w:firstLine="0" w:firstLineChars="0"/>
                    <w:rPr>
                      <w:rFonts w:hint="default" w:eastAsia="宋体"/>
                      <w:color w:val="auto"/>
                    </w:rPr>
                  </w:pPr>
                  <w:r>
                    <w:rPr>
                      <w:rFonts w:hint="default" w:eastAsia="宋体"/>
                      <w:color w:val="auto"/>
                    </w:rPr>
                    <w:t>有毒有害和易燃易爆危险物质存储量超过临界量的建设项目</w:t>
                  </w:r>
                </w:p>
              </w:tc>
              <w:tc>
                <w:tcPr>
                  <w:tcW w:w="1516" w:type="pct"/>
                  <w:tcBorders>
                    <w:top w:val="single" w:color="auto" w:sz="4" w:space="0"/>
                    <w:left w:val="single" w:color="auto" w:sz="4" w:space="0"/>
                    <w:bottom w:val="single" w:color="auto" w:sz="4" w:space="0"/>
                    <w:right w:val="single" w:color="auto" w:sz="4" w:space="0"/>
                    <w:tl2br w:val="nil"/>
                    <w:tr2bl w:val="nil"/>
                  </w:tcBorders>
                  <w:vAlign w:val="center"/>
                </w:tcPr>
                <w:p w14:paraId="7561DBB9">
                  <w:pPr>
                    <w:spacing w:line="240" w:lineRule="auto"/>
                    <w:ind w:firstLine="0" w:firstLineChars="0"/>
                    <w:rPr>
                      <w:rFonts w:hint="eastAsia" w:eastAsia="宋体"/>
                      <w:color w:val="auto"/>
                      <w:lang w:eastAsia="zh-CN"/>
                    </w:rPr>
                  </w:pPr>
                  <w:r>
                    <w:rPr>
                      <w:rFonts w:hint="default" w:eastAsia="宋体"/>
                      <w:color w:val="auto"/>
                    </w:rPr>
                    <w:t>本项目涉及</w:t>
                  </w:r>
                  <w:r>
                    <w:rPr>
                      <w:rFonts w:hint="eastAsia" w:eastAsia="宋体"/>
                      <w:color w:val="auto"/>
                      <w:lang w:val="en-US" w:eastAsia="zh-CN"/>
                    </w:rPr>
                    <w:t>的危险废物均</w:t>
                  </w:r>
                  <w:r>
                    <w:rPr>
                      <w:rFonts w:hint="default" w:eastAsia="宋体"/>
                      <w:color w:val="auto"/>
                    </w:rPr>
                    <w:t>未超过临界量</w:t>
                  </w:r>
                  <w:r>
                    <w:rPr>
                      <w:rFonts w:hint="eastAsia" w:eastAsia="宋体"/>
                      <w:color w:val="auto"/>
                      <w:lang w:eastAsia="zh-CN"/>
                    </w:rPr>
                    <w:t>。</w:t>
                  </w:r>
                </w:p>
              </w:tc>
              <w:tc>
                <w:tcPr>
                  <w:tcW w:w="702" w:type="pct"/>
                  <w:tcBorders>
                    <w:top w:val="single" w:color="auto" w:sz="4" w:space="0"/>
                    <w:left w:val="single" w:color="auto" w:sz="4" w:space="0"/>
                    <w:bottom w:val="single" w:color="auto" w:sz="4" w:space="0"/>
                    <w:right w:val="single" w:color="auto" w:sz="4" w:space="0"/>
                    <w:tl2br w:val="nil"/>
                    <w:tr2bl w:val="nil"/>
                  </w:tcBorders>
                  <w:vAlign w:val="center"/>
                </w:tcPr>
                <w:p w14:paraId="5006747A">
                  <w:pPr>
                    <w:spacing w:line="240" w:lineRule="auto"/>
                    <w:ind w:firstLine="0" w:firstLineChars="0"/>
                    <w:jc w:val="center"/>
                    <w:rPr>
                      <w:rFonts w:hint="default"/>
                      <w:color w:val="auto"/>
                    </w:rPr>
                  </w:pPr>
                  <w:r>
                    <w:rPr>
                      <w:rFonts w:hint="default" w:eastAsia="宋体"/>
                      <w:color w:val="auto"/>
                    </w:rPr>
                    <w:t>否</w:t>
                  </w:r>
                </w:p>
              </w:tc>
            </w:tr>
            <w:tr w14:paraId="79758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9" w:hRule="atLeast"/>
                <w:jc w:val="center"/>
              </w:trPr>
              <w:tc>
                <w:tcPr>
                  <w:tcW w:w="668" w:type="pct"/>
                  <w:tcBorders>
                    <w:top w:val="single" w:color="auto" w:sz="4" w:space="0"/>
                    <w:left w:val="single" w:color="auto" w:sz="4" w:space="0"/>
                    <w:bottom w:val="single" w:color="auto" w:sz="4" w:space="0"/>
                    <w:right w:val="single" w:color="auto" w:sz="4" w:space="0"/>
                    <w:tl2br w:val="nil"/>
                    <w:tr2bl w:val="nil"/>
                  </w:tcBorders>
                  <w:vAlign w:val="center"/>
                </w:tcPr>
                <w:p w14:paraId="516F9759">
                  <w:pPr>
                    <w:spacing w:line="240" w:lineRule="auto"/>
                    <w:ind w:firstLine="0" w:firstLineChars="0"/>
                    <w:jc w:val="center"/>
                    <w:rPr>
                      <w:rFonts w:hint="default"/>
                      <w:color w:val="auto"/>
                    </w:rPr>
                  </w:pPr>
                  <w:r>
                    <w:rPr>
                      <w:rFonts w:hint="default" w:eastAsia="宋体"/>
                      <w:color w:val="auto"/>
                    </w:rPr>
                    <w:t>生态</w:t>
                  </w:r>
                </w:p>
              </w:tc>
              <w:tc>
                <w:tcPr>
                  <w:tcW w:w="2111" w:type="pct"/>
                  <w:tcBorders>
                    <w:top w:val="single" w:color="auto" w:sz="4" w:space="0"/>
                    <w:left w:val="single" w:color="auto" w:sz="4" w:space="0"/>
                    <w:bottom w:val="single" w:color="auto" w:sz="4" w:space="0"/>
                    <w:right w:val="single" w:color="auto" w:sz="4" w:space="0"/>
                    <w:tl2br w:val="nil"/>
                    <w:tr2bl w:val="nil"/>
                  </w:tcBorders>
                  <w:vAlign w:val="center"/>
                </w:tcPr>
                <w:p w14:paraId="636CEDA1">
                  <w:pPr>
                    <w:spacing w:line="240" w:lineRule="auto"/>
                    <w:ind w:firstLine="0" w:firstLineChars="0"/>
                    <w:rPr>
                      <w:rFonts w:hint="default"/>
                      <w:color w:val="auto"/>
                    </w:rPr>
                  </w:pPr>
                  <w:r>
                    <w:rPr>
                      <w:rFonts w:hint="default" w:eastAsia="宋体"/>
                      <w:color w:val="auto"/>
                    </w:rPr>
                    <w:t>取水口下游500米范围内有重要水生生物的自然产卵场、索饵场、越冬场和洄游通道的新增河道取水的污染类建设项目</w:t>
                  </w:r>
                </w:p>
              </w:tc>
              <w:tc>
                <w:tcPr>
                  <w:tcW w:w="1516" w:type="pct"/>
                  <w:tcBorders>
                    <w:top w:val="single" w:color="auto" w:sz="4" w:space="0"/>
                    <w:left w:val="single" w:color="auto" w:sz="4" w:space="0"/>
                    <w:bottom w:val="single" w:color="auto" w:sz="4" w:space="0"/>
                    <w:right w:val="single" w:color="auto" w:sz="4" w:space="0"/>
                    <w:tl2br w:val="nil"/>
                    <w:tr2bl w:val="nil"/>
                  </w:tcBorders>
                  <w:vAlign w:val="center"/>
                </w:tcPr>
                <w:p w14:paraId="659D0B34">
                  <w:pPr>
                    <w:spacing w:line="240" w:lineRule="auto"/>
                    <w:ind w:firstLine="0" w:firstLineChars="0"/>
                    <w:jc w:val="center"/>
                    <w:rPr>
                      <w:rFonts w:hint="default"/>
                      <w:color w:val="auto"/>
                    </w:rPr>
                  </w:pPr>
                  <w:r>
                    <w:rPr>
                      <w:rFonts w:hint="default" w:eastAsia="宋体"/>
                      <w:color w:val="auto"/>
                    </w:rPr>
                    <w:t>本项目不涉及</w:t>
                  </w:r>
                </w:p>
              </w:tc>
              <w:tc>
                <w:tcPr>
                  <w:tcW w:w="702" w:type="pct"/>
                  <w:tcBorders>
                    <w:top w:val="single" w:color="auto" w:sz="4" w:space="0"/>
                    <w:left w:val="single" w:color="auto" w:sz="4" w:space="0"/>
                    <w:bottom w:val="single" w:color="auto" w:sz="4" w:space="0"/>
                    <w:right w:val="single" w:color="auto" w:sz="4" w:space="0"/>
                    <w:tl2br w:val="nil"/>
                    <w:tr2bl w:val="nil"/>
                  </w:tcBorders>
                  <w:vAlign w:val="center"/>
                </w:tcPr>
                <w:p w14:paraId="44CE8104">
                  <w:pPr>
                    <w:spacing w:line="240" w:lineRule="auto"/>
                    <w:ind w:firstLine="0" w:firstLineChars="0"/>
                    <w:jc w:val="center"/>
                    <w:rPr>
                      <w:rFonts w:hint="default"/>
                      <w:color w:val="auto"/>
                    </w:rPr>
                  </w:pPr>
                  <w:r>
                    <w:rPr>
                      <w:rFonts w:hint="default" w:eastAsia="宋体"/>
                      <w:color w:val="auto"/>
                    </w:rPr>
                    <w:t>否</w:t>
                  </w:r>
                </w:p>
              </w:tc>
            </w:tr>
            <w:tr w14:paraId="3C254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9" w:hRule="atLeast"/>
                <w:jc w:val="center"/>
              </w:trPr>
              <w:tc>
                <w:tcPr>
                  <w:tcW w:w="668" w:type="pct"/>
                  <w:tcBorders>
                    <w:top w:val="single" w:color="auto" w:sz="4" w:space="0"/>
                    <w:left w:val="single" w:color="auto" w:sz="4" w:space="0"/>
                    <w:bottom w:val="single" w:color="auto" w:sz="4" w:space="0"/>
                    <w:right w:val="single" w:color="auto" w:sz="4" w:space="0"/>
                    <w:tl2br w:val="nil"/>
                    <w:tr2bl w:val="nil"/>
                  </w:tcBorders>
                  <w:vAlign w:val="center"/>
                </w:tcPr>
                <w:p w14:paraId="57200C95">
                  <w:pPr>
                    <w:spacing w:line="240" w:lineRule="auto"/>
                    <w:ind w:firstLine="0" w:firstLineChars="0"/>
                    <w:jc w:val="center"/>
                    <w:rPr>
                      <w:rFonts w:hint="default"/>
                      <w:color w:val="auto"/>
                    </w:rPr>
                  </w:pPr>
                  <w:r>
                    <w:rPr>
                      <w:rFonts w:hint="default" w:eastAsia="宋体"/>
                      <w:color w:val="auto"/>
                    </w:rPr>
                    <w:t>海洋</w:t>
                  </w:r>
                </w:p>
              </w:tc>
              <w:tc>
                <w:tcPr>
                  <w:tcW w:w="2111" w:type="pct"/>
                  <w:tcBorders>
                    <w:top w:val="single" w:color="auto" w:sz="4" w:space="0"/>
                    <w:left w:val="single" w:color="auto" w:sz="4" w:space="0"/>
                    <w:bottom w:val="single" w:color="auto" w:sz="4" w:space="0"/>
                    <w:right w:val="single" w:color="auto" w:sz="4" w:space="0"/>
                    <w:tl2br w:val="nil"/>
                    <w:tr2bl w:val="nil"/>
                  </w:tcBorders>
                  <w:vAlign w:val="center"/>
                </w:tcPr>
                <w:p w14:paraId="2E25995E">
                  <w:pPr>
                    <w:spacing w:line="240" w:lineRule="auto"/>
                    <w:ind w:firstLine="0" w:firstLineChars="0"/>
                    <w:rPr>
                      <w:rFonts w:hint="default"/>
                      <w:color w:val="auto"/>
                    </w:rPr>
                  </w:pPr>
                  <w:r>
                    <w:rPr>
                      <w:rFonts w:hint="default" w:eastAsia="宋体"/>
                      <w:color w:val="auto"/>
                    </w:rPr>
                    <w:t>直接向海排放污染物的海洋工程建设项目</w:t>
                  </w:r>
                </w:p>
              </w:tc>
              <w:tc>
                <w:tcPr>
                  <w:tcW w:w="1516" w:type="pct"/>
                  <w:tcBorders>
                    <w:top w:val="single" w:color="auto" w:sz="4" w:space="0"/>
                    <w:left w:val="single" w:color="auto" w:sz="4" w:space="0"/>
                    <w:bottom w:val="single" w:color="auto" w:sz="4" w:space="0"/>
                    <w:right w:val="single" w:color="auto" w:sz="4" w:space="0"/>
                    <w:tl2br w:val="nil"/>
                    <w:tr2bl w:val="nil"/>
                  </w:tcBorders>
                  <w:vAlign w:val="center"/>
                </w:tcPr>
                <w:p w14:paraId="350FF80F">
                  <w:pPr>
                    <w:spacing w:line="240" w:lineRule="auto"/>
                    <w:ind w:firstLine="0" w:firstLineChars="0"/>
                    <w:jc w:val="center"/>
                    <w:rPr>
                      <w:rFonts w:hint="default"/>
                      <w:color w:val="auto"/>
                    </w:rPr>
                  </w:pPr>
                  <w:r>
                    <w:rPr>
                      <w:rFonts w:hint="default" w:eastAsia="宋体"/>
                      <w:color w:val="auto"/>
                    </w:rPr>
                    <w:t>本项目不涉及</w:t>
                  </w:r>
                </w:p>
              </w:tc>
              <w:tc>
                <w:tcPr>
                  <w:tcW w:w="702" w:type="pct"/>
                  <w:tcBorders>
                    <w:top w:val="single" w:color="auto" w:sz="4" w:space="0"/>
                    <w:left w:val="single" w:color="auto" w:sz="4" w:space="0"/>
                    <w:bottom w:val="single" w:color="auto" w:sz="4" w:space="0"/>
                    <w:right w:val="single" w:color="auto" w:sz="4" w:space="0"/>
                    <w:tl2br w:val="nil"/>
                    <w:tr2bl w:val="nil"/>
                  </w:tcBorders>
                  <w:vAlign w:val="center"/>
                </w:tcPr>
                <w:p w14:paraId="4BBB407C">
                  <w:pPr>
                    <w:spacing w:line="240" w:lineRule="auto"/>
                    <w:ind w:firstLine="0" w:firstLineChars="0"/>
                    <w:jc w:val="center"/>
                    <w:rPr>
                      <w:rFonts w:hint="default"/>
                      <w:color w:val="auto"/>
                    </w:rPr>
                  </w:pPr>
                  <w:r>
                    <w:rPr>
                      <w:rFonts w:hint="default" w:eastAsia="宋体"/>
                      <w:color w:val="auto"/>
                    </w:rPr>
                    <w:t>否</w:t>
                  </w:r>
                </w:p>
              </w:tc>
            </w:tr>
          </w:tbl>
          <w:p w14:paraId="41FE4841">
            <w:pPr>
              <w:ind w:firstLine="480"/>
              <w:rPr>
                <w:rFonts w:hint="default"/>
                <w:color w:val="auto"/>
              </w:rPr>
            </w:pPr>
            <w:r>
              <w:rPr>
                <w:rFonts w:hint="default" w:eastAsia="宋体"/>
                <w:color w:val="auto"/>
              </w:rPr>
              <w:t>综上所述，本项目不需要开展专项评价工作。</w:t>
            </w:r>
          </w:p>
        </w:tc>
      </w:tr>
      <w:tr w14:paraId="17C46B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223" w:type="dxa"/>
            <w:tcBorders>
              <w:top w:val="single" w:color="auto" w:sz="4" w:space="0"/>
              <w:left w:val="single" w:color="auto" w:sz="8" w:space="0"/>
              <w:bottom w:val="single" w:color="auto" w:sz="4" w:space="0"/>
              <w:right w:val="single" w:color="auto" w:sz="4" w:space="0"/>
              <w:tl2br w:val="nil"/>
              <w:tr2bl w:val="nil"/>
            </w:tcBorders>
            <w:vAlign w:val="center"/>
          </w:tcPr>
          <w:p w14:paraId="64AE08C0">
            <w:pPr>
              <w:autoSpaceDE w:val="0"/>
              <w:autoSpaceDN w:val="0"/>
              <w:adjustRightInd w:val="0"/>
              <w:snapToGrid w:val="0"/>
              <w:ind w:firstLine="0" w:firstLineChars="0"/>
              <w:jc w:val="center"/>
              <w:rPr>
                <w:rFonts w:hint="default"/>
                <w:color w:val="auto"/>
                <w:kern w:val="0"/>
              </w:rPr>
            </w:pPr>
            <w:r>
              <w:rPr>
                <w:rFonts w:hint="default" w:eastAsia="宋体"/>
                <w:color w:val="auto"/>
              </w:rPr>
              <w:t>规划情况</w:t>
            </w:r>
          </w:p>
        </w:tc>
        <w:tc>
          <w:tcPr>
            <w:tcW w:w="6647" w:type="dxa"/>
            <w:gridSpan w:val="3"/>
            <w:tcBorders>
              <w:top w:val="single" w:color="auto" w:sz="4" w:space="0"/>
              <w:left w:val="single" w:color="auto" w:sz="4" w:space="0"/>
              <w:bottom w:val="single" w:color="auto" w:sz="4" w:space="0"/>
              <w:right w:val="single" w:color="auto" w:sz="8" w:space="0"/>
              <w:tl2br w:val="nil"/>
              <w:tr2bl w:val="nil"/>
            </w:tcBorders>
            <w:vAlign w:val="center"/>
          </w:tcPr>
          <w:p w14:paraId="1166E567">
            <w:pPr>
              <w:bidi w:val="0"/>
              <w:rPr>
                <w:rFonts w:hint="default"/>
                <w:color w:val="auto"/>
                <w:lang w:eastAsia="zh-CN"/>
              </w:rPr>
            </w:pPr>
            <w:r>
              <w:rPr>
                <w:rFonts w:hint="default"/>
                <w:color w:val="auto"/>
                <w:lang w:eastAsia="zh-CN"/>
              </w:rPr>
              <w:t>2022年12月，鄂尔多斯蒙苏经济开发区管委会委托苏州中资工程咨询有限公司编制了《内蒙古鄂尔多斯蒙苏经济开发区产业发展规划（2023-2035年）》。</w:t>
            </w:r>
          </w:p>
          <w:p w14:paraId="1EBA66D4">
            <w:pPr>
              <w:bidi w:val="0"/>
              <w:rPr>
                <w:rFonts w:hint="default"/>
                <w:color w:val="auto"/>
                <w:lang w:eastAsia="zh-CN"/>
              </w:rPr>
            </w:pPr>
            <w:r>
              <w:rPr>
                <w:rFonts w:hint="default"/>
                <w:color w:val="auto"/>
                <w:lang w:val="en-US" w:eastAsia="zh-CN"/>
              </w:rPr>
              <w:t>2024年6月18日，鄂尔多斯蒙苏经济开发区获得《鄂尔多斯市人民政府关于蒙苏经济开发区产业发展规划（2023-2035年）的批复》（鄂府发〔2024〕43号）：鄂尔多斯蒙苏经济开发区主导产业为能源化工、装备制造、物流及相关延伸产业。</w:t>
            </w:r>
          </w:p>
          <w:p w14:paraId="65A21007">
            <w:pPr>
              <w:bidi w:val="0"/>
              <w:rPr>
                <w:rFonts w:hint="default"/>
                <w:color w:val="auto"/>
                <w:lang w:eastAsia="zh-CN"/>
              </w:rPr>
            </w:pPr>
            <w:r>
              <w:rPr>
                <w:rFonts w:hint="default"/>
                <w:color w:val="auto"/>
                <w:lang w:eastAsia="zh-CN"/>
              </w:rPr>
              <w:t>2023年4月，鄂尔多斯蒙苏经济开发区管委会委托城市科学规划设计研究院有限公司编制《鄂尔多斯蒙苏经济开发区国土空间总体规划（2021-2035年）》。</w:t>
            </w:r>
          </w:p>
          <w:p w14:paraId="4B45B968">
            <w:pPr>
              <w:bidi w:val="0"/>
              <w:rPr>
                <w:rFonts w:hint="default"/>
                <w:color w:val="auto"/>
              </w:rPr>
            </w:pPr>
            <w:r>
              <w:rPr>
                <w:rFonts w:hint="default"/>
                <w:color w:val="auto"/>
                <w:lang w:val="en-US" w:eastAsia="zh-CN"/>
              </w:rPr>
              <w:t>2024年3月1日，内蒙古自治区工业和信息化厅发布《关于印发实施内蒙古自治区工业园区审核公告目录的通知》（内工信发〔2024〕87号），鄂尔多斯蒙苏经济开发区园区级别为一类，分为鄂尔多斯零碳产业园、圣圆煤化工产业园、伊金霍洛物流园三个区块。鄂尔多斯零碳产业园主导产业为装备制造。</w:t>
            </w:r>
          </w:p>
        </w:tc>
      </w:tr>
      <w:tr w14:paraId="54D69C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223" w:type="dxa"/>
            <w:tcBorders>
              <w:top w:val="single" w:color="auto" w:sz="4" w:space="0"/>
              <w:left w:val="single" w:color="auto" w:sz="8" w:space="0"/>
              <w:bottom w:val="single" w:color="auto" w:sz="4" w:space="0"/>
              <w:right w:val="single" w:color="auto" w:sz="4" w:space="0"/>
              <w:tl2br w:val="nil"/>
              <w:tr2bl w:val="nil"/>
            </w:tcBorders>
            <w:vAlign w:val="center"/>
          </w:tcPr>
          <w:p w14:paraId="653BEAF5">
            <w:pPr>
              <w:adjustRightInd w:val="0"/>
              <w:snapToGrid w:val="0"/>
              <w:spacing w:line="240" w:lineRule="auto"/>
              <w:ind w:firstLine="0" w:firstLineChars="0"/>
              <w:jc w:val="center"/>
              <w:rPr>
                <w:rFonts w:hint="default"/>
                <w:color w:val="auto"/>
              </w:rPr>
            </w:pPr>
            <w:r>
              <w:rPr>
                <w:rFonts w:hint="default" w:eastAsia="宋体"/>
                <w:color w:val="auto"/>
              </w:rPr>
              <w:t>规划环境影响</w:t>
            </w:r>
          </w:p>
          <w:p w14:paraId="449F3757">
            <w:pPr>
              <w:adjustRightInd w:val="0"/>
              <w:snapToGrid w:val="0"/>
              <w:spacing w:line="240" w:lineRule="auto"/>
              <w:ind w:firstLine="0" w:firstLineChars="0"/>
              <w:jc w:val="center"/>
              <w:rPr>
                <w:rFonts w:hint="default"/>
                <w:color w:val="auto"/>
                <w:kern w:val="0"/>
              </w:rPr>
            </w:pPr>
            <w:r>
              <w:rPr>
                <w:rFonts w:hint="default" w:eastAsia="宋体"/>
                <w:color w:val="auto"/>
              </w:rPr>
              <w:t>评价情况</w:t>
            </w:r>
          </w:p>
        </w:tc>
        <w:tc>
          <w:tcPr>
            <w:tcW w:w="6647" w:type="dxa"/>
            <w:gridSpan w:val="3"/>
            <w:tcBorders>
              <w:top w:val="single" w:color="auto" w:sz="4" w:space="0"/>
              <w:left w:val="single" w:color="auto" w:sz="4" w:space="0"/>
              <w:bottom w:val="single" w:color="auto" w:sz="4" w:space="0"/>
              <w:right w:val="single" w:color="auto" w:sz="8" w:space="0"/>
              <w:tl2br w:val="nil"/>
              <w:tr2bl w:val="nil"/>
            </w:tcBorders>
            <w:vAlign w:val="center"/>
          </w:tcPr>
          <w:p w14:paraId="4ED13EBF">
            <w:pPr>
              <w:bidi w:val="0"/>
              <w:rPr>
                <w:rFonts w:hint="default"/>
                <w:color w:val="auto"/>
                <w:lang w:val="en-US" w:eastAsia="zh-CN"/>
              </w:rPr>
            </w:pPr>
            <w:r>
              <w:rPr>
                <w:rFonts w:hint="default"/>
                <w:color w:val="auto"/>
                <w:lang w:val="en-US" w:eastAsia="zh-CN"/>
              </w:rPr>
              <w:t>文件名称：《鄂尔多斯蒙苏经济开发区国土空间总体规划（2021-2035年）鄂尔多斯零碳产业园环境影响报告书》</w:t>
            </w:r>
          </w:p>
          <w:p w14:paraId="4454AE5B">
            <w:pPr>
              <w:bidi w:val="0"/>
              <w:rPr>
                <w:rFonts w:hint="default"/>
                <w:color w:val="auto"/>
                <w:lang w:val="en-US" w:eastAsia="zh-CN"/>
              </w:rPr>
            </w:pPr>
            <w:r>
              <w:rPr>
                <w:rFonts w:hint="default"/>
                <w:color w:val="auto"/>
                <w:lang w:val="en-US" w:eastAsia="zh-CN"/>
              </w:rPr>
              <w:t>审查机关：内蒙古自治区生态环境厅</w:t>
            </w:r>
          </w:p>
          <w:p w14:paraId="7DC070A5">
            <w:pPr>
              <w:bidi w:val="0"/>
              <w:rPr>
                <w:rFonts w:hint="default"/>
                <w:color w:val="auto"/>
                <w:lang w:val="en-US" w:eastAsia="zh-CN"/>
              </w:rPr>
            </w:pPr>
            <w:r>
              <w:rPr>
                <w:rFonts w:hint="default"/>
                <w:color w:val="auto"/>
                <w:lang w:val="en-US" w:eastAsia="zh-CN"/>
              </w:rPr>
              <w:t>审批文件名称：关于《鄂尔多斯蒙苏经济开发区国土空间总体规划（2021-2035年）鄂尔多斯零碳产业园环境影响报告书》的审查意见</w:t>
            </w:r>
          </w:p>
          <w:p w14:paraId="54B71F72">
            <w:pPr>
              <w:bidi w:val="0"/>
              <w:rPr>
                <w:rFonts w:hint="default"/>
                <w:color w:val="auto"/>
              </w:rPr>
            </w:pPr>
            <w:r>
              <w:rPr>
                <w:rFonts w:hint="default"/>
                <w:color w:val="auto"/>
                <w:lang w:val="en-US" w:eastAsia="zh-CN"/>
              </w:rPr>
              <w:t>审批文号：内环审〔2024〕83号</w:t>
            </w:r>
          </w:p>
        </w:tc>
      </w:tr>
      <w:tr w14:paraId="1FBBDA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26" w:hRule="atLeast"/>
          <w:jc w:val="center"/>
        </w:trPr>
        <w:tc>
          <w:tcPr>
            <w:tcW w:w="2223" w:type="dxa"/>
            <w:tcBorders>
              <w:top w:val="single" w:color="auto" w:sz="4" w:space="0"/>
              <w:left w:val="single" w:color="auto" w:sz="8" w:space="0"/>
              <w:bottom w:val="single" w:color="auto" w:sz="4" w:space="0"/>
              <w:right w:val="single" w:color="auto" w:sz="4" w:space="0"/>
              <w:tl2br w:val="nil"/>
              <w:tr2bl w:val="nil"/>
            </w:tcBorders>
            <w:vAlign w:val="center"/>
          </w:tcPr>
          <w:p w14:paraId="2AEAF89B">
            <w:pPr>
              <w:autoSpaceDE w:val="0"/>
              <w:autoSpaceDN w:val="0"/>
              <w:adjustRightInd w:val="0"/>
              <w:snapToGrid w:val="0"/>
              <w:ind w:firstLine="0" w:firstLineChars="0"/>
              <w:jc w:val="center"/>
              <w:rPr>
                <w:rFonts w:hint="default"/>
                <w:color w:val="auto"/>
                <w:kern w:val="0"/>
              </w:rPr>
            </w:pPr>
            <w:r>
              <w:rPr>
                <w:rFonts w:hint="default" w:eastAsia="宋体"/>
                <w:color w:val="auto"/>
                <w:kern w:val="0"/>
              </w:rPr>
              <w:t>规划及规划环境影响评价符合性分析</w:t>
            </w:r>
          </w:p>
        </w:tc>
        <w:tc>
          <w:tcPr>
            <w:tcW w:w="6647" w:type="dxa"/>
            <w:gridSpan w:val="3"/>
            <w:tcBorders>
              <w:top w:val="single" w:color="auto" w:sz="4" w:space="0"/>
              <w:left w:val="single" w:color="auto" w:sz="4" w:space="0"/>
              <w:bottom w:val="single" w:color="auto" w:sz="4" w:space="0"/>
              <w:right w:val="single" w:color="auto" w:sz="8" w:space="0"/>
              <w:tl2br w:val="nil"/>
              <w:tr2bl w:val="nil"/>
            </w:tcBorders>
            <w:vAlign w:val="center"/>
          </w:tcPr>
          <w:p w14:paraId="67E62C14">
            <w:pPr>
              <w:bidi w:val="0"/>
              <w:rPr>
                <w:rFonts w:hint="eastAsia"/>
                <w:color w:val="auto"/>
                <w:lang w:val="en-US" w:eastAsia="zh-CN"/>
              </w:rPr>
            </w:pPr>
            <w:r>
              <w:rPr>
                <w:rFonts w:hint="eastAsia"/>
                <w:color w:val="auto"/>
                <w:lang w:val="en-US" w:eastAsia="zh-CN"/>
              </w:rPr>
              <w:t>根据《内蒙古鄂尔多斯蒙苏经济开发区产业发展规划（2023-2035年）》，鄂尔多斯蒙苏经济开发区按照“一区三园”模式进行一体化管理，包括鄂尔多斯零碳产业园、圣圆煤化工产业园、伊金霍洛物流园。</w:t>
            </w:r>
          </w:p>
          <w:p w14:paraId="1CD0A0E1">
            <w:pPr>
              <w:bidi w:val="0"/>
              <w:rPr>
                <w:rFonts w:hint="eastAsia"/>
                <w:color w:val="auto"/>
                <w:lang w:val="en-US" w:eastAsia="zh-CN"/>
              </w:rPr>
            </w:pPr>
            <w:r>
              <w:rPr>
                <w:rFonts w:hint="eastAsia"/>
                <w:color w:val="auto"/>
                <w:lang w:val="en-US" w:eastAsia="zh-CN"/>
              </w:rPr>
              <w:t>为响应碳达峰、碳中和“双碳”目标，破解产业结构中存在的“四多四少”问题（传统产业多、新兴产业少；低端产业多、高端产业少；资源型产业多、高附加值产业少；劳动密集型产业多、资本科技型产业少），推进资源依赖型城市的工业转型，充分应对“碳壁垒”，鄂尔多斯蒙苏经济开发区聚焦“双碳”目标擘画发展蓝图，致力于打造鄂尔多斯零碳产业园新名片。</w:t>
            </w:r>
          </w:p>
          <w:p w14:paraId="6E7C6FEA">
            <w:pPr>
              <w:bidi w:val="0"/>
              <w:rPr>
                <w:rFonts w:hint="eastAsia"/>
                <w:color w:val="auto"/>
                <w:lang w:val="en-US" w:eastAsia="zh-CN"/>
              </w:rPr>
            </w:pPr>
            <w:r>
              <w:rPr>
                <w:rFonts w:hint="eastAsia"/>
                <w:color w:val="auto"/>
                <w:lang w:val="en-US" w:eastAsia="zh-CN"/>
              </w:rPr>
              <w:t>零碳产业园指在一个产业园区内直接或间接产生的二氧化碳排放总量，在一定周期内，通过清洁技术支持、碳回收技术、能源存储交换等方式全部予以抵消，从而全年实现碳元素“零排放”、生产生态生活深度融合的新型现代化产业园区。</w:t>
            </w:r>
          </w:p>
          <w:p w14:paraId="2A9922B4">
            <w:pPr>
              <w:bidi w:val="0"/>
              <w:rPr>
                <w:rFonts w:hint="eastAsia"/>
                <w:color w:val="auto"/>
                <w:lang w:val="en-US" w:eastAsia="zh-CN"/>
              </w:rPr>
            </w:pPr>
            <w:r>
              <w:rPr>
                <w:rFonts w:hint="eastAsia"/>
                <w:color w:val="auto"/>
                <w:lang w:val="en-US" w:eastAsia="zh-CN"/>
              </w:rPr>
              <w:t>着力通过构筑“1+2+5+8创新示范体系（一个新型电力系统，一套国际标准和一个能碳管理平台，五大零碳产业链集群，八大创新示范）实现零碳构想。“1”即打造一个新型电力系统，加快建设包括风电、光伏和智慧储能在内的零碳供能系统，提高绿电直供比例，努力实现零碳供电，率先构建以新能源为主体的新型电力系统。“2”即发布一套国际标准和打造一个碳管理平台，实现对新能源及负荷的精准监测和管理，动态、灵活实现能源供需匹配，削峰填谷，提高能源系统可靠性；可使风光资源高效充分利用于发电、储能或制氢，打通全能源产业链，显著优化基础设施投资成本。所有入园企业以及园区周边规上企业纳入平台，利用大数据实现碳排放智能分析、动态管理。力争推广应用“零碳绿码”，为开展国际“零碳贸易”打好基础。“5”即构建“风光氢储车”五大零碳产业链集群，依托已入园的远景动力集团、隆基股份、美锦国鸿、捷氢科技、上汽红岩等头部链主企业，带动“新能源电池“新能源装备”“新能源汽车”链上产业集群发展。“8”即最终形成全绿色电源供给、高比例新型综合储能系统、智能源荷互动微电网、智能物联能碳管理平台、国际零碳产业园标准、“风光氢储车”零碳产业链集群、绿色科技专家培育“硅谷”、零碳产业园全国全球推广样板的八大创新示范。</w:t>
            </w:r>
          </w:p>
          <w:p w14:paraId="03D81345">
            <w:pPr>
              <w:bidi w:val="0"/>
              <w:rPr>
                <w:rFonts w:hint="eastAsia"/>
                <w:color w:val="auto"/>
                <w:lang w:val="en-US" w:eastAsia="zh-CN"/>
              </w:rPr>
            </w:pPr>
            <w:r>
              <w:rPr>
                <w:rFonts w:hint="eastAsia"/>
                <w:color w:val="auto"/>
                <w:lang w:val="en-US" w:eastAsia="zh-CN"/>
              </w:rPr>
              <w:t>鄂尔多斯零碳产业园分为鄂尔多斯零碳产业园西片区、鄂尔多斯零碳产业园装备制造片区。鄂尔多斯零碳产业园西片区以新能源电池、新能源装备和新能源汽车为主导，打造零碳产业集群；鄂尔多斯零碳产业园装备制造片区重点发展矿用装备、煤化工装备相关制造装备、风光电装备。</w:t>
            </w:r>
          </w:p>
          <w:p w14:paraId="63CDEDBE">
            <w:pPr>
              <w:bidi w:val="0"/>
              <w:rPr>
                <w:rFonts w:hint="eastAsia"/>
                <w:color w:val="auto"/>
                <w:lang w:val="en-US" w:eastAsia="zh-CN"/>
              </w:rPr>
            </w:pPr>
            <w:r>
              <w:rPr>
                <w:rFonts w:hint="eastAsia"/>
                <w:color w:val="auto"/>
                <w:lang w:val="en-US" w:eastAsia="zh-CN"/>
              </w:rPr>
              <w:t>中煤张家口煤矿机械有限责任公司主要从事煤矿机械装备的研发、制造和销售符合园区规划，本项目为配套的环保设施危险废物贮存项目，建设符合《内蒙古鄂尔多斯蒙苏经济开发区产业发展规划（2023-2035年）》的要求。</w:t>
            </w:r>
          </w:p>
          <w:p w14:paraId="73F72E2E">
            <w:pPr>
              <w:bidi w:val="0"/>
              <w:rPr>
                <w:rFonts w:hint="eastAsia" w:ascii="Times New Roman" w:hAnsi="Times New Roman" w:eastAsia="宋体" w:cs="Times New Roman"/>
                <w:color w:val="auto"/>
                <w:kern w:val="0"/>
                <w:szCs w:val="21"/>
                <w:highlight w:val="none"/>
                <w:lang w:val="en-US" w:eastAsia="zh-CN"/>
              </w:rPr>
            </w:pPr>
            <w:r>
              <w:rPr>
                <w:rFonts w:hint="eastAsia"/>
                <w:color w:val="auto"/>
                <w:lang w:val="en-US" w:eastAsia="zh-CN"/>
              </w:rPr>
              <w:t>本项目与规划环评审查意见符合性分析见下表：</w:t>
            </w:r>
          </w:p>
          <w:p w14:paraId="44F1B754">
            <w:pPr>
              <w:bidi w:val="0"/>
              <w:ind w:left="0" w:leftChars="0" w:firstLine="0" w:firstLineChars="0"/>
              <w:jc w:val="center"/>
              <w:rPr>
                <w:rFonts w:hint="eastAsia" w:ascii="Times New Roman" w:hAnsi="Times New Roman" w:eastAsia="宋体" w:cs="Times New Roman"/>
                <w:b/>
                <w:bCs/>
                <w:color w:val="auto"/>
                <w:kern w:val="0"/>
                <w:szCs w:val="21"/>
                <w:highlight w:val="none"/>
                <w:lang w:val="en-US" w:eastAsia="zh-CN"/>
              </w:rPr>
            </w:pPr>
            <w:r>
              <w:rPr>
                <w:rFonts w:hint="eastAsia" w:ascii="Times New Roman" w:hAnsi="Times New Roman" w:eastAsia="宋体" w:cs="Times New Roman"/>
                <w:b/>
                <w:bCs/>
                <w:color w:val="auto"/>
                <w:kern w:val="0"/>
                <w:szCs w:val="21"/>
                <w:highlight w:val="none"/>
                <w:lang w:val="en-US" w:eastAsia="zh-CN"/>
              </w:rPr>
              <w:t>表1-2本项目与规划环评审查意见符合性分析表</w:t>
            </w:r>
          </w:p>
          <w:tbl>
            <w:tblPr>
              <w:tblStyle w:val="15"/>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8"/>
              <w:gridCol w:w="2915"/>
              <w:gridCol w:w="2322"/>
              <w:gridCol w:w="671"/>
            </w:tblGrid>
            <w:tr w14:paraId="58588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6" w:hRule="atLeast"/>
              </w:trPr>
              <w:tc>
                <w:tcPr>
                  <w:tcW w:w="395" w:type="pct"/>
                  <w:tcBorders>
                    <w:tl2br w:val="nil"/>
                    <w:tr2bl w:val="nil"/>
                  </w:tcBorders>
                  <w:noWrap w:val="0"/>
                  <w:vAlign w:val="center"/>
                </w:tcPr>
                <w:p w14:paraId="617E7C6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lang w:val="en-US" w:eastAsia="zh-CN"/>
                    </w:rPr>
                  </w:pPr>
                  <w:r>
                    <w:rPr>
                      <w:rFonts w:hint="eastAsia"/>
                      <w:color w:val="auto"/>
                      <w:lang w:val="en-US" w:eastAsia="zh-CN"/>
                    </w:rPr>
                    <w:t>序号</w:t>
                  </w:r>
                </w:p>
              </w:tc>
              <w:tc>
                <w:tcPr>
                  <w:tcW w:w="2271" w:type="pct"/>
                  <w:tcBorders>
                    <w:tl2br w:val="nil"/>
                    <w:tr2bl w:val="nil"/>
                  </w:tcBorders>
                  <w:noWrap w:val="0"/>
                  <w:vAlign w:val="center"/>
                </w:tcPr>
                <w:p w14:paraId="1C01A6B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lang w:val="en-US" w:eastAsia="zh-CN"/>
                    </w:rPr>
                  </w:pPr>
                  <w:r>
                    <w:rPr>
                      <w:rFonts w:hint="eastAsia"/>
                      <w:color w:val="auto"/>
                      <w:lang w:val="en-US" w:eastAsia="zh-CN"/>
                    </w:rPr>
                    <w:t>规划环评审查意见情况</w:t>
                  </w:r>
                </w:p>
              </w:tc>
              <w:tc>
                <w:tcPr>
                  <w:tcW w:w="1809" w:type="pct"/>
                  <w:tcBorders>
                    <w:tl2br w:val="nil"/>
                    <w:tr2bl w:val="nil"/>
                  </w:tcBorders>
                  <w:noWrap w:val="0"/>
                  <w:vAlign w:val="center"/>
                </w:tcPr>
                <w:p w14:paraId="07AEBAE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lang w:val="en-US" w:eastAsia="zh-CN"/>
                    </w:rPr>
                  </w:pPr>
                  <w:r>
                    <w:rPr>
                      <w:rFonts w:hint="eastAsia"/>
                      <w:color w:val="auto"/>
                      <w:lang w:val="en-US" w:eastAsia="zh-CN"/>
                    </w:rPr>
                    <w:t>本项目情况</w:t>
                  </w:r>
                </w:p>
              </w:tc>
              <w:tc>
                <w:tcPr>
                  <w:tcW w:w="522" w:type="pct"/>
                  <w:tcBorders>
                    <w:tl2br w:val="nil"/>
                    <w:tr2bl w:val="nil"/>
                  </w:tcBorders>
                  <w:noWrap w:val="0"/>
                  <w:vAlign w:val="center"/>
                </w:tcPr>
                <w:p w14:paraId="7DD47EB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lang w:val="en-US" w:eastAsia="zh-CN"/>
                    </w:rPr>
                  </w:pPr>
                  <w:r>
                    <w:rPr>
                      <w:rFonts w:hint="eastAsia"/>
                      <w:color w:val="auto"/>
                      <w:lang w:val="en-US" w:eastAsia="zh-CN"/>
                    </w:rPr>
                    <w:t>符合性</w:t>
                  </w:r>
                </w:p>
              </w:tc>
            </w:tr>
            <w:tr w14:paraId="5A68E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395" w:type="pct"/>
                  <w:tcBorders>
                    <w:tl2br w:val="nil"/>
                    <w:tr2bl w:val="nil"/>
                  </w:tcBorders>
                  <w:noWrap w:val="0"/>
                  <w:vAlign w:val="center"/>
                </w:tcPr>
                <w:p w14:paraId="3484133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lang w:val="en-US" w:eastAsia="zh-CN"/>
                    </w:rPr>
                  </w:pPr>
                  <w:r>
                    <w:rPr>
                      <w:rFonts w:hint="eastAsia"/>
                      <w:color w:val="auto"/>
                      <w:lang w:val="en-US" w:eastAsia="zh-CN"/>
                    </w:rPr>
                    <w:t>1</w:t>
                  </w:r>
                </w:p>
              </w:tc>
              <w:tc>
                <w:tcPr>
                  <w:tcW w:w="2271" w:type="pct"/>
                  <w:tcBorders>
                    <w:tl2br w:val="nil"/>
                    <w:tr2bl w:val="nil"/>
                  </w:tcBorders>
                  <w:noWrap w:val="0"/>
                  <w:vAlign w:val="center"/>
                </w:tcPr>
                <w:p w14:paraId="31D4578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lang w:val="en-US" w:eastAsia="zh-CN"/>
                    </w:rPr>
                  </w:pPr>
                  <w:r>
                    <w:rPr>
                      <w:rFonts w:hint="eastAsia"/>
                      <w:color w:val="auto"/>
                      <w:lang w:val="en-US" w:eastAsia="zh-CN"/>
                    </w:rPr>
                    <w:t>坚持生态优先、绿色发展理念，加强规划引领。园区总体规划应做好与自治区、鄂尔多斯市国土空间总体规划及生态环境分区管控的协调衔接，并要与当地其他专项规划相协调。按照《内蒙古自治区人民政府关于促进工业园区高质量发展的若干意见》(内政发〔2019〕21号)《内蒙古自治区人民政府办公厅关于进一步加强全区自治区级及以上工业园区环境保护工作的通知》(内政办发〔2018〕88号)及自治区、鄂尔多斯市国民经济和社会发展第十四个五年规划以及2035年远景目标纲要等要求，指导园区建设。</w:t>
                  </w:r>
                </w:p>
              </w:tc>
              <w:tc>
                <w:tcPr>
                  <w:tcW w:w="1809" w:type="pct"/>
                  <w:tcBorders>
                    <w:tl2br w:val="nil"/>
                    <w:tr2bl w:val="nil"/>
                  </w:tcBorders>
                  <w:noWrap w:val="0"/>
                  <w:vAlign w:val="center"/>
                </w:tcPr>
                <w:p w14:paraId="19A127B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lang w:val="en-US" w:eastAsia="zh-CN"/>
                    </w:rPr>
                  </w:pPr>
                  <w:r>
                    <w:rPr>
                      <w:rFonts w:hint="eastAsia"/>
                      <w:color w:val="auto"/>
                      <w:lang w:val="en-US" w:eastAsia="zh-CN"/>
                    </w:rPr>
                    <w:t>本项目为危险废物贮存项目，位于内蒙古鄂尔多斯市伊金霍洛旗阿镇现代装备制造基地，在中煤张家口煤矿机械有限责任公司鄂尔多斯分公司现有工业场地内建设，项目建设符合《内蒙古鄂尔多斯蒙苏经济开发区产业发展规划（2023-2035年）》及《鄂尔多斯蒙苏经济开发区国土空间总体规划（2021-2035年）》。</w:t>
                  </w:r>
                </w:p>
              </w:tc>
              <w:tc>
                <w:tcPr>
                  <w:tcW w:w="522" w:type="pct"/>
                  <w:tcBorders>
                    <w:tl2br w:val="nil"/>
                    <w:tr2bl w:val="nil"/>
                  </w:tcBorders>
                  <w:noWrap w:val="0"/>
                  <w:vAlign w:val="center"/>
                </w:tcPr>
                <w:p w14:paraId="51B5FF1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lang w:val="en-US" w:eastAsia="zh-CN"/>
                    </w:rPr>
                  </w:pPr>
                  <w:r>
                    <w:rPr>
                      <w:rFonts w:hint="eastAsia"/>
                      <w:color w:val="auto"/>
                      <w:lang w:val="en-US" w:eastAsia="zh-CN"/>
                    </w:rPr>
                    <w:t>符合</w:t>
                  </w:r>
                </w:p>
              </w:tc>
            </w:tr>
            <w:tr w14:paraId="0B4FA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395" w:type="pct"/>
                  <w:tcBorders>
                    <w:tl2br w:val="nil"/>
                    <w:tr2bl w:val="nil"/>
                  </w:tcBorders>
                  <w:noWrap w:val="0"/>
                  <w:vAlign w:val="center"/>
                </w:tcPr>
                <w:p w14:paraId="2B9BB5C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lang w:val="en-US" w:eastAsia="zh-CN"/>
                    </w:rPr>
                  </w:pPr>
                  <w:r>
                    <w:rPr>
                      <w:rFonts w:hint="eastAsia"/>
                      <w:color w:val="auto"/>
                      <w:lang w:val="en-US" w:eastAsia="zh-CN"/>
                    </w:rPr>
                    <w:t>2</w:t>
                  </w:r>
                </w:p>
              </w:tc>
              <w:tc>
                <w:tcPr>
                  <w:tcW w:w="2271" w:type="pct"/>
                  <w:tcBorders>
                    <w:tl2br w:val="nil"/>
                    <w:tr2bl w:val="nil"/>
                  </w:tcBorders>
                  <w:noWrap w:val="0"/>
                  <w:vAlign w:val="center"/>
                </w:tcPr>
                <w:p w14:paraId="13AC80E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lang w:val="en-US" w:eastAsia="zh-CN"/>
                    </w:rPr>
                  </w:pPr>
                  <w:r>
                    <w:rPr>
                      <w:rFonts w:hint="eastAsia"/>
                      <w:color w:val="auto"/>
                      <w:lang w:val="en-US" w:eastAsia="zh-CN"/>
                    </w:rPr>
                    <w:t>严格生态环境准入，推动高质量发展，园区应结合区域资源禀赋、生态敏感特征、生态功能保护、自治区及鄂尔多斯市碳达峰目标约束等要求，坚持循环经济和能源高效利用理念，严格落实《内蒙古自治区工业园区审核公告目录》、产业政策生态环境准入清单等要求及《报告书》推荐产业发展方案，合理发展装备制造、零碳经济等产业，不得新引进煤化工、金属冶炼等污染物排放量大、环境风险高的非主导产业项目，统筹做好产业发展和生态环境保护工作。落实“四水四定”要求，推动园区再生水资源全部合理利用，实现绿色发展、循环发展、低碳发展。</w:t>
                  </w:r>
                </w:p>
              </w:tc>
              <w:tc>
                <w:tcPr>
                  <w:tcW w:w="1809" w:type="pct"/>
                  <w:tcBorders>
                    <w:tl2br w:val="nil"/>
                    <w:tr2bl w:val="nil"/>
                  </w:tcBorders>
                  <w:noWrap w:val="0"/>
                  <w:vAlign w:val="center"/>
                </w:tcPr>
                <w:p w14:paraId="4384B6D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lang w:val="en-US" w:eastAsia="zh-CN"/>
                    </w:rPr>
                  </w:pPr>
                  <w:r>
                    <w:rPr>
                      <w:rFonts w:hint="eastAsia"/>
                      <w:color w:val="auto"/>
                      <w:lang w:val="en-US" w:eastAsia="zh-CN"/>
                    </w:rPr>
                    <w:t>本项目为危险废物贮存项目，项目不属于煤化工、金属冶炼等污染物排放量大、环境风险高的非主导产业项目。</w:t>
                  </w:r>
                </w:p>
              </w:tc>
              <w:tc>
                <w:tcPr>
                  <w:tcW w:w="522" w:type="pct"/>
                  <w:tcBorders>
                    <w:tl2br w:val="nil"/>
                    <w:tr2bl w:val="nil"/>
                  </w:tcBorders>
                  <w:noWrap w:val="0"/>
                  <w:vAlign w:val="center"/>
                </w:tcPr>
                <w:p w14:paraId="65C883C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lang w:val="en-US" w:eastAsia="zh-CN"/>
                    </w:rPr>
                  </w:pPr>
                  <w:r>
                    <w:rPr>
                      <w:rFonts w:hint="eastAsia"/>
                      <w:color w:val="auto"/>
                      <w:lang w:val="en-US" w:eastAsia="zh-CN"/>
                    </w:rPr>
                    <w:t>符合</w:t>
                  </w:r>
                </w:p>
              </w:tc>
            </w:tr>
            <w:tr w14:paraId="3B018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395" w:type="pct"/>
                  <w:tcBorders>
                    <w:tl2br w:val="nil"/>
                    <w:tr2bl w:val="nil"/>
                  </w:tcBorders>
                  <w:noWrap w:val="0"/>
                  <w:vAlign w:val="center"/>
                </w:tcPr>
                <w:p w14:paraId="3859584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lang w:val="en-US" w:eastAsia="zh-CN"/>
                    </w:rPr>
                  </w:pPr>
                  <w:r>
                    <w:rPr>
                      <w:rFonts w:hint="eastAsia"/>
                      <w:color w:val="auto"/>
                      <w:lang w:val="en-US" w:eastAsia="zh-CN"/>
                    </w:rPr>
                    <w:t>3</w:t>
                  </w:r>
                </w:p>
              </w:tc>
              <w:tc>
                <w:tcPr>
                  <w:tcW w:w="2271" w:type="pct"/>
                  <w:tcBorders>
                    <w:tl2br w:val="nil"/>
                    <w:tr2bl w:val="nil"/>
                  </w:tcBorders>
                  <w:noWrap w:val="0"/>
                  <w:vAlign w:val="center"/>
                </w:tcPr>
                <w:p w14:paraId="2BB4980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lang w:val="en-US" w:eastAsia="zh-CN"/>
                    </w:rPr>
                  </w:pPr>
                  <w:r>
                    <w:rPr>
                      <w:rFonts w:hint="eastAsia"/>
                      <w:color w:val="auto"/>
                      <w:lang w:val="en-US" w:eastAsia="zh-CN"/>
                    </w:rPr>
                    <w:t>严格空间管控，优化产业布局。按照相关要求做好规划控制和防护带建设，园区与居民区、地表水体等环境敏感区之间应设置足够距离的隔离带并合理优化邻近区域产业布局，确保园区产业发展与生态环境、人居环境相协调。配合伊金霍洛旗人民政府及其有关部门做好园区及周边区域的国土空间规划和优化调整，发现不符合管控要求的行为，应及时向伊金霍洛旗人民政府报告。加强土壤污染重点企业监管，开展腾退企业遗留场地的土壤环境调查和风险评估，合理确定土地利用方式。</w:t>
                  </w:r>
                </w:p>
              </w:tc>
              <w:tc>
                <w:tcPr>
                  <w:tcW w:w="1809" w:type="pct"/>
                  <w:tcBorders>
                    <w:tl2br w:val="nil"/>
                    <w:tr2bl w:val="nil"/>
                  </w:tcBorders>
                  <w:noWrap w:val="0"/>
                  <w:vAlign w:val="center"/>
                </w:tcPr>
                <w:p w14:paraId="7FE07EB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lang w:val="en-US" w:eastAsia="zh-CN"/>
                    </w:rPr>
                  </w:pPr>
                  <w:r>
                    <w:rPr>
                      <w:rFonts w:hint="eastAsia"/>
                      <w:color w:val="auto"/>
                      <w:lang w:val="en-US" w:eastAsia="zh-CN"/>
                    </w:rPr>
                    <w:t>项目位于园区内，附近没有常住居民居住，且本项目符合园区产业布局。</w:t>
                  </w:r>
                </w:p>
              </w:tc>
              <w:tc>
                <w:tcPr>
                  <w:tcW w:w="522" w:type="pct"/>
                  <w:tcBorders>
                    <w:tl2br w:val="nil"/>
                    <w:tr2bl w:val="nil"/>
                  </w:tcBorders>
                  <w:noWrap w:val="0"/>
                  <w:vAlign w:val="center"/>
                </w:tcPr>
                <w:p w14:paraId="0AAF49D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lang w:val="en-US" w:eastAsia="zh-CN"/>
                    </w:rPr>
                  </w:pPr>
                  <w:r>
                    <w:rPr>
                      <w:rFonts w:hint="eastAsia"/>
                      <w:color w:val="auto"/>
                      <w:lang w:val="en-US" w:eastAsia="zh-CN"/>
                    </w:rPr>
                    <w:t>符合</w:t>
                  </w:r>
                </w:p>
              </w:tc>
            </w:tr>
            <w:tr w14:paraId="208C7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395" w:type="pct"/>
                  <w:tcBorders>
                    <w:tl2br w:val="nil"/>
                    <w:tr2bl w:val="nil"/>
                  </w:tcBorders>
                  <w:noWrap w:val="0"/>
                  <w:vAlign w:val="center"/>
                </w:tcPr>
                <w:p w14:paraId="1604A80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lang w:val="en-US" w:eastAsia="zh-CN"/>
                    </w:rPr>
                  </w:pPr>
                  <w:r>
                    <w:rPr>
                      <w:rFonts w:hint="eastAsia"/>
                      <w:color w:val="auto"/>
                      <w:lang w:val="en-US" w:eastAsia="zh-CN"/>
                    </w:rPr>
                    <w:t>4</w:t>
                  </w:r>
                </w:p>
              </w:tc>
              <w:tc>
                <w:tcPr>
                  <w:tcW w:w="2271" w:type="pct"/>
                  <w:tcBorders>
                    <w:tl2br w:val="nil"/>
                    <w:tr2bl w:val="nil"/>
                  </w:tcBorders>
                  <w:noWrap w:val="0"/>
                  <w:vAlign w:val="center"/>
                </w:tcPr>
                <w:p w14:paraId="0BE0A1B2">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lang w:val="en-US" w:eastAsia="zh-CN"/>
                    </w:rPr>
                  </w:pPr>
                  <w:r>
                    <w:rPr>
                      <w:rFonts w:hint="eastAsia"/>
                      <w:color w:val="auto"/>
                      <w:lang w:val="en-US" w:eastAsia="zh-CN"/>
                    </w:rPr>
                    <w:t>严守环境质量底线，强化污染物排放总量管控。根据国家、自治区和鄂尔多斯市关于大气、水、土壤、挥发性有机物污染防治相关要求，落实与区域环境空气质量改善目标相匹配的区域削减措施，强化主要污染物总量管控，推动重点行业实施大气污染物治理措施升级改造，持续减少主要污染物、挥发性有机物等有组织和无组织排放量，保障区域环境质量改善。</w:t>
                  </w:r>
                </w:p>
              </w:tc>
              <w:tc>
                <w:tcPr>
                  <w:tcW w:w="1809" w:type="pct"/>
                  <w:tcBorders>
                    <w:tl2br w:val="nil"/>
                    <w:tr2bl w:val="nil"/>
                  </w:tcBorders>
                  <w:noWrap w:val="0"/>
                  <w:vAlign w:val="center"/>
                </w:tcPr>
                <w:p w14:paraId="3A2E40DA">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lang w:val="en-US" w:eastAsia="zh-CN"/>
                    </w:rPr>
                  </w:pPr>
                  <w:r>
                    <w:rPr>
                      <w:rFonts w:hint="default"/>
                      <w:color w:val="auto"/>
                      <w:lang w:val="en-US" w:eastAsia="zh-CN"/>
                    </w:rPr>
                    <w:t>运营期产生的废气主要为贮存的危险废物挥发出的非甲烷总烃，危险废物贮存、转运过程中均密封保存，及时转运，且项目区安装</w:t>
                  </w:r>
                  <w:r>
                    <w:rPr>
                      <w:rFonts w:hint="eastAsia"/>
                      <w:color w:val="auto"/>
                      <w:lang w:val="en-US" w:eastAsia="zh-CN"/>
                    </w:rPr>
                    <w:t>轴流风</w:t>
                  </w:r>
                  <w:r>
                    <w:rPr>
                      <w:rFonts w:hint="default"/>
                      <w:color w:val="auto"/>
                      <w:lang w:val="en-US" w:eastAsia="zh-CN"/>
                    </w:rPr>
                    <w:t>机，因此废气排放量较少，后本项目废气对周围环境影响较小</w:t>
                  </w:r>
                  <w:r>
                    <w:rPr>
                      <w:rFonts w:hint="eastAsia"/>
                      <w:color w:val="auto"/>
                      <w:lang w:val="en-US" w:eastAsia="zh-CN"/>
                    </w:rPr>
                    <w:t>。</w:t>
                  </w:r>
                </w:p>
              </w:tc>
              <w:tc>
                <w:tcPr>
                  <w:tcW w:w="522" w:type="pct"/>
                  <w:tcBorders>
                    <w:tl2br w:val="nil"/>
                    <w:tr2bl w:val="nil"/>
                  </w:tcBorders>
                  <w:noWrap w:val="0"/>
                  <w:vAlign w:val="center"/>
                </w:tcPr>
                <w:p w14:paraId="154E320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lang w:val="en-US" w:eastAsia="zh-CN"/>
                    </w:rPr>
                  </w:pPr>
                  <w:r>
                    <w:rPr>
                      <w:rFonts w:hint="eastAsia"/>
                      <w:color w:val="auto"/>
                      <w:lang w:val="en-US" w:eastAsia="zh-CN"/>
                    </w:rPr>
                    <w:t>符合</w:t>
                  </w:r>
                </w:p>
              </w:tc>
            </w:tr>
            <w:tr w14:paraId="733C6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395" w:type="pct"/>
                  <w:tcBorders>
                    <w:tl2br w:val="nil"/>
                    <w:tr2bl w:val="nil"/>
                  </w:tcBorders>
                  <w:noWrap w:val="0"/>
                  <w:vAlign w:val="center"/>
                </w:tcPr>
                <w:p w14:paraId="208995A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lang w:val="en-US" w:eastAsia="zh-CN"/>
                    </w:rPr>
                  </w:pPr>
                  <w:r>
                    <w:rPr>
                      <w:rFonts w:hint="eastAsia"/>
                      <w:color w:val="auto"/>
                      <w:lang w:val="en-US" w:eastAsia="zh-CN"/>
                    </w:rPr>
                    <w:t>5</w:t>
                  </w:r>
                </w:p>
              </w:tc>
              <w:tc>
                <w:tcPr>
                  <w:tcW w:w="2271" w:type="pct"/>
                  <w:tcBorders>
                    <w:tl2br w:val="nil"/>
                    <w:tr2bl w:val="nil"/>
                  </w:tcBorders>
                  <w:noWrap w:val="0"/>
                  <w:vAlign w:val="center"/>
                </w:tcPr>
                <w:p w14:paraId="55720B3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lang w:val="en-US" w:eastAsia="zh-CN"/>
                    </w:rPr>
                  </w:pPr>
                  <w:r>
                    <w:rPr>
                      <w:rFonts w:hint="eastAsia"/>
                      <w:color w:val="auto"/>
                      <w:lang w:val="en-US" w:eastAsia="zh-CN"/>
                    </w:rPr>
                    <w:t>加强环境基础设施建设，推进污染集中治理。强化企业生产废水预处理，合理规划西片区污水集中处理设施及配套管网，组织开展装备制造片区生产废水依托城镇污水处理厂处理可行性评估，统筹制定园区废水处理和综合利用总体方案并做好落实。因地制宜利用集中供热或清洁能源实现供热、供汽，禁止新建各类燃煤锅炉。强化企业危险废物鉴别主体责任，对园区各类危废实施严格监管和严密监控，实现全过程安全妥善处置。园区内及周边中短途汽车运输推广使用清洁能源。</w:t>
                  </w:r>
                </w:p>
              </w:tc>
              <w:tc>
                <w:tcPr>
                  <w:tcW w:w="1809" w:type="pct"/>
                  <w:tcBorders>
                    <w:tl2br w:val="nil"/>
                    <w:tr2bl w:val="nil"/>
                  </w:tcBorders>
                  <w:noWrap w:val="0"/>
                  <w:vAlign w:val="center"/>
                </w:tcPr>
                <w:p w14:paraId="752EF54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lang w:val="en-US" w:eastAsia="zh-CN"/>
                    </w:rPr>
                  </w:pPr>
                  <w:r>
                    <w:rPr>
                      <w:rFonts w:hint="eastAsia"/>
                      <w:color w:val="auto"/>
                      <w:lang w:val="en-US" w:eastAsia="zh-CN"/>
                    </w:rPr>
                    <w:t>本项目无生产废水，无新增生活污水，本项目不涉及供热、供汽。本项目不新建燃煤锅炉。</w:t>
                  </w:r>
                </w:p>
              </w:tc>
              <w:tc>
                <w:tcPr>
                  <w:tcW w:w="522" w:type="pct"/>
                  <w:tcBorders>
                    <w:tl2br w:val="nil"/>
                    <w:tr2bl w:val="nil"/>
                  </w:tcBorders>
                  <w:noWrap w:val="0"/>
                  <w:vAlign w:val="center"/>
                </w:tcPr>
                <w:p w14:paraId="376740C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lang w:val="en-US" w:eastAsia="zh-CN"/>
                    </w:rPr>
                  </w:pPr>
                  <w:r>
                    <w:rPr>
                      <w:rFonts w:hint="eastAsia"/>
                      <w:color w:val="auto"/>
                      <w:lang w:val="en-US" w:eastAsia="zh-CN"/>
                    </w:rPr>
                    <w:t>符合</w:t>
                  </w:r>
                </w:p>
              </w:tc>
            </w:tr>
            <w:tr w14:paraId="1E4F8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395" w:type="pct"/>
                  <w:tcBorders>
                    <w:tl2br w:val="nil"/>
                    <w:tr2bl w:val="nil"/>
                  </w:tcBorders>
                  <w:noWrap w:val="0"/>
                  <w:vAlign w:val="center"/>
                </w:tcPr>
                <w:p w14:paraId="1BBF903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lang w:val="en-US" w:eastAsia="zh-CN"/>
                    </w:rPr>
                  </w:pPr>
                  <w:r>
                    <w:rPr>
                      <w:rFonts w:hint="eastAsia"/>
                      <w:color w:val="auto"/>
                      <w:lang w:val="en-US" w:eastAsia="zh-CN"/>
                    </w:rPr>
                    <w:t>6</w:t>
                  </w:r>
                </w:p>
              </w:tc>
              <w:tc>
                <w:tcPr>
                  <w:tcW w:w="2271" w:type="pct"/>
                  <w:tcBorders>
                    <w:tl2br w:val="nil"/>
                    <w:tr2bl w:val="nil"/>
                  </w:tcBorders>
                  <w:noWrap w:val="0"/>
                  <w:vAlign w:val="center"/>
                </w:tcPr>
                <w:p w14:paraId="4834924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lang w:val="en-US" w:eastAsia="zh-CN"/>
                    </w:rPr>
                  </w:pPr>
                  <w:r>
                    <w:rPr>
                      <w:rFonts w:hint="eastAsia"/>
                      <w:color w:val="auto"/>
                      <w:lang w:val="en-US" w:eastAsia="zh-CN"/>
                    </w:rPr>
                    <w:t>强化源头防控，有效防范环境污染和事故风险。加强园区突发环境事件应急处置能力建设，建立完善的环境风险防控和应急监测体系，强化应急演练和应急物资储备，不断提升应急响应能力，保障区域环境安全。入园企业按要求设置事故水池，确保任何情况下事故废水不进入外环境。</w:t>
                  </w:r>
                </w:p>
              </w:tc>
              <w:tc>
                <w:tcPr>
                  <w:tcW w:w="1809" w:type="pct"/>
                  <w:tcBorders>
                    <w:tl2br w:val="nil"/>
                    <w:tr2bl w:val="nil"/>
                  </w:tcBorders>
                  <w:noWrap w:val="0"/>
                  <w:vAlign w:val="center"/>
                </w:tcPr>
                <w:p w14:paraId="69C0C67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lang w:val="en-US" w:eastAsia="zh-CN"/>
                    </w:rPr>
                  </w:pPr>
                  <w:r>
                    <w:rPr>
                      <w:rFonts w:hint="eastAsia"/>
                      <w:color w:val="auto"/>
                      <w:lang w:val="en-US" w:eastAsia="zh-CN"/>
                    </w:rPr>
                    <w:t>要求企业制定突发环境应急预案，强化源头防控，有效防范环境污染和事故风险。</w:t>
                  </w:r>
                </w:p>
              </w:tc>
              <w:tc>
                <w:tcPr>
                  <w:tcW w:w="522" w:type="pct"/>
                  <w:tcBorders>
                    <w:tl2br w:val="nil"/>
                    <w:tr2bl w:val="nil"/>
                  </w:tcBorders>
                  <w:noWrap w:val="0"/>
                  <w:vAlign w:val="center"/>
                </w:tcPr>
                <w:p w14:paraId="367E1282">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lang w:val="en-US" w:eastAsia="zh-CN"/>
                    </w:rPr>
                  </w:pPr>
                  <w:r>
                    <w:rPr>
                      <w:rFonts w:hint="eastAsia"/>
                      <w:color w:val="auto"/>
                      <w:lang w:val="en-US" w:eastAsia="zh-CN"/>
                    </w:rPr>
                    <w:t>符合</w:t>
                  </w:r>
                </w:p>
              </w:tc>
            </w:tr>
            <w:tr w14:paraId="36B8D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395" w:type="pct"/>
                  <w:tcBorders>
                    <w:tl2br w:val="nil"/>
                    <w:tr2bl w:val="nil"/>
                  </w:tcBorders>
                  <w:noWrap w:val="0"/>
                  <w:vAlign w:val="center"/>
                </w:tcPr>
                <w:p w14:paraId="24A49BD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lang w:val="en-US" w:eastAsia="zh-CN"/>
                    </w:rPr>
                  </w:pPr>
                  <w:r>
                    <w:rPr>
                      <w:rFonts w:hint="eastAsia"/>
                      <w:color w:val="auto"/>
                      <w:lang w:val="en-US" w:eastAsia="zh-CN"/>
                    </w:rPr>
                    <w:t>7</w:t>
                  </w:r>
                </w:p>
              </w:tc>
              <w:tc>
                <w:tcPr>
                  <w:tcW w:w="2271" w:type="pct"/>
                  <w:tcBorders>
                    <w:tl2br w:val="nil"/>
                    <w:tr2bl w:val="nil"/>
                  </w:tcBorders>
                  <w:noWrap w:val="0"/>
                  <w:vAlign w:val="center"/>
                </w:tcPr>
                <w:p w14:paraId="5F84B47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lang w:val="en-US" w:eastAsia="zh-CN"/>
                    </w:rPr>
                  </w:pPr>
                  <w:r>
                    <w:rPr>
                      <w:rFonts w:hint="eastAsia"/>
                      <w:color w:val="auto"/>
                      <w:lang w:val="en-US" w:eastAsia="zh-CN"/>
                    </w:rPr>
                    <w:t>加强环境监管及日常环境质量监测。园区应建立完善的环境监测计划，开展包括常规污染物、特征污染物、挥发性有机物等在内的环境空气、地下水、土壤、生态系统等环境质量监测工作，实现长期监测与有效监控。重点企业排污口要设置在线监测系统并与生态环境部门联网</w:t>
                  </w:r>
                </w:p>
              </w:tc>
              <w:tc>
                <w:tcPr>
                  <w:tcW w:w="1809" w:type="pct"/>
                  <w:tcBorders>
                    <w:tl2br w:val="nil"/>
                    <w:tr2bl w:val="nil"/>
                  </w:tcBorders>
                  <w:noWrap w:val="0"/>
                  <w:vAlign w:val="center"/>
                </w:tcPr>
                <w:p w14:paraId="28C2258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lang w:val="en-US" w:eastAsia="zh-CN"/>
                    </w:rPr>
                  </w:pPr>
                  <w:r>
                    <w:rPr>
                      <w:rFonts w:hint="eastAsia"/>
                      <w:color w:val="auto"/>
                      <w:lang w:val="en-US" w:eastAsia="zh-CN"/>
                    </w:rPr>
                    <w:t>本项目按要求制定相关环境质量监测计划。</w:t>
                  </w:r>
                </w:p>
              </w:tc>
              <w:tc>
                <w:tcPr>
                  <w:tcW w:w="522" w:type="pct"/>
                  <w:tcBorders>
                    <w:tl2br w:val="nil"/>
                    <w:tr2bl w:val="nil"/>
                  </w:tcBorders>
                  <w:noWrap w:val="0"/>
                  <w:vAlign w:val="center"/>
                </w:tcPr>
                <w:p w14:paraId="2F44211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lang w:val="en-US" w:eastAsia="zh-CN"/>
                    </w:rPr>
                  </w:pPr>
                  <w:r>
                    <w:rPr>
                      <w:rFonts w:hint="eastAsia"/>
                      <w:color w:val="auto"/>
                      <w:lang w:val="en-US" w:eastAsia="zh-CN"/>
                    </w:rPr>
                    <w:t>符合</w:t>
                  </w:r>
                </w:p>
              </w:tc>
            </w:tr>
            <w:tr w14:paraId="18089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395" w:type="pct"/>
                  <w:tcBorders>
                    <w:tl2br w:val="nil"/>
                    <w:tr2bl w:val="nil"/>
                  </w:tcBorders>
                  <w:noWrap w:val="0"/>
                  <w:vAlign w:val="center"/>
                </w:tcPr>
                <w:p w14:paraId="0A30363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lang w:val="en-US" w:eastAsia="zh-CN"/>
                    </w:rPr>
                  </w:pPr>
                  <w:r>
                    <w:rPr>
                      <w:rFonts w:hint="eastAsia"/>
                      <w:color w:val="auto"/>
                      <w:lang w:val="en-US" w:eastAsia="zh-CN"/>
                    </w:rPr>
                    <w:t>8</w:t>
                  </w:r>
                </w:p>
              </w:tc>
              <w:tc>
                <w:tcPr>
                  <w:tcW w:w="2271" w:type="pct"/>
                  <w:tcBorders>
                    <w:tl2br w:val="nil"/>
                    <w:tr2bl w:val="nil"/>
                  </w:tcBorders>
                  <w:noWrap w:val="0"/>
                  <w:vAlign w:val="center"/>
                </w:tcPr>
                <w:p w14:paraId="6D75D0A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lang w:val="en-US" w:eastAsia="zh-CN"/>
                    </w:rPr>
                  </w:pPr>
                  <w:r>
                    <w:rPr>
                      <w:rFonts w:hint="eastAsia"/>
                      <w:color w:val="auto"/>
                      <w:lang w:val="en-US" w:eastAsia="zh-CN"/>
                    </w:rPr>
                    <w:t>总体规划实施对环境产生重大影响时，应当及时组织环境影响的跟踪评价。对规划所包含的建设项目，在开展环境影响评价时，应重点分析污染防治措施和环境风险防控措施的可行性、可靠性，规划协调性分析、环境现状等工作内容可适当简化。</w:t>
                  </w:r>
                </w:p>
              </w:tc>
              <w:tc>
                <w:tcPr>
                  <w:tcW w:w="1809" w:type="pct"/>
                  <w:tcBorders>
                    <w:tl2br w:val="nil"/>
                    <w:tr2bl w:val="nil"/>
                  </w:tcBorders>
                  <w:noWrap w:val="0"/>
                  <w:vAlign w:val="center"/>
                </w:tcPr>
                <w:p w14:paraId="2AA8CE2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lang w:val="en-US" w:eastAsia="zh-CN"/>
                    </w:rPr>
                  </w:pPr>
                  <w:r>
                    <w:rPr>
                      <w:rFonts w:hint="eastAsia"/>
                      <w:color w:val="auto"/>
                      <w:lang w:val="en-US" w:eastAsia="zh-CN"/>
                    </w:rPr>
                    <w:t>本项目不涉及。</w:t>
                  </w:r>
                </w:p>
              </w:tc>
              <w:tc>
                <w:tcPr>
                  <w:tcW w:w="522" w:type="pct"/>
                  <w:tcBorders>
                    <w:tl2br w:val="nil"/>
                    <w:tr2bl w:val="nil"/>
                  </w:tcBorders>
                  <w:noWrap w:val="0"/>
                  <w:vAlign w:val="center"/>
                </w:tcPr>
                <w:p w14:paraId="0DFA0F1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lang w:val="en-US" w:eastAsia="zh-CN"/>
                    </w:rPr>
                  </w:pPr>
                  <w:r>
                    <w:rPr>
                      <w:rFonts w:hint="eastAsia"/>
                      <w:color w:val="auto"/>
                      <w:lang w:val="en-US" w:eastAsia="zh-CN"/>
                    </w:rPr>
                    <w:t>符合</w:t>
                  </w:r>
                </w:p>
              </w:tc>
            </w:tr>
          </w:tbl>
          <w:p w14:paraId="43620708">
            <w:pPr>
              <w:bidi w:val="0"/>
              <w:ind w:firstLine="480" w:firstLineChars="200"/>
              <w:rPr>
                <w:rFonts w:hint="default"/>
                <w:color w:val="auto"/>
              </w:rPr>
            </w:pPr>
            <w:r>
              <w:rPr>
                <w:rFonts w:hint="eastAsia" w:ascii="Times New Roman" w:hAnsi="Times New Roman" w:eastAsia="宋体" w:cs="Times New Roman"/>
                <w:color w:val="auto"/>
                <w:kern w:val="0"/>
                <w:szCs w:val="21"/>
                <w:highlight w:val="none"/>
                <w:lang w:val="en-US" w:eastAsia="zh-CN"/>
              </w:rPr>
              <w:t>综上所述，本项目建设符合《鄂尔多斯蒙苏经济开发区国土空间总体规划（2021-2035年）鄂尔多斯零碳产业园环境影响报告书》的审查意见。</w:t>
            </w:r>
          </w:p>
        </w:tc>
      </w:tr>
      <w:tr w14:paraId="29B827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55" w:hRule="atLeast"/>
          <w:jc w:val="center"/>
        </w:trPr>
        <w:tc>
          <w:tcPr>
            <w:tcW w:w="2223" w:type="dxa"/>
            <w:tcBorders>
              <w:top w:val="single" w:color="auto" w:sz="4" w:space="0"/>
              <w:left w:val="single" w:color="auto" w:sz="8" w:space="0"/>
              <w:bottom w:val="single" w:color="auto" w:sz="8" w:space="0"/>
              <w:right w:val="single" w:color="auto" w:sz="4" w:space="0"/>
              <w:tl2br w:val="nil"/>
              <w:tr2bl w:val="nil"/>
            </w:tcBorders>
            <w:vAlign w:val="center"/>
          </w:tcPr>
          <w:p w14:paraId="675B2767">
            <w:pPr>
              <w:autoSpaceDE w:val="0"/>
              <w:autoSpaceDN w:val="0"/>
              <w:adjustRightInd w:val="0"/>
              <w:snapToGrid w:val="0"/>
              <w:ind w:firstLine="0" w:firstLineChars="0"/>
              <w:jc w:val="center"/>
              <w:rPr>
                <w:rFonts w:hint="default"/>
                <w:color w:val="auto"/>
                <w:kern w:val="0"/>
              </w:rPr>
            </w:pPr>
            <w:r>
              <w:rPr>
                <w:rFonts w:hint="default" w:eastAsia="宋体"/>
                <w:color w:val="auto"/>
                <w:kern w:val="0"/>
              </w:rPr>
              <w:t>其他符合性分析</w:t>
            </w:r>
          </w:p>
        </w:tc>
        <w:tc>
          <w:tcPr>
            <w:tcW w:w="6647" w:type="dxa"/>
            <w:gridSpan w:val="3"/>
            <w:tcBorders>
              <w:top w:val="single" w:color="auto" w:sz="4" w:space="0"/>
              <w:left w:val="single" w:color="auto" w:sz="4" w:space="0"/>
              <w:bottom w:val="single" w:color="auto" w:sz="8" w:space="0"/>
              <w:right w:val="single" w:color="auto" w:sz="8" w:space="0"/>
              <w:tl2br w:val="nil"/>
              <w:tr2bl w:val="nil"/>
            </w:tcBorders>
            <w:vAlign w:val="center"/>
          </w:tcPr>
          <w:p w14:paraId="791932B5">
            <w:pPr>
              <w:ind w:firstLine="482"/>
              <w:rPr>
                <w:rFonts w:hint="default"/>
                <w:b/>
                <w:color w:val="auto"/>
              </w:rPr>
            </w:pPr>
            <w:r>
              <w:rPr>
                <w:rFonts w:hint="default" w:eastAsia="宋体"/>
                <w:b/>
                <w:color w:val="auto"/>
              </w:rPr>
              <w:t>一、产业政策符合性分析</w:t>
            </w:r>
          </w:p>
          <w:p w14:paraId="5C5A2B67">
            <w:pPr>
              <w:ind w:firstLine="480"/>
              <w:rPr>
                <w:rFonts w:hint="default" w:eastAsia="宋体"/>
                <w:color w:val="auto"/>
              </w:rPr>
            </w:pPr>
            <w:r>
              <w:rPr>
                <w:rFonts w:hint="default" w:eastAsia="宋体"/>
                <w:color w:val="auto"/>
              </w:rPr>
              <w:t>本项目为危险废物收集暂存项目，主要用于暂存</w:t>
            </w:r>
            <w:r>
              <w:rPr>
                <w:rFonts w:hint="eastAsia" w:eastAsia="宋体"/>
                <w:color w:val="auto"/>
                <w:lang w:eastAsia="zh-CN"/>
              </w:rPr>
              <w:t>中煤张家口煤矿机械有限责任公司鄂尔多斯分公司</w:t>
            </w:r>
            <w:r>
              <w:rPr>
                <w:rFonts w:hint="default" w:eastAsia="宋体"/>
                <w:color w:val="auto"/>
              </w:rPr>
              <w:t>运行过</w:t>
            </w:r>
            <w:r>
              <w:rPr>
                <w:rFonts w:eastAsia="宋体"/>
                <w:color w:val="auto"/>
              </w:rPr>
              <w:t>程中</w:t>
            </w:r>
            <w:r>
              <w:rPr>
                <w:rFonts w:hint="default" w:eastAsia="宋体"/>
                <w:color w:val="auto"/>
              </w:rPr>
              <w:t>产生的危险废物，根据</w:t>
            </w:r>
            <w:r>
              <w:rPr>
                <w:rFonts w:hint="eastAsia" w:eastAsia="宋体"/>
                <w:color w:val="auto"/>
                <w:lang w:eastAsia="zh-CN"/>
              </w:rPr>
              <w:t>《产业结构调整指导目录（2024年本）》</w:t>
            </w:r>
            <w:r>
              <w:rPr>
                <w:rFonts w:hint="default" w:eastAsia="宋体"/>
                <w:color w:val="auto"/>
              </w:rPr>
              <w:t>，本项目不属于禁止类、限制类及淘汰类，因此项目符合国家产业政策及要求。</w:t>
            </w:r>
          </w:p>
          <w:p w14:paraId="7657866D">
            <w:pPr>
              <w:ind w:firstLine="482"/>
              <w:rPr>
                <w:rFonts w:hint="default"/>
                <w:b/>
                <w:color w:val="auto"/>
              </w:rPr>
            </w:pPr>
            <w:r>
              <w:rPr>
                <w:rFonts w:hint="default" w:eastAsia="宋体"/>
                <w:b/>
                <w:color w:val="auto"/>
              </w:rPr>
              <w:t>二、本项目与生态环境分区管控符合性分析</w:t>
            </w:r>
          </w:p>
          <w:p w14:paraId="6BBFE2E3">
            <w:pPr>
              <w:ind w:firstLine="482"/>
              <w:rPr>
                <w:rFonts w:hint="default"/>
                <w:b/>
                <w:color w:val="auto"/>
              </w:rPr>
            </w:pPr>
            <w:r>
              <w:rPr>
                <w:rFonts w:hint="default"/>
                <w:b/>
                <w:color w:val="auto"/>
              </w:rPr>
              <w:t>1</w:t>
            </w:r>
            <w:r>
              <w:rPr>
                <w:rFonts w:hint="default" w:eastAsia="宋体"/>
                <w:b/>
                <w:color w:val="auto"/>
              </w:rPr>
              <w:t>、生态保护红线</w:t>
            </w:r>
          </w:p>
          <w:p w14:paraId="267A0FD1">
            <w:pPr>
              <w:ind w:firstLine="480"/>
              <w:rPr>
                <w:rFonts w:hint="default"/>
                <w:color w:val="auto"/>
              </w:rPr>
            </w:pPr>
            <w:r>
              <w:rPr>
                <w:rFonts w:hint="default" w:eastAsia="宋体"/>
                <w:color w:val="auto"/>
              </w:rPr>
              <w:t>根据鄂尔多斯市生态环境局关于印发《鄂尔多斯市生态环境分区管控动态更新成果（2023年版）》的通知（2024年8月6日），全市按优先保护、重点管控、一般管控三大类划分为171个环境管控单元。其中，优先保护单元76个，面积占比64.35%；重点管控单元86个，面积占比28.10%；一般管控单元9个，面积占比7.56%。生态环境准入清单保持一定的延续性，维持“市级总体管控要求</w:t>
            </w:r>
            <w:r>
              <w:rPr>
                <w:rFonts w:hint="default"/>
                <w:color w:val="auto"/>
              </w:rPr>
              <w:t>-</w:t>
            </w:r>
            <w:r>
              <w:rPr>
                <w:rFonts w:hint="default" w:eastAsia="宋体"/>
                <w:color w:val="auto"/>
              </w:rPr>
              <w:t>单元管控要求</w:t>
            </w:r>
            <w:r>
              <w:rPr>
                <w:rFonts w:eastAsia="宋体"/>
                <w:color w:val="auto"/>
              </w:rPr>
              <w:t>”两个</w:t>
            </w:r>
            <w:r>
              <w:rPr>
                <w:rFonts w:hint="default" w:eastAsia="宋体"/>
                <w:color w:val="auto"/>
              </w:rPr>
              <w:t>层级框架（即1个鄂尔多斯市总体准入清单、171个环境管控单元准入清单），坚持目标和问题导向，以区域生态环境质量改善目标为核心，实施差异化管理。</w:t>
            </w:r>
          </w:p>
          <w:p w14:paraId="24E8F5A8">
            <w:pPr>
              <w:ind w:firstLine="480"/>
              <w:rPr>
                <w:rFonts w:hint="default"/>
                <w:color w:val="auto"/>
              </w:rPr>
            </w:pPr>
            <w:r>
              <w:rPr>
                <w:rFonts w:hint="default" w:eastAsia="宋体"/>
                <w:color w:val="auto"/>
              </w:rPr>
              <w:t>优先保护单元主要包括我市生态保护红线、自然保护地、集中式饮用水水源保护区等生态功能重要区和生态环境敏感区。该区域以生态环境保护优先为原则，依法禁止或限制大规模、高强度的工业开发和城镇建设，确保生态环境功能不降低。</w:t>
            </w:r>
          </w:p>
          <w:p w14:paraId="484C2FC8">
            <w:pPr>
              <w:ind w:firstLine="480"/>
              <w:rPr>
                <w:rFonts w:hint="default"/>
                <w:color w:val="auto"/>
              </w:rPr>
            </w:pPr>
            <w:r>
              <w:rPr>
                <w:rFonts w:hint="default" w:eastAsia="宋体"/>
                <w:color w:val="auto"/>
              </w:rPr>
              <w:t>重点管控单元主要包括工业园区、城市、矿区等开发强度高、污染排放量大、环境问题相对集中的区域，以及生态需水补给区等。该区域应不断提升资源利用效率，有针对性地加强污染物排放控制和环境风险防控，解决生态环境质量不达标、生态环境风险高等问题。</w:t>
            </w:r>
          </w:p>
          <w:p w14:paraId="547B4015">
            <w:pPr>
              <w:ind w:firstLine="480"/>
              <w:rPr>
                <w:rFonts w:hint="default"/>
                <w:color w:val="auto"/>
              </w:rPr>
            </w:pPr>
            <w:r>
              <w:rPr>
                <w:rFonts w:hint="default" w:eastAsia="宋体"/>
                <w:color w:val="auto"/>
              </w:rPr>
              <w:t>一般管控单元主要落实生态环境保护基本要求。</w:t>
            </w:r>
          </w:p>
          <w:p w14:paraId="13F5539A">
            <w:pPr>
              <w:ind w:firstLine="480"/>
              <w:rPr>
                <w:rFonts w:hint="default"/>
                <w:color w:val="auto"/>
              </w:rPr>
            </w:pPr>
            <w:r>
              <w:rPr>
                <w:rFonts w:hint="default" w:eastAsia="宋体"/>
                <w:color w:val="auto"/>
              </w:rPr>
              <w:t>本项目位于</w:t>
            </w:r>
            <w:r>
              <w:rPr>
                <w:rFonts w:hint="eastAsia" w:eastAsia="宋体"/>
                <w:color w:val="auto"/>
                <w:lang w:eastAsia="zh-CN"/>
              </w:rPr>
              <w:t>内蒙古鄂尔多斯市伊金霍洛旗阿镇现代装备制造基地，在中煤张家口煤矿机械有限责任公司鄂尔多斯分公司现有工业场地内建设</w:t>
            </w:r>
            <w:r>
              <w:rPr>
                <w:rFonts w:hint="default" w:eastAsia="宋体"/>
                <w:color w:val="auto"/>
              </w:rPr>
              <w:t>。无新增占地，且本项目污染物产生量小，针对废气、固废、噪声均采取了妥善合理的处置措施，污染物均达标排放，对区域生态环境质量影响轻微；同时经调查评价范围内无饮用水水源地、自然保护区、风景名胜区等特殊环境敏感区，不涉及重要生态功能区、生态敏感脆弱区、禁止开发区域以及其他各类保护地，根据生态红线的主要划定依据，本项目不在生态保护红线范围内。</w:t>
            </w:r>
          </w:p>
          <w:p w14:paraId="1CBD8450">
            <w:pPr>
              <w:ind w:firstLine="480"/>
              <w:rPr>
                <w:rFonts w:hint="default"/>
                <w:color w:val="auto"/>
              </w:rPr>
            </w:pPr>
            <w:r>
              <w:rPr>
                <w:rFonts w:hint="default" w:eastAsia="宋体"/>
                <w:color w:val="auto"/>
              </w:rPr>
              <w:t>综上所述，本项目符合生态保护红线的要求。</w:t>
            </w:r>
          </w:p>
          <w:p w14:paraId="5212D677">
            <w:pPr>
              <w:ind w:firstLine="482"/>
              <w:rPr>
                <w:rFonts w:hint="default"/>
                <w:b/>
                <w:color w:val="auto"/>
              </w:rPr>
            </w:pPr>
            <w:r>
              <w:rPr>
                <w:rFonts w:hint="default"/>
                <w:b/>
                <w:color w:val="auto"/>
              </w:rPr>
              <w:t>2</w:t>
            </w:r>
            <w:r>
              <w:rPr>
                <w:rFonts w:hint="default" w:eastAsia="宋体"/>
                <w:b/>
                <w:color w:val="auto"/>
              </w:rPr>
              <w:t>、环境质量底线</w:t>
            </w:r>
          </w:p>
          <w:p w14:paraId="5CD4A48D">
            <w:pPr>
              <w:ind w:firstLine="480"/>
              <w:rPr>
                <w:rFonts w:hint="default"/>
                <w:color w:val="auto"/>
              </w:rPr>
            </w:pPr>
            <w:r>
              <w:rPr>
                <w:rFonts w:hint="default" w:eastAsia="宋体"/>
                <w:color w:val="auto"/>
              </w:rPr>
              <w:t>根据内蒙古自治区生态环境保护厅于2025年5月29日发布的《2024年内蒙古自治区生态环境状况公报》，2024年，全区环境空气六项污染物年均浓度均达标。全区环境空气质量平均优良天数比例为89.6%，同比上升2.4个百分点；扣除异常沙尘天气等影响后，全区环境空气质量优良天数比例为90.7%，同比上升0.5个百分点，重污染天数比例为0.2%，同比持平。</w:t>
            </w:r>
          </w:p>
          <w:p w14:paraId="21B3D495">
            <w:pPr>
              <w:ind w:firstLine="480"/>
              <w:rPr>
                <w:rFonts w:hint="default"/>
                <w:color w:val="auto"/>
              </w:rPr>
            </w:pPr>
            <w:r>
              <w:rPr>
                <w:rFonts w:hint="default" w:eastAsia="宋体"/>
                <w:color w:val="auto"/>
              </w:rPr>
              <w:t>本项目的特征污染物为非甲烷总烃</w:t>
            </w:r>
            <w:r>
              <w:rPr>
                <w:rFonts w:hint="eastAsia" w:eastAsia="宋体"/>
                <w:color w:val="auto"/>
                <w:lang w:eastAsia="zh-CN"/>
              </w:rPr>
              <w:t>，</w:t>
            </w:r>
            <w:r>
              <w:rPr>
                <w:rFonts w:hint="default" w:eastAsia="宋体"/>
                <w:color w:val="auto"/>
              </w:rPr>
              <w:t>引用本项目东北方向</w:t>
            </w:r>
            <w:r>
              <w:rPr>
                <w:rFonts w:hint="eastAsia" w:eastAsia="宋体"/>
                <w:color w:val="auto"/>
                <w:lang w:eastAsia="zh-CN"/>
              </w:rPr>
              <w:t>1881m</w:t>
            </w:r>
            <w:r>
              <w:rPr>
                <w:rFonts w:hint="default" w:eastAsia="宋体"/>
                <w:color w:val="auto"/>
              </w:rPr>
              <w:t>处的</w:t>
            </w:r>
            <w:r>
              <w:rPr>
                <w:rFonts w:hint="default" w:eastAsia="宋体"/>
                <w:color w:val="auto"/>
                <w:lang w:val="en-US" w:eastAsia="zh-CN"/>
              </w:rPr>
              <w:t>《内蒙古鄂尔多斯蒙苏经济开发区国土空间总体规划（2021-2035年）江苏产业园环境影响评价》现状监测数据</w:t>
            </w:r>
            <w:r>
              <w:rPr>
                <w:rFonts w:hint="eastAsia" w:eastAsia="宋体"/>
                <w:color w:val="auto"/>
                <w:lang w:val="en-US" w:eastAsia="zh-CN"/>
              </w:rPr>
              <w:t>，</w:t>
            </w:r>
            <w:r>
              <w:rPr>
                <w:rFonts w:hint="default" w:eastAsia="宋体"/>
                <w:color w:val="auto"/>
              </w:rPr>
              <w:t>非甲烷总烃（1小时平均值）均满足《大气污染物综合排放标准详解》（国家环境保护局科技标准司）中的推荐值。检测结果显示项目区域生态环境质量较好。</w:t>
            </w:r>
          </w:p>
          <w:p w14:paraId="567F8AB7">
            <w:pPr>
              <w:ind w:firstLine="480"/>
              <w:rPr>
                <w:rFonts w:hint="default" w:eastAsia="宋体"/>
                <w:color w:val="auto"/>
              </w:rPr>
            </w:pPr>
            <w:r>
              <w:rPr>
                <w:rFonts w:hint="default" w:eastAsia="宋体"/>
                <w:color w:val="auto"/>
              </w:rPr>
              <w:t>项目建成后，采取有效的环保措施</w:t>
            </w:r>
            <w:r>
              <w:rPr>
                <w:rFonts w:eastAsia="宋体"/>
                <w:color w:val="auto"/>
              </w:rPr>
              <w:t>后</w:t>
            </w:r>
            <w:r>
              <w:rPr>
                <w:rFonts w:hint="default" w:eastAsia="宋体"/>
                <w:color w:val="auto"/>
              </w:rPr>
              <w:t>，废气排放量极少，无生产废水产生，不新增员工，无新增生活污水，搬运过程中产生的沾染油污废抹布、手套等废劳保用品与厂区内的生活垃圾统一收集后交由当地环卫部门进行处理。本项目产生的污染物均能</w:t>
            </w:r>
            <w:r>
              <w:rPr>
                <w:rFonts w:eastAsia="宋体"/>
                <w:color w:val="auto"/>
              </w:rPr>
              <w:t>得到</w:t>
            </w:r>
            <w:r>
              <w:rPr>
                <w:rFonts w:hint="default" w:eastAsia="宋体"/>
                <w:color w:val="auto"/>
              </w:rPr>
              <w:t>妥善处置，对周围环境影响较小。</w:t>
            </w:r>
          </w:p>
          <w:p w14:paraId="26C9D0B7">
            <w:pPr>
              <w:ind w:firstLine="480"/>
              <w:rPr>
                <w:rFonts w:hint="default"/>
                <w:color w:val="auto"/>
              </w:rPr>
            </w:pPr>
            <w:r>
              <w:rPr>
                <w:rFonts w:hint="default" w:eastAsia="宋体"/>
                <w:color w:val="auto"/>
              </w:rPr>
              <w:t>因此，本项目的建设符合鄂尔多斯市的环境质量底线要求。</w:t>
            </w:r>
          </w:p>
          <w:p w14:paraId="43F2D743">
            <w:pPr>
              <w:ind w:firstLine="482"/>
              <w:rPr>
                <w:rFonts w:hint="default"/>
                <w:b/>
                <w:color w:val="auto"/>
              </w:rPr>
            </w:pPr>
            <w:r>
              <w:rPr>
                <w:rFonts w:hint="default"/>
                <w:b/>
                <w:color w:val="auto"/>
              </w:rPr>
              <w:t>3</w:t>
            </w:r>
            <w:r>
              <w:rPr>
                <w:rFonts w:hint="default" w:eastAsia="宋体"/>
                <w:b/>
                <w:color w:val="auto"/>
              </w:rPr>
              <w:t>、资源利用上线</w:t>
            </w:r>
          </w:p>
          <w:p w14:paraId="7BE70111">
            <w:pPr>
              <w:ind w:firstLine="480"/>
              <w:rPr>
                <w:rFonts w:hint="default"/>
                <w:color w:val="auto"/>
              </w:rPr>
            </w:pPr>
            <w:r>
              <w:rPr>
                <w:rFonts w:hint="default" w:eastAsia="宋体"/>
                <w:color w:val="auto"/>
              </w:rPr>
              <w:t>资源利用上线指按照自然资源资产“只能增值、不能贬值”的原则，以保障生态安全和改善环境质量为目的，参考自然资源资产负债表，结合自然资源开发利用效率，提出的分区域分阶段的资源开发利用总量、强度、效率等上线管控要求。本项目运营过程主要资源消耗为电能。项目资源消耗量较小，不会超出当地资源利用上线。</w:t>
            </w:r>
          </w:p>
          <w:p w14:paraId="5C35D466">
            <w:pPr>
              <w:ind w:firstLine="482"/>
              <w:rPr>
                <w:rFonts w:hint="default"/>
                <w:b/>
                <w:color w:val="auto"/>
              </w:rPr>
            </w:pPr>
            <w:r>
              <w:rPr>
                <w:rFonts w:hint="default"/>
                <w:b/>
                <w:color w:val="auto"/>
              </w:rPr>
              <w:t>4</w:t>
            </w:r>
            <w:r>
              <w:rPr>
                <w:rFonts w:hint="default" w:eastAsia="宋体"/>
                <w:b/>
                <w:color w:val="auto"/>
              </w:rPr>
              <w:t>、生态环境准入清单</w:t>
            </w:r>
          </w:p>
          <w:p w14:paraId="6C3A8931">
            <w:pPr>
              <w:spacing w:line="480" w:lineRule="exact"/>
              <w:ind w:firstLine="480"/>
              <w:textAlignment w:val="center"/>
              <w:rPr>
                <w:rFonts w:hint="default"/>
                <w:color w:val="auto"/>
              </w:rPr>
            </w:pPr>
            <w:r>
              <w:rPr>
                <w:rFonts w:hint="default" w:eastAsia="宋体"/>
                <w:color w:val="auto"/>
              </w:rPr>
              <w:t>对照《鄂尔多斯市生态环境准入清单》，本项目位于</w:t>
            </w:r>
            <w:r>
              <w:rPr>
                <w:rFonts w:hint="eastAsia" w:eastAsia="宋体"/>
                <w:color w:val="auto"/>
                <w:lang w:eastAsia="zh-CN"/>
              </w:rPr>
              <w:t>内蒙古鄂尔多斯市伊金霍洛旗阿镇现代装备制造基地，在中煤张家口煤矿机械有限责任公司鄂尔多斯分公司现有工业场地内建设</w:t>
            </w:r>
            <w:r>
              <w:rPr>
                <w:rFonts w:hint="default" w:eastAsia="宋体"/>
                <w:color w:val="auto"/>
              </w:rPr>
              <w:t>。环境管控单元名称</w:t>
            </w:r>
            <w:r>
              <w:rPr>
                <w:rFonts w:hint="default" w:eastAsia="宋体"/>
                <w:color w:val="auto"/>
                <w:lang w:val="en-US" w:eastAsia="zh-CN"/>
              </w:rPr>
              <w:t>蒙苏经济开发区</w:t>
            </w:r>
            <w:r>
              <w:rPr>
                <w:rFonts w:hint="default" w:eastAsia="宋体"/>
                <w:color w:val="auto"/>
              </w:rPr>
              <w:t>，环境管控单元编码</w:t>
            </w:r>
            <w:r>
              <w:rPr>
                <w:rFonts w:hint="default"/>
                <w:color w:val="auto"/>
                <w:highlight w:val="none"/>
                <w:lang w:val="en-US" w:eastAsia="zh-CN"/>
              </w:rPr>
              <w:t>ZH15062720001</w:t>
            </w:r>
            <w:r>
              <w:rPr>
                <w:rFonts w:hint="default" w:eastAsia="宋体"/>
                <w:color w:val="auto"/>
              </w:rPr>
              <w:t>，管控单元分类为重点管控单元，本项目与单元管控要求的符合性分析见下表1-</w:t>
            </w:r>
            <w:r>
              <w:rPr>
                <w:rFonts w:hint="default"/>
                <w:color w:val="auto"/>
              </w:rPr>
              <w:t>2</w:t>
            </w:r>
            <w:r>
              <w:rPr>
                <w:rFonts w:hint="default" w:eastAsia="宋体"/>
                <w:color w:val="auto"/>
              </w:rPr>
              <w:t>，本项目与鄂尔多斯市管控单元位置关系图见附图2。</w:t>
            </w:r>
          </w:p>
          <w:p w14:paraId="5891F41E">
            <w:pPr>
              <w:ind w:firstLine="482"/>
              <w:jc w:val="center"/>
              <w:rPr>
                <w:rFonts w:hint="default"/>
                <w:b/>
                <w:color w:val="auto"/>
              </w:rPr>
            </w:pPr>
            <w:r>
              <w:rPr>
                <w:rFonts w:hint="default" w:eastAsia="宋体"/>
                <w:b/>
                <w:color w:val="auto"/>
              </w:rPr>
              <w:t>表1-</w:t>
            </w:r>
            <w:r>
              <w:rPr>
                <w:rFonts w:hint="default"/>
                <w:b/>
                <w:color w:val="auto"/>
              </w:rPr>
              <w:t>2</w:t>
            </w:r>
            <w:r>
              <w:rPr>
                <w:rFonts w:hint="default" w:eastAsia="宋体"/>
                <w:b/>
                <w:color w:val="auto"/>
              </w:rPr>
              <w:t>本项目与单元管控要求的符合性分析表</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7"/>
              <w:gridCol w:w="2822"/>
              <w:gridCol w:w="2215"/>
              <w:gridCol w:w="734"/>
            </w:tblGrid>
            <w:tr w14:paraId="37759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509" w:type="dxa"/>
                  <w:gridSpan w:val="2"/>
                  <w:noWrap w:val="0"/>
                  <w:tcMar>
                    <w:left w:w="28" w:type="dxa"/>
                    <w:right w:w="28" w:type="dxa"/>
                  </w:tcMar>
                  <w:vAlign w:val="center"/>
                </w:tcPr>
                <w:p w14:paraId="41BAC7E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auto"/>
                      <w:highlight w:val="none"/>
                    </w:rPr>
                  </w:pPr>
                  <w:r>
                    <w:rPr>
                      <w:color w:val="auto"/>
                      <w:highlight w:val="none"/>
                    </w:rPr>
                    <w:t>管控要求</w:t>
                  </w:r>
                </w:p>
              </w:tc>
              <w:tc>
                <w:tcPr>
                  <w:tcW w:w="2215" w:type="dxa"/>
                  <w:noWrap w:val="0"/>
                  <w:tcMar>
                    <w:left w:w="28" w:type="dxa"/>
                    <w:right w:w="28" w:type="dxa"/>
                  </w:tcMar>
                  <w:vAlign w:val="center"/>
                </w:tcPr>
                <w:p w14:paraId="5F1EC68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auto"/>
                      <w:highlight w:val="none"/>
                    </w:rPr>
                  </w:pPr>
                  <w:r>
                    <w:rPr>
                      <w:color w:val="auto"/>
                      <w:highlight w:val="none"/>
                    </w:rPr>
                    <w:t>本项目</w:t>
                  </w:r>
                </w:p>
              </w:tc>
              <w:tc>
                <w:tcPr>
                  <w:tcW w:w="734" w:type="dxa"/>
                  <w:noWrap w:val="0"/>
                  <w:tcMar>
                    <w:left w:w="28" w:type="dxa"/>
                    <w:right w:w="28" w:type="dxa"/>
                  </w:tcMar>
                  <w:vAlign w:val="center"/>
                </w:tcPr>
                <w:p w14:paraId="3748C88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auto"/>
                      <w:highlight w:val="none"/>
                    </w:rPr>
                  </w:pPr>
                  <w:r>
                    <w:rPr>
                      <w:color w:val="auto"/>
                      <w:highlight w:val="none"/>
                    </w:rPr>
                    <w:t>符合性</w:t>
                  </w:r>
                </w:p>
              </w:tc>
            </w:tr>
            <w:tr w14:paraId="07D35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4" w:hRule="atLeast"/>
                <w:jc w:val="center"/>
              </w:trPr>
              <w:tc>
                <w:tcPr>
                  <w:tcW w:w="687" w:type="dxa"/>
                  <w:noWrap w:val="0"/>
                  <w:tcMar>
                    <w:left w:w="28" w:type="dxa"/>
                    <w:right w:w="28" w:type="dxa"/>
                  </w:tcMar>
                  <w:vAlign w:val="center"/>
                </w:tcPr>
                <w:p w14:paraId="1D6498C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auto"/>
                      <w:highlight w:val="none"/>
                    </w:rPr>
                  </w:pPr>
                  <w:r>
                    <w:rPr>
                      <w:color w:val="auto"/>
                      <w:highlight w:val="none"/>
                    </w:rPr>
                    <w:t>空间布局约束</w:t>
                  </w:r>
                </w:p>
              </w:tc>
              <w:tc>
                <w:tcPr>
                  <w:tcW w:w="2822" w:type="dxa"/>
                  <w:noWrap w:val="0"/>
                  <w:tcMar>
                    <w:left w:w="28" w:type="dxa"/>
                    <w:right w:w="28" w:type="dxa"/>
                  </w:tcMar>
                  <w:vAlign w:val="center"/>
                </w:tcPr>
                <w:p w14:paraId="17C26F7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auto"/>
                      <w:highlight w:val="none"/>
                    </w:rPr>
                  </w:pPr>
                  <w:r>
                    <w:rPr>
                      <w:color w:val="auto"/>
                      <w:highlight w:val="none"/>
                    </w:rPr>
                    <w:t>1.禁止不符合园区产业定位及规划环评等要求的项目入园；国家明令淘汰的落后产能和不符合国家产业政策的项目，禁止向工业园区转移。</w:t>
                  </w:r>
                </w:p>
                <w:p w14:paraId="7D039C2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auto"/>
                      <w:highlight w:val="none"/>
                    </w:rPr>
                  </w:pPr>
                  <w:r>
                    <w:rPr>
                      <w:color w:val="auto"/>
                      <w:highlight w:val="none"/>
                    </w:rPr>
                    <w:t>鄂尔多斯江苏工业园区：</w:t>
                  </w:r>
                </w:p>
                <w:p w14:paraId="40ED1AD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eastAsia="宋体"/>
                      <w:color w:val="auto"/>
                      <w:highlight w:val="none"/>
                      <w:lang w:eastAsia="zh-CN"/>
                    </w:rPr>
                  </w:pPr>
                  <w:r>
                    <w:rPr>
                      <w:color w:val="auto"/>
                      <w:highlight w:val="none"/>
                    </w:rPr>
                    <w:t>1.重点培育发展高端装备制造、高新技术和战略性新兴产业，禁止发展生物发酵类、印染类等高污染产业。</w:t>
                  </w:r>
                </w:p>
                <w:p w14:paraId="4C0CE08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auto"/>
                      <w:highlight w:val="none"/>
                    </w:rPr>
                  </w:pPr>
                  <w:r>
                    <w:rPr>
                      <w:color w:val="auto"/>
                      <w:highlight w:val="none"/>
                    </w:rPr>
                    <w:t>2.园区产业生产工艺达到国内先进水平（二级以上）。</w:t>
                  </w:r>
                </w:p>
                <w:p w14:paraId="5010A15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auto"/>
                      <w:highlight w:val="none"/>
                    </w:rPr>
                  </w:pPr>
                  <w:r>
                    <w:rPr>
                      <w:color w:val="auto"/>
                      <w:highlight w:val="none"/>
                    </w:rPr>
                    <w:t>3.居住用地周边严控布局潜在污染扰民和环境风险突出的建设项目。</w:t>
                  </w:r>
                </w:p>
              </w:tc>
              <w:tc>
                <w:tcPr>
                  <w:tcW w:w="2215" w:type="dxa"/>
                  <w:noWrap w:val="0"/>
                  <w:tcMar>
                    <w:left w:w="28" w:type="dxa"/>
                    <w:right w:w="28" w:type="dxa"/>
                  </w:tcMar>
                  <w:vAlign w:val="center"/>
                </w:tcPr>
                <w:p w14:paraId="0DCE047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auto"/>
                      <w:highlight w:val="none"/>
                    </w:rPr>
                  </w:pPr>
                  <w:r>
                    <w:rPr>
                      <w:color w:val="auto"/>
                      <w:highlight w:val="none"/>
                    </w:rPr>
                    <w:t>1</w:t>
                  </w:r>
                  <w:r>
                    <w:rPr>
                      <w:rFonts w:hint="eastAsia"/>
                      <w:color w:val="auto"/>
                      <w:highlight w:val="none"/>
                    </w:rPr>
                    <w:t>.</w:t>
                  </w:r>
                  <w:r>
                    <w:rPr>
                      <w:color w:val="auto"/>
                      <w:highlight w:val="none"/>
                    </w:rPr>
                    <w:t>本项目为</w:t>
                  </w:r>
                  <w:r>
                    <w:rPr>
                      <w:rFonts w:hint="eastAsia"/>
                      <w:color w:val="auto"/>
                      <w:highlight w:val="none"/>
                      <w:lang w:val="en-US" w:eastAsia="zh-CN"/>
                    </w:rPr>
                    <w:t>危险废物贮存</w:t>
                  </w:r>
                  <w:r>
                    <w:rPr>
                      <w:rFonts w:hint="eastAsia"/>
                      <w:color w:val="auto"/>
                      <w:highlight w:val="none"/>
                      <w:lang w:eastAsia="zh-CN"/>
                    </w:rPr>
                    <w:t>项目</w:t>
                  </w:r>
                  <w:r>
                    <w:rPr>
                      <w:color w:val="auto"/>
                      <w:highlight w:val="none"/>
                    </w:rPr>
                    <w:t>，</w:t>
                  </w:r>
                  <w:r>
                    <w:rPr>
                      <w:rFonts w:hint="eastAsia"/>
                      <w:color w:val="auto"/>
                      <w:highlight w:val="none"/>
                      <w:lang w:val="en-US" w:eastAsia="zh-CN"/>
                    </w:rPr>
                    <w:t>不属于国家明令淘汰落后产能和不符合国家产业政策的项目</w:t>
                  </w:r>
                  <w:r>
                    <w:rPr>
                      <w:color w:val="auto"/>
                      <w:highlight w:val="none"/>
                    </w:rPr>
                    <w:t>；</w:t>
                  </w:r>
                </w:p>
                <w:p w14:paraId="5E85782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auto"/>
                      <w:highlight w:val="none"/>
                    </w:rPr>
                  </w:pPr>
                  <w:r>
                    <w:rPr>
                      <w:color w:val="auto"/>
                      <w:highlight w:val="none"/>
                    </w:rPr>
                    <w:t>鄂尔多斯江苏工业园区：</w:t>
                  </w:r>
                </w:p>
                <w:p w14:paraId="6D8EFB8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auto"/>
                      <w:highlight w:val="none"/>
                    </w:rPr>
                  </w:pPr>
                  <w:r>
                    <w:rPr>
                      <w:color w:val="auto"/>
                      <w:highlight w:val="none"/>
                    </w:rPr>
                    <w:t>1</w:t>
                  </w:r>
                  <w:r>
                    <w:rPr>
                      <w:rFonts w:hint="eastAsia"/>
                      <w:color w:val="auto"/>
                      <w:highlight w:val="none"/>
                    </w:rPr>
                    <w:t>.</w:t>
                  </w:r>
                  <w:r>
                    <w:rPr>
                      <w:color w:val="auto"/>
                      <w:highlight w:val="none"/>
                    </w:rPr>
                    <w:t>本项目不涉及生物发酵类、印染类等高污染产业</w:t>
                  </w:r>
                  <w:r>
                    <w:rPr>
                      <w:rFonts w:hint="eastAsia"/>
                      <w:color w:val="auto"/>
                      <w:highlight w:val="none"/>
                    </w:rPr>
                    <w:t>；</w:t>
                  </w:r>
                </w:p>
                <w:p w14:paraId="77047A9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auto"/>
                      <w:highlight w:val="none"/>
                    </w:rPr>
                  </w:pPr>
                  <w:r>
                    <w:rPr>
                      <w:color w:val="auto"/>
                      <w:highlight w:val="none"/>
                    </w:rPr>
                    <w:t>2</w:t>
                  </w:r>
                  <w:r>
                    <w:rPr>
                      <w:rFonts w:hint="eastAsia"/>
                      <w:color w:val="auto"/>
                      <w:highlight w:val="none"/>
                    </w:rPr>
                    <w:t>.</w:t>
                  </w:r>
                  <w:r>
                    <w:rPr>
                      <w:color w:val="auto"/>
                      <w:highlight w:val="none"/>
                    </w:rPr>
                    <w:t>本项目生产工艺达到国内先进水平；</w:t>
                  </w:r>
                </w:p>
                <w:p w14:paraId="5EF2827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auto"/>
                      <w:highlight w:val="none"/>
                    </w:rPr>
                  </w:pPr>
                  <w:r>
                    <w:rPr>
                      <w:color w:val="auto"/>
                      <w:highlight w:val="none"/>
                    </w:rPr>
                    <w:t>3</w:t>
                  </w:r>
                  <w:r>
                    <w:rPr>
                      <w:rFonts w:hint="eastAsia"/>
                      <w:color w:val="auto"/>
                      <w:highlight w:val="none"/>
                    </w:rPr>
                    <w:t>.</w:t>
                  </w:r>
                  <w:r>
                    <w:rPr>
                      <w:color w:val="auto"/>
                      <w:highlight w:val="none"/>
                    </w:rPr>
                    <w:t>本项目500m范围内无环境敏感目标。</w:t>
                  </w:r>
                </w:p>
              </w:tc>
              <w:tc>
                <w:tcPr>
                  <w:tcW w:w="734" w:type="dxa"/>
                  <w:noWrap w:val="0"/>
                  <w:tcMar>
                    <w:left w:w="28" w:type="dxa"/>
                    <w:right w:w="28" w:type="dxa"/>
                  </w:tcMar>
                  <w:vAlign w:val="center"/>
                </w:tcPr>
                <w:p w14:paraId="0758A47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auto"/>
                      <w:highlight w:val="none"/>
                    </w:rPr>
                  </w:pPr>
                  <w:r>
                    <w:rPr>
                      <w:color w:val="auto"/>
                      <w:highlight w:val="none"/>
                    </w:rPr>
                    <w:t>符合</w:t>
                  </w:r>
                </w:p>
              </w:tc>
            </w:tr>
            <w:tr w14:paraId="08DD5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7" w:type="dxa"/>
                  <w:noWrap w:val="0"/>
                  <w:tcMar>
                    <w:left w:w="28" w:type="dxa"/>
                    <w:right w:w="28" w:type="dxa"/>
                  </w:tcMar>
                  <w:vAlign w:val="center"/>
                </w:tcPr>
                <w:p w14:paraId="13EC192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auto"/>
                      <w:highlight w:val="none"/>
                    </w:rPr>
                  </w:pPr>
                  <w:r>
                    <w:rPr>
                      <w:color w:val="auto"/>
                      <w:highlight w:val="none"/>
                    </w:rPr>
                    <w:t>污染物排放管控</w:t>
                  </w:r>
                </w:p>
              </w:tc>
              <w:tc>
                <w:tcPr>
                  <w:tcW w:w="2822" w:type="dxa"/>
                  <w:noWrap w:val="0"/>
                  <w:tcMar>
                    <w:left w:w="28" w:type="dxa"/>
                    <w:right w:w="28" w:type="dxa"/>
                  </w:tcMar>
                  <w:vAlign w:val="center"/>
                </w:tcPr>
                <w:p w14:paraId="60EC1BE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auto"/>
                      <w:highlight w:val="none"/>
                    </w:rPr>
                  </w:pPr>
                  <w:r>
                    <w:rPr>
                      <w:color w:val="auto"/>
                      <w:highlight w:val="none"/>
                    </w:rPr>
                    <w:t>1.按“清污分流”、“雨污分流”、“污污分流”原则，污水应收尽收，全部回用或作为景观用水不外排。</w:t>
                  </w:r>
                </w:p>
                <w:p w14:paraId="7538BB0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auto"/>
                      <w:highlight w:val="none"/>
                    </w:rPr>
                  </w:pPr>
                  <w:r>
                    <w:rPr>
                      <w:color w:val="auto"/>
                      <w:highlight w:val="none"/>
                    </w:rPr>
                    <w:t>2.</w:t>
                  </w:r>
                  <w:r>
                    <w:rPr>
                      <w:rFonts w:hint="eastAsia"/>
                      <w:color w:val="auto"/>
                      <w:highlight w:val="none"/>
                    </w:rPr>
                    <w:t>推进高含盐水“零排放”，稳定运行高盐水深度处理和分盐结晶设施，完善配套设施、优化工艺技术，确保高盐水全部结晶处理，严禁排入晾晒池。加快现有晾晒池取缔或转变功能，禁止新建晾晒池、蒸发塘</w:t>
                  </w:r>
                  <w:r>
                    <w:rPr>
                      <w:color w:val="auto"/>
                      <w:highlight w:val="none"/>
                    </w:rPr>
                    <w:t>。</w:t>
                  </w:r>
                </w:p>
                <w:p w14:paraId="278F65B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auto"/>
                      <w:highlight w:val="none"/>
                    </w:rPr>
                  </w:pPr>
                  <w:r>
                    <w:rPr>
                      <w:color w:val="auto"/>
                      <w:highlight w:val="none"/>
                    </w:rPr>
                    <w:t>3.涉VOCs项目应使用低（无）VOCs含量的原辅材料，安装废气收集、高效治理设施。</w:t>
                  </w:r>
                </w:p>
                <w:p w14:paraId="06D8138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auto"/>
                      <w:highlight w:val="none"/>
                    </w:rPr>
                  </w:pPr>
                  <w:r>
                    <w:rPr>
                      <w:color w:val="auto"/>
                      <w:highlight w:val="none"/>
                    </w:rPr>
                    <w:t>4.园区实施集中供热，禁止企业自建燃煤锅炉，燃煤发电机组执行大气污染物超低排放限值。</w:t>
                  </w:r>
                </w:p>
              </w:tc>
              <w:tc>
                <w:tcPr>
                  <w:tcW w:w="2215" w:type="dxa"/>
                  <w:noWrap w:val="0"/>
                  <w:tcMar>
                    <w:left w:w="28" w:type="dxa"/>
                    <w:right w:w="28" w:type="dxa"/>
                  </w:tcMar>
                  <w:vAlign w:val="center"/>
                </w:tcPr>
                <w:p w14:paraId="434BC0E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Times New Roman" w:hAnsi="Times New Roman" w:eastAsia="宋体" w:cs="Times New Roman"/>
                      <w:color w:val="auto"/>
                      <w:highlight w:val="none"/>
                    </w:rPr>
                  </w:pPr>
                  <w:r>
                    <w:rPr>
                      <w:rFonts w:ascii="Times New Roman" w:hAnsi="Times New Roman" w:eastAsia="宋体" w:cs="Times New Roman"/>
                      <w:color w:val="auto"/>
                      <w:highlight w:val="none"/>
                    </w:rPr>
                    <w:t>1</w:t>
                  </w:r>
                  <w:r>
                    <w:rPr>
                      <w:rFonts w:hint="eastAsia" w:ascii="Times New Roman" w:hAnsi="Times New Roman" w:eastAsia="宋体" w:cs="Times New Roman"/>
                      <w:color w:val="auto"/>
                      <w:highlight w:val="none"/>
                    </w:rPr>
                    <w:t>.</w:t>
                  </w:r>
                  <w:r>
                    <w:rPr>
                      <w:rFonts w:hint="eastAsia" w:ascii="Times New Roman" w:hAnsi="Times New Roman" w:eastAsia="宋体" w:cs="Times New Roman"/>
                      <w:color w:val="auto"/>
                      <w:highlight w:val="none"/>
                      <w:lang w:val="en-US" w:eastAsia="zh-CN"/>
                    </w:rPr>
                    <w:t>本项目无生产废水，无新增生活污水。</w:t>
                  </w:r>
                </w:p>
                <w:p w14:paraId="07EB117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auto"/>
                      <w:highlight w:val="none"/>
                    </w:rPr>
                  </w:pPr>
                  <w:r>
                    <w:rPr>
                      <w:color w:val="auto"/>
                      <w:highlight w:val="none"/>
                    </w:rPr>
                    <w:t>2</w:t>
                  </w:r>
                  <w:r>
                    <w:rPr>
                      <w:rFonts w:hint="eastAsia"/>
                      <w:color w:val="auto"/>
                      <w:highlight w:val="none"/>
                    </w:rPr>
                    <w:t>.</w:t>
                  </w:r>
                  <w:r>
                    <w:rPr>
                      <w:color w:val="auto"/>
                      <w:highlight w:val="none"/>
                    </w:rPr>
                    <w:t>本项目不涉及浓盐水。</w:t>
                  </w:r>
                </w:p>
                <w:p w14:paraId="6BEBE5AA">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rPr>
                    <w:t>3.</w:t>
                  </w:r>
                  <w:r>
                    <w:rPr>
                      <w:rFonts w:hint="eastAsia" w:ascii="Times New Roman" w:hAnsi="Times New Roman" w:eastAsia="宋体" w:cs="Times New Roman"/>
                      <w:color w:val="auto"/>
                      <w:highlight w:val="none"/>
                      <w:lang w:val="en-US" w:eastAsia="zh-CN"/>
                    </w:rPr>
                    <w:t>运营期产生的废气主要为贮存的危险废物挥发出的非甲烷总烃</w:t>
                  </w:r>
                  <w:r>
                    <w:rPr>
                      <w:rFonts w:hint="eastAsia" w:eastAsia="宋体" w:cs="Times New Roman"/>
                      <w:color w:val="auto"/>
                      <w:highlight w:val="none"/>
                      <w:lang w:val="en-US" w:eastAsia="zh-CN"/>
                    </w:rPr>
                    <w:t>及硫酸雾</w:t>
                  </w:r>
                  <w:r>
                    <w:rPr>
                      <w:rFonts w:hint="eastAsia" w:ascii="Times New Roman" w:hAnsi="Times New Roman" w:eastAsia="宋体" w:cs="Times New Roman"/>
                      <w:color w:val="auto"/>
                      <w:highlight w:val="none"/>
                      <w:lang w:val="en-US" w:eastAsia="zh-CN"/>
                    </w:rPr>
                    <w:t>，危险废物贮存、转运过程中均密封保存，及时转运，且项目区安装轴流风机，因此废气排放量较少，后本项目废气对周围环境影响较小。</w:t>
                  </w:r>
                </w:p>
                <w:p w14:paraId="50421B2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auto"/>
                      <w:highlight w:val="none"/>
                    </w:rPr>
                  </w:pPr>
                  <w:r>
                    <w:rPr>
                      <w:color w:val="auto"/>
                      <w:highlight w:val="none"/>
                    </w:rPr>
                    <w:t>4</w:t>
                  </w:r>
                  <w:r>
                    <w:rPr>
                      <w:rFonts w:hint="eastAsia"/>
                      <w:color w:val="auto"/>
                      <w:highlight w:val="none"/>
                    </w:rPr>
                    <w:t>.</w:t>
                  </w:r>
                  <w:r>
                    <w:rPr>
                      <w:color w:val="auto"/>
                      <w:highlight w:val="none"/>
                    </w:rPr>
                    <w:t>本项目</w:t>
                  </w:r>
                  <w:r>
                    <w:rPr>
                      <w:rFonts w:hint="eastAsia"/>
                      <w:color w:val="auto"/>
                      <w:highlight w:val="none"/>
                    </w:rPr>
                    <w:t>不涉及</w:t>
                  </w:r>
                  <w:r>
                    <w:rPr>
                      <w:color w:val="auto"/>
                      <w:highlight w:val="none"/>
                    </w:rPr>
                    <w:t>供热。</w:t>
                  </w:r>
                </w:p>
              </w:tc>
              <w:tc>
                <w:tcPr>
                  <w:tcW w:w="734" w:type="dxa"/>
                  <w:noWrap w:val="0"/>
                  <w:tcMar>
                    <w:left w:w="28" w:type="dxa"/>
                    <w:right w:w="28" w:type="dxa"/>
                  </w:tcMar>
                  <w:vAlign w:val="center"/>
                </w:tcPr>
                <w:p w14:paraId="07C53E07">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auto"/>
                      <w:highlight w:val="none"/>
                    </w:rPr>
                  </w:pPr>
                  <w:r>
                    <w:rPr>
                      <w:color w:val="auto"/>
                      <w:highlight w:val="none"/>
                    </w:rPr>
                    <w:t>符合</w:t>
                  </w:r>
                </w:p>
              </w:tc>
            </w:tr>
            <w:tr w14:paraId="76E59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7" w:type="dxa"/>
                  <w:noWrap w:val="0"/>
                  <w:tcMar>
                    <w:left w:w="28" w:type="dxa"/>
                    <w:right w:w="28" w:type="dxa"/>
                  </w:tcMar>
                  <w:vAlign w:val="center"/>
                </w:tcPr>
                <w:p w14:paraId="75A2361A">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eastAsia="宋体"/>
                      <w:color w:val="auto"/>
                      <w:highlight w:val="none"/>
                      <w:lang w:val="en-US" w:eastAsia="zh-CN"/>
                    </w:rPr>
                  </w:pPr>
                  <w:r>
                    <w:rPr>
                      <w:rFonts w:hint="eastAsia"/>
                      <w:color w:val="auto"/>
                      <w:highlight w:val="none"/>
                      <w:lang w:val="en-US" w:eastAsia="zh-CN"/>
                    </w:rPr>
                    <w:t>环境风险管控</w:t>
                  </w:r>
                </w:p>
              </w:tc>
              <w:tc>
                <w:tcPr>
                  <w:tcW w:w="2822" w:type="dxa"/>
                  <w:noWrap w:val="0"/>
                  <w:tcMar>
                    <w:left w:w="28" w:type="dxa"/>
                    <w:right w:w="28" w:type="dxa"/>
                  </w:tcMar>
                  <w:vAlign w:val="center"/>
                </w:tcPr>
                <w:p w14:paraId="18B6C5B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highlight w:val="none"/>
                      <w:lang w:eastAsia="zh-CN"/>
                    </w:rPr>
                  </w:pPr>
                  <w:r>
                    <w:rPr>
                      <w:rFonts w:hint="eastAsia"/>
                      <w:color w:val="auto"/>
                      <w:highlight w:val="none"/>
                    </w:rPr>
                    <w:t>1.完善区域环境风险防范机制，有效防范环境风险。建立和不断完善环境风险</w:t>
                  </w:r>
                  <w:r>
                    <w:rPr>
                      <w:rFonts w:hint="eastAsia"/>
                      <w:color w:val="auto"/>
                      <w:highlight w:val="none"/>
                      <w:lang w:eastAsia="zh-CN"/>
                    </w:rPr>
                    <w:t>防范</w:t>
                  </w:r>
                  <w:r>
                    <w:rPr>
                      <w:rFonts w:hint="eastAsia"/>
                      <w:color w:val="auto"/>
                      <w:highlight w:val="none"/>
                    </w:rPr>
                    <w:t>机制和应急体系，构建有效的区域环境风险联防联控机制，最大限度降低环境风险</w:t>
                  </w:r>
                  <w:r>
                    <w:rPr>
                      <w:rFonts w:hint="eastAsia"/>
                      <w:color w:val="auto"/>
                      <w:highlight w:val="none"/>
                      <w:lang w:eastAsia="zh-CN"/>
                    </w:rPr>
                    <w:t>。</w:t>
                  </w:r>
                </w:p>
                <w:p w14:paraId="3A37C48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auto"/>
                      <w:highlight w:val="none"/>
                    </w:rPr>
                  </w:pPr>
                  <w:r>
                    <w:rPr>
                      <w:rFonts w:hint="eastAsia"/>
                      <w:color w:val="auto"/>
                      <w:highlight w:val="none"/>
                    </w:rPr>
                    <w:t>2.园区煤化工企业推进高盐水晾晒池风险防控和监管，消除水环境风险隐患。加强高盐水晾晒池风险隐患排查，消除溃坝、溢流风险，确保晾晒池安全运行。</w:t>
                  </w:r>
                </w:p>
              </w:tc>
              <w:tc>
                <w:tcPr>
                  <w:tcW w:w="2215" w:type="dxa"/>
                  <w:noWrap w:val="0"/>
                  <w:tcMar>
                    <w:left w:w="28" w:type="dxa"/>
                    <w:right w:w="28" w:type="dxa"/>
                  </w:tcMar>
                  <w:vAlign w:val="center"/>
                </w:tcPr>
                <w:p w14:paraId="418CB00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highlight w:val="none"/>
                      <w:lang w:val="en-US" w:eastAsia="zh-CN"/>
                    </w:rPr>
                  </w:pPr>
                  <w:r>
                    <w:rPr>
                      <w:rFonts w:hint="eastAsia"/>
                      <w:color w:val="auto"/>
                      <w:highlight w:val="none"/>
                      <w:lang w:val="en-US" w:eastAsia="zh-CN"/>
                    </w:rPr>
                    <w:t>1.评价要求项目投入运营后，及时制定环境风险应急预案，并在当地环保部门备案，同时，定期开展应急演练。</w:t>
                  </w:r>
                </w:p>
                <w:p w14:paraId="7D64620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eastAsia="宋体"/>
                      <w:color w:val="auto"/>
                      <w:highlight w:val="none"/>
                      <w:lang w:val="en-US" w:eastAsia="zh-CN"/>
                    </w:rPr>
                  </w:pPr>
                  <w:r>
                    <w:rPr>
                      <w:rFonts w:hint="eastAsia"/>
                      <w:color w:val="auto"/>
                      <w:highlight w:val="none"/>
                      <w:lang w:val="en-US" w:eastAsia="zh-CN"/>
                    </w:rPr>
                    <w:t>2.本项目不涉及高盐水。</w:t>
                  </w:r>
                </w:p>
              </w:tc>
              <w:tc>
                <w:tcPr>
                  <w:tcW w:w="734" w:type="dxa"/>
                  <w:noWrap w:val="0"/>
                  <w:tcMar>
                    <w:left w:w="28" w:type="dxa"/>
                    <w:right w:w="28" w:type="dxa"/>
                  </w:tcMar>
                  <w:vAlign w:val="center"/>
                </w:tcPr>
                <w:p w14:paraId="3B1A01F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auto"/>
                      <w:highlight w:val="none"/>
                    </w:rPr>
                  </w:pPr>
                  <w:r>
                    <w:rPr>
                      <w:color w:val="auto"/>
                      <w:highlight w:val="none"/>
                    </w:rPr>
                    <w:t>符合</w:t>
                  </w:r>
                </w:p>
              </w:tc>
            </w:tr>
            <w:tr w14:paraId="57248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4" w:hRule="atLeast"/>
                <w:jc w:val="center"/>
              </w:trPr>
              <w:tc>
                <w:tcPr>
                  <w:tcW w:w="687" w:type="dxa"/>
                  <w:noWrap w:val="0"/>
                  <w:tcMar>
                    <w:left w:w="28" w:type="dxa"/>
                    <w:right w:w="28" w:type="dxa"/>
                  </w:tcMar>
                  <w:vAlign w:val="center"/>
                </w:tcPr>
                <w:p w14:paraId="7D156AA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auto"/>
                      <w:highlight w:val="none"/>
                    </w:rPr>
                  </w:pPr>
                  <w:r>
                    <w:rPr>
                      <w:color w:val="auto"/>
                      <w:highlight w:val="none"/>
                    </w:rPr>
                    <w:t>资源利用效率要求</w:t>
                  </w:r>
                </w:p>
              </w:tc>
              <w:tc>
                <w:tcPr>
                  <w:tcW w:w="2822" w:type="dxa"/>
                  <w:noWrap w:val="0"/>
                  <w:tcMar>
                    <w:left w:w="28" w:type="dxa"/>
                    <w:right w:w="28" w:type="dxa"/>
                  </w:tcMar>
                  <w:vAlign w:val="center"/>
                </w:tcPr>
                <w:p w14:paraId="1014014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auto"/>
                      <w:highlight w:val="none"/>
                    </w:rPr>
                  </w:pPr>
                  <w:r>
                    <w:rPr>
                      <w:color w:val="auto"/>
                      <w:highlight w:val="none"/>
                    </w:rPr>
                    <w:t>1.严格“以水定产业、以水定规模”，做好节水工作，按分质供水原则，合理进行水资源分配，优先使用疏干水、污水处理厂中水。</w:t>
                  </w:r>
                </w:p>
                <w:p w14:paraId="5647BAB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auto"/>
                      <w:highlight w:val="none"/>
                    </w:rPr>
                  </w:pPr>
                  <w:r>
                    <w:rPr>
                      <w:color w:val="auto"/>
                      <w:highlight w:val="none"/>
                    </w:rPr>
                    <w:t>2.严控地下水超采。新建、改建、扩建的高耗水工业项目，禁止擅自使用地下水。食品、制药等项目取用地下水，须经有管理权限的水行政主管部门批准。</w:t>
                  </w:r>
                </w:p>
                <w:p w14:paraId="0B209B7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auto"/>
                      <w:highlight w:val="none"/>
                    </w:rPr>
                  </w:pPr>
                  <w:r>
                    <w:rPr>
                      <w:color w:val="auto"/>
                      <w:highlight w:val="none"/>
                    </w:rPr>
                    <w:t>3.</w:t>
                  </w:r>
                  <w:r>
                    <w:rPr>
                      <w:rFonts w:hint="eastAsia"/>
                      <w:color w:val="auto"/>
                      <w:highlight w:val="none"/>
                    </w:rPr>
                    <w:t>实施园区可再</w:t>
                  </w:r>
                  <w:r>
                    <w:rPr>
                      <w:rFonts w:hint="eastAsia"/>
                      <w:color w:val="auto"/>
                      <w:highlight w:val="none"/>
                      <w:lang w:val="en-US" w:eastAsia="zh-CN"/>
                    </w:rPr>
                    <w:t>生</w:t>
                  </w:r>
                  <w:r>
                    <w:rPr>
                      <w:rFonts w:hint="eastAsia"/>
                      <w:color w:val="auto"/>
                      <w:highlight w:val="none"/>
                    </w:rPr>
                    <w:t>能源替代行动，推动园区企业采用新能源供能方式进行电能替代，打造低碳、零碳示范园区。</w:t>
                  </w:r>
                </w:p>
              </w:tc>
              <w:tc>
                <w:tcPr>
                  <w:tcW w:w="2215" w:type="dxa"/>
                  <w:noWrap w:val="0"/>
                  <w:tcMar>
                    <w:left w:w="28" w:type="dxa"/>
                    <w:right w:w="28" w:type="dxa"/>
                  </w:tcMar>
                  <w:vAlign w:val="center"/>
                </w:tcPr>
                <w:p w14:paraId="4ED0AFA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highlight w:val="none"/>
                      <w:lang w:val="en-US" w:eastAsia="zh-CN"/>
                    </w:rPr>
                  </w:pPr>
                  <w:r>
                    <w:rPr>
                      <w:rFonts w:ascii="Times New Roman" w:hAnsi="Times New Roman" w:eastAsia="宋体" w:cs="Times New Roman"/>
                      <w:color w:val="auto"/>
                      <w:highlight w:val="none"/>
                    </w:rPr>
                    <w:t>1</w:t>
                  </w:r>
                  <w:r>
                    <w:rPr>
                      <w:rFonts w:hint="eastAsia" w:ascii="Times New Roman" w:hAnsi="Times New Roman" w:eastAsia="宋体" w:cs="Times New Roman"/>
                      <w:color w:val="auto"/>
                      <w:highlight w:val="none"/>
                    </w:rPr>
                    <w:t>.</w:t>
                  </w:r>
                  <w:r>
                    <w:rPr>
                      <w:rFonts w:hint="eastAsia" w:ascii="Times New Roman" w:hAnsi="Times New Roman" w:eastAsia="宋体" w:cs="Times New Roman"/>
                      <w:color w:val="auto"/>
                      <w:highlight w:val="none"/>
                      <w:lang w:val="en-US" w:eastAsia="zh-CN"/>
                    </w:rPr>
                    <w:t>本项目无生产废水，无新增生活污水。</w:t>
                  </w:r>
                </w:p>
                <w:p w14:paraId="3280555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auto"/>
                      <w:highlight w:val="none"/>
                    </w:rPr>
                  </w:pPr>
                  <w:r>
                    <w:rPr>
                      <w:color w:val="auto"/>
                      <w:highlight w:val="none"/>
                    </w:rPr>
                    <w:t>2</w:t>
                  </w:r>
                  <w:r>
                    <w:rPr>
                      <w:rFonts w:hint="eastAsia"/>
                      <w:color w:val="auto"/>
                      <w:highlight w:val="none"/>
                    </w:rPr>
                    <w:t>.</w:t>
                  </w:r>
                  <w:r>
                    <w:rPr>
                      <w:color w:val="auto"/>
                      <w:highlight w:val="none"/>
                    </w:rPr>
                    <w:t>本项目不属于高耗水行业，不涉及使用地下水。</w:t>
                  </w:r>
                </w:p>
                <w:p w14:paraId="34B9A19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auto"/>
                      <w:highlight w:val="none"/>
                    </w:rPr>
                  </w:pPr>
                  <w:r>
                    <w:rPr>
                      <w:rFonts w:hint="eastAsia"/>
                      <w:color w:val="auto"/>
                      <w:highlight w:val="none"/>
                    </w:rPr>
                    <w:t>3.本项目耗电量较少。</w:t>
                  </w:r>
                </w:p>
              </w:tc>
              <w:tc>
                <w:tcPr>
                  <w:tcW w:w="734" w:type="dxa"/>
                  <w:noWrap w:val="0"/>
                  <w:tcMar>
                    <w:left w:w="28" w:type="dxa"/>
                    <w:right w:w="28" w:type="dxa"/>
                  </w:tcMar>
                  <w:vAlign w:val="center"/>
                </w:tcPr>
                <w:p w14:paraId="386D25F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auto"/>
                      <w:highlight w:val="none"/>
                    </w:rPr>
                  </w:pPr>
                  <w:r>
                    <w:rPr>
                      <w:color w:val="auto"/>
                      <w:highlight w:val="none"/>
                    </w:rPr>
                    <w:t>符合</w:t>
                  </w:r>
                </w:p>
              </w:tc>
            </w:tr>
          </w:tbl>
          <w:p w14:paraId="5F4C442C">
            <w:pPr>
              <w:ind w:firstLine="480"/>
              <w:rPr>
                <w:rFonts w:hint="default"/>
                <w:color w:val="auto"/>
              </w:rPr>
            </w:pPr>
            <w:r>
              <w:rPr>
                <w:rFonts w:hint="default" w:eastAsia="宋体"/>
                <w:color w:val="auto"/>
              </w:rPr>
              <w:t>综合以上分析，本项目建设符合“三线一单”要求。</w:t>
            </w:r>
          </w:p>
          <w:p w14:paraId="1EC152CC">
            <w:pPr>
              <w:ind w:firstLine="0" w:firstLineChars="0"/>
              <w:jc w:val="center"/>
              <w:rPr>
                <w:rFonts w:hint="default"/>
                <w:b/>
                <w:color w:val="auto"/>
              </w:rPr>
            </w:pPr>
            <w:r>
              <w:rPr>
                <w:color w:val="auto"/>
                <w:highlight w:val="none"/>
              </w:rPr>
              <w:drawing>
                <wp:inline distT="0" distB="0" distL="114300" distR="114300">
                  <wp:extent cx="4133215" cy="2750185"/>
                  <wp:effectExtent l="0" t="0" r="635" b="12065"/>
                  <wp:docPr id="19"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82"/>
                          <pic:cNvPicPr>
                            <a:picLocks noChangeAspect="1"/>
                          </pic:cNvPicPr>
                        </pic:nvPicPr>
                        <pic:blipFill>
                          <a:blip r:embed="rId12"/>
                          <a:stretch>
                            <a:fillRect/>
                          </a:stretch>
                        </pic:blipFill>
                        <pic:spPr>
                          <a:xfrm>
                            <a:off x="0" y="0"/>
                            <a:ext cx="4133215" cy="2750185"/>
                          </a:xfrm>
                          <a:prstGeom prst="rect">
                            <a:avLst/>
                          </a:prstGeom>
                          <a:noFill/>
                          <a:ln>
                            <a:noFill/>
                          </a:ln>
                        </pic:spPr>
                      </pic:pic>
                    </a:graphicData>
                  </a:graphic>
                </wp:inline>
              </w:drawing>
            </w:r>
            <w:r>
              <w:rPr>
                <w:rFonts w:hint="default" w:eastAsia="宋体"/>
                <w:b/>
                <w:color w:val="auto"/>
              </w:rPr>
              <w:t>图1-1“三线一单”管控要求查询结果</w:t>
            </w:r>
          </w:p>
          <w:p w14:paraId="24A8E362">
            <w:pPr>
              <w:ind w:firstLine="482"/>
              <w:rPr>
                <w:rFonts w:hint="default"/>
                <w:color w:val="auto"/>
              </w:rPr>
            </w:pPr>
            <w:r>
              <w:rPr>
                <w:rFonts w:hint="default" w:eastAsia="宋体"/>
                <w:b/>
                <w:color w:val="auto"/>
              </w:rPr>
              <w:t>三、选址合理性分析</w:t>
            </w:r>
          </w:p>
          <w:p w14:paraId="055E6EE5">
            <w:pPr>
              <w:ind w:firstLine="480"/>
              <w:rPr>
                <w:rFonts w:hint="default" w:eastAsia="宋体"/>
                <w:color w:val="auto"/>
              </w:rPr>
            </w:pPr>
            <w:r>
              <w:rPr>
                <w:rFonts w:hint="default" w:eastAsia="宋体"/>
                <w:color w:val="auto"/>
              </w:rPr>
              <w:t>根据上表分析，本项目位于</w:t>
            </w:r>
            <w:r>
              <w:rPr>
                <w:rFonts w:hint="eastAsia" w:eastAsia="宋体"/>
                <w:color w:val="auto"/>
                <w:lang w:eastAsia="zh-CN"/>
              </w:rPr>
              <w:t>内蒙古鄂尔多斯市伊金霍洛旗阿镇现代装备制造基地，在中煤张家口煤矿机械有限责任公司鄂尔多斯分公司现有工业场地内建设</w:t>
            </w:r>
            <w:r>
              <w:rPr>
                <w:rFonts w:hint="default" w:eastAsia="宋体"/>
                <w:color w:val="auto"/>
              </w:rPr>
              <w:t>。无新增占地，项目周边500m范围内无自然保护区、风景名胜区、水源地保护区环境保护目标，</w:t>
            </w:r>
            <w:r>
              <w:rPr>
                <w:rFonts w:hint="eastAsia" w:eastAsia="宋体"/>
                <w:color w:val="auto"/>
                <w:lang w:val="en-US" w:eastAsia="zh-CN"/>
              </w:rPr>
              <w:t>根据核查文件，本项目不涉及文物保护区，详见附件4，</w:t>
            </w:r>
            <w:r>
              <w:rPr>
                <w:rFonts w:hint="default" w:eastAsia="宋体"/>
                <w:color w:val="auto"/>
              </w:rPr>
              <w:t>本项目选址合理性分析见下表。</w:t>
            </w:r>
          </w:p>
          <w:p w14:paraId="040D539B">
            <w:pPr>
              <w:ind w:firstLine="482"/>
              <w:jc w:val="center"/>
              <w:rPr>
                <w:rFonts w:hint="default"/>
                <w:b/>
                <w:bCs/>
                <w:color w:val="auto"/>
                <w:lang w:val="zh-CN"/>
              </w:rPr>
            </w:pPr>
            <w:r>
              <w:rPr>
                <w:rFonts w:hint="default"/>
                <w:b/>
                <w:bCs/>
                <w:color w:val="auto"/>
                <w:lang w:val="zh-CN"/>
              </w:rPr>
              <w:t>表</w:t>
            </w:r>
            <w:r>
              <w:rPr>
                <w:rFonts w:hint="default"/>
                <w:b/>
                <w:bCs/>
                <w:color w:val="auto"/>
              </w:rPr>
              <w:t>1-3</w:t>
            </w:r>
            <w:r>
              <w:rPr>
                <w:rFonts w:hint="eastAsia" w:eastAsia="宋体"/>
                <w:b/>
                <w:bCs/>
                <w:color w:val="auto"/>
                <w:lang w:eastAsia="zh-CN"/>
              </w:rPr>
              <w:t>《</w:t>
            </w:r>
            <w:r>
              <w:rPr>
                <w:rFonts w:hint="eastAsia" w:eastAsia="宋体"/>
                <w:b/>
                <w:bCs/>
                <w:color w:val="auto"/>
                <w:lang w:val="en-US" w:eastAsia="zh-CN"/>
              </w:rPr>
              <w:t>危险废物贮存污染控制标准</w:t>
            </w:r>
            <w:r>
              <w:rPr>
                <w:rFonts w:hint="eastAsia" w:eastAsia="宋体"/>
                <w:b/>
                <w:bCs/>
                <w:color w:val="auto"/>
                <w:lang w:eastAsia="zh-CN"/>
              </w:rPr>
              <w:t>》</w:t>
            </w:r>
            <w:r>
              <w:rPr>
                <w:rFonts w:hint="eastAsia" w:eastAsia="宋体"/>
                <w:b/>
                <w:bCs/>
                <w:color w:val="auto"/>
                <w:lang w:val="en-US" w:eastAsia="zh-CN"/>
              </w:rPr>
              <w:t>贮存设施选址要求</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30"/>
              <w:gridCol w:w="3013"/>
              <w:gridCol w:w="978"/>
            </w:tblGrid>
            <w:tr w14:paraId="39B0E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0" w:type="dxa"/>
                  <w:vAlign w:val="center"/>
                </w:tcPr>
                <w:p w14:paraId="3A544D3C">
                  <w:pPr>
                    <w:spacing w:line="240" w:lineRule="auto"/>
                    <w:ind w:firstLine="0" w:firstLineChars="0"/>
                    <w:rPr>
                      <w:rFonts w:hint="default"/>
                      <w:color w:val="auto"/>
                      <w:sz w:val="21"/>
                      <w:szCs w:val="21"/>
                    </w:rPr>
                  </w:pPr>
                  <w:r>
                    <w:rPr>
                      <w:rFonts w:hint="default"/>
                      <w:color w:val="auto"/>
                      <w:sz w:val="21"/>
                      <w:szCs w:val="21"/>
                    </w:rPr>
                    <w:t>条件</w:t>
                  </w:r>
                </w:p>
              </w:tc>
              <w:tc>
                <w:tcPr>
                  <w:tcW w:w="3013" w:type="dxa"/>
                  <w:vAlign w:val="center"/>
                </w:tcPr>
                <w:p w14:paraId="3750A3F8">
                  <w:pPr>
                    <w:spacing w:line="240" w:lineRule="auto"/>
                    <w:ind w:firstLine="0" w:firstLineChars="0"/>
                    <w:rPr>
                      <w:rFonts w:hint="default"/>
                      <w:color w:val="auto"/>
                      <w:sz w:val="21"/>
                      <w:szCs w:val="21"/>
                    </w:rPr>
                  </w:pPr>
                  <w:r>
                    <w:rPr>
                      <w:rFonts w:hint="default"/>
                      <w:color w:val="auto"/>
                      <w:sz w:val="21"/>
                      <w:szCs w:val="21"/>
                    </w:rPr>
                    <w:t>厂址情况</w:t>
                  </w:r>
                </w:p>
              </w:tc>
              <w:tc>
                <w:tcPr>
                  <w:tcW w:w="978" w:type="dxa"/>
                  <w:vAlign w:val="center"/>
                </w:tcPr>
                <w:p w14:paraId="07A2C2B6">
                  <w:pPr>
                    <w:spacing w:line="240" w:lineRule="auto"/>
                    <w:ind w:firstLine="0" w:firstLineChars="0"/>
                    <w:rPr>
                      <w:rFonts w:hint="default"/>
                      <w:color w:val="auto"/>
                      <w:sz w:val="21"/>
                      <w:szCs w:val="21"/>
                    </w:rPr>
                  </w:pPr>
                  <w:r>
                    <w:rPr>
                      <w:rFonts w:hint="default"/>
                      <w:color w:val="auto"/>
                      <w:sz w:val="21"/>
                      <w:szCs w:val="21"/>
                    </w:rPr>
                    <w:t>结论</w:t>
                  </w:r>
                </w:p>
              </w:tc>
            </w:tr>
            <w:tr w14:paraId="1A645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0" w:type="dxa"/>
                  <w:vAlign w:val="center"/>
                </w:tcPr>
                <w:p w14:paraId="7AECB116">
                  <w:pPr>
                    <w:spacing w:line="240" w:lineRule="auto"/>
                    <w:ind w:firstLine="0" w:firstLineChars="0"/>
                    <w:rPr>
                      <w:rFonts w:hint="default"/>
                      <w:color w:val="auto"/>
                      <w:sz w:val="21"/>
                      <w:szCs w:val="21"/>
                      <w:lang w:val="zh-CN"/>
                    </w:rPr>
                  </w:pPr>
                  <w:r>
                    <w:rPr>
                      <w:rFonts w:hint="default"/>
                      <w:color w:val="auto"/>
                      <w:sz w:val="21"/>
                      <w:szCs w:val="21"/>
                    </w:rPr>
                    <w:t>贮存设施选址应满足生态环境保护法律法规、规划和“三线一单”生态环境分区管控的要求，建设项目应依法进行环境影响评价。</w:t>
                  </w:r>
                </w:p>
              </w:tc>
              <w:tc>
                <w:tcPr>
                  <w:tcW w:w="3013" w:type="dxa"/>
                  <w:vAlign w:val="center"/>
                </w:tcPr>
                <w:p w14:paraId="65650E4A">
                  <w:pPr>
                    <w:spacing w:line="240" w:lineRule="auto"/>
                    <w:ind w:firstLine="0" w:firstLineChars="0"/>
                    <w:rPr>
                      <w:rFonts w:hint="default"/>
                      <w:color w:val="auto"/>
                      <w:sz w:val="21"/>
                      <w:szCs w:val="21"/>
                    </w:rPr>
                  </w:pPr>
                  <w:r>
                    <w:rPr>
                      <w:rFonts w:hint="default"/>
                      <w:color w:val="auto"/>
                      <w:sz w:val="21"/>
                      <w:szCs w:val="21"/>
                    </w:rPr>
                    <w:t>建设地点位于鄂尔多斯市</w:t>
                  </w:r>
                  <w:r>
                    <w:rPr>
                      <w:rFonts w:hint="eastAsia" w:eastAsia="宋体"/>
                      <w:color w:val="auto"/>
                      <w:sz w:val="21"/>
                      <w:szCs w:val="21"/>
                      <w:lang w:eastAsia="zh-CN"/>
                    </w:rPr>
                    <w:t>伊金霍洛旗</w:t>
                  </w:r>
                  <w:r>
                    <w:rPr>
                      <w:rFonts w:hint="default"/>
                      <w:color w:val="auto"/>
                      <w:sz w:val="21"/>
                      <w:szCs w:val="21"/>
                    </w:rPr>
                    <w:t>生态环境准入清单中的</w:t>
                  </w:r>
                  <w:r>
                    <w:rPr>
                      <w:rFonts w:hint="default"/>
                      <w:color w:val="auto"/>
                      <w:sz w:val="21"/>
                      <w:szCs w:val="21"/>
                      <w:lang w:val="en-US" w:eastAsia="zh-CN"/>
                    </w:rPr>
                    <w:t>蒙苏经济开</w:t>
                  </w:r>
                  <w:r>
                    <w:rPr>
                      <w:rFonts w:hint="eastAsia"/>
                      <w:color w:val="auto"/>
                      <w:sz w:val="21"/>
                      <w:szCs w:val="21"/>
                      <w:lang w:val="en-US" w:eastAsia="zh-CN"/>
                    </w:rPr>
                    <w:t>发区</w:t>
                  </w:r>
                  <w:r>
                    <w:rPr>
                      <w:rFonts w:hint="default"/>
                      <w:color w:val="auto"/>
                      <w:sz w:val="21"/>
                      <w:szCs w:val="21"/>
                    </w:rPr>
                    <w:t>，环境管控单元编码</w:t>
                  </w:r>
                  <w:r>
                    <w:rPr>
                      <w:rFonts w:hint="default"/>
                      <w:color w:val="auto"/>
                      <w:sz w:val="21"/>
                      <w:szCs w:val="21"/>
                      <w:lang w:val="en-US" w:eastAsia="zh-CN"/>
                    </w:rPr>
                    <w:t>ZH15062720001</w:t>
                  </w:r>
                  <w:r>
                    <w:rPr>
                      <w:rFonts w:hint="default"/>
                      <w:color w:val="auto"/>
                      <w:sz w:val="21"/>
                      <w:szCs w:val="21"/>
                    </w:rPr>
                    <w:t>，根据清单中重点管控单元的管控要求，本项目满足空间布局约束、污染物排放管控和资源利用效率要求的具体规定，建设单位已委托环评机构依法进行环境影响评价。</w:t>
                  </w:r>
                </w:p>
              </w:tc>
              <w:tc>
                <w:tcPr>
                  <w:tcW w:w="978" w:type="dxa"/>
                  <w:vAlign w:val="center"/>
                </w:tcPr>
                <w:p w14:paraId="3A34A747">
                  <w:pPr>
                    <w:spacing w:line="240" w:lineRule="auto"/>
                    <w:ind w:firstLine="0" w:firstLineChars="0"/>
                    <w:rPr>
                      <w:rFonts w:hint="default"/>
                      <w:color w:val="auto"/>
                      <w:sz w:val="21"/>
                      <w:szCs w:val="21"/>
                    </w:rPr>
                  </w:pPr>
                  <w:r>
                    <w:rPr>
                      <w:rFonts w:hint="default"/>
                      <w:color w:val="auto"/>
                      <w:sz w:val="21"/>
                      <w:szCs w:val="21"/>
                    </w:rPr>
                    <w:t>符合</w:t>
                  </w:r>
                </w:p>
              </w:tc>
            </w:tr>
            <w:tr w14:paraId="408EA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0" w:type="dxa"/>
                  <w:vAlign w:val="center"/>
                </w:tcPr>
                <w:p w14:paraId="036C97C7">
                  <w:pPr>
                    <w:spacing w:line="240" w:lineRule="auto"/>
                    <w:ind w:firstLine="0" w:firstLineChars="0"/>
                    <w:rPr>
                      <w:rFonts w:hint="default" w:eastAsia="宋体"/>
                      <w:color w:val="auto"/>
                      <w:sz w:val="21"/>
                      <w:szCs w:val="21"/>
                      <w:lang w:val="zh-CN"/>
                    </w:rPr>
                  </w:pPr>
                  <w:r>
                    <w:rPr>
                      <w:rFonts w:hint="default"/>
                      <w:color w:val="auto"/>
                      <w:sz w:val="21"/>
                      <w:szCs w:val="21"/>
                    </w:rPr>
                    <w:t>集中贮存设施不应选在生态保护红线区域、永久基本农田和其他需要特别保护的区域内，不应建在溶洞区或易遭受洪水、滑坡、泥石流、潮汐等严重自然灾害影响的地区。</w:t>
                  </w:r>
                </w:p>
              </w:tc>
              <w:tc>
                <w:tcPr>
                  <w:tcW w:w="3013" w:type="dxa"/>
                  <w:vAlign w:val="center"/>
                </w:tcPr>
                <w:p w14:paraId="571D0F12">
                  <w:pPr>
                    <w:spacing w:line="240" w:lineRule="auto"/>
                    <w:ind w:firstLine="0" w:firstLineChars="0"/>
                    <w:rPr>
                      <w:rFonts w:hint="default" w:eastAsia="宋体"/>
                      <w:color w:val="auto"/>
                      <w:sz w:val="21"/>
                      <w:szCs w:val="21"/>
                      <w:lang w:val="zh-CN"/>
                    </w:rPr>
                  </w:pPr>
                  <w:r>
                    <w:rPr>
                      <w:rFonts w:hint="default"/>
                      <w:color w:val="auto"/>
                      <w:sz w:val="21"/>
                      <w:szCs w:val="21"/>
                      <w:lang w:val="zh-CN"/>
                    </w:rPr>
                    <w:t>本</w:t>
                  </w:r>
                  <w:r>
                    <w:rPr>
                      <w:rFonts w:hint="default"/>
                      <w:color w:val="auto"/>
                      <w:sz w:val="21"/>
                      <w:szCs w:val="21"/>
                    </w:rPr>
                    <w:t>次扩建</w:t>
                  </w:r>
                  <w:r>
                    <w:rPr>
                      <w:rFonts w:hint="default"/>
                      <w:color w:val="auto"/>
                      <w:sz w:val="21"/>
                      <w:szCs w:val="21"/>
                      <w:lang w:val="zh-CN"/>
                    </w:rPr>
                    <w:t>项目</w:t>
                  </w:r>
                  <w:r>
                    <w:rPr>
                      <w:rFonts w:hint="default"/>
                      <w:color w:val="auto"/>
                      <w:sz w:val="21"/>
                      <w:szCs w:val="21"/>
                    </w:rPr>
                    <w:t>不新增占地，不在生态保护红线区域、永久基本农田和其他需要特别保护的区域内，选址区域不属于溶洞区或易遭受洪水、滑坡、泥石流、潮汐等严重自然灾害影响的地区。</w:t>
                  </w:r>
                </w:p>
              </w:tc>
              <w:tc>
                <w:tcPr>
                  <w:tcW w:w="978" w:type="dxa"/>
                  <w:vAlign w:val="center"/>
                </w:tcPr>
                <w:p w14:paraId="4F9542CD">
                  <w:pPr>
                    <w:spacing w:line="240" w:lineRule="auto"/>
                    <w:ind w:firstLine="0" w:firstLineChars="0"/>
                    <w:rPr>
                      <w:rFonts w:hint="default"/>
                      <w:color w:val="auto"/>
                      <w:sz w:val="21"/>
                      <w:szCs w:val="21"/>
                      <w:lang w:val="zh-CN"/>
                    </w:rPr>
                  </w:pPr>
                  <w:r>
                    <w:rPr>
                      <w:rFonts w:hint="default"/>
                      <w:color w:val="auto"/>
                      <w:sz w:val="21"/>
                      <w:szCs w:val="21"/>
                    </w:rPr>
                    <w:t>符合</w:t>
                  </w:r>
                </w:p>
              </w:tc>
            </w:tr>
            <w:tr w14:paraId="52D3A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2" w:hRule="atLeast"/>
                <w:jc w:val="center"/>
              </w:trPr>
              <w:tc>
                <w:tcPr>
                  <w:tcW w:w="2430" w:type="dxa"/>
                  <w:vAlign w:val="center"/>
                </w:tcPr>
                <w:p w14:paraId="506CD234">
                  <w:pPr>
                    <w:spacing w:line="240" w:lineRule="auto"/>
                    <w:ind w:firstLine="0" w:firstLineChars="0"/>
                    <w:rPr>
                      <w:rFonts w:hint="default" w:eastAsia="宋体"/>
                      <w:color w:val="auto"/>
                      <w:sz w:val="21"/>
                      <w:szCs w:val="21"/>
                      <w:lang w:val="zh-CN"/>
                    </w:rPr>
                  </w:pPr>
                  <w:r>
                    <w:rPr>
                      <w:rFonts w:hint="default"/>
                      <w:color w:val="auto"/>
                      <w:sz w:val="21"/>
                      <w:szCs w:val="21"/>
                    </w:rPr>
                    <w:t>贮存设施不应选在江河、湖泊、运河、渠道、水库及其最高水位线以下的滩地和岸坡，以及法律法规规定禁止贮存危险废物的其他地点。</w:t>
                  </w:r>
                </w:p>
              </w:tc>
              <w:tc>
                <w:tcPr>
                  <w:tcW w:w="3013" w:type="dxa"/>
                  <w:vAlign w:val="center"/>
                </w:tcPr>
                <w:p w14:paraId="2325AC0C">
                  <w:pPr>
                    <w:spacing w:line="240" w:lineRule="auto"/>
                    <w:ind w:firstLine="0" w:firstLineChars="0"/>
                    <w:rPr>
                      <w:rFonts w:hint="default"/>
                      <w:color w:val="auto"/>
                      <w:sz w:val="21"/>
                      <w:szCs w:val="21"/>
                      <w:lang w:val="zh-CN"/>
                    </w:rPr>
                  </w:pPr>
                  <w:r>
                    <w:rPr>
                      <w:rFonts w:hint="default"/>
                      <w:color w:val="auto"/>
                      <w:sz w:val="21"/>
                      <w:szCs w:val="21"/>
                      <w:lang w:val="zh-CN"/>
                    </w:rPr>
                    <w:t>本项目五公里范围内不涉及</w:t>
                  </w:r>
                  <w:r>
                    <w:rPr>
                      <w:rFonts w:hint="default"/>
                      <w:color w:val="auto"/>
                      <w:sz w:val="21"/>
                      <w:szCs w:val="21"/>
                    </w:rPr>
                    <w:t>江河、湖泊、运河、渠道、水库等，选址不在法律法规规定禁止贮存危险废物的其他地点。</w:t>
                  </w:r>
                </w:p>
              </w:tc>
              <w:tc>
                <w:tcPr>
                  <w:tcW w:w="978" w:type="dxa"/>
                  <w:vAlign w:val="center"/>
                </w:tcPr>
                <w:p w14:paraId="73BB45F5">
                  <w:pPr>
                    <w:spacing w:line="240" w:lineRule="auto"/>
                    <w:ind w:firstLine="0" w:firstLineChars="0"/>
                    <w:rPr>
                      <w:rFonts w:hint="default"/>
                      <w:color w:val="auto"/>
                      <w:sz w:val="21"/>
                      <w:szCs w:val="21"/>
                      <w:lang w:val="zh-CN"/>
                    </w:rPr>
                  </w:pPr>
                  <w:r>
                    <w:rPr>
                      <w:rFonts w:hint="default"/>
                      <w:color w:val="auto"/>
                      <w:sz w:val="21"/>
                      <w:szCs w:val="21"/>
                    </w:rPr>
                    <w:t>符合</w:t>
                  </w:r>
                </w:p>
              </w:tc>
            </w:tr>
            <w:tr w14:paraId="0CA05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0" w:type="dxa"/>
                  <w:vAlign w:val="center"/>
                </w:tcPr>
                <w:p w14:paraId="7F50766B">
                  <w:pPr>
                    <w:spacing w:line="240" w:lineRule="auto"/>
                    <w:ind w:firstLine="0" w:firstLineChars="0"/>
                    <w:rPr>
                      <w:rFonts w:hint="default"/>
                      <w:color w:val="auto"/>
                      <w:sz w:val="21"/>
                      <w:szCs w:val="21"/>
                      <w:lang w:val="zh-CN"/>
                    </w:rPr>
                  </w:pPr>
                  <w:r>
                    <w:rPr>
                      <w:rFonts w:hint="default"/>
                      <w:color w:val="auto"/>
                      <w:sz w:val="21"/>
                      <w:szCs w:val="21"/>
                    </w:rPr>
                    <w:t>贮存设施场址的位置以及其与周围环境敏感目标的距离应依据环境影响评价文件确定。</w:t>
                  </w:r>
                </w:p>
              </w:tc>
              <w:tc>
                <w:tcPr>
                  <w:tcW w:w="3013" w:type="dxa"/>
                  <w:vAlign w:val="center"/>
                </w:tcPr>
                <w:p w14:paraId="78F9A57E">
                  <w:pPr>
                    <w:spacing w:line="240" w:lineRule="auto"/>
                    <w:ind w:firstLine="0" w:firstLineChars="0"/>
                    <w:rPr>
                      <w:rFonts w:hint="default" w:eastAsia="宋体"/>
                      <w:color w:val="auto"/>
                      <w:sz w:val="21"/>
                      <w:szCs w:val="21"/>
                      <w:lang w:val="zh-CN"/>
                    </w:rPr>
                  </w:pPr>
                  <w:r>
                    <w:rPr>
                      <w:rFonts w:hint="default" w:eastAsia="宋体"/>
                      <w:color w:val="auto"/>
                      <w:sz w:val="21"/>
                      <w:szCs w:val="21"/>
                    </w:rPr>
                    <w:t>运营期产生的废气主要为贮存的危险废物挥发出的非甲烷总烃</w:t>
                  </w:r>
                  <w:r>
                    <w:rPr>
                      <w:rFonts w:hint="eastAsia" w:eastAsia="宋体"/>
                      <w:color w:val="auto"/>
                      <w:sz w:val="21"/>
                      <w:szCs w:val="21"/>
                      <w:lang w:eastAsia="zh-CN"/>
                    </w:rPr>
                    <w:t>、</w:t>
                  </w:r>
                  <w:r>
                    <w:rPr>
                      <w:rFonts w:hint="eastAsia" w:eastAsia="宋体"/>
                      <w:color w:val="auto"/>
                      <w:sz w:val="21"/>
                      <w:szCs w:val="21"/>
                      <w:lang w:val="en-US" w:eastAsia="zh-CN"/>
                    </w:rPr>
                    <w:t>硫酸雾</w:t>
                  </w:r>
                  <w:r>
                    <w:rPr>
                      <w:rFonts w:hint="eastAsia" w:eastAsia="宋体"/>
                      <w:color w:val="auto"/>
                      <w:sz w:val="21"/>
                      <w:szCs w:val="21"/>
                      <w:lang w:eastAsia="zh-CN"/>
                    </w:rPr>
                    <w:t>，</w:t>
                  </w:r>
                  <w:r>
                    <w:rPr>
                      <w:rFonts w:hint="default" w:eastAsia="宋体"/>
                      <w:color w:val="auto"/>
                      <w:sz w:val="21"/>
                      <w:szCs w:val="21"/>
                    </w:rPr>
                    <w:t>危险废物贮存、转运过程中均密封保存，及时转运，且项目区安装</w:t>
                  </w:r>
                  <w:r>
                    <w:rPr>
                      <w:rFonts w:hint="eastAsia" w:eastAsia="宋体"/>
                      <w:color w:val="auto"/>
                      <w:sz w:val="21"/>
                      <w:szCs w:val="21"/>
                      <w:lang w:eastAsia="zh-CN"/>
                    </w:rPr>
                    <w:t>轴流风</w:t>
                  </w:r>
                  <w:r>
                    <w:rPr>
                      <w:rFonts w:hint="default" w:eastAsia="宋体"/>
                      <w:color w:val="auto"/>
                      <w:sz w:val="21"/>
                      <w:szCs w:val="21"/>
                    </w:rPr>
                    <w:t>机，因此废气排放量较少，后本项目废气对周围环境影响较小，本项目无生产废水，无新增生活污水；搬运过程中产生的沾染油污废抹布、手套等废劳保用品与厂区内的生活垃圾统一收集后交由当地环卫部门进行处理。项目产生的废物均得到妥善处置。故本项目的建设对周围环境影响较小。</w:t>
                  </w:r>
                </w:p>
              </w:tc>
              <w:tc>
                <w:tcPr>
                  <w:tcW w:w="978" w:type="dxa"/>
                  <w:vAlign w:val="center"/>
                </w:tcPr>
                <w:p w14:paraId="685E9C91">
                  <w:pPr>
                    <w:spacing w:line="240" w:lineRule="auto"/>
                    <w:ind w:firstLine="0" w:firstLineChars="0"/>
                    <w:rPr>
                      <w:rFonts w:hint="default"/>
                      <w:color w:val="auto"/>
                      <w:sz w:val="21"/>
                      <w:szCs w:val="21"/>
                      <w:lang w:val="zh-CN"/>
                    </w:rPr>
                  </w:pPr>
                  <w:r>
                    <w:rPr>
                      <w:rFonts w:hint="default"/>
                      <w:color w:val="auto"/>
                      <w:sz w:val="21"/>
                      <w:szCs w:val="21"/>
                    </w:rPr>
                    <w:t>符合</w:t>
                  </w:r>
                </w:p>
              </w:tc>
            </w:tr>
          </w:tbl>
          <w:p w14:paraId="5A2E35E2">
            <w:pPr>
              <w:ind w:firstLine="480"/>
              <w:rPr>
                <w:rFonts w:hint="default" w:eastAsia="宋体"/>
                <w:color w:val="auto"/>
              </w:rPr>
            </w:pPr>
            <w:r>
              <w:rPr>
                <w:rFonts w:hint="default"/>
                <w:color w:val="auto"/>
              </w:rPr>
              <w:t>综上所述本项目选址合理。</w:t>
            </w:r>
          </w:p>
          <w:p w14:paraId="61D0346F">
            <w:pPr>
              <w:ind w:firstLine="482"/>
              <w:rPr>
                <w:rFonts w:hint="default"/>
                <w:b/>
                <w:bCs/>
                <w:color w:val="auto"/>
              </w:rPr>
            </w:pPr>
            <w:r>
              <w:rPr>
                <w:rFonts w:hint="default"/>
                <w:b/>
                <w:bCs/>
                <w:color w:val="auto"/>
              </w:rPr>
              <w:t>四、项目与相关标准规范的符合性分析</w:t>
            </w:r>
          </w:p>
          <w:p w14:paraId="0A7E8894">
            <w:pPr>
              <w:ind w:firstLine="480"/>
              <w:rPr>
                <w:rFonts w:hint="default"/>
                <w:color w:val="auto"/>
              </w:rPr>
            </w:pPr>
            <w:r>
              <w:rPr>
                <w:rFonts w:hint="default"/>
                <w:color w:val="auto"/>
              </w:rPr>
              <w:t>项目与相关标准规范的符合性分析，见下表。</w:t>
            </w:r>
          </w:p>
          <w:p w14:paraId="52978E66">
            <w:pPr>
              <w:ind w:firstLine="0" w:firstLineChars="0"/>
              <w:jc w:val="center"/>
              <w:rPr>
                <w:rFonts w:hint="default"/>
                <w:b/>
                <w:bCs/>
                <w:color w:val="auto"/>
                <w:sz w:val="21"/>
                <w:szCs w:val="21"/>
              </w:rPr>
            </w:pPr>
            <w:r>
              <w:rPr>
                <w:rFonts w:hint="default"/>
                <w:b/>
                <w:bCs/>
                <w:color w:val="auto"/>
                <w:sz w:val="21"/>
                <w:szCs w:val="21"/>
              </w:rPr>
              <w:t>表1-4《危险废物贮存污染控制标准》（GB18597-2023）符合性分析</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1"/>
              <w:gridCol w:w="2456"/>
              <w:gridCol w:w="2528"/>
              <w:gridCol w:w="726"/>
            </w:tblGrid>
            <w:tr w14:paraId="7EEA3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66" w:type="pct"/>
                  <w:gridSpan w:val="2"/>
                  <w:tcBorders>
                    <w:top w:val="single" w:color="auto" w:sz="4" w:space="0"/>
                    <w:left w:val="single" w:color="auto" w:sz="4" w:space="0"/>
                    <w:bottom w:val="single" w:color="auto" w:sz="4" w:space="0"/>
                    <w:right w:val="single" w:color="auto" w:sz="4" w:space="0"/>
                    <w:tl2br w:val="nil"/>
                    <w:tr2bl w:val="nil"/>
                  </w:tcBorders>
                  <w:vAlign w:val="center"/>
                </w:tcPr>
                <w:p w14:paraId="4D9C7959">
                  <w:pPr>
                    <w:spacing w:line="240" w:lineRule="auto"/>
                    <w:ind w:firstLine="0" w:firstLineChars="0"/>
                    <w:jc w:val="center"/>
                    <w:rPr>
                      <w:rFonts w:hint="default" w:eastAsia="宋体"/>
                      <w:color w:val="auto"/>
                      <w:sz w:val="21"/>
                      <w:szCs w:val="21"/>
                    </w:rPr>
                  </w:pPr>
                  <w:r>
                    <w:rPr>
                      <w:rFonts w:hint="default" w:eastAsia="宋体"/>
                      <w:color w:val="auto"/>
                      <w:sz w:val="21"/>
                      <w:szCs w:val="21"/>
                    </w:rPr>
                    <w:t>危险废物贮存</w:t>
                  </w:r>
                </w:p>
                <w:p w14:paraId="0A097AA6">
                  <w:pPr>
                    <w:spacing w:line="240" w:lineRule="auto"/>
                    <w:ind w:firstLine="0" w:firstLineChars="0"/>
                    <w:jc w:val="center"/>
                    <w:rPr>
                      <w:rFonts w:hint="default"/>
                      <w:color w:val="auto"/>
                      <w:sz w:val="21"/>
                      <w:szCs w:val="21"/>
                    </w:rPr>
                  </w:pPr>
                  <w:r>
                    <w:rPr>
                      <w:rFonts w:hint="default" w:eastAsia="宋体"/>
                      <w:color w:val="auto"/>
                      <w:sz w:val="21"/>
                      <w:szCs w:val="21"/>
                    </w:rPr>
                    <w:t>污染控制标准要求</w:t>
                  </w:r>
                </w:p>
              </w:tc>
              <w:tc>
                <w:tcPr>
                  <w:tcW w:w="1968" w:type="pct"/>
                  <w:tcBorders>
                    <w:top w:val="single" w:color="auto" w:sz="4" w:space="0"/>
                    <w:left w:val="single" w:color="auto" w:sz="4" w:space="0"/>
                    <w:bottom w:val="single" w:color="auto" w:sz="4" w:space="0"/>
                    <w:right w:val="single" w:color="auto" w:sz="4" w:space="0"/>
                    <w:tl2br w:val="nil"/>
                    <w:tr2bl w:val="nil"/>
                  </w:tcBorders>
                  <w:vAlign w:val="center"/>
                </w:tcPr>
                <w:p w14:paraId="5AB45219">
                  <w:pPr>
                    <w:spacing w:line="240" w:lineRule="auto"/>
                    <w:ind w:firstLine="0" w:firstLineChars="0"/>
                    <w:jc w:val="center"/>
                    <w:rPr>
                      <w:rFonts w:hint="default"/>
                      <w:color w:val="auto"/>
                      <w:sz w:val="21"/>
                      <w:szCs w:val="21"/>
                    </w:rPr>
                  </w:pPr>
                  <w:r>
                    <w:rPr>
                      <w:rFonts w:hint="default" w:eastAsia="宋体"/>
                      <w:color w:val="auto"/>
                      <w:sz w:val="21"/>
                      <w:szCs w:val="21"/>
                    </w:rPr>
                    <w:t>本项目建设情况</w:t>
                  </w:r>
                </w:p>
              </w:tc>
              <w:tc>
                <w:tcPr>
                  <w:tcW w:w="565" w:type="pct"/>
                  <w:tcBorders>
                    <w:top w:val="single" w:color="auto" w:sz="4" w:space="0"/>
                    <w:left w:val="single" w:color="auto" w:sz="4" w:space="0"/>
                    <w:bottom w:val="single" w:color="auto" w:sz="4" w:space="0"/>
                    <w:right w:val="single" w:color="auto" w:sz="4" w:space="0"/>
                    <w:tl2br w:val="nil"/>
                    <w:tr2bl w:val="nil"/>
                  </w:tcBorders>
                  <w:vAlign w:val="center"/>
                </w:tcPr>
                <w:p w14:paraId="2663F3CD">
                  <w:pPr>
                    <w:spacing w:line="240" w:lineRule="auto"/>
                    <w:ind w:firstLine="0" w:firstLineChars="0"/>
                    <w:rPr>
                      <w:rFonts w:hint="default"/>
                      <w:color w:val="auto"/>
                      <w:sz w:val="21"/>
                      <w:szCs w:val="21"/>
                    </w:rPr>
                  </w:pPr>
                  <w:r>
                    <w:rPr>
                      <w:rFonts w:hint="default" w:eastAsia="宋体"/>
                      <w:color w:val="auto"/>
                      <w:sz w:val="21"/>
                      <w:szCs w:val="21"/>
                    </w:rPr>
                    <w:t>是否符合</w:t>
                  </w:r>
                </w:p>
              </w:tc>
            </w:tr>
            <w:tr w14:paraId="48FC2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4"/>
                  <w:tcBorders>
                    <w:top w:val="single" w:color="auto" w:sz="4" w:space="0"/>
                    <w:left w:val="single" w:color="auto" w:sz="4" w:space="0"/>
                    <w:bottom w:val="single" w:color="auto" w:sz="4" w:space="0"/>
                    <w:right w:val="single" w:color="auto" w:sz="4" w:space="0"/>
                    <w:tl2br w:val="nil"/>
                    <w:tr2bl w:val="nil"/>
                  </w:tcBorders>
                  <w:vAlign w:val="center"/>
                </w:tcPr>
                <w:p w14:paraId="7A5C912D">
                  <w:pPr>
                    <w:spacing w:line="240" w:lineRule="auto"/>
                    <w:ind w:firstLine="0" w:firstLineChars="0"/>
                    <w:rPr>
                      <w:rFonts w:hint="default"/>
                      <w:color w:val="auto"/>
                      <w:sz w:val="21"/>
                      <w:szCs w:val="21"/>
                    </w:rPr>
                  </w:pPr>
                  <w:r>
                    <w:rPr>
                      <w:rFonts w:hint="default"/>
                      <w:color w:val="auto"/>
                      <w:sz w:val="21"/>
                      <w:szCs w:val="21"/>
                    </w:rPr>
                    <w:t>4</w:t>
                  </w:r>
                  <w:r>
                    <w:rPr>
                      <w:rFonts w:hint="default" w:eastAsia="宋体"/>
                      <w:color w:val="auto"/>
                      <w:sz w:val="21"/>
                      <w:szCs w:val="21"/>
                    </w:rPr>
                    <w:t>总体要求</w:t>
                  </w:r>
                </w:p>
              </w:tc>
            </w:tr>
            <w:tr w14:paraId="243E4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3" w:type="pct"/>
                  <w:tcBorders>
                    <w:top w:val="single" w:color="auto" w:sz="4" w:space="0"/>
                    <w:left w:val="single" w:color="auto" w:sz="4" w:space="0"/>
                    <w:bottom w:val="single" w:color="auto" w:sz="4" w:space="0"/>
                    <w:right w:val="single" w:color="auto" w:sz="4" w:space="0"/>
                    <w:tl2br w:val="nil"/>
                    <w:tr2bl w:val="nil"/>
                  </w:tcBorders>
                  <w:vAlign w:val="center"/>
                </w:tcPr>
                <w:p w14:paraId="308FEA8F">
                  <w:pPr>
                    <w:spacing w:line="240" w:lineRule="auto"/>
                    <w:ind w:firstLine="0" w:firstLineChars="0"/>
                    <w:rPr>
                      <w:rFonts w:hint="default"/>
                      <w:color w:val="auto"/>
                      <w:sz w:val="21"/>
                      <w:szCs w:val="21"/>
                    </w:rPr>
                  </w:pPr>
                  <w:r>
                    <w:rPr>
                      <w:rFonts w:hint="default"/>
                      <w:color w:val="auto"/>
                      <w:sz w:val="21"/>
                      <w:szCs w:val="21"/>
                    </w:rPr>
                    <w:t>4.1</w:t>
                  </w:r>
                </w:p>
              </w:tc>
              <w:tc>
                <w:tcPr>
                  <w:tcW w:w="1912" w:type="pct"/>
                  <w:tcBorders>
                    <w:top w:val="single" w:color="auto" w:sz="4" w:space="0"/>
                    <w:left w:val="single" w:color="auto" w:sz="4" w:space="0"/>
                    <w:bottom w:val="single" w:color="auto" w:sz="4" w:space="0"/>
                    <w:right w:val="single" w:color="auto" w:sz="4" w:space="0"/>
                    <w:tl2br w:val="nil"/>
                    <w:tr2bl w:val="nil"/>
                  </w:tcBorders>
                  <w:vAlign w:val="center"/>
                </w:tcPr>
                <w:p w14:paraId="747D54A5">
                  <w:pPr>
                    <w:spacing w:line="240" w:lineRule="auto"/>
                    <w:ind w:firstLine="0" w:firstLineChars="0"/>
                    <w:rPr>
                      <w:rFonts w:hint="default"/>
                      <w:color w:val="auto"/>
                      <w:sz w:val="21"/>
                      <w:szCs w:val="21"/>
                    </w:rPr>
                  </w:pPr>
                  <w:r>
                    <w:rPr>
                      <w:rFonts w:hint="default" w:eastAsia="宋体"/>
                      <w:color w:val="auto"/>
                      <w:sz w:val="21"/>
                      <w:szCs w:val="21"/>
                    </w:rPr>
                    <w:t>产生、收集、贮存、利用、处置危险废物的单位应建造危险废物贮存设施或设置贮存场所，并根据需要选择贮存设施类型。</w:t>
                  </w:r>
                </w:p>
              </w:tc>
              <w:tc>
                <w:tcPr>
                  <w:tcW w:w="1968" w:type="pct"/>
                  <w:tcBorders>
                    <w:top w:val="single" w:color="auto" w:sz="4" w:space="0"/>
                    <w:left w:val="single" w:color="auto" w:sz="4" w:space="0"/>
                    <w:bottom w:val="single" w:color="auto" w:sz="4" w:space="0"/>
                    <w:right w:val="single" w:color="auto" w:sz="4" w:space="0"/>
                    <w:tl2br w:val="nil"/>
                    <w:tr2bl w:val="nil"/>
                  </w:tcBorders>
                  <w:vAlign w:val="center"/>
                </w:tcPr>
                <w:p w14:paraId="25AAE427">
                  <w:pPr>
                    <w:spacing w:line="240" w:lineRule="auto"/>
                    <w:ind w:firstLine="0" w:firstLineChars="0"/>
                    <w:rPr>
                      <w:rFonts w:hint="default"/>
                      <w:color w:val="auto"/>
                      <w:sz w:val="21"/>
                      <w:szCs w:val="21"/>
                    </w:rPr>
                  </w:pPr>
                  <w:r>
                    <w:rPr>
                      <w:rFonts w:hint="eastAsia" w:eastAsia="宋体"/>
                      <w:color w:val="auto"/>
                      <w:sz w:val="21"/>
                      <w:szCs w:val="21"/>
                      <w:lang w:eastAsia="zh-CN"/>
                    </w:rPr>
                    <w:t>中煤张家口煤矿机械有限责任公司鄂尔多斯分公司</w:t>
                  </w:r>
                  <w:r>
                    <w:rPr>
                      <w:rFonts w:hint="default" w:eastAsia="宋体"/>
                      <w:color w:val="auto"/>
                      <w:sz w:val="21"/>
                      <w:szCs w:val="21"/>
                    </w:rPr>
                    <w:t>在汽车修理过程中会产生危险废物</w:t>
                  </w:r>
                  <w:r>
                    <w:rPr>
                      <w:rFonts w:hint="eastAsia" w:eastAsia="宋体"/>
                      <w:color w:val="auto"/>
                      <w:sz w:val="21"/>
                      <w:szCs w:val="21"/>
                      <w:lang w:eastAsia="zh-CN"/>
                    </w:rPr>
                    <w:t>废矿物油、废油桶、盛装“干净”矿物油的空桶、废铅酸电池</w:t>
                  </w:r>
                  <w:r>
                    <w:rPr>
                      <w:rFonts w:hint="default" w:eastAsia="宋体"/>
                      <w:color w:val="auto"/>
                      <w:sz w:val="21"/>
                      <w:szCs w:val="21"/>
                    </w:rPr>
                    <w:t>，故</w:t>
                  </w:r>
                  <w:r>
                    <w:rPr>
                      <w:rFonts w:eastAsia="宋体"/>
                      <w:color w:val="auto"/>
                      <w:sz w:val="21"/>
                      <w:szCs w:val="21"/>
                    </w:rPr>
                    <w:t>新建</w:t>
                  </w:r>
                  <w:r>
                    <w:rPr>
                      <w:rFonts w:hint="default" w:eastAsia="宋体"/>
                      <w:color w:val="auto"/>
                      <w:sz w:val="21"/>
                      <w:szCs w:val="21"/>
                    </w:rPr>
                    <w:t>1座全封闭砖混结构</w:t>
                  </w:r>
                  <w:r>
                    <w:rPr>
                      <w:rFonts w:hint="eastAsia" w:eastAsia="宋体"/>
                      <w:color w:val="auto"/>
                      <w:sz w:val="21"/>
                      <w:szCs w:val="21"/>
                      <w:lang w:eastAsia="zh-CN"/>
                    </w:rPr>
                    <w:t>21.6</w:t>
                  </w:r>
                  <w:r>
                    <w:rPr>
                      <w:rFonts w:hint="default" w:eastAsia="宋体"/>
                      <w:color w:val="auto"/>
                      <w:sz w:val="21"/>
                      <w:szCs w:val="21"/>
                    </w:rPr>
                    <w:t>㎡的危险废物贮</w:t>
                  </w:r>
                  <w:r>
                    <w:rPr>
                      <w:rFonts w:hint="default" w:ascii="Times New Roman" w:hAnsi="Times New Roman" w:eastAsia="宋体" w:cs="Times New Roman"/>
                      <w:color w:val="auto"/>
                      <w:sz w:val="21"/>
                      <w:szCs w:val="21"/>
                      <w:lang w:eastAsia="zh-CN"/>
                    </w:rPr>
                    <w:t>存库用于暂存产生的危险废物。</w:t>
                  </w:r>
                  <w:r>
                    <w:rPr>
                      <w:rFonts w:hint="default" w:ascii="Times New Roman" w:hAnsi="Times New Roman" w:eastAsia="宋体" w:cs="Times New Roman"/>
                      <w:color w:val="auto"/>
                      <w:sz w:val="21"/>
                      <w:szCs w:val="21"/>
                    </w:rPr>
                    <w:t>本项目设置</w:t>
                  </w:r>
                  <w:r>
                    <w:rPr>
                      <w:rFonts w:hint="eastAsia" w:eastAsia="宋体" w:cs="Times New Roman"/>
                      <w:color w:val="auto"/>
                      <w:sz w:val="21"/>
                      <w:szCs w:val="21"/>
                      <w:lang w:eastAsia="zh-CN"/>
                    </w:rPr>
                    <w:t>4个分区</w:t>
                  </w:r>
                  <w:r>
                    <w:rPr>
                      <w:rFonts w:hint="default" w:ascii="Times New Roman" w:hAnsi="Times New Roman" w:eastAsia="宋体" w:cs="Times New Roman"/>
                      <w:color w:val="auto"/>
                      <w:sz w:val="21"/>
                      <w:szCs w:val="21"/>
                    </w:rPr>
                    <w:t>，</w:t>
                  </w:r>
                  <w:r>
                    <w:rPr>
                      <w:rFonts w:hint="eastAsia" w:eastAsia="宋体" w:cs="Times New Roman"/>
                      <w:color w:val="auto"/>
                      <w:sz w:val="21"/>
                      <w:szCs w:val="21"/>
                      <w:lang w:eastAsia="zh-CN"/>
                    </w:rPr>
                    <w:t>分区一占地面积为5㎡，用于暂存废矿物油；分区二占地面积为5㎡，用于暂存盛装“干净”矿物油的空桶；分区三占地面积为5㎡，用于暂存废油桶；分区四占地面积为5㎡，用于暂存废铅酸电池</w:t>
                  </w:r>
                  <w:r>
                    <w:rPr>
                      <w:rFonts w:hint="default" w:ascii="Times New Roman" w:hAnsi="Times New Roman" w:eastAsia="宋体" w:cs="Times New Roman"/>
                      <w:color w:val="auto"/>
                      <w:sz w:val="21"/>
                      <w:szCs w:val="21"/>
                    </w:rPr>
                    <w:t>。</w:t>
                  </w:r>
                </w:p>
              </w:tc>
              <w:tc>
                <w:tcPr>
                  <w:tcW w:w="565" w:type="pct"/>
                  <w:tcBorders>
                    <w:top w:val="single" w:color="auto" w:sz="4" w:space="0"/>
                    <w:left w:val="single" w:color="auto" w:sz="4" w:space="0"/>
                    <w:bottom w:val="single" w:color="auto" w:sz="4" w:space="0"/>
                    <w:right w:val="single" w:color="auto" w:sz="4" w:space="0"/>
                    <w:tl2br w:val="nil"/>
                    <w:tr2bl w:val="nil"/>
                  </w:tcBorders>
                  <w:vAlign w:val="center"/>
                </w:tcPr>
                <w:p w14:paraId="5110E4D2">
                  <w:pPr>
                    <w:spacing w:line="240" w:lineRule="auto"/>
                    <w:ind w:firstLine="0" w:firstLineChars="0"/>
                    <w:rPr>
                      <w:rFonts w:hint="default"/>
                      <w:color w:val="auto"/>
                      <w:sz w:val="21"/>
                      <w:szCs w:val="21"/>
                    </w:rPr>
                  </w:pPr>
                  <w:r>
                    <w:rPr>
                      <w:rFonts w:hint="default" w:eastAsia="宋体"/>
                      <w:color w:val="auto"/>
                      <w:sz w:val="21"/>
                      <w:szCs w:val="21"/>
                    </w:rPr>
                    <w:t>符合</w:t>
                  </w:r>
                </w:p>
              </w:tc>
            </w:tr>
            <w:tr w14:paraId="281EF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3" w:type="pct"/>
                  <w:tcBorders>
                    <w:top w:val="single" w:color="auto" w:sz="4" w:space="0"/>
                    <w:left w:val="single" w:color="auto" w:sz="4" w:space="0"/>
                    <w:bottom w:val="single" w:color="auto" w:sz="4" w:space="0"/>
                    <w:right w:val="single" w:color="auto" w:sz="4" w:space="0"/>
                    <w:tl2br w:val="nil"/>
                    <w:tr2bl w:val="nil"/>
                  </w:tcBorders>
                  <w:vAlign w:val="center"/>
                </w:tcPr>
                <w:p w14:paraId="3DD06D04">
                  <w:pPr>
                    <w:spacing w:line="240" w:lineRule="auto"/>
                    <w:ind w:firstLine="0" w:firstLineChars="0"/>
                    <w:rPr>
                      <w:rFonts w:hint="default"/>
                      <w:color w:val="auto"/>
                      <w:sz w:val="21"/>
                      <w:szCs w:val="21"/>
                    </w:rPr>
                  </w:pPr>
                  <w:r>
                    <w:rPr>
                      <w:rFonts w:hint="default"/>
                      <w:color w:val="auto"/>
                      <w:sz w:val="21"/>
                      <w:szCs w:val="21"/>
                    </w:rPr>
                    <w:t>4.2</w:t>
                  </w:r>
                </w:p>
              </w:tc>
              <w:tc>
                <w:tcPr>
                  <w:tcW w:w="1912" w:type="pct"/>
                  <w:tcBorders>
                    <w:top w:val="single" w:color="auto" w:sz="4" w:space="0"/>
                    <w:left w:val="single" w:color="auto" w:sz="4" w:space="0"/>
                    <w:bottom w:val="single" w:color="auto" w:sz="4" w:space="0"/>
                    <w:right w:val="single" w:color="auto" w:sz="4" w:space="0"/>
                    <w:tl2br w:val="nil"/>
                    <w:tr2bl w:val="nil"/>
                  </w:tcBorders>
                  <w:vAlign w:val="center"/>
                </w:tcPr>
                <w:p w14:paraId="05B9DE51">
                  <w:pPr>
                    <w:spacing w:line="240" w:lineRule="auto"/>
                    <w:ind w:firstLine="0" w:firstLineChars="0"/>
                    <w:rPr>
                      <w:rFonts w:hint="default"/>
                      <w:color w:val="auto"/>
                      <w:sz w:val="21"/>
                      <w:szCs w:val="21"/>
                    </w:rPr>
                  </w:pPr>
                  <w:r>
                    <w:rPr>
                      <w:rFonts w:hint="default" w:eastAsia="宋体"/>
                      <w:color w:val="auto"/>
                      <w:sz w:val="21"/>
                      <w:szCs w:val="21"/>
                    </w:rPr>
                    <w:t>贮存危险废物应根据危险废物的类别、数量、形态、物理化学性质和环境风险等因素，确定贮存设施或场所类型和规模。</w:t>
                  </w:r>
                </w:p>
              </w:tc>
              <w:tc>
                <w:tcPr>
                  <w:tcW w:w="1968" w:type="pct"/>
                  <w:tcBorders>
                    <w:top w:val="single" w:color="auto" w:sz="4" w:space="0"/>
                    <w:left w:val="single" w:color="auto" w:sz="4" w:space="0"/>
                    <w:bottom w:val="single" w:color="auto" w:sz="4" w:space="0"/>
                    <w:right w:val="single" w:color="auto" w:sz="4" w:space="0"/>
                    <w:tl2br w:val="nil"/>
                    <w:tr2bl w:val="nil"/>
                  </w:tcBorders>
                  <w:vAlign w:val="center"/>
                </w:tcPr>
                <w:p w14:paraId="4A33D92D">
                  <w:pPr>
                    <w:spacing w:line="240" w:lineRule="auto"/>
                    <w:ind w:firstLine="0" w:firstLineChars="0"/>
                    <w:rPr>
                      <w:rFonts w:hint="default"/>
                      <w:b/>
                      <w:color w:val="auto"/>
                      <w:sz w:val="21"/>
                      <w:szCs w:val="21"/>
                    </w:rPr>
                  </w:pPr>
                  <w:r>
                    <w:rPr>
                      <w:rFonts w:hint="default" w:ascii="Times New Roman" w:hAnsi="Times New Roman" w:eastAsia="宋体" w:cs="Times New Roman"/>
                      <w:color w:val="auto"/>
                      <w:sz w:val="21"/>
                      <w:szCs w:val="21"/>
                      <w:lang w:eastAsia="zh-CN"/>
                    </w:rPr>
                    <w:t>内设</w:t>
                  </w:r>
                  <w:r>
                    <w:rPr>
                      <w:rFonts w:hint="eastAsia" w:eastAsia="宋体" w:cs="Times New Roman"/>
                      <w:color w:val="auto"/>
                      <w:sz w:val="21"/>
                      <w:szCs w:val="21"/>
                      <w:lang w:eastAsia="zh-CN"/>
                    </w:rPr>
                    <w:t>4个分区</w:t>
                  </w:r>
                  <w:r>
                    <w:rPr>
                      <w:rFonts w:hint="default" w:ascii="Times New Roman" w:hAnsi="Times New Roman" w:eastAsia="宋体" w:cs="Times New Roman"/>
                      <w:color w:val="auto"/>
                      <w:sz w:val="21"/>
                      <w:szCs w:val="21"/>
                      <w:lang w:eastAsia="zh-CN"/>
                    </w:rPr>
                    <w:t>，采用隔墙进行隔离，四周设置导流渠，导流渠宽200mm，深200mm；内设1m³的集</w:t>
                  </w:r>
                  <w:r>
                    <w:rPr>
                      <w:rFonts w:hint="default" w:eastAsia="宋体"/>
                      <w:color w:val="auto"/>
                      <w:sz w:val="21"/>
                      <w:szCs w:val="21"/>
                    </w:rPr>
                    <w:t>液池；四周墙面设置300mm高的裙脚；本项目地面、导流渠、集液池及裙脚采取相同防渗措施，防渗要求按照《危险废物贮存污染控制标准》（GB18597-2023）建设，防渗层为至少1m厚黏土层（渗透系数</w:t>
                  </w:r>
                  <w:r>
                    <w:rPr>
                      <w:rFonts w:eastAsia="宋体"/>
                      <w:color w:val="auto"/>
                      <w:sz w:val="21"/>
                      <w:szCs w:val="21"/>
                    </w:rPr>
                    <w:t>≤</w:t>
                  </w:r>
                  <w:r>
                    <w:rPr>
                      <w:rFonts w:hint="default" w:eastAsia="宋体"/>
                      <w:color w:val="auto"/>
                      <w:sz w:val="21"/>
                      <w:szCs w:val="21"/>
                    </w:rPr>
                    <w:t>10</w:t>
                  </w:r>
                  <w:r>
                    <w:rPr>
                      <w:rFonts w:hint="default" w:eastAsia="宋体"/>
                      <w:color w:val="auto"/>
                      <w:sz w:val="21"/>
                      <w:szCs w:val="21"/>
                      <w:vertAlign w:val="superscript"/>
                    </w:rPr>
                    <w:t>-7</w:t>
                  </w:r>
                  <w:r>
                    <w:rPr>
                      <w:rFonts w:hint="default" w:eastAsia="宋体"/>
                      <w:color w:val="auto"/>
                      <w:sz w:val="21"/>
                      <w:szCs w:val="21"/>
                    </w:rPr>
                    <w:t>cm/s），或至少2mm厚高密度聚乙烯膜等人工防渗材料（渗透系数</w:t>
                  </w:r>
                  <w:r>
                    <w:rPr>
                      <w:rFonts w:eastAsia="宋体"/>
                      <w:color w:val="auto"/>
                      <w:sz w:val="21"/>
                      <w:szCs w:val="21"/>
                    </w:rPr>
                    <w:t>≤</w:t>
                  </w:r>
                  <w:r>
                    <w:rPr>
                      <w:rFonts w:hint="default" w:eastAsia="宋体"/>
                      <w:color w:val="auto"/>
                      <w:sz w:val="21"/>
                      <w:szCs w:val="21"/>
                    </w:rPr>
                    <w:t>10</w:t>
                  </w:r>
                  <w:r>
                    <w:rPr>
                      <w:rFonts w:hint="default" w:eastAsia="宋体"/>
                      <w:color w:val="auto"/>
                      <w:sz w:val="21"/>
                      <w:szCs w:val="21"/>
                      <w:vertAlign w:val="superscript"/>
                    </w:rPr>
                    <w:t>-10</w:t>
                  </w:r>
                  <w:r>
                    <w:rPr>
                      <w:rFonts w:hint="default" w:eastAsia="宋体"/>
                      <w:color w:val="auto"/>
                      <w:sz w:val="21"/>
                      <w:szCs w:val="21"/>
                    </w:rPr>
                    <w:t>cm/s），或其他防渗性能等效的材料。</w:t>
                  </w:r>
                </w:p>
              </w:tc>
              <w:tc>
                <w:tcPr>
                  <w:tcW w:w="565" w:type="pct"/>
                  <w:tcBorders>
                    <w:top w:val="single" w:color="auto" w:sz="4" w:space="0"/>
                    <w:left w:val="single" w:color="auto" w:sz="4" w:space="0"/>
                    <w:bottom w:val="single" w:color="auto" w:sz="4" w:space="0"/>
                    <w:right w:val="single" w:color="auto" w:sz="4" w:space="0"/>
                    <w:tl2br w:val="nil"/>
                    <w:tr2bl w:val="nil"/>
                  </w:tcBorders>
                  <w:vAlign w:val="center"/>
                </w:tcPr>
                <w:p w14:paraId="361B49E9">
                  <w:pPr>
                    <w:spacing w:line="240" w:lineRule="auto"/>
                    <w:ind w:firstLine="0" w:firstLineChars="0"/>
                    <w:rPr>
                      <w:rFonts w:hint="default"/>
                      <w:color w:val="auto"/>
                      <w:sz w:val="21"/>
                      <w:szCs w:val="21"/>
                    </w:rPr>
                  </w:pPr>
                  <w:r>
                    <w:rPr>
                      <w:rFonts w:hint="default" w:eastAsia="宋体"/>
                      <w:color w:val="auto"/>
                      <w:sz w:val="21"/>
                      <w:szCs w:val="21"/>
                    </w:rPr>
                    <w:t>符合</w:t>
                  </w:r>
                </w:p>
              </w:tc>
            </w:tr>
            <w:tr w14:paraId="1202F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3" w:type="pct"/>
                  <w:tcBorders>
                    <w:top w:val="single" w:color="auto" w:sz="4" w:space="0"/>
                    <w:left w:val="single" w:color="auto" w:sz="4" w:space="0"/>
                    <w:bottom w:val="single" w:color="auto" w:sz="4" w:space="0"/>
                    <w:right w:val="single" w:color="auto" w:sz="4" w:space="0"/>
                    <w:tl2br w:val="nil"/>
                    <w:tr2bl w:val="nil"/>
                  </w:tcBorders>
                  <w:vAlign w:val="center"/>
                </w:tcPr>
                <w:p w14:paraId="50F67A0C">
                  <w:pPr>
                    <w:spacing w:line="240" w:lineRule="auto"/>
                    <w:ind w:firstLine="0" w:firstLineChars="0"/>
                    <w:rPr>
                      <w:rFonts w:hint="default"/>
                      <w:color w:val="auto"/>
                      <w:sz w:val="21"/>
                      <w:szCs w:val="21"/>
                    </w:rPr>
                  </w:pPr>
                  <w:r>
                    <w:rPr>
                      <w:rFonts w:hint="default"/>
                      <w:color w:val="auto"/>
                      <w:sz w:val="21"/>
                      <w:szCs w:val="21"/>
                    </w:rPr>
                    <w:t>4.3</w:t>
                  </w:r>
                </w:p>
              </w:tc>
              <w:tc>
                <w:tcPr>
                  <w:tcW w:w="1912" w:type="pct"/>
                  <w:tcBorders>
                    <w:top w:val="single" w:color="auto" w:sz="4" w:space="0"/>
                    <w:left w:val="single" w:color="auto" w:sz="4" w:space="0"/>
                    <w:bottom w:val="single" w:color="auto" w:sz="4" w:space="0"/>
                    <w:right w:val="single" w:color="auto" w:sz="4" w:space="0"/>
                    <w:tl2br w:val="nil"/>
                    <w:tr2bl w:val="nil"/>
                  </w:tcBorders>
                  <w:vAlign w:val="center"/>
                </w:tcPr>
                <w:p w14:paraId="2FFEDA70">
                  <w:pPr>
                    <w:spacing w:line="240" w:lineRule="auto"/>
                    <w:ind w:firstLine="0" w:firstLineChars="0"/>
                    <w:rPr>
                      <w:rFonts w:hint="default"/>
                      <w:color w:val="auto"/>
                      <w:sz w:val="21"/>
                      <w:szCs w:val="21"/>
                    </w:rPr>
                  </w:pPr>
                  <w:r>
                    <w:rPr>
                      <w:rFonts w:hint="default" w:eastAsia="宋体"/>
                      <w:color w:val="auto"/>
                      <w:sz w:val="21"/>
                      <w:szCs w:val="21"/>
                    </w:rPr>
                    <w:t>贮存危险废物应根据危险废物的类别、形态、物理化学性质和污染防治要求进行分类贮存，且应避免危险废物与不相容的物质或材料接触。</w:t>
                  </w:r>
                </w:p>
              </w:tc>
              <w:tc>
                <w:tcPr>
                  <w:tcW w:w="1968" w:type="pct"/>
                  <w:tcBorders>
                    <w:top w:val="single" w:color="auto" w:sz="4" w:space="0"/>
                    <w:left w:val="single" w:color="auto" w:sz="4" w:space="0"/>
                    <w:bottom w:val="single" w:color="auto" w:sz="4" w:space="0"/>
                    <w:right w:val="single" w:color="auto" w:sz="4" w:space="0"/>
                    <w:tl2br w:val="nil"/>
                    <w:tr2bl w:val="nil"/>
                  </w:tcBorders>
                  <w:vAlign w:val="center"/>
                </w:tcPr>
                <w:p w14:paraId="44AD44A8">
                  <w:pPr>
                    <w:spacing w:line="240" w:lineRule="auto"/>
                    <w:ind w:firstLine="0" w:firstLineChars="0"/>
                    <w:rPr>
                      <w:rFonts w:hint="default"/>
                      <w:color w:val="auto"/>
                      <w:sz w:val="21"/>
                      <w:szCs w:val="21"/>
                    </w:rPr>
                  </w:pPr>
                  <w:r>
                    <w:rPr>
                      <w:rFonts w:hint="default" w:eastAsia="宋体"/>
                      <w:color w:val="auto"/>
                      <w:sz w:val="21"/>
                      <w:szCs w:val="21"/>
                    </w:rPr>
                    <w:t>项目</w:t>
                  </w:r>
                  <w:r>
                    <w:rPr>
                      <w:rFonts w:hint="eastAsia" w:eastAsia="宋体"/>
                      <w:color w:val="auto"/>
                      <w:sz w:val="21"/>
                      <w:szCs w:val="21"/>
                      <w:lang w:eastAsia="zh-CN"/>
                    </w:rPr>
                    <w:t>废矿物油采用密封桶暂存</w:t>
                  </w:r>
                  <w:r>
                    <w:rPr>
                      <w:rFonts w:hint="default" w:eastAsia="宋体"/>
                      <w:color w:val="auto"/>
                      <w:sz w:val="21"/>
                      <w:szCs w:val="21"/>
                    </w:rPr>
                    <w:t>，</w:t>
                  </w:r>
                  <w:r>
                    <w:rPr>
                      <w:rFonts w:hint="eastAsia" w:eastAsia="宋体"/>
                      <w:color w:val="auto"/>
                      <w:sz w:val="21"/>
                      <w:szCs w:val="21"/>
                      <w:lang w:eastAsia="zh-CN"/>
                    </w:rPr>
                    <w:t>废油桶、盛装“干净”矿物油的空桶加盖密封，废铅酸电池桶加盖密封</w:t>
                  </w:r>
                  <w:r>
                    <w:rPr>
                      <w:rFonts w:hint="default" w:eastAsia="宋体"/>
                      <w:color w:val="auto"/>
                      <w:sz w:val="21"/>
                      <w:szCs w:val="21"/>
                    </w:rPr>
                    <w:t>。避免危险废物与不相容的物质或材料接触。</w:t>
                  </w:r>
                </w:p>
              </w:tc>
              <w:tc>
                <w:tcPr>
                  <w:tcW w:w="565" w:type="pct"/>
                  <w:tcBorders>
                    <w:top w:val="single" w:color="auto" w:sz="4" w:space="0"/>
                    <w:left w:val="single" w:color="auto" w:sz="4" w:space="0"/>
                    <w:bottom w:val="single" w:color="auto" w:sz="4" w:space="0"/>
                    <w:right w:val="single" w:color="auto" w:sz="4" w:space="0"/>
                    <w:tl2br w:val="nil"/>
                    <w:tr2bl w:val="nil"/>
                  </w:tcBorders>
                  <w:vAlign w:val="center"/>
                </w:tcPr>
                <w:p w14:paraId="449EE43D">
                  <w:pPr>
                    <w:spacing w:line="240" w:lineRule="auto"/>
                    <w:ind w:firstLine="0" w:firstLineChars="0"/>
                    <w:rPr>
                      <w:rFonts w:hint="default"/>
                      <w:color w:val="auto"/>
                      <w:sz w:val="21"/>
                      <w:szCs w:val="21"/>
                    </w:rPr>
                  </w:pPr>
                  <w:r>
                    <w:rPr>
                      <w:rFonts w:hint="default" w:eastAsia="宋体"/>
                      <w:color w:val="auto"/>
                      <w:sz w:val="21"/>
                      <w:szCs w:val="21"/>
                    </w:rPr>
                    <w:t>符合</w:t>
                  </w:r>
                </w:p>
              </w:tc>
            </w:tr>
            <w:tr w14:paraId="60001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3" w:type="pct"/>
                  <w:tcBorders>
                    <w:top w:val="single" w:color="auto" w:sz="4" w:space="0"/>
                    <w:left w:val="single" w:color="auto" w:sz="4" w:space="0"/>
                    <w:bottom w:val="single" w:color="auto" w:sz="4" w:space="0"/>
                    <w:right w:val="single" w:color="auto" w:sz="4" w:space="0"/>
                    <w:tl2br w:val="nil"/>
                    <w:tr2bl w:val="nil"/>
                  </w:tcBorders>
                  <w:vAlign w:val="center"/>
                </w:tcPr>
                <w:p w14:paraId="75385DA7">
                  <w:pPr>
                    <w:spacing w:line="240" w:lineRule="auto"/>
                    <w:ind w:firstLine="0" w:firstLineChars="0"/>
                    <w:rPr>
                      <w:rFonts w:hint="default"/>
                      <w:color w:val="auto"/>
                      <w:sz w:val="21"/>
                      <w:szCs w:val="21"/>
                    </w:rPr>
                  </w:pPr>
                  <w:r>
                    <w:rPr>
                      <w:rFonts w:hint="default"/>
                      <w:color w:val="auto"/>
                      <w:sz w:val="21"/>
                      <w:szCs w:val="21"/>
                    </w:rPr>
                    <w:t>4.4</w:t>
                  </w:r>
                </w:p>
              </w:tc>
              <w:tc>
                <w:tcPr>
                  <w:tcW w:w="1912" w:type="pct"/>
                  <w:tcBorders>
                    <w:top w:val="single" w:color="auto" w:sz="4" w:space="0"/>
                    <w:left w:val="single" w:color="auto" w:sz="4" w:space="0"/>
                    <w:bottom w:val="single" w:color="auto" w:sz="4" w:space="0"/>
                    <w:right w:val="single" w:color="auto" w:sz="4" w:space="0"/>
                    <w:tl2br w:val="nil"/>
                    <w:tr2bl w:val="nil"/>
                  </w:tcBorders>
                  <w:vAlign w:val="center"/>
                </w:tcPr>
                <w:p w14:paraId="35CABBB3">
                  <w:pPr>
                    <w:spacing w:line="240" w:lineRule="auto"/>
                    <w:ind w:firstLine="0" w:firstLineChars="0"/>
                    <w:rPr>
                      <w:rFonts w:hint="default"/>
                      <w:color w:val="auto"/>
                      <w:sz w:val="21"/>
                      <w:szCs w:val="21"/>
                    </w:rPr>
                  </w:pPr>
                  <w:r>
                    <w:rPr>
                      <w:rFonts w:hint="default" w:eastAsia="宋体"/>
                      <w:color w:val="auto"/>
                      <w:sz w:val="21"/>
                      <w:szCs w:val="21"/>
                    </w:rPr>
                    <w:t>贮存危险废物应根据危险废物的形态、物理化学性质、包装形式和污染物迁移途径，采取措施减少渗滤液及其衍生废物、渗漏的液态废物（简称渗漏液）、粉尘、VOCs、酸雾、有毒有害大气污染物和刺激性气味气体等污染物的产生，防止其污染环境。</w:t>
                  </w:r>
                </w:p>
              </w:tc>
              <w:tc>
                <w:tcPr>
                  <w:tcW w:w="1968" w:type="pct"/>
                  <w:tcBorders>
                    <w:top w:val="single" w:color="auto" w:sz="4" w:space="0"/>
                    <w:left w:val="single" w:color="auto" w:sz="4" w:space="0"/>
                    <w:bottom w:val="single" w:color="auto" w:sz="4" w:space="0"/>
                    <w:right w:val="single" w:color="auto" w:sz="4" w:space="0"/>
                    <w:tl2br w:val="nil"/>
                    <w:tr2bl w:val="nil"/>
                  </w:tcBorders>
                  <w:vAlign w:val="center"/>
                </w:tcPr>
                <w:p w14:paraId="1312C74A">
                  <w:pPr>
                    <w:spacing w:line="240" w:lineRule="auto"/>
                    <w:ind w:firstLine="0" w:firstLineChars="0"/>
                    <w:rPr>
                      <w:rFonts w:hint="default"/>
                      <w:color w:val="auto"/>
                      <w:sz w:val="21"/>
                      <w:szCs w:val="21"/>
                    </w:rPr>
                  </w:pPr>
                  <w:r>
                    <w:rPr>
                      <w:rFonts w:hint="default" w:eastAsia="宋体"/>
                      <w:color w:val="auto"/>
                      <w:sz w:val="21"/>
                      <w:szCs w:val="21"/>
                    </w:rPr>
                    <w:t>项目各类危废分区存放，各类危废均按照相关要求存放，防止危废</w:t>
                  </w:r>
                  <w:r>
                    <w:rPr>
                      <w:rFonts w:eastAsia="宋体"/>
                      <w:color w:val="auto"/>
                      <w:sz w:val="21"/>
                      <w:szCs w:val="21"/>
                    </w:rPr>
                    <w:t>泄漏</w:t>
                  </w:r>
                  <w:r>
                    <w:rPr>
                      <w:rFonts w:hint="default" w:eastAsia="宋体"/>
                      <w:color w:val="auto"/>
                      <w:sz w:val="21"/>
                      <w:szCs w:val="21"/>
                    </w:rPr>
                    <w:t>，挥发和漫流。</w:t>
                  </w:r>
                  <w:r>
                    <w:rPr>
                      <w:rFonts w:hint="eastAsia" w:eastAsia="宋体"/>
                      <w:color w:val="auto"/>
                      <w:sz w:val="21"/>
                      <w:szCs w:val="21"/>
                      <w:lang w:eastAsia="zh-CN"/>
                    </w:rPr>
                    <w:t>项目废矿物油采用密封桶暂存，废油桶、盛装“干净”矿物油的空桶加盖密封，废铅酸电池桶装加盖密封</w:t>
                  </w:r>
                  <w:r>
                    <w:rPr>
                      <w:rFonts w:hint="default" w:eastAsia="宋体"/>
                      <w:color w:val="auto"/>
                      <w:sz w:val="21"/>
                      <w:szCs w:val="21"/>
                    </w:rPr>
                    <w:t>。项目将增加年转运频次，减少危废在场内的暂存时间。</w:t>
                  </w:r>
                </w:p>
              </w:tc>
              <w:tc>
                <w:tcPr>
                  <w:tcW w:w="565" w:type="pct"/>
                  <w:tcBorders>
                    <w:top w:val="single" w:color="auto" w:sz="4" w:space="0"/>
                    <w:left w:val="single" w:color="auto" w:sz="4" w:space="0"/>
                    <w:bottom w:val="single" w:color="auto" w:sz="4" w:space="0"/>
                    <w:right w:val="single" w:color="auto" w:sz="4" w:space="0"/>
                    <w:tl2br w:val="nil"/>
                    <w:tr2bl w:val="nil"/>
                  </w:tcBorders>
                  <w:vAlign w:val="center"/>
                </w:tcPr>
                <w:p w14:paraId="4F7FA3EB">
                  <w:pPr>
                    <w:spacing w:line="240" w:lineRule="auto"/>
                    <w:ind w:firstLine="0" w:firstLineChars="0"/>
                    <w:rPr>
                      <w:rFonts w:hint="default"/>
                      <w:color w:val="auto"/>
                      <w:sz w:val="21"/>
                      <w:szCs w:val="21"/>
                    </w:rPr>
                  </w:pPr>
                  <w:r>
                    <w:rPr>
                      <w:rFonts w:hint="default" w:eastAsia="宋体"/>
                      <w:color w:val="auto"/>
                      <w:sz w:val="21"/>
                      <w:szCs w:val="21"/>
                    </w:rPr>
                    <w:t>符合</w:t>
                  </w:r>
                </w:p>
              </w:tc>
            </w:tr>
            <w:tr w14:paraId="02C44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553" w:type="pct"/>
                  <w:tcBorders>
                    <w:top w:val="single" w:color="auto" w:sz="4" w:space="0"/>
                    <w:left w:val="single" w:color="auto" w:sz="4" w:space="0"/>
                    <w:bottom w:val="single" w:color="auto" w:sz="4" w:space="0"/>
                    <w:right w:val="single" w:color="auto" w:sz="4" w:space="0"/>
                    <w:tl2br w:val="nil"/>
                    <w:tr2bl w:val="nil"/>
                  </w:tcBorders>
                  <w:vAlign w:val="center"/>
                </w:tcPr>
                <w:p w14:paraId="06A9B2EB">
                  <w:pPr>
                    <w:spacing w:line="240" w:lineRule="auto"/>
                    <w:ind w:firstLine="0" w:firstLineChars="0"/>
                    <w:rPr>
                      <w:rFonts w:hint="default"/>
                      <w:color w:val="auto"/>
                      <w:sz w:val="21"/>
                      <w:szCs w:val="21"/>
                    </w:rPr>
                  </w:pPr>
                  <w:r>
                    <w:rPr>
                      <w:rFonts w:hint="default"/>
                      <w:color w:val="auto"/>
                      <w:sz w:val="21"/>
                      <w:szCs w:val="21"/>
                    </w:rPr>
                    <w:t>4.5</w:t>
                  </w:r>
                </w:p>
              </w:tc>
              <w:tc>
                <w:tcPr>
                  <w:tcW w:w="1912" w:type="pct"/>
                  <w:tcBorders>
                    <w:top w:val="single" w:color="auto" w:sz="4" w:space="0"/>
                    <w:left w:val="single" w:color="auto" w:sz="4" w:space="0"/>
                    <w:bottom w:val="single" w:color="auto" w:sz="4" w:space="0"/>
                    <w:right w:val="single" w:color="auto" w:sz="4" w:space="0"/>
                    <w:tl2br w:val="nil"/>
                    <w:tr2bl w:val="nil"/>
                  </w:tcBorders>
                  <w:vAlign w:val="center"/>
                </w:tcPr>
                <w:p w14:paraId="4DAB7543">
                  <w:pPr>
                    <w:spacing w:line="240" w:lineRule="auto"/>
                    <w:ind w:firstLine="0" w:firstLineChars="0"/>
                    <w:rPr>
                      <w:rFonts w:hint="default"/>
                      <w:color w:val="auto"/>
                      <w:sz w:val="21"/>
                      <w:szCs w:val="21"/>
                    </w:rPr>
                  </w:pPr>
                  <w:r>
                    <w:rPr>
                      <w:rFonts w:hint="default" w:eastAsia="宋体"/>
                      <w:color w:val="auto"/>
                      <w:sz w:val="21"/>
                      <w:szCs w:val="21"/>
                    </w:rPr>
                    <w:t>危险废物贮存过</w:t>
                  </w:r>
                  <w:r>
                    <w:rPr>
                      <w:rFonts w:hint="eastAsia" w:eastAsia="宋体"/>
                      <w:color w:val="auto"/>
                      <w:sz w:val="21"/>
                      <w:szCs w:val="21"/>
                      <w:lang w:eastAsia="zh-CN"/>
                    </w:rPr>
                    <w:t>程中</w:t>
                  </w:r>
                  <w:r>
                    <w:rPr>
                      <w:rFonts w:hint="default" w:eastAsia="宋体"/>
                      <w:color w:val="auto"/>
                      <w:sz w:val="21"/>
                      <w:szCs w:val="21"/>
                    </w:rPr>
                    <w:t>产生的液态废物和固态废物应分类收集，按其环境管理要求妥善处理。</w:t>
                  </w:r>
                </w:p>
              </w:tc>
              <w:tc>
                <w:tcPr>
                  <w:tcW w:w="1968" w:type="pct"/>
                  <w:tcBorders>
                    <w:top w:val="single" w:color="auto" w:sz="4" w:space="0"/>
                    <w:left w:val="single" w:color="auto" w:sz="4" w:space="0"/>
                    <w:bottom w:val="single" w:color="auto" w:sz="4" w:space="0"/>
                    <w:right w:val="single" w:color="auto" w:sz="4" w:space="0"/>
                    <w:tl2br w:val="nil"/>
                    <w:tr2bl w:val="nil"/>
                  </w:tcBorders>
                  <w:vAlign w:val="center"/>
                </w:tcPr>
                <w:p w14:paraId="233050C9">
                  <w:pPr>
                    <w:spacing w:line="240" w:lineRule="auto"/>
                    <w:ind w:firstLine="0" w:firstLineChars="0"/>
                    <w:rPr>
                      <w:rFonts w:hint="default"/>
                      <w:color w:val="auto"/>
                      <w:sz w:val="21"/>
                      <w:szCs w:val="21"/>
                    </w:rPr>
                  </w:pPr>
                  <w:r>
                    <w:rPr>
                      <w:rFonts w:hint="default" w:eastAsia="宋体"/>
                      <w:color w:val="auto"/>
                      <w:sz w:val="21"/>
                      <w:szCs w:val="21"/>
                    </w:rPr>
                    <w:t>本项目各类危险废物分区暂存，避免不同危废混合。</w:t>
                  </w:r>
                </w:p>
              </w:tc>
              <w:tc>
                <w:tcPr>
                  <w:tcW w:w="565" w:type="pct"/>
                  <w:tcBorders>
                    <w:top w:val="single" w:color="auto" w:sz="4" w:space="0"/>
                    <w:left w:val="single" w:color="auto" w:sz="4" w:space="0"/>
                    <w:bottom w:val="single" w:color="auto" w:sz="4" w:space="0"/>
                    <w:right w:val="single" w:color="auto" w:sz="4" w:space="0"/>
                    <w:tl2br w:val="nil"/>
                    <w:tr2bl w:val="nil"/>
                  </w:tcBorders>
                  <w:vAlign w:val="center"/>
                </w:tcPr>
                <w:p w14:paraId="31D0F821">
                  <w:pPr>
                    <w:spacing w:line="240" w:lineRule="auto"/>
                    <w:ind w:firstLine="0" w:firstLineChars="0"/>
                    <w:rPr>
                      <w:rFonts w:hint="default"/>
                      <w:color w:val="auto"/>
                      <w:sz w:val="21"/>
                      <w:szCs w:val="21"/>
                    </w:rPr>
                  </w:pPr>
                  <w:r>
                    <w:rPr>
                      <w:rFonts w:hint="default" w:eastAsia="宋体"/>
                      <w:color w:val="auto"/>
                      <w:sz w:val="21"/>
                      <w:szCs w:val="21"/>
                    </w:rPr>
                    <w:t>符合</w:t>
                  </w:r>
                </w:p>
              </w:tc>
            </w:tr>
            <w:tr w14:paraId="60A7C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3" w:type="pct"/>
                  <w:tcBorders>
                    <w:top w:val="single" w:color="auto" w:sz="4" w:space="0"/>
                    <w:left w:val="single" w:color="auto" w:sz="4" w:space="0"/>
                    <w:bottom w:val="single" w:color="auto" w:sz="4" w:space="0"/>
                    <w:right w:val="single" w:color="auto" w:sz="4" w:space="0"/>
                    <w:tl2br w:val="nil"/>
                    <w:tr2bl w:val="nil"/>
                  </w:tcBorders>
                  <w:vAlign w:val="center"/>
                </w:tcPr>
                <w:p w14:paraId="2064968C">
                  <w:pPr>
                    <w:spacing w:line="240" w:lineRule="auto"/>
                    <w:ind w:firstLine="0" w:firstLineChars="0"/>
                    <w:rPr>
                      <w:rFonts w:hint="default"/>
                      <w:color w:val="auto"/>
                      <w:sz w:val="21"/>
                      <w:szCs w:val="21"/>
                    </w:rPr>
                  </w:pPr>
                  <w:r>
                    <w:rPr>
                      <w:rFonts w:hint="default"/>
                      <w:color w:val="auto"/>
                      <w:sz w:val="21"/>
                      <w:szCs w:val="21"/>
                    </w:rPr>
                    <w:t>4.6</w:t>
                  </w:r>
                </w:p>
              </w:tc>
              <w:tc>
                <w:tcPr>
                  <w:tcW w:w="1912" w:type="pct"/>
                  <w:tcBorders>
                    <w:top w:val="single" w:color="auto" w:sz="4" w:space="0"/>
                    <w:left w:val="single" w:color="auto" w:sz="4" w:space="0"/>
                    <w:bottom w:val="single" w:color="auto" w:sz="4" w:space="0"/>
                    <w:right w:val="single" w:color="auto" w:sz="4" w:space="0"/>
                    <w:tl2br w:val="nil"/>
                    <w:tr2bl w:val="nil"/>
                  </w:tcBorders>
                  <w:vAlign w:val="center"/>
                </w:tcPr>
                <w:p w14:paraId="4DDBD5C9">
                  <w:pPr>
                    <w:spacing w:line="240" w:lineRule="auto"/>
                    <w:ind w:firstLine="0" w:firstLineChars="0"/>
                    <w:rPr>
                      <w:rFonts w:hint="default"/>
                      <w:color w:val="auto"/>
                      <w:sz w:val="21"/>
                      <w:szCs w:val="21"/>
                    </w:rPr>
                  </w:pPr>
                  <w:r>
                    <w:rPr>
                      <w:rFonts w:hint="default" w:eastAsia="宋体"/>
                      <w:color w:val="auto"/>
                      <w:sz w:val="21"/>
                      <w:szCs w:val="21"/>
                    </w:rPr>
                    <w:t>贮存设施或场所、容器和包装物应按HJ1276要求设置危险废物贮存设施或场所标志、危险废物贮存分区标志和危险废物标签等危险废物识别标志。</w:t>
                  </w:r>
                </w:p>
              </w:tc>
              <w:tc>
                <w:tcPr>
                  <w:tcW w:w="1968" w:type="pct"/>
                  <w:tcBorders>
                    <w:top w:val="single" w:color="auto" w:sz="4" w:space="0"/>
                    <w:left w:val="single" w:color="auto" w:sz="4" w:space="0"/>
                    <w:bottom w:val="single" w:color="auto" w:sz="4" w:space="0"/>
                    <w:right w:val="single" w:color="auto" w:sz="4" w:space="0"/>
                    <w:tl2br w:val="nil"/>
                    <w:tr2bl w:val="nil"/>
                  </w:tcBorders>
                  <w:vAlign w:val="center"/>
                </w:tcPr>
                <w:p w14:paraId="5A774654">
                  <w:pPr>
                    <w:spacing w:line="240" w:lineRule="auto"/>
                    <w:ind w:firstLine="0" w:firstLineChars="0"/>
                    <w:rPr>
                      <w:rFonts w:hint="default"/>
                      <w:color w:val="auto"/>
                      <w:sz w:val="21"/>
                      <w:szCs w:val="21"/>
                    </w:rPr>
                  </w:pPr>
                  <w:r>
                    <w:rPr>
                      <w:rFonts w:hint="default" w:eastAsia="宋体"/>
                      <w:color w:val="auto"/>
                      <w:sz w:val="21"/>
                      <w:szCs w:val="21"/>
                    </w:rPr>
                    <w:t>本项目建设后将完善相应标识标牌。</w:t>
                  </w:r>
                </w:p>
              </w:tc>
              <w:tc>
                <w:tcPr>
                  <w:tcW w:w="565" w:type="pct"/>
                  <w:tcBorders>
                    <w:top w:val="single" w:color="auto" w:sz="4" w:space="0"/>
                    <w:left w:val="single" w:color="auto" w:sz="4" w:space="0"/>
                    <w:bottom w:val="single" w:color="auto" w:sz="4" w:space="0"/>
                    <w:right w:val="single" w:color="auto" w:sz="4" w:space="0"/>
                    <w:tl2br w:val="nil"/>
                    <w:tr2bl w:val="nil"/>
                  </w:tcBorders>
                  <w:vAlign w:val="center"/>
                </w:tcPr>
                <w:p w14:paraId="3603F4ED">
                  <w:pPr>
                    <w:spacing w:line="240" w:lineRule="auto"/>
                    <w:ind w:firstLine="0" w:firstLineChars="0"/>
                    <w:rPr>
                      <w:rFonts w:hint="default"/>
                      <w:color w:val="auto"/>
                      <w:sz w:val="21"/>
                      <w:szCs w:val="21"/>
                    </w:rPr>
                  </w:pPr>
                  <w:r>
                    <w:rPr>
                      <w:rFonts w:hint="default" w:eastAsia="宋体"/>
                      <w:color w:val="auto"/>
                      <w:sz w:val="21"/>
                      <w:szCs w:val="21"/>
                    </w:rPr>
                    <w:t>符合</w:t>
                  </w:r>
                </w:p>
              </w:tc>
            </w:tr>
            <w:tr w14:paraId="717C3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53" w:type="pct"/>
                  <w:tcBorders>
                    <w:top w:val="single" w:color="auto" w:sz="4" w:space="0"/>
                    <w:left w:val="single" w:color="auto" w:sz="4" w:space="0"/>
                    <w:bottom w:val="single" w:color="auto" w:sz="4" w:space="0"/>
                    <w:right w:val="single" w:color="auto" w:sz="4" w:space="0"/>
                    <w:tl2br w:val="nil"/>
                    <w:tr2bl w:val="nil"/>
                  </w:tcBorders>
                  <w:vAlign w:val="center"/>
                </w:tcPr>
                <w:p w14:paraId="5BB4FDF8">
                  <w:pPr>
                    <w:spacing w:line="240" w:lineRule="auto"/>
                    <w:ind w:firstLine="0" w:firstLineChars="0"/>
                    <w:rPr>
                      <w:rFonts w:hint="default"/>
                      <w:color w:val="auto"/>
                      <w:sz w:val="21"/>
                      <w:szCs w:val="21"/>
                    </w:rPr>
                  </w:pPr>
                  <w:r>
                    <w:rPr>
                      <w:rFonts w:hint="default"/>
                      <w:color w:val="auto"/>
                      <w:sz w:val="21"/>
                      <w:szCs w:val="21"/>
                    </w:rPr>
                    <w:t>4.7</w:t>
                  </w:r>
                </w:p>
              </w:tc>
              <w:tc>
                <w:tcPr>
                  <w:tcW w:w="1912" w:type="pct"/>
                  <w:tcBorders>
                    <w:top w:val="single" w:color="auto" w:sz="4" w:space="0"/>
                    <w:left w:val="single" w:color="auto" w:sz="4" w:space="0"/>
                    <w:bottom w:val="single" w:color="auto" w:sz="4" w:space="0"/>
                    <w:right w:val="single" w:color="auto" w:sz="4" w:space="0"/>
                    <w:tl2br w:val="nil"/>
                    <w:tr2bl w:val="nil"/>
                  </w:tcBorders>
                  <w:vAlign w:val="center"/>
                </w:tcPr>
                <w:p w14:paraId="70D364D0">
                  <w:pPr>
                    <w:spacing w:line="240" w:lineRule="auto"/>
                    <w:ind w:firstLine="0" w:firstLineChars="0"/>
                    <w:rPr>
                      <w:rFonts w:hint="default"/>
                      <w:color w:val="auto"/>
                      <w:sz w:val="21"/>
                      <w:szCs w:val="21"/>
                    </w:rPr>
                  </w:pPr>
                  <w:r>
                    <w:rPr>
                      <w:rFonts w:hint="default"/>
                      <w:color w:val="auto"/>
                      <w:sz w:val="21"/>
                      <w:szCs w:val="21"/>
                    </w:rPr>
                    <w:t>HJ1259</w:t>
                  </w:r>
                  <w:r>
                    <w:rPr>
                      <w:rFonts w:hint="default" w:eastAsia="宋体"/>
                      <w:color w:val="auto"/>
                      <w:sz w:val="21"/>
                      <w:szCs w:val="21"/>
                    </w:rPr>
                    <w:t>规定的危险废物环境重点监管单位，应采用电子地磅、电子标签、电子管理台账等技术手段对危险废物贮存过程进行信息化管理，确保数据完整、真实、准确；采用视频监控的应确保监控画面清晰，视频记录保存时间至少为3个月。</w:t>
                  </w:r>
                </w:p>
              </w:tc>
              <w:tc>
                <w:tcPr>
                  <w:tcW w:w="1968" w:type="pct"/>
                  <w:tcBorders>
                    <w:top w:val="single" w:color="auto" w:sz="4" w:space="0"/>
                    <w:left w:val="single" w:color="auto" w:sz="4" w:space="0"/>
                    <w:bottom w:val="single" w:color="auto" w:sz="4" w:space="0"/>
                    <w:right w:val="single" w:color="auto" w:sz="4" w:space="0"/>
                    <w:tl2br w:val="nil"/>
                    <w:tr2bl w:val="nil"/>
                  </w:tcBorders>
                  <w:vAlign w:val="center"/>
                </w:tcPr>
                <w:p w14:paraId="2D8651CA">
                  <w:pPr>
                    <w:spacing w:line="240" w:lineRule="auto"/>
                    <w:ind w:firstLine="0" w:firstLineChars="0"/>
                    <w:rPr>
                      <w:rFonts w:hint="default"/>
                      <w:color w:val="auto"/>
                      <w:sz w:val="21"/>
                      <w:szCs w:val="21"/>
                    </w:rPr>
                  </w:pPr>
                  <w:r>
                    <w:rPr>
                      <w:rFonts w:hint="default" w:eastAsia="宋体"/>
                      <w:color w:val="auto"/>
                      <w:sz w:val="21"/>
                      <w:szCs w:val="21"/>
                    </w:rPr>
                    <w:t>本项目运营期设置电子磅、电子标签、电子管理台账等要求监控设备视频记录时间为3个月。</w:t>
                  </w:r>
                </w:p>
              </w:tc>
              <w:tc>
                <w:tcPr>
                  <w:tcW w:w="565" w:type="pct"/>
                  <w:tcBorders>
                    <w:top w:val="single" w:color="auto" w:sz="4" w:space="0"/>
                    <w:left w:val="single" w:color="auto" w:sz="4" w:space="0"/>
                    <w:bottom w:val="single" w:color="auto" w:sz="4" w:space="0"/>
                    <w:right w:val="single" w:color="auto" w:sz="4" w:space="0"/>
                    <w:tl2br w:val="nil"/>
                    <w:tr2bl w:val="nil"/>
                  </w:tcBorders>
                  <w:vAlign w:val="center"/>
                </w:tcPr>
                <w:p w14:paraId="63025644">
                  <w:pPr>
                    <w:spacing w:line="240" w:lineRule="auto"/>
                    <w:ind w:firstLine="0" w:firstLineChars="0"/>
                    <w:rPr>
                      <w:rFonts w:hint="default"/>
                      <w:color w:val="auto"/>
                      <w:sz w:val="21"/>
                      <w:szCs w:val="21"/>
                    </w:rPr>
                  </w:pPr>
                  <w:r>
                    <w:rPr>
                      <w:rFonts w:hint="default" w:eastAsia="宋体"/>
                      <w:color w:val="auto"/>
                      <w:sz w:val="21"/>
                      <w:szCs w:val="21"/>
                    </w:rPr>
                    <w:t>符合</w:t>
                  </w:r>
                </w:p>
              </w:tc>
            </w:tr>
            <w:tr w14:paraId="4413A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3" w:hRule="atLeast"/>
              </w:trPr>
              <w:tc>
                <w:tcPr>
                  <w:tcW w:w="553" w:type="pct"/>
                  <w:tcBorders>
                    <w:top w:val="single" w:color="auto" w:sz="4" w:space="0"/>
                    <w:left w:val="single" w:color="auto" w:sz="4" w:space="0"/>
                    <w:bottom w:val="single" w:color="auto" w:sz="4" w:space="0"/>
                    <w:right w:val="single" w:color="auto" w:sz="4" w:space="0"/>
                    <w:tl2br w:val="nil"/>
                    <w:tr2bl w:val="nil"/>
                  </w:tcBorders>
                  <w:vAlign w:val="center"/>
                </w:tcPr>
                <w:p w14:paraId="62195265">
                  <w:pPr>
                    <w:spacing w:line="240" w:lineRule="auto"/>
                    <w:ind w:firstLine="0" w:firstLineChars="0"/>
                    <w:rPr>
                      <w:rFonts w:hint="default"/>
                      <w:color w:val="auto"/>
                      <w:sz w:val="21"/>
                      <w:szCs w:val="21"/>
                    </w:rPr>
                  </w:pPr>
                  <w:r>
                    <w:rPr>
                      <w:rFonts w:hint="default"/>
                      <w:color w:val="auto"/>
                      <w:sz w:val="21"/>
                      <w:szCs w:val="21"/>
                    </w:rPr>
                    <w:t>4.8</w:t>
                  </w:r>
                </w:p>
              </w:tc>
              <w:tc>
                <w:tcPr>
                  <w:tcW w:w="1912" w:type="pct"/>
                  <w:tcBorders>
                    <w:top w:val="single" w:color="auto" w:sz="4" w:space="0"/>
                    <w:left w:val="single" w:color="auto" w:sz="4" w:space="0"/>
                    <w:bottom w:val="single" w:color="auto" w:sz="4" w:space="0"/>
                    <w:right w:val="single" w:color="auto" w:sz="4" w:space="0"/>
                    <w:tl2br w:val="nil"/>
                    <w:tr2bl w:val="nil"/>
                  </w:tcBorders>
                  <w:vAlign w:val="center"/>
                </w:tcPr>
                <w:p w14:paraId="190F45C1">
                  <w:pPr>
                    <w:spacing w:line="240" w:lineRule="auto"/>
                    <w:ind w:firstLine="0" w:firstLineChars="0"/>
                    <w:rPr>
                      <w:rFonts w:hint="default"/>
                      <w:color w:val="auto"/>
                      <w:sz w:val="21"/>
                      <w:szCs w:val="21"/>
                    </w:rPr>
                  </w:pPr>
                  <w:r>
                    <w:rPr>
                      <w:rFonts w:hint="default" w:eastAsia="宋体"/>
                      <w:color w:val="auto"/>
                      <w:sz w:val="21"/>
                      <w:szCs w:val="21"/>
                    </w:rPr>
                    <w:t>贮存设施退役时，所有者或运营者应依法履行环境保护责任，退役前应妥善处理处置贮存设施内剩余的危险废物，并对贮存设施进行清理，消除污染；还应依据土壤污染防治相关法律法规履行场地环境风险防控责任。</w:t>
                  </w:r>
                </w:p>
              </w:tc>
              <w:tc>
                <w:tcPr>
                  <w:tcW w:w="1968" w:type="pct"/>
                  <w:tcBorders>
                    <w:top w:val="single" w:color="auto" w:sz="4" w:space="0"/>
                    <w:left w:val="single" w:color="auto" w:sz="4" w:space="0"/>
                    <w:bottom w:val="single" w:color="auto" w:sz="4" w:space="0"/>
                    <w:right w:val="single" w:color="auto" w:sz="4" w:space="0"/>
                    <w:tl2br w:val="nil"/>
                    <w:tr2bl w:val="nil"/>
                  </w:tcBorders>
                  <w:vAlign w:val="center"/>
                </w:tcPr>
                <w:p w14:paraId="2A825A80">
                  <w:pPr>
                    <w:spacing w:line="240" w:lineRule="auto"/>
                    <w:ind w:firstLine="0" w:firstLineChars="0"/>
                    <w:rPr>
                      <w:rFonts w:hint="default"/>
                      <w:color w:val="auto"/>
                      <w:sz w:val="21"/>
                      <w:szCs w:val="21"/>
                    </w:rPr>
                  </w:pPr>
                  <w:r>
                    <w:rPr>
                      <w:rFonts w:eastAsia="宋体"/>
                      <w:color w:val="auto"/>
                      <w:sz w:val="21"/>
                      <w:szCs w:val="21"/>
                    </w:rPr>
                    <w:t>本项目拟新建一座危险废物暂存库</w:t>
                  </w:r>
                  <w:r>
                    <w:rPr>
                      <w:rFonts w:hint="default" w:eastAsia="宋体"/>
                      <w:color w:val="auto"/>
                      <w:sz w:val="21"/>
                      <w:szCs w:val="21"/>
                    </w:rPr>
                    <w:t>，无退役贮存设施。</w:t>
                  </w:r>
                </w:p>
              </w:tc>
              <w:tc>
                <w:tcPr>
                  <w:tcW w:w="565" w:type="pct"/>
                  <w:tcBorders>
                    <w:top w:val="single" w:color="auto" w:sz="4" w:space="0"/>
                    <w:left w:val="single" w:color="auto" w:sz="4" w:space="0"/>
                    <w:bottom w:val="single" w:color="auto" w:sz="4" w:space="0"/>
                    <w:right w:val="single" w:color="auto" w:sz="4" w:space="0"/>
                    <w:tl2br w:val="nil"/>
                    <w:tr2bl w:val="nil"/>
                  </w:tcBorders>
                  <w:vAlign w:val="center"/>
                </w:tcPr>
                <w:p w14:paraId="1F5563C8">
                  <w:pPr>
                    <w:spacing w:line="240" w:lineRule="auto"/>
                    <w:ind w:firstLine="0" w:firstLineChars="0"/>
                    <w:rPr>
                      <w:rFonts w:hint="default"/>
                      <w:color w:val="auto"/>
                      <w:sz w:val="21"/>
                      <w:szCs w:val="21"/>
                    </w:rPr>
                  </w:pPr>
                  <w:r>
                    <w:rPr>
                      <w:rFonts w:hint="default" w:eastAsia="宋体"/>
                      <w:color w:val="auto"/>
                      <w:sz w:val="21"/>
                      <w:szCs w:val="21"/>
                    </w:rPr>
                    <w:t>符合</w:t>
                  </w:r>
                </w:p>
              </w:tc>
            </w:tr>
            <w:tr w14:paraId="1A50C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3" w:type="pct"/>
                  <w:tcBorders>
                    <w:top w:val="single" w:color="auto" w:sz="4" w:space="0"/>
                    <w:left w:val="single" w:color="auto" w:sz="4" w:space="0"/>
                    <w:bottom w:val="single" w:color="auto" w:sz="4" w:space="0"/>
                    <w:right w:val="single" w:color="auto" w:sz="4" w:space="0"/>
                    <w:tl2br w:val="nil"/>
                    <w:tr2bl w:val="nil"/>
                  </w:tcBorders>
                  <w:vAlign w:val="center"/>
                </w:tcPr>
                <w:p w14:paraId="62BE3807">
                  <w:pPr>
                    <w:spacing w:line="240" w:lineRule="auto"/>
                    <w:ind w:firstLine="0" w:firstLineChars="0"/>
                    <w:rPr>
                      <w:rFonts w:hint="default"/>
                      <w:color w:val="auto"/>
                      <w:sz w:val="21"/>
                      <w:szCs w:val="21"/>
                    </w:rPr>
                  </w:pPr>
                  <w:r>
                    <w:rPr>
                      <w:rFonts w:hint="default"/>
                      <w:color w:val="auto"/>
                      <w:sz w:val="21"/>
                      <w:szCs w:val="21"/>
                    </w:rPr>
                    <w:t>4.9</w:t>
                  </w:r>
                </w:p>
              </w:tc>
              <w:tc>
                <w:tcPr>
                  <w:tcW w:w="1912" w:type="pct"/>
                  <w:tcBorders>
                    <w:top w:val="single" w:color="auto" w:sz="4" w:space="0"/>
                    <w:left w:val="single" w:color="auto" w:sz="4" w:space="0"/>
                    <w:bottom w:val="single" w:color="auto" w:sz="4" w:space="0"/>
                    <w:right w:val="single" w:color="auto" w:sz="4" w:space="0"/>
                    <w:tl2br w:val="nil"/>
                    <w:tr2bl w:val="nil"/>
                  </w:tcBorders>
                  <w:vAlign w:val="center"/>
                </w:tcPr>
                <w:p w14:paraId="404464AA">
                  <w:pPr>
                    <w:spacing w:line="240" w:lineRule="auto"/>
                    <w:ind w:firstLine="0" w:firstLineChars="0"/>
                    <w:rPr>
                      <w:rFonts w:hint="default"/>
                      <w:color w:val="auto"/>
                      <w:sz w:val="21"/>
                      <w:szCs w:val="21"/>
                    </w:rPr>
                  </w:pPr>
                  <w:r>
                    <w:rPr>
                      <w:rFonts w:hint="default" w:eastAsia="宋体"/>
                      <w:color w:val="auto"/>
                      <w:sz w:val="21"/>
                      <w:szCs w:val="21"/>
                    </w:rPr>
                    <w:t>在常温常压下易爆、易燃及排出有毒气体的危险废物应进行预处理，使之稳定后贮存，否则应按易爆、易燃危险品贮存。</w:t>
                  </w:r>
                </w:p>
              </w:tc>
              <w:tc>
                <w:tcPr>
                  <w:tcW w:w="1968" w:type="pct"/>
                  <w:tcBorders>
                    <w:top w:val="single" w:color="auto" w:sz="4" w:space="0"/>
                    <w:left w:val="single" w:color="auto" w:sz="4" w:space="0"/>
                    <w:bottom w:val="single" w:color="auto" w:sz="4" w:space="0"/>
                    <w:right w:val="single" w:color="auto" w:sz="4" w:space="0"/>
                    <w:tl2br w:val="nil"/>
                    <w:tr2bl w:val="nil"/>
                  </w:tcBorders>
                  <w:vAlign w:val="center"/>
                </w:tcPr>
                <w:p w14:paraId="6E4B97B2">
                  <w:pPr>
                    <w:spacing w:line="240" w:lineRule="auto"/>
                    <w:ind w:firstLine="0" w:firstLineChars="0"/>
                    <w:rPr>
                      <w:rFonts w:hint="default"/>
                      <w:color w:val="auto"/>
                      <w:sz w:val="21"/>
                      <w:szCs w:val="21"/>
                    </w:rPr>
                  </w:pPr>
                  <w:r>
                    <w:rPr>
                      <w:rFonts w:hint="default" w:eastAsia="宋体"/>
                      <w:color w:val="auto"/>
                      <w:sz w:val="21"/>
                      <w:szCs w:val="21"/>
                    </w:rPr>
                    <w:t>项目贮存的危废，常压下不属于易爆、易燃及排出有毒气体的危险废物。</w:t>
                  </w:r>
                </w:p>
              </w:tc>
              <w:tc>
                <w:tcPr>
                  <w:tcW w:w="565" w:type="pct"/>
                  <w:tcBorders>
                    <w:top w:val="single" w:color="auto" w:sz="4" w:space="0"/>
                    <w:left w:val="single" w:color="auto" w:sz="4" w:space="0"/>
                    <w:bottom w:val="single" w:color="auto" w:sz="4" w:space="0"/>
                    <w:right w:val="single" w:color="auto" w:sz="4" w:space="0"/>
                    <w:tl2br w:val="nil"/>
                    <w:tr2bl w:val="nil"/>
                  </w:tcBorders>
                  <w:vAlign w:val="center"/>
                </w:tcPr>
                <w:p w14:paraId="1B7DA566">
                  <w:pPr>
                    <w:spacing w:line="240" w:lineRule="auto"/>
                    <w:ind w:firstLine="0" w:firstLineChars="0"/>
                    <w:rPr>
                      <w:rFonts w:hint="default"/>
                      <w:color w:val="auto"/>
                      <w:sz w:val="21"/>
                      <w:szCs w:val="21"/>
                    </w:rPr>
                  </w:pPr>
                  <w:r>
                    <w:rPr>
                      <w:rFonts w:hint="default" w:eastAsia="宋体"/>
                      <w:color w:val="auto"/>
                      <w:sz w:val="21"/>
                      <w:szCs w:val="21"/>
                    </w:rPr>
                    <w:t>符合</w:t>
                  </w:r>
                </w:p>
              </w:tc>
            </w:tr>
            <w:tr w14:paraId="3F5E1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53" w:type="pct"/>
                  <w:tcBorders>
                    <w:top w:val="single" w:color="auto" w:sz="4" w:space="0"/>
                    <w:left w:val="single" w:color="auto" w:sz="4" w:space="0"/>
                    <w:bottom w:val="single" w:color="auto" w:sz="4" w:space="0"/>
                    <w:right w:val="single" w:color="auto" w:sz="4" w:space="0"/>
                    <w:tl2br w:val="nil"/>
                    <w:tr2bl w:val="nil"/>
                  </w:tcBorders>
                  <w:vAlign w:val="center"/>
                </w:tcPr>
                <w:p w14:paraId="447F8141">
                  <w:pPr>
                    <w:spacing w:line="240" w:lineRule="auto"/>
                    <w:ind w:firstLine="0" w:firstLineChars="0"/>
                    <w:rPr>
                      <w:rFonts w:hint="default"/>
                      <w:color w:val="auto"/>
                      <w:sz w:val="21"/>
                      <w:szCs w:val="21"/>
                    </w:rPr>
                  </w:pPr>
                  <w:r>
                    <w:rPr>
                      <w:rFonts w:hint="default"/>
                      <w:color w:val="auto"/>
                      <w:sz w:val="21"/>
                      <w:szCs w:val="21"/>
                    </w:rPr>
                    <w:t>4.10</w:t>
                  </w:r>
                </w:p>
              </w:tc>
              <w:tc>
                <w:tcPr>
                  <w:tcW w:w="1912" w:type="pct"/>
                  <w:tcBorders>
                    <w:top w:val="single" w:color="auto" w:sz="4" w:space="0"/>
                    <w:left w:val="single" w:color="auto" w:sz="4" w:space="0"/>
                    <w:bottom w:val="single" w:color="auto" w:sz="4" w:space="0"/>
                    <w:right w:val="single" w:color="auto" w:sz="4" w:space="0"/>
                    <w:tl2br w:val="nil"/>
                    <w:tr2bl w:val="nil"/>
                  </w:tcBorders>
                  <w:vAlign w:val="center"/>
                </w:tcPr>
                <w:p w14:paraId="5FBF4143">
                  <w:pPr>
                    <w:spacing w:line="240" w:lineRule="auto"/>
                    <w:ind w:firstLine="0" w:firstLineChars="0"/>
                    <w:rPr>
                      <w:rFonts w:hint="default"/>
                      <w:color w:val="auto"/>
                      <w:sz w:val="21"/>
                      <w:szCs w:val="21"/>
                    </w:rPr>
                  </w:pPr>
                  <w:r>
                    <w:rPr>
                      <w:rFonts w:hint="default" w:eastAsia="宋体"/>
                      <w:color w:val="auto"/>
                      <w:sz w:val="21"/>
                      <w:szCs w:val="21"/>
                    </w:rPr>
                    <w:t>危险废物贮存除应满足环境保护相关要求外，还应执行国家安全生产、职业健康、交通运输、消防等法律法规和标准的相关要求。</w:t>
                  </w:r>
                </w:p>
              </w:tc>
              <w:tc>
                <w:tcPr>
                  <w:tcW w:w="1968" w:type="pct"/>
                  <w:tcBorders>
                    <w:top w:val="single" w:color="auto" w:sz="4" w:space="0"/>
                    <w:left w:val="single" w:color="auto" w:sz="4" w:space="0"/>
                    <w:bottom w:val="single" w:color="auto" w:sz="4" w:space="0"/>
                    <w:right w:val="single" w:color="auto" w:sz="4" w:space="0"/>
                    <w:tl2br w:val="nil"/>
                    <w:tr2bl w:val="nil"/>
                  </w:tcBorders>
                  <w:vAlign w:val="center"/>
                </w:tcPr>
                <w:p w14:paraId="36704726">
                  <w:pPr>
                    <w:spacing w:line="240" w:lineRule="auto"/>
                    <w:ind w:firstLine="0" w:firstLineChars="0"/>
                    <w:rPr>
                      <w:rFonts w:hint="default"/>
                      <w:color w:val="auto"/>
                      <w:sz w:val="21"/>
                      <w:szCs w:val="21"/>
                    </w:rPr>
                  </w:pPr>
                  <w:r>
                    <w:rPr>
                      <w:rFonts w:hint="default" w:eastAsia="宋体"/>
                      <w:color w:val="auto"/>
                      <w:sz w:val="21"/>
                      <w:szCs w:val="21"/>
                    </w:rPr>
                    <w:t>项目的建设满足环保、消防等相关要求。</w:t>
                  </w:r>
                </w:p>
              </w:tc>
              <w:tc>
                <w:tcPr>
                  <w:tcW w:w="565" w:type="pct"/>
                  <w:tcBorders>
                    <w:top w:val="single" w:color="auto" w:sz="4" w:space="0"/>
                    <w:left w:val="single" w:color="auto" w:sz="4" w:space="0"/>
                    <w:bottom w:val="single" w:color="auto" w:sz="4" w:space="0"/>
                    <w:right w:val="single" w:color="auto" w:sz="4" w:space="0"/>
                    <w:tl2br w:val="nil"/>
                    <w:tr2bl w:val="nil"/>
                  </w:tcBorders>
                  <w:vAlign w:val="center"/>
                </w:tcPr>
                <w:p w14:paraId="1DADD17C">
                  <w:pPr>
                    <w:spacing w:line="240" w:lineRule="auto"/>
                    <w:ind w:firstLine="0" w:firstLineChars="0"/>
                    <w:rPr>
                      <w:rFonts w:hint="default"/>
                      <w:color w:val="auto"/>
                      <w:sz w:val="21"/>
                      <w:szCs w:val="21"/>
                    </w:rPr>
                  </w:pPr>
                  <w:r>
                    <w:rPr>
                      <w:rFonts w:hint="default" w:eastAsia="宋体"/>
                      <w:color w:val="auto"/>
                      <w:sz w:val="21"/>
                      <w:szCs w:val="21"/>
                    </w:rPr>
                    <w:t>符合</w:t>
                  </w:r>
                </w:p>
              </w:tc>
            </w:tr>
            <w:tr w14:paraId="4AB16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4"/>
                  <w:tcBorders>
                    <w:top w:val="single" w:color="auto" w:sz="4" w:space="0"/>
                    <w:left w:val="single" w:color="auto" w:sz="4" w:space="0"/>
                    <w:bottom w:val="single" w:color="auto" w:sz="4" w:space="0"/>
                    <w:right w:val="single" w:color="auto" w:sz="4" w:space="0"/>
                    <w:tl2br w:val="nil"/>
                    <w:tr2bl w:val="nil"/>
                  </w:tcBorders>
                  <w:vAlign w:val="center"/>
                </w:tcPr>
                <w:p w14:paraId="0DFECFC7">
                  <w:pPr>
                    <w:spacing w:line="240" w:lineRule="auto"/>
                    <w:ind w:firstLine="0" w:firstLineChars="0"/>
                    <w:rPr>
                      <w:rFonts w:hint="default"/>
                      <w:color w:val="auto"/>
                      <w:sz w:val="21"/>
                      <w:szCs w:val="21"/>
                    </w:rPr>
                  </w:pPr>
                  <w:r>
                    <w:rPr>
                      <w:rFonts w:hint="eastAsia" w:eastAsia="宋体"/>
                      <w:color w:val="auto"/>
                      <w:sz w:val="21"/>
                      <w:szCs w:val="21"/>
                      <w:lang w:val="en-US" w:eastAsia="zh-CN"/>
                    </w:rPr>
                    <w:t>6</w:t>
                  </w:r>
                  <w:r>
                    <w:rPr>
                      <w:rFonts w:hint="default" w:eastAsia="宋体"/>
                      <w:color w:val="auto"/>
                      <w:sz w:val="21"/>
                      <w:szCs w:val="21"/>
                    </w:rPr>
                    <w:t>贮存设施污染控制要求</w:t>
                  </w:r>
                </w:p>
              </w:tc>
            </w:tr>
            <w:tr w14:paraId="0B1BD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4"/>
                  <w:tcBorders>
                    <w:top w:val="single" w:color="auto" w:sz="4" w:space="0"/>
                    <w:left w:val="single" w:color="auto" w:sz="4" w:space="0"/>
                    <w:bottom w:val="single" w:color="auto" w:sz="4" w:space="0"/>
                    <w:right w:val="single" w:color="auto" w:sz="4" w:space="0"/>
                    <w:tl2br w:val="nil"/>
                    <w:tr2bl w:val="nil"/>
                  </w:tcBorders>
                  <w:vAlign w:val="center"/>
                </w:tcPr>
                <w:p w14:paraId="11684EDF">
                  <w:pPr>
                    <w:spacing w:line="240" w:lineRule="auto"/>
                    <w:ind w:firstLine="0" w:firstLineChars="0"/>
                    <w:rPr>
                      <w:rFonts w:hint="default"/>
                      <w:color w:val="auto"/>
                      <w:sz w:val="21"/>
                      <w:szCs w:val="21"/>
                    </w:rPr>
                  </w:pPr>
                  <w:r>
                    <w:rPr>
                      <w:rFonts w:hint="eastAsia" w:eastAsia="宋体"/>
                      <w:color w:val="auto"/>
                      <w:sz w:val="21"/>
                      <w:szCs w:val="21"/>
                      <w:lang w:val="en-US" w:eastAsia="zh-CN"/>
                    </w:rPr>
                    <w:t>6</w:t>
                  </w:r>
                  <w:r>
                    <w:rPr>
                      <w:rFonts w:hint="default"/>
                      <w:color w:val="auto"/>
                      <w:sz w:val="21"/>
                      <w:szCs w:val="21"/>
                    </w:rPr>
                    <w:t>.1</w:t>
                  </w:r>
                  <w:r>
                    <w:rPr>
                      <w:rFonts w:hint="default" w:eastAsia="宋体"/>
                      <w:color w:val="auto"/>
                      <w:sz w:val="21"/>
                      <w:szCs w:val="21"/>
                    </w:rPr>
                    <w:t>一般规定</w:t>
                  </w:r>
                </w:p>
              </w:tc>
            </w:tr>
            <w:tr w14:paraId="33B85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1" w:hRule="atLeast"/>
              </w:trPr>
              <w:tc>
                <w:tcPr>
                  <w:tcW w:w="553" w:type="pct"/>
                  <w:tcBorders>
                    <w:top w:val="single" w:color="auto" w:sz="4" w:space="0"/>
                    <w:left w:val="single" w:color="auto" w:sz="4" w:space="0"/>
                    <w:bottom w:val="single" w:color="auto" w:sz="4" w:space="0"/>
                    <w:right w:val="single" w:color="auto" w:sz="4" w:space="0"/>
                    <w:tl2br w:val="nil"/>
                    <w:tr2bl w:val="nil"/>
                  </w:tcBorders>
                  <w:vAlign w:val="center"/>
                </w:tcPr>
                <w:p w14:paraId="50F8C740">
                  <w:pPr>
                    <w:spacing w:line="240" w:lineRule="auto"/>
                    <w:ind w:firstLine="0" w:firstLineChars="0"/>
                    <w:rPr>
                      <w:rFonts w:hint="default"/>
                      <w:color w:val="auto"/>
                      <w:sz w:val="21"/>
                      <w:szCs w:val="21"/>
                    </w:rPr>
                  </w:pPr>
                  <w:r>
                    <w:rPr>
                      <w:rFonts w:hint="eastAsia" w:eastAsia="宋体"/>
                      <w:color w:val="auto"/>
                      <w:sz w:val="21"/>
                      <w:szCs w:val="21"/>
                      <w:lang w:val="en-US" w:eastAsia="zh-CN"/>
                    </w:rPr>
                    <w:t>6</w:t>
                  </w:r>
                  <w:r>
                    <w:rPr>
                      <w:rFonts w:hint="default"/>
                      <w:color w:val="auto"/>
                      <w:sz w:val="21"/>
                      <w:szCs w:val="21"/>
                    </w:rPr>
                    <w:t>.1.1</w:t>
                  </w:r>
                </w:p>
              </w:tc>
              <w:tc>
                <w:tcPr>
                  <w:tcW w:w="1912" w:type="pct"/>
                  <w:tcBorders>
                    <w:top w:val="single" w:color="auto" w:sz="4" w:space="0"/>
                    <w:left w:val="single" w:color="auto" w:sz="4" w:space="0"/>
                    <w:bottom w:val="single" w:color="auto" w:sz="4" w:space="0"/>
                    <w:right w:val="single" w:color="auto" w:sz="4" w:space="0"/>
                    <w:tl2br w:val="nil"/>
                    <w:tr2bl w:val="nil"/>
                  </w:tcBorders>
                  <w:vAlign w:val="center"/>
                </w:tcPr>
                <w:p w14:paraId="6632A6B6">
                  <w:pPr>
                    <w:spacing w:line="240" w:lineRule="auto"/>
                    <w:ind w:firstLine="0" w:firstLineChars="0"/>
                    <w:rPr>
                      <w:rFonts w:hint="default"/>
                      <w:color w:val="auto"/>
                      <w:sz w:val="21"/>
                      <w:szCs w:val="21"/>
                    </w:rPr>
                  </w:pPr>
                  <w:r>
                    <w:rPr>
                      <w:rFonts w:hint="default" w:eastAsia="宋体"/>
                      <w:color w:val="auto"/>
                      <w:sz w:val="21"/>
                      <w:szCs w:val="21"/>
                    </w:rPr>
                    <w:t>贮存设施应根据危险废物的形态、物理化学性质、包装形式和污染物迁移途径，采取必要的防风、防晒、防雨、防漏、防渗、防腐以及其他环境污染防治措施，不应露天堆放危险废物。</w:t>
                  </w:r>
                </w:p>
              </w:tc>
              <w:tc>
                <w:tcPr>
                  <w:tcW w:w="1968" w:type="pct"/>
                  <w:tcBorders>
                    <w:top w:val="single" w:color="auto" w:sz="4" w:space="0"/>
                    <w:left w:val="single" w:color="auto" w:sz="4" w:space="0"/>
                    <w:bottom w:val="single" w:color="auto" w:sz="4" w:space="0"/>
                    <w:right w:val="single" w:color="auto" w:sz="4" w:space="0"/>
                    <w:tl2br w:val="nil"/>
                    <w:tr2bl w:val="nil"/>
                  </w:tcBorders>
                  <w:vAlign w:val="center"/>
                </w:tcPr>
                <w:p w14:paraId="3EF68E72">
                  <w:pPr>
                    <w:spacing w:line="240" w:lineRule="auto"/>
                    <w:ind w:firstLine="0" w:firstLineChars="0"/>
                    <w:rPr>
                      <w:rFonts w:hint="default"/>
                      <w:color w:val="auto"/>
                      <w:sz w:val="21"/>
                      <w:szCs w:val="21"/>
                    </w:rPr>
                  </w:pPr>
                  <w:r>
                    <w:rPr>
                      <w:rFonts w:hint="default" w:eastAsia="宋体"/>
                      <w:color w:val="auto"/>
                      <w:sz w:val="21"/>
                      <w:szCs w:val="21"/>
                    </w:rPr>
                    <w:t>项目危险废物贮存库为防风、防雨、防晒、防渗漏的封闭库房。裙脚四周均设导流渠（宽2</w:t>
                  </w:r>
                  <w:r>
                    <w:rPr>
                      <w:rFonts w:hint="default"/>
                      <w:color w:val="auto"/>
                      <w:sz w:val="21"/>
                      <w:szCs w:val="21"/>
                    </w:rPr>
                    <w:t>0</w:t>
                  </w:r>
                  <w:r>
                    <w:rPr>
                      <w:rFonts w:hint="default" w:eastAsia="宋体"/>
                      <w:color w:val="auto"/>
                      <w:sz w:val="21"/>
                      <w:szCs w:val="21"/>
                    </w:rPr>
                    <w:t>0m</w:t>
                  </w:r>
                  <w:r>
                    <w:rPr>
                      <w:rFonts w:hint="default"/>
                      <w:color w:val="auto"/>
                      <w:sz w:val="21"/>
                      <w:szCs w:val="21"/>
                    </w:rPr>
                    <w:t>m</w:t>
                  </w:r>
                  <w:r>
                    <w:rPr>
                      <w:rFonts w:hint="default" w:eastAsia="宋体"/>
                      <w:color w:val="auto"/>
                      <w:sz w:val="21"/>
                      <w:szCs w:val="21"/>
                    </w:rPr>
                    <w:t>，高2</w:t>
                  </w:r>
                  <w:r>
                    <w:rPr>
                      <w:rFonts w:hint="default"/>
                      <w:color w:val="auto"/>
                      <w:sz w:val="21"/>
                      <w:szCs w:val="21"/>
                    </w:rPr>
                    <w:t>0</w:t>
                  </w:r>
                  <w:r>
                    <w:rPr>
                      <w:rFonts w:hint="default" w:eastAsia="宋体"/>
                      <w:color w:val="auto"/>
                      <w:sz w:val="21"/>
                      <w:szCs w:val="21"/>
                    </w:rPr>
                    <w:t>0m</w:t>
                  </w:r>
                  <w:r>
                    <w:rPr>
                      <w:rFonts w:hint="default"/>
                      <w:color w:val="auto"/>
                      <w:sz w:val="21"/>
                      <w:szCs w:val="21"/>
                    </w:rPr>
                    <w:t>m</w:t>
                  </w:r>
                  <w:r>
                    <w:rPr>
                      <w:rFonts w:hint="default" w:eastAsia="宋体"/>
                      <w:color w:val="auto"/>
                      <w:sz w:val="21"/>
                      <w:szCs w:val="21"/>
                    </w:rPr>
                    <w:t>），角落设1座集液池（容积1m³），导流渠与集液池防渗措施与地面相同，在地面与裙脚施工过</w:t>
                  </w:r>
                  <w:r>
                    <w:rPr>
                      <w:rFonts w:hint="eastAsia" w:eastAsia="宋体"/>
                      <w:color w:val="auto"/>
                      <w:sz w:val="21"/>
                      <w:szCs w:val="21"/>
                      <w:lang w:eastAsia="zh-CN"/>
                    </w:rPr>
                    <w:t>程中</w:t>
                  </w:r>
                  <w:r>
                    <w:rPr>
                      <w:rFonts w:hint="default" w:eastAsia="宋体"/>
                      <w:color w:val="auto"/>
                      <w:sz w:val="21"/>
                      <w:szCs w:val="21"/>
                    </w:rPr>
                    <w:t>注意地面与墙体接缝处的严密衔接；收集事故情况下</w:t>
                  </w:r>
                  <w:r>
                    <w:rPr>
                      <w:rFonts w:eastAsia="宋体"/>
                      <w:color w:val="auto"/>
                      <w:sz w:val="21"/>
                      <w:szCs w:val="21"/>
                    </w:rPr>
                    <w:t>泄漏</w:t>
                  </w:r>
                  <w:r>
                    <w:rPr>
                      <w:rFonts w:hint="default" w:eastAsia="宋体"/>
                      <w:color w:val="auto"/>
                      <w:sz w:val="21"/>
                      <w:szCs w:val="21"/>
                    </w:rPr>
                    <w:t>的废矿物油，导流渠沿内墙墙壁布置，与集液池连通。导流渠、集液池采取与地面相同防渗措施，防渗措施：防渗层为至少1m厚黏土层（渗透系数</w:t>
                  </w:r>
                  <w:r>
                    <w:rPr>
                      <w:rFonts w:eastAsia="宋体"/>
                      <w:color w:val="auto"/>
                      <w:sz w:val="21"/>
                      <w:szCs w:val="21"/>
                    </w:rPr>
                    <w:t>≤</w:t>
                  </w:r>
                  <w:r>
                    <w:rPr>
                      <w:rFonts w:hint="default" w:eastAsia="宋体"/>
                      <w:color w:val="auto"/>
                      <w:sz w:val="21"/>
                      <w:szCs w:val="21"/>
                    </w:rPr>
                    <w:t>10</w:t>
                  </w:r>
                  <w:r>
                    <w:rPr>
                      <w:rFonts w:hint="default" w:eastAsia="宋体"/>
                      <w:color w:val="auto"/>
                      <w:sz w:val="21"/>
                      <w:szCs w:val="21"/>
                      <w:vertAlign w:val="superscript"/>
                    </w:rPr>
                    <w:t>-7</w:t>
                  </w:r>
                  <w:r>
                    <w:rPr>
                      <w:rFonts w:hint="default" w:eastAsia="宋体"/>
                      <w:color w:val="auto"/>
                      <w:sz w:val="21"/>
                      <w:szCs w:val="21"/>
                    </w:rPr>
                    <w:t>cm/s），或至少2mm厚高密度聚乙烯膜等人工防渗材料（渗透系数</w:t>
                  </w:r>
                  <w:r>
                    <w:rPr>
                      <w:rFonts w:eastAsia="宋体"/>
                      <w:color w:val="auto"/>
                      <w:sz w:val="21"/>
                      <w:szCs w:val="21"/>
                    </w:rPr>
                    <w:t>≤</w:t>
                  </w:r>
                  <w:r>
                    <w:rPr>
                      <w:rFonts w:hint="default" w:eastAsia="宋体"/>
                      <w:color w:val="auto"/>
                      <w:sz w:val="21"/>
                      <w:szCs w:val="21"/>
                    </w:rPr>
                    <w:t>10</w:t>
                  </w:r>
                  <w:r>
                    <w:rPr>
                      <w:rFonts w:hint="default" w:eastAsia="宋体"/>
                      <w:color w:val="auto"/>
                      <w:sz w:val="21"/>
                      <w:szCs w:val="21"/>
                      <w:vertAlign w:val="superscript"/>
                    </w:rPr>
                    <w:t>-10</w:t>
                  </w:r>
                  <w:r>
                    <w:rPr>
                      <w:rFonts w:hint="default" w:eastAsia="宋体"/>
                      <w:color w:val="auto"/>
                      <w:sz w:val="21"/>
                      <w:szCs w:val="21"/>
                    </w:rPr>
                    <w:t>cm/s），或其他防渗性能等效的材料。</w:t>
                  </w:r>
                </w:p>
              </w:tc>
              <w:tc>
                <w:tcPr>
                  <w:tcW w:w="565" w:type="pct"/>
                  <w:tcBorders>
                    <w:top w:val="single" w:color="auto" w:sz="4" w:space="0"/>
                    <w:left w:val="single" w:color="auto" w:sz="4" w:space="0"/>
                    <w:bottom w:val="single" w:color="auto" w:sz="4" w:space="0"/>
                    <w:right w:val="single" w:color="auto" w:sz="4" w:space="0"/>
                    <w:tl2br w:val="nil"/>
                    <w:tr2bl w:val="nil"/>
                  </w:tcBorders>
                  <w:vAlign w:val="center"/>
                </w:tcPr>
                <w:p w14:paraId="13209CD2">
                  <w:pPr>
                    <w:spacing w:line="240" w:lineRule="auto"/>
                    <w:ind w:firstLine="0" w:firstLineChars="0"/>
                    <w:rPr>
                      <w:rFonts w:hint="default"/>
                      <w:color w:val="auto"/>
                      <w:sz w:val="21"/>
                      <w:szCs w:val="21"/>
                    </w:rPr>
                  </w:pPr>
                  <w:r>
                    <w:rPr>
                      <w:rFonts w:hint="default" w:eastAsia="宋体"/>
                      <w:color w:val="auto"/>
                      <w:sz w:val="21"/>
                      <w:szCs w:val="21"/>
                    </w:rPr>
                    <w:t>符合</w:t>
                  </w:r>
                </w:p>
              </w:tc>
            </w:tr>
            <w:tr w14:paraId="122F2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trPr>
              <w:tc>
                <w:tcPr>
                  <w:tcW w:w="553" w:type="pct"/>
                  <w:tcBorders>
                    <w:top w:val="single" w:color="auto" w:sz="4" w:space="0"/>
                    <w:left w:val="single" w:color="auto" w:sz="4" w:space="0"/>
                    <w:bottom w:val="single" w:color="auto" w:sz="4" w:space="0"/>
                    <w:right w:val="single" w:color="auto" w:sz="4" w:space="0"/>
                    <w:tl2br w:val="nil"/>
                    <w:tr2bl w:val="nil"/>
                  </w:tcBorders>
                  <w:vAlign w:val="center"/>
                </w:tcPr>
                <w:p w14:paraId="75A44998">
                  <w:pPr>
                    <w:spacing w:line="240" w:lineRule="auto"/>
                    <w:ind w:firstLine="0" w:firstLineChars="0"/>
                    <w:rPr>
                      <w:rFonts w:hint="default"/>
                      <w:color w:val="auto"/>
                      <w:sz w:val="21"/>
                      <w:szCs w:val="21"/>
                    </w:rPr>
                  </w:pPr>
                  <w:r>
                    <w:rPr>
                      <w:rFonts w:hint="eastAsia" w:eastAsia="宋体"/>
                      <w:color w:val="auto"/>
                      <w:sz w:val="21"/>
                      <w:szCs w:val="21"/>
                      <w:lang w:val="en-US" w:eastAsia="zh-CN"/>
                    </w:rPr>
                    <w:t>6</w:t>
                  </w:r>
                  <w:r>
                    <w:rPr>
                      <w:rFonts w:hint="default"/>
                      <w:color w:val="auto"/>
                      <w:sz w:val="21"/>
                      <w:szCs w:val="21"/>
                    </w:rPr>
                    <w:t>.1.2</w:t>
                  </w:r>
                </w:p>
              </w:tc>
              <w:tc>
                <w:tcPr>
                  <w:tcW w:w="1912" w:type="pct"/>
                  <w:tcBorders>
                    <w:top w:val="single" w:color="auto" w:sz="4" w:space="0"/>
                    <w:left w:val="single" w:color="auto" w:sz="4" w:space="0"/>
                    <w:bottom w:val="single" w:color="auto" w:sz="4" w:space="0"/>
                    <w:right w:val="single" w:color="auto" w:sz="4" w:space="0"/>
                    <w:tl2br w:val="nil"/>
                    <w:tr2bl w:val="nil"/>
                  </w:tcBorders>
                  <w:vAlign w:val="center"/>
                </w:tcPr>
                <w:p w14:paraId="77D8C710">
                  <w:pPr>
                    <w:spacing w:line="240" w:lineRule="auto"/>
                    <w:ind w:firstLine="0" w:firstLineChars="0"/>
                    <w:rPr>
                      <w:rFonts w:hint="default"/>
                      <w:color w:val="auto"/>
                      <w:sz w:val="21"/>
                      <w:szCs w:val="21"/>
                    </w:rPr>
                  </w:pPr>
                  <w:r>
                    <w:rPr>
                      <w:rFonts w:hint="default" w:eastAsia="宋体"/>
                      <w:color w:val="auto"/>
                      <w:sz w:val="21"/>
                      <w:szCs w:val="21"/>
                    </w:rPr>
                    <w:t>贮存设施应根据危险废物的类别、数量、形态、物理化学性质和污染防治等要求设置必要的贮存分区，避免不相容的危险废物接触、混合。</w:t>
                  </w:r>
                </w:p>
              </w:tc>
              <w:tc>
                <w:tcPr>
                  <w:tcW w:w="1968" w:type="pct"/>
                  <w:tcBorders>
                    <w:top w:val="single" w:color="auto" w:sz="4" w:space="0"/>
                    <w:left w:val="single" w:color="auto" w:sz="4" w:space="0"/>
                    <w:bottom w:val="single" w:color="auto" w:sz="4" w:space="0"/>
                    <w:right w:val="single" w:color="auto" w:sz="4" w:space="0"/>
                    <w:tl2br w:val="nil"/>
                    <w:tr2bl w:val="nil"/>
                  </w:tcBorders>
                  <w:vAlign w:val="center"/>
                </w:tcPr>
                <w:p w14:paraId="387679E2">
                  <w:pPr>
                    <w:spacing w:line="240" w:lineRule="auto"/>
                    <w:ind w:firstLine="0" w:firstLineChars="0"/>
                    <w:rPr>
                      <w:rFonts w:hint="default"/>
                      <w:color w:val="auto"/>
                      <w:sz w:val="21"/>
                      <w:szCs w:val="21"/>
                    </w:rPr>
                  </w:pPr>
                  <w:r>
                    <w:rPr>
                      <w:rFonts w:hint="default" w:eastAsia="宋体"/>
                      <w:color w:val="auto"/>
                      <w:sz w:val="21"/>
                      <w:szCs w:val="21"/>
                    </w:rPr>
                    <w:t>本项目各类危险废物分区暂存。</w:t>
                  </w:r>
                </w:p>
              </w:tc>
              <w:tc>
                <w:tcPr>
                  <w:tcW w:w="565" w:type="pct"/>
                  <w:tcBorders>
                    <w:top w:val="single" w:color="auto" w:sz="4" w:space="0"/>
                    <w:left w:val="single" w:color="auto" w:sz="4" w:space="0"/>
                    <w:bottom w:val="single" w:color="auto" w:sz="4" w:space="0"/>
                    <w:right w:val="single" w:color="auto" w:sz="4" w:space="0"/>
                    <w:tl2br w:val="nil"/>
                    <w:tr2bl w:val="nil"/>
                  </w:tcBorders>
                  <w:vAlign w:val="center"/>
                </w:tcPr>
                <w:p w14:paraId="2101CB79">
                  <w:pPr>
                    <w:spacing w:line="240" w:lineRule="auto"/>
                    <w:ind w:firstLine="0" w:firstLineChars="0"/>
                    <w:rPr>
                      <w:rFonts w:hint="default"/>
                      <w:color w:val="auto"/>
                      <w:sz w:val="21"/>
                      <w:szCs w:val="21"/>
                    </w:rPr>
                  </w:pPr>
                  <w:r>
                    <w:rPr>
                      <w:rFonts w:hint="default" w:eastAsia="宋体"/>
                      <w:color w:val="auto"/>
                      <w:sz w:val="21"/>
                      <w:szCs w:val="21"/>
                    </w:rPr>
                    <w:t>符合</w:t>
                  </w:r>
                </w:p>
              </w:tc>
            </w:tr>
            <w:tr w14:paraId="49B52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53" w:type="pct"/>
                  <w:tcBorders>
                    <w:top w:val="single" w:color="auto" w:sz="4" w:space="0"/>
                    <w:left w:val="single" w:color="auto" w:sz="4" w:space="0"/>
                    <w:bottom w:val="single" w:color="auto" w:sz="4" w:space="0"/>
                    <w:right w:val="single" w:color="auto" w:sz="4" w:space="0"/>
                    <w:tl2br w:val="nil"/>
                    <w:tr2bl w:val="nil"/>
                  </w:tcBorders>
                  <w:vAlign w:val="center"/>
                </w:tcPr>
                <w:p w14:paraId="48860F17">
                  <w:pPr>
                    <w:spacing w:line="240" w:lineRule="auto"/>
                    <w:ind w:firstLine="0" w:firstLineChars="0"/>
                    <w:rPr>
                      <w:rFonts w:hint="default"/>
                      <w:color w:val="auto"/>
                      <w:sz w:val="21"/>
                      <w:szCs w:val="21"/>
                    </w:rPr>
                  </w:pPr>
                  <w:r>
                    <w:rPr>
                      <w:rFonts w:hint="eastAsia" w:eastAsia="宋体"/>
                      <w:color w:val="auto"/>
                      <w:sz w:val="21"/>
                      <w:szCs w:val="21"/>
                      <w:lang w:val="en-US" w:eastAsia="zh-CN"/>
                    </w:rPr>
                    <w:t>6</w:t>
                  </w:r>
                  <w:r>
                    <w:rPr>
                      <w:rFonts w:hint="default"/>
                      <w:color w:val="auto"/>
                      <w:sz w:val="21"/>
                      <w:szCs w:val="21"/>
                    </w:rPr>
                    <w:t>.1.3</w:t>
                  </w:r>
                </w:p>
              </w:tc>
              <w:tc>
                <w:tcPr>
                  <w:tcW w:w="1912" w:type="pct"/>
                  <w:tcBorders>
                    <w:top w:val="single" w:color="auto" w:sz="4" w:space="0"/>
                    <w:left w:val="single" w:color="auto" w:sz="4" w:space="0"/>
                    <w:bottom w:val="single" w:color="auto" w:sz="4" w:space="0"/>
                    <w:right w:val="single" w:color="auto" w:sz="4" w:space="0"/>
                    <w:tl2br w:val="nil"/>
                    <w:tr2bl w:val="nil"/>
                  </w:tcBorders>
                  <w:vAlign w:val="center"/>
                </w:tcPr>
                <w:p w14:paraId="23256549">
                  <w:pPr>
                    <w:spacing w:line="240" w:lineRule="auto"/>
                    <w:ind w:firstLine="0" w:firstLineChars="0"/>
                    <w:rPr>
                      <w:rFonts w:hint="default"/>
                      <w:color w:val="auto"/>
                      <w:sz w:val="21"/>
                      <w:szCs w:val="21"/>
                    </w:rPr>
                  </w:pPr>
                  <w:r>
                    <w:rPr>
                      <w:rFonts w:hint="default" w:eastAsia="宋体"/>
                      <w:color w:val="auto"/>
                      <w:sz w:val="21"/>
                      <w:szCs w:val="21"/>
                    </w:rPr>
                    <w:t>贮存设施或贮存分区内地面、墙面裙脚、堵截泄漏的裙脚、接触危险废物的隔板和墙体等应采用坚固的材料建造，表面无裂缝。</w:t>
                  </w:r>
                </w:p>
              </w:tc>
              <w:tc>
                <w:tcPr>
                  <w:tcW w:w="1968" w:type="pct"/>
                  <w:vMerge w:val="restart"/>
                  <w:tcBorders>
                    <w:top w:val="single" w:color="auto" w:sz="4" w:space="0"/>
                    <w:left w:val="single" w:color="auto" w:sz="4" w:space="0"/>
                    <w:bottom w:val="single" w:color="auto" w:sz="4" w:space="0"/>
                    <w:right w:val="single" w:color="auto" w:sz="4" w:space="0"/>
                    <w:tl2br w:val="nil"/>
                    <w:tr2bl w:val="nil"/>
                  </w:tcBorders>
                  <w:vAlign w:val="center"/>
                </w:tcPr>
                <w:p w14:paraId="1FE22632">
                  <w:pPr>
                    <w:spacing w:line="240" w:lineRule="auto"/>
                    <w:ind w:firstLine="0" w:firstLineChars="0"/>
                    <w:rPr>
                      <w:rFonts w:hint="default" w:eastAsia="宋体"/>
                      <w:color w:val="auto"/>
                      <w:sz w:val="21"/>
                      <w:szCs w:val="21"/>
                    </w:rPr>
                  </w:pPr>
                  <w:r>
                    <w:rPr>
                      <w:rFonts w:hint="default" w:eastAsia="宋体"/>
                      <w:color w:val="auto"/>
                      <w:sz w:val="21"/>
                      <w:szCs w:val="21"/>
                    </w:rPr>
                    <w:t>全封闭砖混结构危险废物贮存库</w:t>
                  </w:r>
                  <w:r>
                    <w:rPr>
                      <w:rFonts w:hint="default"/>
                      <w:color w:val="auto"/>
                      <w:sz w:val="21"/>
                      <w:szCs w:val="21"/>
                    </w:rPr>
                    <w:t>1</w:t>
                  </w:r>
                  <w:r>
                    <w:rPr>
                      <w:rFonts w:hint="default" w:eastAsia="宋体"/>
                      <w:color w:val="auto"/>
                      <w:sz w:val="21"/>
                      <w:szCs w:val="21"/>
                    </w:rPr>
                    <w:t>座，建筑面积为</w:t>
                  </w:r>
                  <w:r>
                    <w:rPr>
                      <w:rFonts w:hint="eastAsia" w:eastAsia="宋体"/>
                      <w:color w:val="auto"/>
                      <w:sz w:val="21"/>
                      <w:szCs w:val="21"/>
                      <w:lang w:eastAsia="zh-CN"/>
                    </w:rPr>
                    <w:t>21.6</w:t>
                  </w:r>
                  <w:r>
                    <w:rPr>
                      <w:rFonts w:hint="default" w:eastAsia="宋体"/>
                      <w:color w:val="auto"/>
                      <w:sz w:val="21"/>
                      <w:szCs w:val="21"/>
                    </w:rPr>
                    <w:t>㎡，防风、防雨、防晒、</w:t>
                  </w:r>
                  <w:r>
                    <w:rPr>
                      <w:rFonts w:hint="default" w:ascii="Times New Roman" w:hAnsi="Times New Roman" w:eastAsia="宋体" w:cs="Times New Roman"/>
                      <w:color w:val="auto"/>
                      <w:sz w:val="21"/>
                      <w:szCs w:val="21"/>
                    </w:rPr>
                    <w:t>防渗漏的封闭彩钢库房。内设</w:t>
                  </w:r>
                  <w:r>
                    <w:rPr>
                      <w:rFonts w:hint="eastAsia" w:eastAsia="宋体" w:cs="Times New Roman"/>
                      <w:color w:val="auto"/>
                      <w:sz w:val="21"/>
                      <w:szCs w:val="21"/>
                      <w:lang w:eastAsia="zh-CN"/>
                    </w:rPr>
                    <w:t>4个分区</w:t>
                  </w:r>
                  <w:r>
                    <w:rPr>
                      <w:rFonts w:hint="default" w:ascii="Times New Roman" w:hAnsi="Times New Roman" w:eastAsia="宋体" w:cs="Times New Roman"/>
                      <w:color w:val="auto"/>
                      <w:sz w:val="21"/>
                      <w:szCs w:val="21"/>
                    </w:rPr>
                    <w:t>，采用隔墙进行隔离，分别暂存，四周设置导流渠，导流渠宽200mm</w:t>
                  </w:r>
                  <w:r>
                    <w:rPr>
                      <w:rFonts w:hint="default" w:eastAsia="宋体"/>
                      <w:color w:val="auto"/>
                      <w:sz w:val="21"/>
                      <w:szCs w:val="21"/>
                    </w:rPr>
                    <w:t>，深2</w:t>
                  </w:r>
                  <w:r>
                    <w:rPr>
                      <w:rFonts w:hint="default"/>
                      <w:color w:val="auto"/>
                      <w:sz w:val="21"/>
                      <w:szCs w:val="21"/>
                    </w:rPr>
                    <w:t>00mm</w:t>
                  </w:r>
                  <w:r>
                    <w:rPr>
                      <w:rFonts w:hint="default" w:eastAsia="宋体"/>
                      <w:color w:val="auto"/>
                      <w:sz w:val="21"/>
                      <w:szCs w:val="21"/>
                    </w:rPr>
                    <w:t>，内设1</w:t>
                  </w:r>
                  <w:r>
                    <w:rPr>
                      <w:rFonts w:hint="default"/>
                      <w:color w:val="auto"/>
                      <w:sz w:val="21"/>
                      <w:szCs w:val="21"/>
                    </w:rPr>
                    <w:t>m³</w:t>
                  </w:r>
                  <w:r>
                    <w:rPr>
                      <w:rFonts w:hint="default" w:eastAsia="宋体"/>
                      <w:color w:val="auto"/>
                      <w:sz w:val="21"/>
                      <w:szCs w:val="21"/>
                    </w:rPr>
                    <w:t>的四周墙面设置300mm高的裙脚；导流渠、集液池、裙脚防渗措施与地面相同，在地面与裙脚施工过</w:t>
                  </w:r>
                  <w:r>
                    <w:rPr>
                      <w:rFonts w:hint="eastAsia" w:eastAsia="宋体"/>
                      <w:color w:val="auto"/>
                      <w:sz w:val="21"/>
                      <w:szCs w:val="21"/>
                      <w:lang w:eastAsia="zh-CN"/>
                    </w:rPr>
                    <w:t>程中</w:t>
                  </w:r>
                  <w:r>
                    <w:rPr>
                      <w:rFonts w:hint="default" w:eastAsia="宋体"/>
                      <w:color w:val="auto"/>
                      <w:sz w:val="21"/>
                      <w:szCs w:val="21"/>
                    </w:rPr>
                    <w:t>注意地面与墙体接缝处的严密衔接；收集事故情况下</w:t>
                  </w:r>
                  <w:r>
                    <w:rPr>
                      <w:rFonts w:eastAsia="宋体"/>
                      <w:color w:val="auto"/>
                      <w:sz w:val="21"/>
                      <w:szCs w:val="21"/>
                    </w:rPr>
                    <w:t>泄漏</w:t>
                  </w:r>
                  <w:r>
                    <w:rPr>
                      <w:rFonts w:hint="default" w:eastAsia="宋体"/>
                      <w:color w:val="auto"/>
                      <w:sz w:val="21"/>
                      <w:szCs w:val="21"/>
                    </w:rPr>
                    <w:t>的废矿物油，导流渠沿内墙墙壁布置，与集液池连通。导流渠、集液池采取与地面相同防渗措施，防渗措施：防渗层为至少1m厚黏土层（渗透系数</w:t>
                  </w:r>
                  <w:r>
                    <w:rPr>
                      <w:rFonts w:eastAsia="宋体"/>
                      <w:color w:val="auto"/>
                      <w:sz w:val="21"/>
                      <w:szCs w:val="21"/>
                    </w:rPr>
                    <w:t>≤</w:t>
                  </w:r>
                  <w:r>
                    <w:rPr>
                      <w:rFonts w:hint="default" w:eastAsia="宋体"/>
                      <w:color w:val="auto"/>
                      <w:sz w:val="21"/>
                      <w:szCs w:val="21"/>
                    </w:rPr>
                    <w:t>10</w:t>
                  </w:r>
                  <w:r>
                    <w:rPr>
                      <w:rFonts w:hint="default" w:eastAsia="宋体"/>
                      <w:color w:val="auto"/>
                      <w:sz w:val="21"/>
                      <w:szCs w:val="21"/>
                      <w:vertAlign w:val="superscript"/>
                    </w:rPr>
                    <w:t>-7</w:t>
                  </w:r>
                  <w:r>
                    <w:rPr>
                      <w:rFonts w:hint="default" w:eastAsia="宋体"/>
                      <w:color w:val="auto"/>
                      <w:sz w:val="21"/>
                      <w:szCs w:val="21"/>
                    </w:rPr>
                    <w:t>cm/s），或至少2mm厚高密度聚乙烯膜等人工防渗材料（渗透系数</w:t>
                  </w:r>
                  <w:r>
                    <w:rPr>
                      <w:rFonts w:eastAsia="宋体"/>
                      <w:color w:val="auto"/>
                      <w:sz w:val="21"/>
                      <w:szCs w:val="21"/>
                    </w:rPr>
                    <w:t>≤</w:t>
                  </w:r>
                  <w:r>
                    <w:rPr>
                      <w:rFonts w:hint="default" w:eastAsia="宋体"/>
                      <w:color w:val="auto"/>
                      <w:sz w:val="21"/>
                      <w:szCs w:val="21"/>
                    </w:rPr>
                    <w:t>10</w:t>
                  </w:r>
                  <w:r>
                    <w:rPr>
                      <w:rFonts w:hint="default" w:eastAsia="宋体"/>
                      <w:color w:val="auto"/>
                      <w:sz w:val="21"/>
                      <w:szCs w:val="21"/>
                      <w:vertAlign w:val="superscript"/>
                    </w:rPr>
                    <w:t>-10</w:t>
                  </w:r>
                  <w:r>
                    <w:rPr>
                      <w:rFonts w:hint="default" w:eastAsia="宋体"/>
                      <w:color w:val="auto"/>
                      <w:sz w:val="21"/>
                      <w:szCs w:val="21"/>
                    </w:rPr>
                    <w:t>cm/s），或其他防渗性能等效的材料。</w:t>
                  </w:r>
                </w:p>
              </w:tc>
              <w:tc>
                <w:tcPr>
                  <w:tcW w:w="565" w:type="pct"/>
                  <w:tcBorders>
                    <w:top w:val="single" w:color="auto" w:sz="4" w:space="0"/>
                    <w:left w:val="single" w:color="auto" w:sz="4" w:space="0"/>
                    <w:bottom w:val="single" w:color="auto" w:sz="4" w:space="0"/>
                    <w:right w:val="single" w:color="auto" w:sz="4" w:space="0"/>
                    <w:tl2br w:val="nil"/>
                    <w:tr2bl w:val="nil"/>
                  </w:tcBorders>
                  <w:vAlign w:val="center"/>
                </w:tcPr>
                <w:p w14:paraId="65F0E527">
                  <w:pPr>
                    <w:spacing w:line="240" w:lineRule="auto"/>
                    <w:ind w:firstLine="0" w:firstLineChars="0"/>
                    <w:rPr>
                      <w:rFonts w:hint="default"/>
                      <w:color w:val="auto"/>
                      <w:sz w:val="21"/>
                      <w:szCs w:val="21"/>
                    </w:rPr>
                  </w:pPr>
                  <w:r>
                    <w:rPr>
                      <w:rFonts w:hint="default" w:eastAsia="宋体"/>
                      <w:color w:val="auto"/>
                      <w:sz w:val="21"/>
                      <w:szCs w:val="21"/>
                    </w:rPr>
                    <w:t>符合</w:t>
                  </w:r>
                </w:p>
              </w:tc>
            </w:tr>
            <w:tr w14:paraId="5113D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3" w:type="pct"/>
                  <w:tcBorders>
                    <w:top w:val="single" w:color="auto" w:sz="4" w:space="0"/>
                    <w:left w:val="single" w:color="auto" w:sz="4" w:space="0"/>
                    <w:bottom w:val="single" w:color="auto" w:sz="4" w:space="0"/>
                    <w:right w:val="single" w:color="auto" w:sz="4" w:space="0"/>
                    <w:tl2br w:val="nil"/>
                    <w:tr2bl w:val="nil"/>
                  </w:tcBorders>
                  <w:vAlign w:val="center"/>
                </w:tcPr>
                <w:p w14:paraId="1130F94F">
                  <w:pPr>
                    <w:spacing w:line="240" w:lineRule="auto"/>
                    <w:ind w:firstLine="0" w:firstLineChars="0"/>
                    <w:rPr>
                      <w:rFonts w:hint="default"/>
                      <w:color w:val="auto"/>
                      <w:sz w:val="21"/>
                      <w:szCs w:val="21"/>
                    </w:rPr>
                  </w:pPr>
                  <w:r>
                    <w:rPr>
                      <w:rFonts w:hint="eastAsia" w:eastAsia="宋体"/>
                      <w:color w:val="auto"/>
                      <w:sz w:val="21"/>
                      <w:szCs w:val="21"/>
                      <w:lang w:val="en-US" w:eastAsia="zh-CN"/>
                    </w:rPr>
                    <w:t>6</w:t>
                  </w:r>
                  <w:r>
                    <w:rPr>
                      <w:rFonts w:hint="default"/>
                      <w:color w:val="auto"/>
                      <w:sz w:val="21"/>
                      <w:szCs w:val="21"/>
                    </w:rPr>
                    <w:t>.1.4</w:t>
                  </w:r>
                </w:p>
              </w:tc>
              <w:tc>
                <w:tcPr>
                  <w:tcW w:w="1912" w:type="pct"/>
                  <w:tcBorders>
                    <w:top w:val="single" w:color="auto" w:sz="4" w:space="0"/>
                    <w:left w:val="single" w:color="auto" w:sz="4" w:space="0"/>
                    <w:bottom w:val="single" w:color="auto" w:sz="4" w:space="0"/>
                    <w:right w:val="single" w:color="auto" w:sz="4" w:space="0"/>
                    <w:tl2br w:val="nil"/>
                    <w:tr2bl w:val="nil"/>
                  </w:tcBorders>
                  <w:vAlign w:val="center"/>
                </w:tcPr>
                <w:p w14:paraId="29EE2DFE">
                  <w:pPr>
                    <w:spacing w:line="240" w:lineRule="auto"/>
                    <w:ind w:firstLine="0" w:firstLineChars="0"/>
                    <w:rPr>
                      <w:rFonts w:hint="default"/>
                      <w:color w:val="auto"/>
                      <w:sz w:val="21"/>
                      <w:szCs w:val="21"/>
                    </w:rPr>
                  </w:pPr>
                  <w:r>
                    <w:rPr>
                      <w:rFonts w:hint="default" w:eastAsia="宋体"/>
                      <w:color w:val="auto"/>
                      <w:sz w:val="21"/>
                      <w:szCs w:val="21"/>
                    </w:rPr>
                    <w:t>贮存设施地面与裙脚应采取表面防渗措施；表面防渗材料应与所接触的物料或污染物相容，可采用抗渗混凝土、高密度聚乙烯膜、钠基膨润土防水毯或其他防渗性能等效的材料。贮存的危险废物直接接触地面的，还应进行基础防渗，防渗层为至少1m厚黏土层（渗透系数</w:t>
                  </w:r>
                  <w:r>
                    <w:rPr>
                      <w:rFonts w:eastAsia="宋体"/>
                      <w:color w:val="auto"/>
                      <w:sz w:val="21"/>
                      <w:szCs w:val="21"/>
                    </w:rPr>
                    <w:t>≤</w:t>
                  </w:r>
                  <w:r>
                    <w:rPr>
                      <w:rFonts w:hint="default" w:eastAsia="宋体"/>
                      <w:color w:val="auto"/>
                      <w:sz w:val="21"/>
                      <w:szCs w:val="21"/>
                    </w:rPr>
                    <w:t>10</w:t>
                  </w:r>
                  <w:r>
                    <w:rPr>
                      <w:rFonts w:hint="default"/>
                      <w:color w:val="auto"/>
                      <w:sz w:val="21"/>
                      <w:szCs w:val="21"/>
                      <w:vertAlign w:val="superscript"/>
                    </w:rPr>
                    <w:t>-7</w:t>
                  </w:r>
                  <w:r>
                    <w:rPr>
                      <w:rFonts w:hint="default"/>
                      <w:color w:val="auto"/>
                      <w:sz w:val="21"/>
                      <w:szCs w:val="21"/>
                    </w:rPr>
                    <w:t>cm/s</w:t>
                  </w:r>
                  <w:r>
                    <w:rPr>
                      <w:rFonts w:hint="default" w:eastAsia="宋体"/>
                      <w:color w:val="auto"/>
                      <w:sz w:val="21"/>
                      <w:szCs w:val="21"/>
                    </w:rPr>
                    <w:t>），或至少2mm厚高密度聚乙烯膜等人工防渗材料（渗透系数</w:t>
                  </w:r>
                  <w:r>
                    <w:rPr>
                      <w:rFonts w:eastAsia="宋体"/>
                      <w:color w:val="auto"/>
                      <w:sz w:val="21"/>
                      <w:szCs w:val="21"/>
                    </w:rPr>
                    <w:t>≤</w:t>
                  </w:r>
                  <w:r>
                    <w:rPr>
                      <w:rFonts w:hint="default" w:eastAsia="宋体"/>
                      <w:color w:val="auto"/>
                      <w:sz w:val="21"/>
                      <w:szCs w:val="21"/>
                    </w:rPr>
                    <w:t>10</w:t>
                  </w:r>
                  <w:r>
                    <w:rPr>
                      <w:rFonts w:hint="default"/>
                      <w:color w:val="auto"/>
                      <w:sz w:val="21"/>
                      <w:szCs w:val="21"/>
                      <w:vertAlign w:val="superscript"/>
                    </w:rPr>
                    <w:t>-10</w:t>
                  </w:r>
                  <w:r>
                    <w:rPr>
                      <w:rFonts w:hint="default"/>
                      <w:color w:val="auto"/>
                      <w:sz w:val="21"/>
                      <w:szCs w:val="21"/>
                    </w:rPr>
                    <w:t>cm/s</w:t>
                  </w:r>
                  <w:r>
                    <w:rPr>
                      <w:rFonts w:hint="default" w:eastAsia="宋体"/>
                      <w:color w:val="auto"/>
                      <w:sz w:val="21"/>
                      <w:szCs w:val="21"/>
                    </w:rPr>
                    <w:t>），或其他防渗性能等效的材料。</w:t>
                  </w:r>
                </w:p>
              </w:tc>
              <w:tc>
                <w:tcPr>
                  <w:tcW w:w="1968" w:type="pct"/>
                  <w:vMerge w:val="continue"/>
                  <w:tcBorders>
                    <w:top w:val="single" w:color="auto" w:sz="4" w:space="0"/>
                    <w:left w:val="single" w:color="auto" w:sz="4" w:space="0"/>
                    <w:bottom w:val="single" w:color="auto" w:sz="4" w:space="0"/>
                    <w:right w:val="single" w:color="auto" w:sz="4" w:space="0"/>
                    <w:tl2br w:val="nil"/>
                    <w:tr2bl w:val="nil"/>
                  </w:tcBorders>
                  <w:vAlign w:val="center"/>
                </w:tcPr>
                <w:p w14:paraId="003AE886">
                  <w:pPr>
                    <w:spacing w:line="240" w:lineRule="auto"/>
                    <w:ind w:firstLine="0" w:firstLineChars="0"/>
                    <w:rPr>
                      <w:rFonts w:hint="default"/>
                      <w:color w:val="auto"/>
                      <w:sz w:val="21"/>
                      <w:szCs w:val="21"/>
                    </w:rPr>
                  </w:pPr>
                </w:p>
              </w:tc>
              <w:tc>
                <w:tcPr>
                  <w:tcW w:w="565" w:type="pct"/>
                  <w:tcBorders>
                    <w:top w:val="single" w:color="auto" w:sz="4" w:space="0"/>
                    <w:left w:val="single" w:color="auto" w:sz="4" w:space="0"/>
                    <w:bottom w:val="single" w:color="auto" w:sz="4" w:space="0"/>
                    <w:right w:val="single" w:color="auto" w:sz="4" w:space="0"/>
                    <w:tl2br w:val="nil"/>
                    <w:tr2bl w:val="nil"/>
                  </w:tcBorders>
                  <w:vAlign w:val="center"/>
                </w:tcPr>
                <w:p w14:paraId="2E448A30">
                  <w:pPr>
                    <w:spacing w:line="240" w:lineRule="auto"/>
                    <w:ind w:firstLine="0" w:firstLineChars="0"/>
                    <w:rPr>
                      <w:rFonts w:hint="default"/>
                      <w:color w:val="auto"/>
                      <w:sz w:val="21"/>
                      <w:szCs w:val="21"/>
                    </w:rPr>
                  </w:pPr>
                  <w:r>
                    <w:rPr>
                      <w:rFonts w:hint="default" w:eastAsia="宋体"/>
                      <w:color w:val="auto"/>
                      <w:sz w:val="21"/>
                      <w:szCs w:val="21"/>
                    </w:rPr>
                    <w:t>符合</w:t>
                  </w:r>
                </w:p>
              </w:tc>
            </w:tr>
            <w:tr w14:paraId="615D9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4" w:hRule="atLeast"/>
              </w:trPr>
              <w:tc>
                <w:tcPr>
                  <w:tcW w:w="553" w:type="pct"/>
                  <w:tcBorders>
                    <w:top w:val="single" w:color="auto" w:sz="4" w:space="0"/>
                    <w:left w:val="single" w:color="auto" w:sz="4" w:space="0"/>
                    <w:bottom w:val="single" w:color="auto" w:sz="4" w:space="0"/>
                    <w:right w:val="single" w:color="auto" w:sz="4" w:space="0"/>
                    <w:tl2br w:val="nil"/>
                    <w:tr2bl w:val="nil"/>
                  </w:tcBorders>
                  <w:vAlign w:val="center"/>
                </w:tcPr>
                <w:p w14:paraId="326A0B8B">
                  <w:pPr>
                    <w:spacing w:line="240" w:lineRule="auto"/>
                    <w:ind w:firstLine="0" w:firstLineChars="0"/>
                    <w:rPr>
                      <w:rFonts w:hint="default"/>
                      <w:color w:val="auto"/>
                      <w:sz w:val="21"/>
                      <w:szCs w:val="21"/>
                    </w:rPr>
                  </w:pPr>
                  <w:r>
                    <w:rPr>
                      <w:rFonts w:hint="eastAsia" w:eastAsia="宋体"/>
                      <w:color w:val="auto"/>
                      <w:sz w:val="21"/>
                      <w:szCs w:val="21"/>
                      <w:lang w:val="en-US" w:eastAsia="zh-CN"/>
                    </w:rPr>
                    <w:t>6</w:t>
                  </w:r>
                  <w:r>
                    <w:rPr>
                      <w:rFonts w:hint="default"/>
                      <w:color w:val="auto"/>
                      <w:sz w:val="21"/>
                      <w:szCs w:val="21"/>
                    </w:rPr>
                    <w:t>.1.5</w:t>
                  </w:r>
                </w:p>
              </w:tc>
              <w:tc>
                <w:tcPr>
                  <w:tcW w:w="1912" w:type="pct"/>
                  <w:tcBorders>
                    <w:top w:val="single" w:color="auto" w:sz="4" w:space="0"/>
                    <w:left w:val="single" w:color="auto" w:sz="4" w:space="0"/>
                    <w:bottom w:val="single" w:color="auto" w:sz="4" w:space="0"/>
                    <w:right w:val="single" w:color="auto" w:sz="4" w:space="0"/>
                    <w:tl2br w:val="nil"/>
                    <w:tr2bl w:val="nil"/>
                  </w:tcBorders>
                  <w:vAlign w:val="center"/>
                </w:tcPr>
                <w:p w14:paraId="6FC1CAC3">
                  <w:pPr>
                    <w:spacing w:line="240" w:lineRule="auto"/>
                    <w:ind w:firstLine="0" w:firstLineChars="0"/>
                    <w:rPr>
                      <w:rFonts w:hint="default"/>
                      <w:color w:val="auto"/>
                      <w:sz w:val="21"/>
                      <w:szCs w:val="21"/>
                    </w:rPr>
                  </w:pPr>
                  <w:r>
                    <w:rPr>
                      <w:rFonts w:hint="default" w:eastAsia="宋体"/>
                      <w:color w:val="auto"/>
                      <w:sz w:val="21"/>
                      <w:szCs w:val="21"/>
                    </w:rPr>
                    <w:t>同一贮存设施宜采用相同的防渗、防腐工艺（包括防渗、防腐结构或材料），防渗、防腐材料应覆盖所有可能与废物及其渗滤液、渗漏液等接触的构筑物表面；采用不同防渗、防腐工艺应分别建设贮存分区。</w:t>
                  </w:r>
                </w:p>
              </w:tc>
              <w:tc>
                <w:tcPr>
                  <w:tcW w:w="1968" w:type="pct"/>
                  <w:vMerge w:val="continue"/>
                  <w:tcBorders>
                    <w:top w:val="single" w:color="auto" w:sz="4" w:space="0"/>
                    <w:left w:val="single" w:color="auto" w:sz="4" w:space="0"/>
                    <w:bottom w:val="single" w:color="auto" w:sz="4" w:space="0"/>
                    <w:right w:val="single" w:color="auto" w:sz="4" w:space="0"/>
                    <w:tl2br w:val="nil"/>
                    <w:tr2bl w:val="nil"/>
                  </w:tcBorders>
                  <w:vAlign w:val="center"/>
                </w:tcPr>
                <w:p w14:paraId="598E1824">
                  <w:pPr>
                    <w:spacing w:line="240" w:lineRule="auto"/>
                    <w:ind w:firstLine="0" w:firstLineChars="0"/>
                    <w:rPr>
                      <w:rFonts w:hint="default"/>
                      <w:color w:val="auto"/>
                      <w:sz w:val="21"/>
                      <w:szCs w:val="21"/>
                    </w:rPr>
                  </w:pPr>
                </w:p>
              </w:tc>
              <w:tc>
                <w:tcPr>
                  <w:tcW w:w="565" w:type="pct"/>
                  <w:tcBorders>
                    <w:top w:val="single" w:color="auto" w:sz="4" w:space="0"/>
                    <w:left w:val="single" w:color="auto" w:sz="4" w:space="0"/>
                    <w:bottom w:val="single" w:color="auto" w:sz="4" w:space="0"/>
                    <w:right w:val="single" w:color="auto" w:sz="4" w:space="0"/>
                    <w:tl2br w:val="nil"/>
                    <w:tr2bl w:val="nil"/>
                  </w:tcBorders>
                  <w:vAlign w:val="center"/>
                </w:tcPr>
                <w:p w14:paraId="612DDD62">
                  <w:pPr>
                    <w:spacing w:line="240" w:lineRule="auto"/>
                    <w:ind w:firstLine="0" w:firstLineChars="0"/>
                    <w:rPr>
                      <w:rFonts w:hint="default"/>
                      <w:color w:val="auto"/>
                      <w:sz w:val="21"/>
                      <w:szCs w:val="21"/>
                    </w:rPr>
                  </w:pPr>
                  <w:r>
                    <w:rPr>
                      <w:rFonts w:hint="default" w:eastAsia="宋体"/>
                      <w:color w:val="auto"/>
                      <w:sz w:val="21"/>
                      <w:szCs w:val="21"/>
                    </w:rPr>
                    <w:t>符合</w:t>
                  </w:r>
                </w:p>
              </w:tc>
            </w:tr>
            <w:tr w14:paraId="7F68E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trPr>
              <w:tc>
                <w:tcPr>
                  <w:tcW w:w="553" w:type="pct"/>
                  <w:tcBorders>
                    <w:top w:val="single" w:color="auto" w:sz="4" w:space="0"/>
                    <w:left w:val="single" w:color="auto" w:sz="4" w:space="0"/>
                    <w:bottom w:val="single" w:color="auto" w:sz="4" w:space="0"/>
                    <w:right w:val="single" w:color="auto" w:sz="4" w:space="0"/>
                    <w:tl2br w:val="nil"/>
                    <w:tr2bl w:val="nil"/>
                  </w:tcBorders>
                  <w:vAlign w:val="center"/>
                </w:tcPr>
                <w:p w14:paraId="087410A2">
                  <w:pPr>
                    <w:spacing w:line="240" w:lineRule="auto"/>
                    <w:ind w:firstLine="0" w:firstLineChars="0"/>
                    <w:rPr>
                      <w:rFonts w:hint="default"/>
                      <w:color w:val="auto"/>
                      <w:sz w:val="21"/>
                      <w:szCs w:val="21"/>
                    </w:rPr>
                  </w:pPr>
                  <w:r>
                    <w:rPr>
                      <w:rFonts w:hint="eastAsia" w:eastAsia="宋体"/>
                      <w:color w:val="auto"/>
                      <w:sz w:val="21"/>
                      <w:szCs w:val="21"/>
                      <w:lang w:val="en-US" w:eastAsia="zh-CN"/>
                    </w:rPr>
                    <w:t>6</w:t>
                  </w:r>
                  <w:r>
                    <w:rPr>
                      <w:rFonts w:hint="default"/>
                      <w:color w:val="auto"/>
                      <w:sz w:val="21"/>
                      <w:szCs w:val="21"/>
                    </w:rPr>
                    <w:t>.1.6</w:t>
                  </w:r>
                </w:p>
              </w:tc>
              <w:tc>
                <w:tcPr>
                  <w:tcW w:w="1912" w:type="pct"/>
                  <w:tcBorders>
                    <w:top w:val="single" w:color="auto" w:sz="4" w:space="0"/>
                    <w:left w:val="single" w:color="auto" w:sz="4" w:space="0"/>
                    <w:bottom w:val="single" w:color="auto" w:sz="4" w:space="0"/>
                    <w:right w:val="single" w:color="auto" w:sz="4" w:space="0"/>
                    <w:tl2br w:val="nil"/>
                    <w:tr2bl w:val="nil"/>
                  </w:tcBorders>
                  <w:vAlign w:val="center"/>
                </w:tcPr>
                <w:p w14:paraId="4FD0F939">
                  <w:pPr>
                    <w:spacing w:line="240" w:lineRule="auto"/>
                    <w:ind w:firstLine="0" w:firstLineChars="0"/>
                    <w:rPr>
                      <w:rFonts w:hint="default"/>
                      <w:color w:val="auto"/>
                      <w:sz w:val="21"/>
                      <w:szCs w:val="21"/>
                    </w:rPr>
                  </w:pPr>
                  <w:r>
                    <w:rPr>
                      <w:rFonts w:hint="default" w:eastAsia="宋体"/>
                      <w:color w:val="auto"/>
                      <w:sz w:val="21"/>
                      <w:szCs w:val="21"/>
                    </w:rPr>
                    <w:t>贮存设施应采取技术和管理措施防止无关人员进入。</w:t>
                  </w:r>
                </w:p>
              </w:tc>
              <w:tc>
                <w:tcPr>
                  <w:tcW w:w="1968" w:type="pct"/>
                  <w:tcBorders>
                    <w:top w:val="single" w:color="auto" w:sz="4" w:space="0"/>
                    <w:left w:val="single" w:color="auto" w:sz="4" w:space="0"/>
                    <w:bottom w:val="single" w:color="auto" w:sz="4" w:space="0"/>
                    <w:right w:val="single" w:color="auto" w:sz="4" w:space="0"/>
                    <w:tl2br w:val="nil"/>
                    <w:tr2bl w:val="nil"/>
                  </w:tcBorders>
                  <w:vAlign w:val="center"/>
                </w:tcPr>
                <w:p w14:paraId="56FD572B">
                  <w:pPr>
                    <w:spacing w:line="240" w:lineRule="auto"/>
                    <w:ind w:firstLine="0" w:firstLineChars="0"/>
                    <w:rPr>
                      <w:rFonts w:hint="default"/>
                      <w:color w:val="auto"/>
                      <w:sz w:val="21"/>
                      <w:szCs w:val="21"/>
                    </w:rPr>
                  </w:pPr>
                  <w:r>
                    <w:rPr>
                      <w:rFonts w:hint="default" w:eastAsia="宋体"/>
                      <w:color w:val="auto"/>
                      <w:sz w:val="21"/>
                      <w:szCs w:val="21"/>
                    </w:rPr>
                    <w:t>本项目设有值班人员及视频监控系统。要求无关人员不得进入。</w:t>
                  </w:r>
                </w:p>
              </w:tc>
              <w:tc>
                <w:tcPr>
                  <w:tcW w:w="565" w:type="pct"/>
                  <w:tcBorders>
                    <w:top w:val="single" w:color="auto" w:sz="4" w:space="0"/>
                    <w:left w:val="single" w:color="auto" w:sz="4" w:space="0"/>
                    <w:bottom w:val="single" w:color="auto" w:sz="4" w:space="0"/>
                    <w:right w:val="single" w:color="auto" w:sz="4" w:space="0"/>
                    <w:tl2br w:val="nil"/>
                    <w:tr2bl w:val="nil"/>
                  </w:tcBorders>
                  <w:vAlign w:val="center"/>
                </w:tcPr>
                <w:p w14:paraId="58EB74C3">
                  <w:pPr>
                    <w:spacing w:line="240" w:lineRule="auto"/>
                    <w:ind w:firstLine="0" w:firstLineChars="0"/>
                    <w:rPr>
                      <w:rFonts w:hint="default"/>
                      <w:color w:val="auto"/>
                      <w:sz w:val="21"/>
                      <w:szCs w:val="21"/>
                    </w:rPr>
                  </w:pPr>
                  <w:r>
                    <w:rPr>
                      <w:rFonts w:hint="default" w:eastAsia="宋体"/>
                      <w:color w:val="auto"/>
                      <w:sz w:val="21"/>
                      <w:szCs w:val="21"/>
                    </w:rPr>
                    <w:t>符合</w:t>
                  </w:r>
                </w:p>
              </w:tc>
            </w:tr>
            <w:tr w14:paraId="0CBDD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00" w:type="pct"/>
                  <w:gridSpan w:val="4"/>
                  <w:tcBorders>
                    <w:top w:val="single" w:color="auto" w:sz="4" w:space="0"/>
                    <w:left w:val="single" w:color="auto" w:sz="4" w:space="0"/>
                    <w:bottom w:val="single" w:color="auto" w:sz="4" w:space="0"/>
                    <w:right w:val="single" w:color="auto" w:sz="4" w:space="0"/>
                    <w:tl2br w:val="nil"/>
                    <w:tr2bl w:val="nil"/>
                  </w:tcBorders>
                  <w:vAlign w:val="center"/>
                </w:tcPr>
                <w:p w14:paraId="015151E9">
                  <w:pPr>
                    <w:spacing w:line="240" w:lineRule="auto"/>
                    <w:ind w:firstLine="0" w:firstLineChars="0"/>
                    <w:rPr>
                      <w:rFonts w:hint="default"/>
                      <w:color w:val="auto"/>
                      <w:sz w:val="21"/>
                      <w:szCs w:val="21"/>
                    </w:rPr>
                  </w:pPr>
                  <w:r>
                    <w:rPr>
                      <w:rFonts w:hint="eastAsia" w:eastAsia="宋体"/>
                      <w:color w:val="auto"/>
                      <w:sz w:val="21"/>
                      <w:szCs w:val="21"/>
                      <w:lang w:val="en-US" w:eastAsia="zh-CN"/>
                    </w:rPr>
                    <w:t>6</w:t>
                  </w:r>
                  <w:r>
                    <w:rPr>
                      <w:rFonts w:hint="default"/>
                      <w:color w:val="auto"/>
                      <w:sz w:val="21"/>
                      <w:szCs w:val="21"/>
                    </w:rPr>
                    <w:t>.2</w:t>
                  </w:r>
                  <w:r>
                    <w:rPr>
                      <w:rFonts w:hint="default" w:eastAsia="宋体"/>
                      <w:color w:val="auto"/>
                      <w:sz w:val="21"/>
                      <w:szCs w:val="21"/>
                    </w:rPr>
                    <w:t>贮存库</w:t>
                  </w:r>
                </w:p>
              </w:tc>
            </w:tr>
            <w:tr w14:paraId="18EB7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 w:hRule="atLeast"/>
              </w:trPr>
              <w:tc>
                <w:tcPr>
                  <w:tcW w:w="553" w:type="pct"/>
                  <w:tcBorders>
                    <w:top w:val="single" w:color="auto" w:sz="4" w:space="0"/>
                    <w:left w:val="single" w:color="auto" w:sz="4" w:space="0"/>
                    <w:bottom w:val="single" w:color="auto" w:sz="4" w:space="0"/>
                    <w:right w:val="single" w:color="auto" w:sz="4" w:space="0"/>
                    <w:tl2br w:val="nil"/>
                    <w:tr2bl w:val="nil"/>
                  </w:tcBorders>
                  <w:vAlign w:val="center"/>
                </w:tcPr>
                <w:p w14:paraId="1D7D3E1C">
                  <w:pPr>
                    <w:spacing w:line="240" w:lineRule="auto"/>
                    <w:ind w:firstLine="0" w:firstLineChars="0"/>
                    <w:rPr>
                      <w:rFonts w:hint="default"/>
                      <w:color w:val="auto"/>
                      <w:sz w:val="21"/>
                      <w:szCs w:val="21"/>
                    </w:rPr>
                  </w:pPr>
                  <w:r>
                    <w:rPr>
                      <w:rFonts w:hint="eastAsia" w:eastAsia="宋体"/>
                      <w:color w:val="auto"/>
                      <w:sz w:val="21"/>
                      <w:szCs w:val="21"/>
                      <w:lang w:val="en-US" w:eastAsia="zh-CN"/>
                    </w:rPr>
                    <w:t>6</w:t>
                  </w:r>
                  <w:r>
                    <w:rPr>
                      <w:rFonts w:hint="default"/>
                      <w:color w:val="auto"/>
                      <w:sz w:val="21"/>
                      <w:szCs w:val="21"/>
                    </w:rPr>
                    <w:t>.2.1</w:t>
                  </w:r>
                </w:p>
              </w:tc>
              <w:tc>
                <w:tcPr>
                  <w:tcW w:w="1912" w:type="pct"/>
                  <w:tcBorders>
                    <w:top w:val="single" w:color="auto" w:sz="4" w:space="0"/>
                    <w:left w:val="single" w:color="auto" w:sz="4" w:space="0"/>
                    <w:bottom w:val="single" w:color="auto" w:sz="4" w:space="0"/>
                    <w:right w:val="single" w:color="auto" w:sz="4" w:space="0"/>
                    <w:tl2br w:val="nil"/>
                    <w:tr2bl w:val="nil"/>
                  </w:tcBorders>
                  <w:vAlign w:val="center"/>
                </w:tcPr>
                <w:p w14:paraId="66DD812D">
                  <w:pPr>
                    <w:spacing w:line="240" w:lineRule="auto"/>
                    <w:ind w:firstLine="0" w:firstLineChars="0"/>
                    <w:rPr>
                      <w:rFonts w:hint="default"/>
                      <w:color w:val="auto"/>
                      <w:sz w:val="21"/>
                      <w:szCs w:val="21"/>
                    </w:rPr>
                  </w:pPr>
                  <w:r>
                    <w:rPr>
                      <w:rFonts w:hint="default" w:eastAsia="宋体"/>
                      <w:color w:val="auto"/>
                      <w:sz w:val="21"/>
                      <w:szCs w:val="21"/>
                    </w:rPr>
                    <w:t>贮存库内不同贮存分区之间应采取隔离措施。隔离措施可根据危险废物特性采用过道、隔板或隔墙等方式。</w:t>
                  </w:r>
                </w:p>
              </w:tc>
              <w:tc>
                <w:tcPr>
                  <w:tcW w:w="1968" w:type="pct"/>
                  <w:tcBorders>
                    <w:top w:val="single" w:color="auto" w:sz="4" w:space="0"/>
                    <w:left w:val="single" w:color="auto" w:sz="4" w:space="0"/>
                    <w:bottom w:val="single" w:color="auto" w:sz="4" w:space="0"/>
                    <w:right w:val="single" w:color="auto" w:sz="4" w:space="0"/>
                    <w:tl2br w:val="nil"/>
                    <w:tr2bl w:val="nil"/>
                  </w:tcBorders>
                  <w:vAlign w:val="center"/>
                </w:tcPr>
                <w:p w14:paraId="59AD392B">
                  <w:pPr>
                    <w:spacing w:line="240" w:lineRule="auto"/>
                    <w:ind w:firstLine="0" w:firstLineChars="0"/>
                    <w:rPr>
                      <w:rFonts w:hint="default"/>
                      <w:color w:val="auto"/>
                      <w:sz w:val="21"/>
                      <w:szCs w:val="21"/>
                    </w:rPr>
                  </w:pPr>
                  <w:r>
                    <w:rPr>
                      <w:rFonts w:hint="default" w:eastAsia="宋体"/>
                      <w:color w:val="auto"/>
                      <w:sz w:val="21"/>
                      <w:szCs w:val="21"/>
                    </w:rPr>
                    <w:t>根据项目危险废物特性，不同危废分区存放。</w:t>
                  </w:r>
                </w:p>
              </w:tc>
              <w:tc>
                <w:tcPr>
                  <w:tcW w:w="565" w:type="pct"/>
                  <w:tcBorders>
                    <w:top w:val="single" w:color="auto" w:sz="4" w:space="0"/>
                    <w:left w:val="single" w:color="auto" w:sz="4" w:space="0"/>
                    <w:bottom w:val="single" w:color="auto" w:sz="4" w:space="0"/>
                    <w:right w:val="single" w:color="auto" w:sz="4" w:space="0"/>
                    <w:tl2br w:val="nil"/>
                    <w:tr2bl w:val="nil"/>
                  </w:tcBorders>
                  <w:vAlign w:val="center"/>
                </w:tcPr>
                <w:p w14:paraId="42941B6E">
                  <w:pPr>
                    <w:spacing w:line="240" w:lineRule="auto"/>
                    <w:ind w:firstLine="0" w:firstLineChars="0"/>
                    <w:rPr>
                      <w:rFonts w:hint="default"/>
                      <w:color w:val="auto"/>
                      <w:sz w:val="21"/>
                      <w:szCs w:val="21"/>
                    </w:rPr>
                  </w:pPr>
                  <w:r>
                    <w:rPr>
                      <w:rFonts w:hint="default" w:eastAsia="宋体"/>
                      <w:color w:val="auto"/>
                      <w:sz w:val="21"/>
                      <w:szCs w:val="21"/>
                    </w:rPr>
                    <w:t>符合</w:t>
                  </w:r>
                </w:p>
              </w:tc>
            </w:tr>
            <w:tr w14:paraId="1D9BF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3" w:type="pct"/>
                  <w:tcBorders>
                    <w:top w:val="single" w:color="auto" w:sz="4" w:space="0"/>
                    <w:left w:val="single" w:color="auto" w:sz="4" w:space="0"/>
                    <w:bottom w:val="single" w:color="auto" w:sz="4" w:space="0"/>
                    <w:right w:val="single" w:color="auto" w:sz="4" w:space="0"/>
                    <w:tl2br w:val="nil"/>
                    <w:tr2bl w:val="nil"/>
                  </w:tcBorders>
                  <w:vAlign w:val="center"/>
                </w:tcPr>
                <w:p w14:paraId="79F8A55A">
                  <w:pPr>
                    <w:spacing w:line="240" w:lineRule="auto"/>
                    <w:ind w:firstLine="0" w:firstLineChars="0"/>
                    <w:rPr>
                      <w:rFonts w:hint="default"/>
                      <w:color w:val="auto"/>
                      <w:sz w:val="21"/>
                      <w:szCs w:val="21"/>
                    </w:rPr>
                  </w:pPr>
                  <w:r>
                    <w:rPr>
                      <w:rFonts w:hint="eastAsia" w:eastAsia="宋体"/>
                      <w:color w:val="auto"/>
                      <w:sz w:val="21"/>
                      <w:szCs w:val="21"/>
                      <w:lang w:val="en-US" w:eastAsia="zh-CN"/>
                    </w:rPr>
                    <w:t>6</w:t>
                  </w:r>
                  <w:r>
                    <w:rPr>
                      <w:rFonts w:hint="default"/>
                      <w:color w:val="auto"/>
                      <w:sz w:val="21"/>
                      <w:szCs w:val="21"/>
                    </w:rPr>
                    <w:t>.2.2</w:t>
                  </w:r>
                </w:p>
              </w:tc>
              <w:tc>
                <w:tcPr>
                  <w:tcW w:w="1912" w:type="pct"/>
                  <w:tcBorders>
                    <w:top w:val="single" w:color="auto" w:sz="4" w:space="0"/>
                    <w:left w:val="single" w:color="auto" w:sz="4" w:space="0"/>
                    <w:bottom w:val="single" w:color="auto" w:sz="4" w:space="0"/>
                    <w:right w:val="single" w:color="auto" w:sz="4" w:space="0"/>
                    <w:tl2br w:val="nil"/>
                    <w:tr2bl w:val="nil"/>
                  </w:tcBorders>
                  <w:vAlign w:val="center"/>
                </w:tcPr>
                <w:p w14:paraId="2EDE15A2">
                  <w:pPr>
                    <w:spacing w:line="240" w:lineRule="auto"/>
                    <w:ind w:firstLine="0" w:firstLineChars="0"/>
                    <w:rPr>
                      <w:rFonts w:hint="default"/>
                      <w:color w:val="auto"/>
                      <w:sz w:val="21"/>
                      <w:szCs w:val="21"/>
                    </w:rPr>
                  </w:pPr>
                  <w:r>
                    <w:rPr>
                      <w:rFonts w:hint="default" w:eastAsia="宋体"/>
                      <w:color w:val="auto"/>
                      <w:sz w:val="21"/>
                      <w:szCs w:val="21"/>
                    </w:rPr>
                    <w:t>在贮存库内或通过贮存分区方式贮存液态危险废物的，应具有液体泄漏堵截设施，堵截设施最小防渗不应低于对应贮存区域最大液态废物容器容积或液态废物总储量1/10（二者取较大者）；用于贮存可能产生渗滤液的危险废物的贮存库或贮存分区应设计渗滤液收集设施，收集设施容积应满足渗滤液的收集要求。</w:t>
                  </w:r>
                </w:p>
              </w:tc>
              <w:tc>
                <w:tcPr>
                  <w:tcW w:w="1968" w:type="pct"/>
                  <w:tcBorders>
                    <w:top w:val="single" w:color="auto" w:sz="4" w:space="0"/>
                    <w:left w:val="single" w:color="auto" w:sz="4" w:space="0"/>
                    <w:bottom w:val="single" w:color="auto" w:sz="4" w:space="0"/>
                    <w:right w:val="single" w:color="auto" w:sz="4" w:space="0"/>
                    <w:tl2br w:val="nil"/>
                    <w:tr2bl w:val="nil"/>
                  </w:tcBorders>
                  <w:vAlign w:val="center"/>
                </w:tcPr>
                <w:p w14:paraId="70334577">
                  <w:pPr>
                    <w:spacing w:line="240" w:lineRule="auto"/>
                    <w:ind w:firstLine="0" w:firstLineChars="0"/>
                    <w:rPr>
                      <w:rFonts w:hint="default"/>
                      <w:color w:val="auto"/>
                      <w:sz w:val="21"/>
                      <w:szCs w:val="21"/>
                    </w:rPr>
                  </w:pPr>
                  <w:r>
                    <w:rPr>
                      <w:rFonts w:hint="default" w:eastAsia="宋体"/>
                      <w:color w:val="auto"/>
                      <w:sz w:val="21"/>
                      <w:szCs w:val="21"/>
                    </w:rPr>
                    <w:t>设置有1m³的废液集液池，正常情况贮存下，不产生渗滤液。</w:t>
                  </w:r>
                  <w:r>
                    <w:rPr>
                      <w:rFonts w:eastAsia="宋体"/>
                      <w:color w:val="auto"/>
                      <w:sz w:val="21"/>
                      <w:szCs w:val="21"/>
                    </w:rPr>
                    <w:t>本项目废矿物油</w:t>
                  </w:r>
                  <w:r>
                    <w:rPr>
                      <w:rFonts w:hint="default" w:ascii="Times New Roman" w:hAnsi="Times New Roman" w:eastAsia="宋体" w:cs="Times New Roman"/>
                      <w:color w:val="auto"/>
                      <w:sz w:val="21"/>
                      <w:szCs w:val="21"/>
                    </w:rPr>
                    <w:t>采用220L密封镀锌铁皮桶桶装，废矿物油</w:t>
                  </w:r>
                  <w:r>
                    <w:rPr>
                      <w:rFonts w:hint="eastAsia" w:ascii="Times New Roman" w:hAnsi="Times New Roman" w:eastAsia="宋体" w:cs="Times New Roman"/>
                      <w:color w:val="auto"/>
                      <w:sz w:val="21"/>
                      <w:szCs w:val="21"/>
                      <w:lang w:val="en-US" w:eastAsia="zh-CN"/>
                    </w:rPr>
                    <w:t>最大</w:t>
                  </w:r>
                  <w:r>
                    <w:rPr>
                      <w:rFonts w:hint="default" w:ascii="Times New Roman" w:hAnsi="Times New Roman" w:eastAsia="宋体" w:cs="Times New Roman"/>
                      <w:color w:val="auto"/>
                      <w:sz w:val="21"/>
                      <w:szCs w:val="21"/>
                    </w:rPr>
                    <w:t>总储量为5t，故设置1个1m³的集液池，大于对应贮存区域最大液态</w:t>
                  </w:r>
                  <w:r>
                    <w:rPr>
                      <w:rFonts w:eastAsia="宋体"/>
                      <w:color w:val="auto"/>
                      <w:sz w:val="21"/>
                      <w:szCs w:val="21"/>
                    </w:rPr>
                    <w:t>废物总储量1/10，可满足本项目非正常情况下泄漏的收集。</w:t>
                  </w:r>
                </w:p>
              </w:tc>
              <w:tc>
                <w:tcPr>
                  <w:tcW w:w="565" w:type="pct"/>
                  <w:tcBorders>
                    <w:top w:val="single" w:color="auto" w:sz="4" w:space="0"/>
                    <w:left w:val="single" w:color="auto" w:sz="4" w:space="0"/>
                    <w:bottom w:val="single" w:color="auto" w:sz="4" w:space="0"/>
                    <w:right w:val="single" w:color="auto" w:sz="4" w:space="0"/>
                    <w:tl2br w:val="nil"/>
                    <w:tr2bl w:val="nil"/>
                  </w:tcBorders>
                  <w:vAlign w:val="center"/>
                </w:tcPr>
                <w:p w14:paraId="4EC4924F">
                  <w:pPr>
                    <w:spacing w:line="240" w:lineRule="auto"/>
                    <w:ind w:firstLine="0" w:firstLineChars="0"/>
                    <w:rPr>
                      <w:rFonts w:hint="default"/>
                      <w:color w:val="auto"/>
                      <w:sz w:val="21"/>
                      <w:szCs w:val="21"/>
                    </w:rPr>
                  </w:pPr>
                  <w:r>
                    <w:rPr>
                      <w:rFonts w:hint="default" w:eastAsia="宋体"/>
                      <w:color w:val="auto"/>
                      <w:sz w:val="21"/>
                      <w:szCs w:val="21"/>
                    </w:rPr>
                    <w:t>符合</w:t>
                  </w:r>
                </w:p>
              </w:tc>
            </w:tr>
            <w:tr w14:paraId="070ED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5" w:hRule="atLeast"/>
              </w:trPr>
              <w:tc>
                <w:tcPr>
                  <w:tcW w:w="553" w:type="pct"/>
                  <w:tcBorders>
                    <w:top w:val="single" w:color="auto" w:sz="4" w:space="0"/>
                    <w:left w:val="single" w:color="auto" w:sz="4" w:space="0"/>
                    <w:bottom w:val="single" w:color="auto" w:sz="4" w:space="0"/>
                    <w:right w:val="single" w:color="auto" w:sz="4" w:space="0"/>
                    <w:tl2br w:val="nil"/>
                    <w:tr2bl w:val="nil"/>
                  </w:tcBorders>
                  <w:vAlign w:val="center"/>
                </w:tcPr>
                <w:p w14:paraId="1D15C410">
                  <w:pPr>
                    <w:spacing w:line="240" w:lineRule="auto"/>
                    <w:ind w:firstLine="0" w:firstLineChars="0"/>
                    <w:rPr>
                      <w:rFonts w:hint="default"/>
                      <w:color w:val="auto"/>
                      <w:sz w:val="21"/>
                      <w:szCs w:val="21"/>
                    </w:rPr>
                  </w:pPr>
                  <w:r>
                    <w:rPr>
                      <w:rFonts w:hint="eastAsia" w:eastAsia="宋体"/>
                      <w:color w:val="auto"/>
                      <w:sz w:val="21"/>
                      <w:szCs w:val="21"/>
                      <w:lang w:val="en-US" w:eastAsia="zh-CN"/>
                    </w:rPr>
                    <w:t>6</w:t>
                  </w:r>
                  <w:r>
                    <w:rPr>
                      <w:rFonts w:hint="default"/>
                      <w:color w:val="auto"/>
                      <w:sz w:val="21"/>
                      <w:szCs w:val="21"/>
                    </w:rPr>
                    <w:t>.2.3</w:t>
                  </w:r>
                </w:p>
              </w:tc>
              <w:tc>
                <w:tcPr>
                  <w:tcW w:w="1912" w:type="pct"/>
                  <w:tcBorders>
                    <w:top w:val="single" w:color="auto" w:sz="4" w:space="0"/>
                    <w:left w:val="single" w:color="auto" w:sz="4" w:space="0"/>
                    <w:bottom w:val="single" w:color="auto" w:sz="4" w:space="0"/>
                    <w:right w:val="single" w:color="auto" w:sz="4" w:space="0"/>
                    <w:tl2br w:val="nil"/>
                    <w:tr2bl w:val="nil"/>
                  </w:tcBorders>
                  <w:vAlign w:val="center"/>
                </w:tcPr>
                <w:p w14:paraId="1B4861DA">
                  <w:pPr>
                    <w:spacing w:line="240" w:lineRule="auto"/>
                    <w:ind w:firstLine="0" w:firstLineChars="0"/>
                    <w:rPr>
                      <w:rFonts w:hint="default"/>
                      <w:color w:val="auto"/>
                      <w:sz w:val="21"/>
                      <w:szCs w:val="21"/>
                    </w:rPr>
                  </w:pPr>
                  <w:r>
                    <w:rPr>
                      <w:rFonts w:hint="default" w:eastAsia="宋体"/>
                      <w:color w:val="auto"/>
                      <w:sz w:val="21"/>
                      <w:szCs w:val="21"/>
                    </w:rPr>
                    <w:t>贮存易产生粉尘、VOCs、酸雾、有毒有害大气污染物和刺激性气味气体的危险废物贮存库，应设置气体收集装置和气体净化设施；气体净化设施的排气筒高度应符合GB16297要求。</w:t>
                  </w:r>
                </w:p>
              </w:tc>
              <w:tc>
                <w:tcPr>
                  <w:tcW w:w="1968" w:type="pct"/>
                  <w:tcBorders>
                    <w:top w:val="single" w:color="auto" w:sz="4" w:space="0"/>
                    <w:left w:val="single" w:color="auto" w:sz="4" w:space="0"/>
                    <w:bottom w:val="single" w:color="auto" w:sz="4" w:space="0"/>
                    <w:right w:val="single" w:color="auto" w:sz="4" w:space="0"/>
                    <w:tl2br w:val="nil"/>
                    <w:tr2bl w:val="nil"/>
                  </w:tcBorders>
                  <w:vAlign w:val="center"/>
                </w:tcPr>
                <w:p w14:paraId="2E59E0D1">
                  <w:pPr>
                    <w:spacing w:line="240" w:lineRule="auto"/>
                    <w:ind w:firstLine="0" w:firstLineChars="0"/>
                    <w:rPr>
                      <w:rFonts w:hint="default"/>
                      <w:color w:val="auto"/>
                      <w:sz w:val="21"/>
                      <w:szCs w:val="21"/>
                    </w:rPr>
                  </w:pPr>
                  <w:r>
                    <w:rPr>
                      <w:rFonts w:hint="default" w:eastAsia="宋体"/>
                      <w:color w:val="auto"/>
                      <w:sz w:val="21"/>
                      <w:szCs w:val="21"/>
                    </w:rPr>
                    <w:t>危险废物贮存库</w:t>
                  </w:r>
                  <w:r>
                    <w:rPr>
                      <w:rFonts w:hint="eastAsia" w:eastAsia="宋体"/>
                      <w:color w:val="auto"/>
                      <w:sz w:val="21"/>
                      <w:szCs w:val="21"/>
                      <w:lang w:eastAsia="zh-CN"/>
                    </w:rPr>
                    <w:t>设置</w:t>
                  </w:r>
                  <w:r>
                    <w:rPr>
                      <w:rFonts w:hint="default" w:eastAsia="宋体"/>
                      <w:color w:val="auto"/>
                      <w:sz w:val="21"/>
                      <w:szCs w:val="21"/>
                    </w:rPr>
                    <w:t>轴流风机，挥发气体通过风机出风口无组织排放。本项目产生的废气主要为危废暂存过</w:t>
                  </w:r>
                  <w:r>
                    <w:rPr>
                      <w:rFonts w:hint="eastAsia" w:eastAsia="宋体"/>
                      <w:color w:val="auto"/>
                      <w:sz w:val="21"/>
                      <w:szCs w:val="21"/>
                      <w:lang w:eastAsia="zh-CN"/>
                    </w:rPr>
                    <w:t>程中</w:t>
                  </w:r>
                  <w:r>
                    <w:rPr>
                      <w:rFonts w:hint="default" w:eastAsia="宋体"/>
                      <w:color w:val="auto"/>
                      <w:sz w:val="21"/>
                      <w:szCs w:val="21"/>
                    </w:rPr>
                    <w:t>无组织逸散的非甲烷总烃</w:t>
                  </w:r>
                  <w:r>
                    <w:rPr>
                      <w:rFonts w:hint="eastAsia" w:eastAsia="宋体"/>
                      <w:color w:val="auto"/>
                      <w:sz w:val="21"/>
                      <w:szCs w:val="21"/>
                      <w:lang w:val="en-US" w:eastAsia="zh-CN"/>
                    </w:rPr>
                    <w:t>及硫酸雾</w:t>
                  </w:r>
                  <w:r>
                    <w:rPr>
                      <w:rFonts w:hint="default" w:eastAsia="宋体"/>
                      <w:color w:val="auto"/>
                      <w:sz w:val="21"/>
                      <w:szCs w:val="21"/>
                    </w:rPr>
                    <w:t>。贮存过程中无组织逸散的非甲烷总烃、产生量极少，对周围环境影响较小。</w:t>
                  </w:r>
                </w:p>
              </w:tc>
              <w:tc>
                <w:tcPr>
                  <w:tcW w:w="565" w:type="pct"/>
                  <w:tcBorders>
                    <w:top w:val="single" w:color="auto" w:sz="4" w:space="0"/>
                    <w:left w:val="single" w:color="auto" w:sz="4" w:space="0"/>
                    <w:bottom w:val="single" w:color="auto" w:sz="4" w:space="0"/>
                    <w:right w:val="single" w:color="auto" w:sz="4" w:space="0"/>
                    <w:tl2br w:val="nil"/>
                    <w:tr2bl w:val="nil"/>
                  </w:tcBorders>
                  <w:vAlign w:val="center"/>
                </w:tcPr>
                <w:p w14:paraId="1D63EEF5">
                  <w:pPr>
                    <w:spacing w:line="240" w:lineRule="auto"/>
                    <w:ind w:firstLine="0" w:firstLineChars="0"/>
                    <w:rPr>
                      <w:rFonts w:hint="default"/>
                      <w:color w:val="auto"/>
                      <w:sz w:val="21"/>
                      <w:szCs w:val="21"/>
                    </w:rPr>
                  </w:pPr>
                  <w:r>
                    <w:rPr>
                      <w:rFonts w:hint="default" w:eastAsia="宋体"/>
                      <w:color w:val="auto"/>
                      <w:sz w:val="21"/>
                      <w:szCs w:val="21"/>
                    </w:rPr>
                    <w:t>符合</w:t>
                  </w:r>
                </w:p>
              </w:tc>
            </w:tr>
            <w:tr w14:paraId="06E4E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00" w:type="pct"/>
                  <w:gridSpan w:val="4"/>
                  <w:tcBorders>
                    <w:top w:val="single" w:color="auto" w:sz="4" w:space="0"/>
                    <w:left w:val="single" w:color="auto" w:sz="4" w:space="0"/>
                    <w:bottom w:val="single" w:color="auto" w:sz="4" w:space="0"/>
                    <w:right w:val="single" w:color="auto" w:sz="4" w:space="0"/>
                    <w:tl2br w:val="nil"/>
                    <w:tr2bl w:val="nil"/>
                  </w:tcBorders>
                  <w:vAlign w:val="center"/>
                </w:tcPr>
                <w:p w14:paraId="157FADF2">
                  <w:pPr>
                    <w:spacing w:line="240" w:lineRule="auto"/>
                    <w:ind w:firstLine="0" w:firstLineChars="0"/>
                    <w:rPr>
                      <w:rFonts w:hint="default"/>
                      <w:color w:val="auto"/>
                      <w:sz w:val="21"/>
                      <w:szCs w:val="21"/>
                    </w:rPr>
                  </w:pPr>
                  <w:r>
                    <w:rPr>
                      <w:rFonts w:hint="default"/>
                      <w:color w:val="auto"/>
                      <w:sz w:val="21"/>
                      <w:szCs w:val="21"/>
                    </w:rPr>
                    <w:t>8</w:t>
                  </w:r>
                  <w:r>
                    <w:rPr>
                      <w:rFonts w:hint="default" w:eastAsia="宋体"/>
                      <w:color w:val="auto"/>
                      <w:sz w:val="21"/>
                      <w:szCs w:val="21"/>
                    </w:rPr>
                    <w:t>贮存过程污染控制要求</w:t>
                  </w:r>
                </w:p>
              </w:tc>
            </w:tr>
            <w:tr w14:paraId="4E3E1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3" w:type="pct"/>
                  <w:tcBorders>
                    <w:top w:val="single" w:color="auto" w:sz="4" w:space="0"/>
                    <w:left w:val="single" w:color="auto" w:sz="4" w:space="0"/>
                    <w:bottom w:val="single" w:color="auto" w:sz="4" w:space="0"/>
                    <w:right w:val="single" w:color="auto" w:sz="4" w:space="0"/>
                    <w:tl2br w:val="nil"/>
                    <w:tr2bl w:val="nil"/>
                  </w:tcBorders>
                  <w:vAlign w:val="center"/>
                </w:tcPr>
                <w:p w14:paraId="69DACC29">
                  <w:pPr>
                    <w:spacing w:line="240" w:lineRule="auto"/>
                    <w:ind w:firstLine="0" w:firstLineChars="0"/>
                    <w:rPr>
                      <w:rFonts w:hint="default"/>
                      <w:color w:val="auto"/>
                      <w:sz w:val="21"/>
                      <w:szCs w:val="21"/>
                    </w:rPr>
                  </w:pPr>
                  <w:r>
                    <w:rPr>
                      <w:rFonts w:hint="default"/>
                      <w:color w:val="auto"/>
                      <w:sz w:val="21"/>
                      <w:szCs w:val="21"/>
                    </w:rPr>
                    <w:t>8.1</w:t>
                  </w:r>
                </w:p>
              </w:tc>
              <w:tc>
                <w:tcPr>
                  <w:tcW w:w="4446" w:type="pct"/>
                  <w:gridSpan w:val="3"/>
                  <w:tcBorders>
                    <w:top w:val="single" w:color="auto" w:sz="4" w:space="0"/>
                    <w:left w:val="single" w:color="auto" w:sz="4" w:space="0"/>
                    <w:bottom w:val="single" w:color="auto" w:sz="4" w:space="0"/>
                    <w:right w:val="single" w:color="auto" w:sz="4" w:space="0"/>
                    <w:tl2br w:val="nil"/>
                    <w:tr2bl w:val="nil"/>
                  </w:tcBorders>
                  <w:vAlign w:val="center"/>
                </w:tcPr>
                <w:p w14:paraId="6C244F67">
                  <w:pPr>
                    <w:spacing w:line="240" w:lineRule="auto"/>
                    <w:ind w:firstLine="0" w:firstLineChars="0"/>
                    <w:rPr>
                      <w:rFonts w:hint="default"/>
                      <w:color w:val="auto"/>
                      <w:sz w:val="21"/>
                      <w:szCs w:val="21"/>
                    </w:rPr>
                  </w:pPr>
                  <w:r>
                    <w:rPr>
                      <w:rFonts w:hint="default" w:eastAsia="宋体"/>
                      <w:color w:val="auto"/>
                      <w:sz w:val="21"/>
                      <w:szCs w:val="21"/>
                    </w:rPr>
                    <w:t>一般规定</w:t>
                  </w:r>
                </w:p>
              </w:tc>
            </w:tr>
            <w:tr w14:paraId="6AAA6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53" w:type="pct"/>
                  <w:tcBorders>
                    <w:top w:val="single" w:color="auto" w:sz="4" w:space="0"/>
                    <w:left w:val="single" w:color="auto" w:sz="4" w:space="0"/>
                    <w:bottom w:val="single" w:color="auto" w:sz="4" w:space="0"/>
                    <w:right w:val="single" w:color="auto" w:sz="4" w:space="0"/>
                    <w:tl2br w:val="nil"/>
                    <w:tr2bl w:val="nil"/>
                  </w:tcBorders>
                  <w:vAlign w:val="center"/>
                </w:tcPr>
                <w:p w14:paraId="0F59C363">
                  <w:pPr>
                    <w:spacing w:line="240" w:lineRule="auto"/>
                    <w:ind w:firstLine="0" w:firstLineChars="0"/>
                    <w:rPr>
                      <w:rFonts w:hint="default"/>
                      <w:color w:val="auto"/>
                      <w:sz w:val="21"/>
                      <w:szCs w:val="21"/>
                    </w:rPr>
                  </w:pPr>
                  <w:r>
                    <w:rPr>
                      <w:rFonts w:hint="default"/>
                      <w:color w:val="auto"/>
                      <w:sz w:val="21"/>
                      <w:szCs w:val="21"/>
                    </w:rPr>
                    <w:t>8.1.1</w:t>
                  </w:r>
                </w:p>
              </w:tc>
              <w:tc>
                <w:tcPr>
                  <w:tcW w:w="1912" w:type="pct"/>
                  <w:tcBorders>
                    <w:top w:val="single" w:color="auto" w:sz="4" w:space="0"/>
                    <w:left w:val="single" w:color="auto" w:sz="4" w:space="0"/>
                    <w:bottom w:val="single" w:color="auto" w:sz="4" w:space="0"/>
                    <w:right w:val="single" w:color="auto" w:sz="4" w:space="0"/>
                    <w:tl2br w:val="nil"/>
                    <w:tr2bl w:val="nil"/>
                  </w:tcBorders>
                  <w:vAlign w:val="center"/>
                </w:tcPr>
                <w:p w14:paraId="3EA42F86">
                  <w:pPr>
                    <w:spacing w:line="240" w:lineRule="auto"/>
                    <w:ind w:firstLine="0" w:firstLineChars="0"/>
                    <w:rPr>
                      <w:rFonts w:hint="default"/>
                      <w:color w:val="auto"/>
                      <w:sz w:val="21"/>
                      <w:szCs w:val="21"/>
                    </w:rPr>
                  </w:pPr>
                  <w:r>
                    <w:rPr>
                      <w:rFonts w:hint="default" w:eastAsia="宋体"/>
                      <w:color w:val="auto"/>
                      <w:sz w:val="21"/>
                      <w:szCs w:val="21"/>
                    </w:rPr>
                    <w:t>在常温常压下不易水解、不易挥发的固态危险废物可分类堆放贮存，其他固态危险废物应装入容器或包装物内贮存。</w:t>
                  </w:r>
                </w:p>
              </w:tc>
              <w:tc>
                <w:tcPr>
                  <w:tcW w:w="1968" w:type="pct"/>
                  <w:tcBorders>
                    <w:top w:val="single" w:color="auto" w:sz="4" w:space="0"/>
                    <w:left w:val="single" w:color="auto" w:sz="4" w:space="0"/>
                    <w:bottom w:val="single" w:color="auto" w:sz="4" w:space="0"/>
                    <w:right w:val="single" w:color="auto" w:sz="4" w:space="0"/>
                    <w:tl2br w:val="nil"/>
                    <w:tr2bl w:val="nil"/>
                  </w:tcBorders>
                  <w:vAlign w:val="center"/>
                </w:tcPr>
                <w:p w14:paraId="62526BD2">
                  <w:pPr>
                    <w:spacing w:line="240" w:lineRule="auto"/>
                    <w:ind w:firstLine="0" w:firstLineChars="0"/>
                    <w:rPr>
                      <w:rFonts w:hint="default"/>
                      <w:color w:val="auto"/>
                      <w:sz w:val="21"/>
                      <w:szCs w:val="21"/>
                    </w:rPr>
                  </w:pPr>
                  <w:r>
                    <w:rPr>
                      <w:rFonts w:hint="eastAsia" w:eastAsia="宋体"/>
                      <w:color w:val="auto"/>
                      <w:sz w:val="21"/>
                      <w:szCs w:val="21"/>
                      <w:lang w:eastAsia="zh-CN"/>
                    </w:rPr>
                    <w:t>项目废矿物油采用密封桶暂存，废油桶、盛装“干净”矿物油的空桶加盖密封，废铅酸电池桶装加盖密封</w:t>
                  </w:r>
                  <w:r>
                    <w:rPr>
                      <w:rFonts w:hint="default" w:eastAsia="宋体"/>
                      <w:color w:val="auto"/>
                      <w:sz w:val="21"/>
                      <w:szCs w:val="21"/>
                    </w:rPr>
                    <w:t>。避免危险废物与不相容的物质或材料接触。</w:t>
                  </w:r>
                </w:p>
              </w:tc>
              <w:tc>
                <w:tcPr>
                  <w:tcW w:w="565" w:type="pct"/>
                  <w:tcBorders>
                    <w:top w:val="single" w:color="auto" w:sz="4" w:space="0"/>
                    <w:left w:val="single" w:color="auto" w:sz="4" w:space="0"/>
                    <w:bottom w:val="single" w:color="auto" w:sz="4" w:space="0"/>
                    <w:right w:val="single" w:color="auto" w:sz="4" w:space="0"/>
                    <w:tl2br w:val="nil"/>
                    <w:tr2bl w:val="nil"/>
                  </w:tcBorders>
                  <w:vAlign w:val="center"/>
                </w:tcPr>
                <w:p w14:paraId="221DCE83">
                  <w:pPr>
                    <w:spacing w:line="240" w:lineRule="auto"/>
                    <w:ind w:firstLine="0" w:firstLineChars="0"/>
                    <w:rPr>
                      <w:rFonts w:hint="default"/>
                      <w:color w:val="auto"/>
                      <w:sz w:val="21"/>
                      <w:szCs w:val="21"/>
                    </w:rPr>
                  </w:pPr>
                  <w:r>
                    <w:rPr>
                      <w:rFonts w:hint="default" w:eastAsia="宋体"/>
                      <w:color w:val="auto"/>
                      <w:sz w:val="21"/>
                      <w:szCs w:val="21"/>
                    </w:rPr>
                    <w:t>符合</w:t>
                  </w:r>
                </w:p>
              </w:tc>
            </w:tr>
            <w:tr w14:paraId="6FF85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553" w:type="pct"/>
                  <w:tcBorders>
                    <w:top w:val="single" w:color="auto" w:sz="4" w:space="0"/>
                    <w:left w:val="single" w:color="auto" w:sz="4" w:space="0"/>
                    <w:bottom w:val="single" w:color="auto" w:sz="4" w:space="0"/>
                    <w:right w:val="single" w:color="auto" w:sz="4" w:space="0"/>
                    <w:tl2br w:val="nil"/>
                    <w:tr2bl w:val="nil"/>
                  </w:tcBorders>
                  <w:vAlign w:val="center"/>
                </w:tcPr>
                <w:p w14:paraId="77200AD9">
                  <w:pPr>
                    <w:spacing w:line="240" w:lineRule="auto"/>
                    <w:ind w:firstLine="0" w:firstLineChars="0"/>
                    <w:rPr>
                      <w:rFonts w:hint="default"/>
                      <w:color w:val="auto"/>
                      <w:sz w:val="21"/>
                      <w:szCs w:val="21"/>
                    </w:rPr>
                  </w:pPr>
                  <w:r>
                    <w:rPr>
                      <w:rFonts w:hint="default"/>
                      <w:color w:val="auto"/>
                      <w:sz w:val="21"/>
                      <w:szCs w:val="21"/>
                    </w:rPr>
                    <w:t>8.1.2</w:t>
                  </w:r>
                </w:p>
              </w:tc>
              <w:tc>
                <w:tcPr>
                  <w:tcW w:w="1912" w:type="pct"/>
                  <w:tcBorders>
                    <w:top w:val="single" w:color="auto" w:sz="4" w:space="0"/>
                    <w:left w:val="single" w:color="auto" w:sz="4" w:space="0"/>
                    <w:bottom w:val="single" w:color="auto" w:sz="4" w:space="0"/>
                    <w:right w:val="single" w:color="auto" w:sz="4" w:space="0"/>
                    <w:tl2br w:val="nil"/>
                    <w:tr2bl w:val="nil"/>
                  </w:tcBorders>
                  <w:vAlign w:val="center"/>
                </w:tcPr>
                <w:p w14:paraId="2F96FB2C">
                  <w:pPr>
                    <w:spacing w:line="240" w:lineRule="auto"/>
                    <w:ind w:firstLine="0" w:firstLineChars="0"/>
                    <w:rPr>
                      <w:rFonts w:hint="default"/>
                      <w:color w:val="auto"/>
                      <w:sz w:val="21"/>
                      <w:szCs w:val="21"/>
                    </w:rPr>
                  </w:pPr>
                  <w:r>
                    <w:rPr>
                      <w:rFonts w:hint="default" w:eastAsia="宋体"/>
                      <w:color w:val="auto"/>
                      <w:sz w:val="21"/>
                      <w:szCs w:val="21"/>
                    </w:rPr>
                    <w:t>液态危险废物应装入容器内贮存，或直接采用贮存池、贮存罐区贮存。</w:t>
                  </w:r>
                </w:p>
              </w:tc>
              <w:tc>
                <w:tcPr>
                  <w:tcW w:w="1968" w:type="pct"/>
                  <w:tcBorders>
                    <w:top w:val="single" w:color="auto" w:sz="4" w:space="0"/>
                    <w:left w:val="single" w:color="auto" w:sz="4" w:space="0"/>
                    <w:bottom w:val="single" w:color="auto" w:sz="4" w:space="0"/>
                    <w:right w:val="single" w:color="auto" w:sz="4" w:space="0"/>
                    <w:tl2br w:val="nil"/>
                    <w:tr2bl w:val="nil"/>
                  </w:tcBorders>
                  <w:vAlign w:val="center"/>
                </w:tcPr>
                <w:p w14:paraId="03618FB2">
                  <w:pPr>
                    <w:spacing w:line="240" w:lineRule="auto"/>
                    <w:ind w:firstLine="0" w:firstLineChars="0"/>
                    <w:rPr>
                      <w:rFonts w:hint="default"/>
                      <w:color w:val="auto"/>
                      <w:sz w:val="21"/>
                      <w:szCs w:val="21"/>
                    </w:rPr>
                  </w:pPr>
                  <w:r>
                    <w:rPr>
                      <w:rFonts w:hint="default"/>
                      <w:color w:val="auto"/>
                      <w:sz w:val="21"/>
                      <w:szCs w:val="21"/>
                    </w:rPr>
                    <w:t>本项目产生的液态</w:t>
                  </w:r>
                  <w:r>
                    <w:rPr>
                      <w:rFonts w:hint="eastAsia" w:eastAsia="宋体"/>
                      <w:color w:val="auto"/>
                      <w:sz w:val="21"/>
                      <w:szCs w:val="21"/>
                      <w:lang w:eastAsia="zh-CN"/>
                    </w:rPr>
                    <w:t>废矿物油采用密封桶暂存</w:t>
                  </w:r>
                  <w:r>
                    <w:rPr>
                      <w:rFonts w:hint="default"/>
                      <w:color w:val="auto"/>
                      <w:sz w:val="21"/>
                      <w:szCs w:val="21"/>
                    </w:rPr>
                    <w:t>。</w:t>
                  </w:r>
                </w:p>
              </w:tc>
              <w:tc>
                <w:tcPr>
                  <w:tcW w:w="565" w:type="pct"/>
                  <w:tcBorders>
                    <w:top w:val="single" w:color="auto" w:sz="4" w:space="0"/>
                    <w:left w:val="single" w:color="auto" w:sz="4" w:space="0"/>
                    <w:bottom w:val="single" w:color="auto" w:sz="4" w:space="0"/>
                    <w:right w:val="single" w:color="auto" w:sz="4" w:space="0"/>
                    <w:tl2br w:val="nil"/>
                    <w:tr2bl w:val="nil"/>
                  </w:tcBorders>
                  <w:vAlign w:val="center"/>
                </w:tcPr>
                <w:p w14:paraId="25726487">
                  <w:pPr>
                    <w:spacing w:line="240" w:lineRule="auto"/>
                    <w:ind w:firstLine="0" w:firstLineChars="0"/>
                    <w:rPr>
                      <w:rFonts w:hint="default"/>
                      <w:color w:val="auto"/>
                      <w:sz w:val="21"/>
                      <w:szCs w:val="21"/>
                    </w:rPr>
                  </w:pPr>
                  <w:r>
                    <w:rPr>
                      <w:rFonts w:hint="default" w:eastAsia="宋体"/>
                      <w:color w:val="auto"/>
                      <w:sz w:val="21"/>
                      <w:szCs w:val="21"/>
                    </w:rPr>
                    <w:t>符合</w:t>
                  </w:r>
                </w:p>
              </w:tc>
            </w:tr>
            <w:tr w14:paraId="2F5C7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0" w:hRule="atLeast"/>
              </w:trPr>
              <w:tc>
                <w:tcPr>
                  <w:tcW w:w="553" w:type="pct"/>
                  <w:tcBorders>
                    <w:top w:val="single" w:color="auto" w:sz="4" w:space="0"/>
                    <w:left w:val="single" w:color="auto" w:sz="4" w:space="0"/>
                    <w:bottom w:val="single" w:color="auto" w:sz="4" w:space="0"/>
                    <w:right w:val="single" w:color="auto" w:sz="4" w:space="0"/>
                    <w:tl2br w:val="nil"/>
                    <w:tr2bl w:val="nil"/>
                  </w:tcBorders>
                  <w:vAlign w:val="center"/>
                </w:tcPr>
                <w:p w14:paraId="227DAE22">
                  <w:pPr>
                    <w:spacing w:line="240" w:lineRule="auto"/>
                    <w:ind w:firstLine="0" w:firstLineChars="0"/>
                    <w:rPr>
                      <w:rFonts w:hint="default"/>
                      <w:color w:val="auto"/>
                      <w:sz w:val="21"/>
                      <w:szCs w:val="21"/>
                    </w:rPr>
                  </w:pPr>
                  <w:r>
                    <w:rPr>
                      <w:rFonts w:hint="default"/>
                      <w:color w:val="auto"/>
                      <w:sz w:val="21"/>
                      <w:szCs w:val="21"/>
                    </w:rPr>
                    <w:t>8.1.3</w:t>
                  </w:r>
                </w:p>
              </w:tc>
              <w:tc>
                <w:tcPr>
                  <w:tcW w:w="1912" w:type="pct"/>
                  <w:tcBorders>
                    <w:top w:val="single" w:color="auto" w:sz="4" w:space="0"/>
                    <w:left w:val="single" w:color="auto" w:sz="4" w:space="0"/>
                    <w:bottom w:val="single" w:color="auto" w:sz="4" w:space="0"/>
                    <w:right w:val="single" w:color="auto" w:sz="4" w:space="0"/>
                    <w:tl2br w:val="nil"/>
                    <w:tr2bl w:val="nil"/>
                  </w:tcBorders>
                  <w:vAlign w:val="center"/>
                </w:tcPr>
                <w:p w14:paraId="62776D11">
                  <w:pPr>
                    <w:spacing w:line="240" w:lineRule="auto"/>
                    <w:ind w:firstLine="0" w:firstLineChars="0"/>
                    <w:rPr>
                      <w:rFonts w:hint="default"/>
                      <w:color w:val="auto"/>
                      <w:sz w:val="21"/>
                      <w:szCs w:val="21"/>
                    </w:rPr>
                  </w:pPr>
                  <w:r>
                    <w:rPr>
                      <w:rFonts w:hint="default" w:eastAsia="宋体"/>
                      <w:color w:val="auto"/>
                      <w:sz w:val="21"/>
                      <w:szCs w:val="21"/>
                    </w:rPr>
                    <w:t>半固态危险废物应装入容器或包装袋内贮存，或直接采用贮存池贮存。</w:t>
                  </w:r>
                </w:p>
              </w:tc>
              <w:tc>
                <w:tcPr>
                  <w:tcW w:w="1968" w:type="pct"/>
                  <w:tcBorders>
                    <w:top w:val="single" w:color="auto" w:sz="4" w:space="0"/>
                    <w:left w:val="single" w:color="auto" w:sz="4" w:space="0"/>
                    <w:bottom w:val="single" w:color="auto" w:sz="4" w:space="0"/>
                    <w:right w:val="single" w:color="auto" w:sz="4" w:space="0"/>
                    <w:tl2br w:val="nil"/>
                    <w:tr2bl w:val="nil"/>
                  </w:tcBorders>
                  <w:vAlign w:val="center"/>
                </w:tcPr>
                <w:p w14:paraId="660E2490">
                  <w:pPr>
                    <w:spacing w:line="240" w:lineRule="auto"/>
                    <w:ind w:firstLine="0" w:firstLineChars="0"/>
                    <w:rPr>
                      <w:rFonts w:hint="default"/>
                      <w:color w:val="auto"/>
                      <w:sz w:val="21"/>
                      <w:szCs w:val="21"/>
                    </w:rPr>
                  </w:pPr>
                  <w:r>
                    <w:rPr>
                      <w:rFonts w:hint="eastAsia" w:eastAsia="宋体"/>
                      <w:color w:val="auto"/>
                      <w:sz w:val="21"/>
                      <w:szCs w:val="21"/>
                      <w:lang w:eastAsia="zh-CN"/>
                    </w:rPr>
                    <w:t>项目废矿物油采用密封桶暂存，废油桶、盛装“干净”矿物油的空桶加盖密封，废铅酸电池桶装加盖密封</w:t>
                  </w:r>
                  <w:r>
                    <w:rPr>
                      <w:rFonts w:hint="default" w:eastAsia="宋体"/>
                      <w:color w:val="auto"/>
                      <w:sz w:val="21"/>
                      <w:szCs w:val="21"/>
                    </w:rPr>
                    <w:t>。避免危险废物与不相容的物质或材料接触。</w:t>
                  </w:r>
                </w:p>
              </w:tc>
              <w:tc>
                <w:tcPr>
                  <w:tcW w:w="565" w:type="pct"/>
                  <w:tcBorders>
                    <w:top w:val="single" w:color="auto" w:sz="4" w:space="0"/>
                    <w:left w:val="single" w:color="auto" w:sz="4" w:space="0"/>
                    <w:bottom w:val="single" w:color="auto" w:sz="4" w:space="0"/>
                    <w:right w:val="single" w:color="auto" w:sz="4" w:space="0"/>
                    <w:tl2br w:val="nil"/>
                    <w:tr2bl w:val="nil"/>
                  </w:tcBorders>
                  <w:vAlign w:val="center"/>
                </w:tcPr>
                <w:p w14:paraId="08A78BD0">
                  <w:pPr>
                    <w:spacing w:line="240" w:lineRule="auto"/>
                    <w:ind w:firstLine="0" w:firstLineChars="0"/>
                    <w:rPr>
                      <w:rFonts w:hint="default"/>
                      <w:color w:val="auto"/>
                      <w:sz w:val="21"/>
                      <w:szCs w:val="21"/>
                    </w:rPr>
                  </w:pPr>
                  <w:r>
                    <w:rPr>
                      <w:rFonts w:hint="default" w:eastAsia="宋体"/>
                      <w:color w:val="auto"/>
                      <w:sz w:val="21"/>
                      <w:szCs w:val="21"/>
                    </w:rPr>
                    <w:t>符合</w:t>
                  </w:r>
                </w:p>
              </w:tc>
            </w:tr>
            <w:tr w14:paraId="4FBFA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 w:hRule="atLeast"/>
              </w:trPr>
              <w:tc>
                <w:tcPr>
                  <w:tcW w:w="553" w:type="pct"/>
                  <w:tcBorders>
                    <w:top w:val="single" w:color="auto" w:sz="4" w:space="0"/>
                    <w:left w:val="single" w:color="auto" w:sz="4" w:space="0"/>
                    <w:bottom w:val="single" w:color="auto" w:sz="4" w:space="0"/>
                    <w:right w:val="single" w:color="auto" w:sz="4" w:space="0"/>
                    <w:tl2br w:val="nil"/>
                    <w:tr2bl w:val="nil"/>
                  </w:tcBorders>
                  <w:vAlign w:val="center"/>
                </w:tcPr>
                <w:p w14:paraId="41D89E1F">
                  <w:pPr>
                    <w:spacing w:line="240" w:lineRule="auto"/>
                    <w:ind w:firstLine="0" w:firstLineChars="0"/>
                    <w:rPr>
                      <w:rFonts w:hint="default"/>
                      <w:color w:val="auto"/>
                      <w:sz w:val="21"/>
                      <w:szCs w:val="21"/>
                    </w:rPr>
                  </w:pPr>
                  <w:r>
                    <w:rPr>
                      <w:rFonts w:hint="default"/>
                      <w:color w:val="auto"/>
                      <w:sz w:val="21"/>
                      <w:szCs w:val="21"/>
                    </w:rPr>
                    <w:t>8.1.4</w:t>
                  </w:r>
                </w:p>
              </w:tc>
              <w:tc>
                <w:tcPr>
                  <w:tcW w:w="1912" w:type="pct"/>
                  <w:tcBorders>
                    <w:top w:val="single" w:color="auto" w:sz="4" w:space="0"/>
                    <w:left w:val="single" w:color="auto" w:sz="4" w:space="0"/>
                    <w:bottom w:val="single" w:color="auto" w:sz="4" w:space="0"/>
                    <w:right w:val="single" w:color="auto" w:sz="4" w:space="0"/>
                    <w:tl2br w:val="nil"/>
                    <w:tr2bl w:val="nil"/>
                  </w:tcBorders>
                  <w:vAlign w:val="center"/>
                </w:tcPr>
                <w:p w14:paraId="0452684C">
                  <w:pPr>
                    <w:spacing w:line="240" w:lineRule="auto"/>
                    <w:ind w:firstLine="0" w:firstLineChars="0"/>
                    <w:rPr>
                      <w:rFonts w:hint="default"/>
                      <w:color w:val="auto"/>
                      <w:sz w:val="21"/>
                      <w:szCs w:val="21"/>
                    </w:rPr>
                  </w:pPr>
                  <w:r>
                    <w:rPr>
                      <w:rFonts w:hint="default" w:eastAsia="宋体"/>
                      <w:color w:val="auto"/>
                      <w:sz w:val="21"/>
                      <w:szCs w:val="21"/>
                    </w:rPr>
                    <w:t>具有热塑性的危险废物应装入容器或包装袋内进行贮存。</w:t>
                  </w:r>
                </w:p>
              </w:tc>
              <w:tc>
                <w:tcPr>
                  <w:tcW w:w="1968" w:type="pct"/>
                  <w:tcBorders>
                    <w:top w:val="single" w:color="auto" w:sz="4" w:space="0"/>
                    <w:left w:val="single" w:color="auto" w:sz="4" w:space="0"/>
                    <w:bottom w:val="single" w:color="auto" w:sz="4" w:space="0"/>
                    <w:right w:val="single" w:color="auto" w:sz="4" w:space="0"/>
                    <w:tl2br w:val="nil"/>
                    <w:tr2bl w:val="nil"/>
                  </w:tcBorders>
                  <w:vAlign w:val="center"/>
                </w:tcPr>
                <w:p w14:paraId="5FA143A2">
                  <w:pPr>
                    <w:spacing w:line="240" w:lineRule="auto"/>
                    <w:ind w:firstLine="0" w:firstLineChars="0"/>
                    <w:rPr>
                      <w:rFonts w:hint="default"/>
                      <w:color w:val="auto"/>
                      <w:sz w:val="21"/>
                      <w:szCs w:val="21"/>
                    </w:rPr>
                  </w:pPr>
                  <w:r>
                    <w:rPr>
                      <w:rFonts w:hint="default" w:eastAsia="宋体"/>
                      <w:color w:val="auto"/>
                      <w:sz w:val="21"/>
                      <w:szCs w:val="21"/>
                    </w:rPr>
                    <w:t>本项目无热塑性危险废物产生。</w:t>
                  </w:r>
                </w:p>
              </w:tc>
              <w:tc>
                <w:tcPr>
                  <w:tcW w:w="565" w:type="pct"/>
                  <w:tcBorders>
                    <w:top w:val="single" w:color="auto" w:sz="4" w:space="0"/>
                    <w:left w:val="single" w:color="auto" w:sz="4" w:space="0"/>
                    <w:bottom w:val="single" w:color="auto" w:sz="4" w:space="0"/>
                    <w:right w:val="single" w:color="auto" w:sz="4" w:space="0"/>
                    <w:tl2br w:val="nil"/>
                    <w:tr2bl w:val="nil"/>
                  </w:tcBorders>
                  <w:vAlign w:val="center"/>
                </w:tcPr>
                <w:p w14:paraId="7187FF74">
                  <w:pPr>
                    <w:spacing w:line="240" w:lineRule="auto"/>
                    <w:ind w:firstLine="0" w:firstLineChars="0"/>
                    <w:rPr>
                      <w:rFonts w:hint="default"/>
                      <w:color w:val="auto"/>
                      <w:sz w:val="21"/>
                      <w:szCs w:val="21"/>
                    </w:rPr>
                  </w:pPr>
                  <w:r>
                    <w:rPr>
                      <w:rFonts w:hint="default" w:eastAsia="宋体"/>
                      <w:color w:val="auto"/>
                      <w:sz w:val="21"/>
                      <w:szCs w:val="21"/>
                    </w:rPr>
                    <w:t>符合</w:t>
                  </w:r>
                </w:p>
              </w:tc>
            </w:tr>
            <w:tr w14:paraId="1FE3F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2" w:hRule="atLeast"/>
              </w:trPr>
              <w:tc>
                <w:tcPr>
                  <w:tcW w:w="553" w:type="pct"/>
                  <w:tcBorders>
                    <w:top w:val="single" w:color="auto" w:sz="4" w:space="0"/>
                    <w:left w:val="single" w:color="auto" w:sz="4" w:space="0"/>
                    <w:bottom w:val="single" w:color="auto" w:sz="4" w:space="0"/>
                    <w:right w:val="single" w:color="auto" w:sz="4" w:space="0"/>
                    <w:tl2br w:val="nil"/>
                    <w:tr2bl w:val="nil"/>
                  </w:tcBorders>
                  <w:vAlign w:val="center"/>
                </w:tcPr>
                <w:p w14:paraId="3C0CF1F7">
                  <w:pPr>
                    <w:spacing w:line="240" w:lineRule="auto"/>
                    <w:ind w:firstLine="0" w:firstLineChars="0"/>
                    <w:rPr>
                      <w:rFonts w:hint="default"/>
                      <w:color w:val="auto"/>
                      <w:sz w:val="21"/>
                      <w:szCs w:val="21"/>
                    </w:rPr>
                  </w:pPr>
                  <w:r>
                    <w:rPr>
                      <w:rFonts w:hint="default"/>
                      <w:color w:val="auto"/>
                      <w:sz w:val="21"/>
                      <w:szCs w:val="21"/>
                    </w:rPr>
                    <w:t>8.1.5</w:t>
                  </w:r>
                </w:p>
              </w:tc>
              <w:tc>
                <w:tcPr>
                  <w:tcW w:w="1912" w:type="pct"/>
                  <w:tcBorders>
                    <w:top w:val="single" w:color="auto" w:sz="4" w:space="0"/>
                    <w:left w:val="single" w:color="auto" w:sz="4" w:space="0"/>
                    <w:bottom w:val="single" w:color="auto" w:sz="4" w:space="0"/>
                    <w:right w:val="single" w:color="auto" w:sz="4" w:space="0"/>
                    <w:tl2br w:val="nil"/>
                    <w:tr2bl w:val="nil"/>
                  </w:tcBorders>
                  <w:vAlign w:val="center"/>
                </w:tcPr>
                <w:p w14:paraId="2ECDA1CA">
                  <w:pPr>
                    <w:spacing w:line="240" w:lineRule="auto"/>
                    <w:ind w:firstLine="0" w:firstLineChars="0"/>
                    <w:rPr>
                      <w:rFonts w:hint="default"/>
                      <w:color w:val="auto"/>
                      <w:sz w:val="21"/>
                      <w:szCs w:val="21"/>
                    </w:rPr>
                  </w:pPr>
                  <w:r>
                    <w:rPr>
                      <w:rFonts w:hint="default" w:eastAsia="宋体"/>
                      <w:color w:val="auto"/>
                      <w:sz w:val="21"/>
                      <w:szCs w:val="21"/>
                    </w:rPr>
                    <w:t>易产生粉尘、VOCs、酸雾、有毒有害大气污染物和刺激性气味气体的危险废物应装入闭口容器或包装物内贮存。</w:t>
                  </w:r>
                </w:p>
              </w:tc>
              <w:tc>
                <w:tcPr>
                  <w:tcW w:w="1968" w:type="pct"/>
                  <w:tcBorders>
                    <w:top w:val="single" w:color="auto" w:sz="4" w:space="0"/>
                    <w:left w:val="single" w:color="auto" w:sz="4" w:space="0"/>
                    <w:bottom w:val="single" w:color="auto" w:sz="4" w:space="0"/>
                    <w:right w:val="single" w:color="auto" w:sz="4" w:space="0"/>
                    <w:tl2br w:val="nil"/>
                    <w:tr2bl w:val="nil"/>
                  </w:tcBorders>
                  <w:vAlign w:val="center"/>
                </w:tcPr>
                <w:p w14:paraId="408B585F">
                  <w:pPr>
                    <w:spacing w:line="240" w:lineRule="auto"/>
                    <w:ind w:firstLine="0" w:firstLineChars="0"/>
                    <w:rPr>
                      <w:rFonts w:hint="default"/>
                      <w:color w:val="auto"/>
                      <w:sz w:val="21"/>
                      <w:szCs w:val="21"/>
                    </w:rPr>
                  </w:pPr>
                  <w:r>
                    <w:rPr>
                      <w:rFonts w:hint="eastAsia" w:eastAsia="宋体"/>
                      <w:color w:val="auto"/>
                      <w:sz w:val="21"/>
                      <w:szCs w:val="21"/>
                      <w:lang w:eastAsia="zh-CN"/>
                    </w:rPr>
                    <w:t>项目废矿物油采用密封桶暂存，废油桶、盛装“干净”矿物油的空桶加盖密封，废铅酸电池桶装加盖密封</w:t>
                  </w:r>
                  <w:r>
                    <w:rPr>
                      <w:rFonts w:hint="default" w:eastAsia="宋体"/>
                      <w:color w:val="auto"/>
                      <w:sz w:val="21"/>
                      <w:szCs w:val="21"/>
                    </w:rPr>
                    <w:t>。避免危险废物与不相容的物质或材料接触。</w:t>
                  </w:r>
                </w:p>
              </w:tc>
              <w:tc>
                <w:tcPr>
                  <w:tcW w:w="565" w:type="pct"/>
                  <w:tcBorders>
                    <w:top w:val="single" w:color="auto" w:sz="4" w:space="0"/>
                    <w:left w:val="single" w:color="auto" w:sz="4" w:space="0"/>
                    <w:bottom w:val="single" w:color="auto" w:sz="4" w:space="0"/>
                    <w:right w:val="single" w:color="auto" w:sz="4" w:space="0"/>
                    <w:tl2br w:val="nil"/>
                    <w:tr2bl w:val="nil"/>
                  </w:tcBorders>
                  <w:vAlign w:val="center"/>
                </w:tcPr>
                <w:p w14:paraId="0E7F0427">
                  <w:pPr>
                    <w:spacing w:line="240" w:lineRule="auto"/>
                    <w:ind w:firstLine="0" w:firstLineChars="0"/>
                    <w:rPr>
                      <w:rFonts w:hint="default"/>
                      <w:color w:val="auto"/>
                      <w:sz w:val="21"/>
                      <w:szCs w:val="21"/>
                    </w:rPr>
                  </w:pPr>
                  <w:r>
                    <w:rPr>
                      <w:rFonts w:hint="default" w:eastAsia="宋体"/>
                      <w:color w:val="auto"/>
                      <w:sz w:val="21"/>
                      <w:szCs w:val="21"/>
                    </w:rPr>
                    <w:t>符合</w:t>
                  </w:r>
                </w:p>
              </w:tc>
            </w:tr>
            <w:tr w14:paraId="29D95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553" w:type="pct"/>
                  <w:tcBorders>
                    <w:top w:val="single" w:color="auto" w:sz="4" w:space="0"/>
                    <w:left w:val="single" w:color="auto" w:sz="4" w:space="0"/>
                    <w:bottom w:val="single" w:color="auto" w:sz="4" w:space="0"/>
                    <w:right w:val="single" w:color="auto" w:sz="4" w:space="0"/>
                    <w:tl2br w:val="nil"/>
                    <w:tr2bl w:val="nil"/>
                  </w:tcBorders>
                  <w:vAlign w:val="center"/>
                </w:tcPr>
                <w:p w14:paraId="60FC58FF">
                  <w:pPr>
                    <w:spacing w:line="240" w:lineRule="auto"/>
                    <w:ind w:firstLine="0" w:firstLineChars="0"/>
                    <w:rPr>
                      <w:rFonts w:hint="default"/>
                      <w:color w:val="auto"/>
                      <w:sz w:val="21"/>
                      <w:szCs w:val="21"/>
                    </w:rPr>
                  </w:pPr>
                  <w:r>
                    <w:rPr>
                      <w:rFonts w:hint="default"/>
                      <w:color w:val="auto"/>
                      <w:sz w:val="21"/>
                      <w:szCs w:val="21"/>
                    </w:rPr>
                    <w:t>8.1.6</w:t>
                  </w:r>
                </w:p>
              </w:tc>
              <w:tc>
                <w:tcPr>
                  <w:tcW w:w="1912" w:type="pct"/>
                  <w:tcBorders>
                    <w:top w:val="single" w:color="auto" w:sz="4" w:space="0"/>
                    <w:left w:val="single" w:color="auto" w:sz="4" w:space="0"/>
                    <w:bottom w:val="single" w:color="auto" w:sz="4" w:space="0"/>
                    <w:right w:val="single" w:color="auto" w:sz="4" w:space="0"/>
                    <w:tl2br w:val="nil"/>
                    <w:tr2bl w:val="nil"/>
                  </w:tcBorders>
                  <w:vAlign w:val="center"/>
                </w:tcPr>
                <w:p w14:paraId="466536C6">
                  <w:pPr>
                    <w:spacing w:line="240" w:lineRule="auto"/>
                    <w:ind w:firstLine="0" w:firstLineChars="0"/>
                    <w:rPr>
                      <w:rFonts w:hint="default"/>
                      <w:color w:val="auto"/>
                      <w:sz w:val="21"/>
                      <w:szCs w:val="21"/>
                    </w:rPr>
                  </w:pPr>
                  <w:r>
                    <w:rPr>
                      <w:rFonts w:hint="default" w:eastAsia="宋体"/>
                      <w:color w:val="auto"/>
                      <w:sz w:val="21"/>
                      <w:szCs w:val="21"/>
                    </w:rPr>
                    <w:t>危险废物贮存过程中易产生粉尘等无组织排放的，应采取抑尘等有效措施。</w:t>
                  </w:r>
                </w:p>
              </w:tc>
              <w:tc>
                <w:tcPr>
                  <w:tcW w:w="1968" w:type="pct"/>
                  <w:tcBorders>
                    <w:top w:val="single" w:color="auto" w:sz="4" w:space="0"/>
                    <w:left w:val="single" w:color="auto" w:sz="4" w:space="0"/>
                    <w:bottom w:val="single" w:color="auto" w:sz="4" w:space="0"/>
                    <w:right w:val="single" w:color="auto" w:sz="4" w:space="0"/>
                    <w:tl2br w:val="nil"/>
                    <w:tr2bl w:val="nil"/>
                  </w:tcBorders>
                  <w:vAlign w:val="center"/>
                </w:tcPr>
                <w:p w14:paraId="79A7208C">
                  <w:pPr>
                    <w:spacing w:line="240" w:lineRule="auto"/>
                    <w:ind w:firstLine="0" w:firstLineChars="0"/>
                    <w:rPr>
                      <w:rFonts w:hint="default"/>
                      <w:color w:val="auto"/>
                      <w:sz w:val="21"/>
                      <w:szCs w:val="21"/>
                    </w:rPr>
                  </w:pPr>
                  <w:r>
                    <w:rPr>
                      <w:rFonts w:hint="default" w:eastAsia="宋体"/>
                      <w:color w:val="auto"/>
                      <w:sz w:val="21"/>
                      <w:szCs w:val="21"/>
                    </w:rPr>
                    <w:t>本项目各类危险废物贮存过程中不产生粉尘，无需采取抑尘措施。</w:t>
                  </w:r>
                </w:p>
              </w:tc>
              <w:tc>
                <w:tcPr>
                  <w:tcW w:w="565" w:type="pct"/>
                  <w:tcBorders>
                    <w:top w:val="single" w:color="auto" w:sz="4" w:space="0"/>
                    <w:left w:val="single" w:color="auto" w:sz="4" w:space="0"/>
                    <w:bottom w:val="single" w:color="auto" w:sz="4" w:space="0"/>
                    <w:right w:val="single" w:color="auto" w:sz="4" w:space="0"/>
                    <w:tl2br w:val="nil"/>
                    <w:tr2bl w:val="nil"/>
                  </w:tcBorders>
                  <w:vAlign w:val="center"/>
                </w:tcPr>
                <w:p w14:paraId="55BCEE9D">
                  <w:pPr>
                    <w:spacing w:line="240" w:lineRule="auto"/>
                    <w:ind w:firstLine="0" w:firstLineChars="0"/>
                    <w:rPr>
                      <w:rFonts w:hint="default"/>
                      <w:color w:val="auto"/>
                      <w:sz w:val="21"/>
                      <w:szCs w:val="21"/>
                    </w:rPr>
                  </w:pPr>
                  <w:r>
                    <w:rPr>
                      <w:rFonts w:hint="default" w:eastAsia="宋体"/>
                      <w:color w:val="auto"/>
                      <w:sz w:val="21"/>
                      <w:szCs w:val="21"/>
                    </w:rPr>
                    <w:t>符合</w:t>
                  </w:r>
                </w:p>
              </w:tc>
            </w:tr>
            <w:tr w14:paraId="6F890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 w:hRule="atLeast"/>
              </w:trPr>
              <w:tc>
                <w:tcPr>
                  <w:tcW w:w="553" w:type="pct"/>
                  <w:tcBorders>
                    <w:top w:val="single" w:color="auto" w:sz="4" w:space="0"/>
                    <w:left w:val="single" w:color="auto" w:sz="4" w:space="0"/>
                    <w:bottom w:val="single" w:color="auto" w:sz="4" w:space="0"/>
                    <w:right w:val="single" w:color="auto" w:sz="4" w:space="0"/>
                    <w:tl2br w:val="nil"/>
                    <w:tr2bl w:val="nil"/>
                  </w:tcBorders>
                  <w:vAlign w:val="center"/>
                </w:tcPr>
                <w:p w14:paraId="07A7F12F">
                  <w:pPr>
                    <w:spacing w:line="240" w:lineRule="auto"/>
                    <w:ind w:firstLine="0" w:firstLineChars="0"/>
                    <w:rPr>
                      <w:rFonts w:hint="default"/>
                      <w:color w:val="auto"/>
                      <w:sz w:val="21"/>
                      <w:szCs w:val="21"/>
                    </w:rPr>
                  </w:pPr>
                  <w:r>
                    <w:rPr>
                      <w:rFonts w:hint="default"/>
                      <w:color w:val="auto"/>
                      <w:sz w:val="21"/>
                      <w:szCs w:val="21"/>
                    </w:rPr>
                    <w:t>8.2</w:t>
                  </w:r>
                </w:p>
              </w:tc>
              <w:tc>
                <w:tcPr>
                  <w:tcW w:w="4446" w:type="pct"/>
                  <w:gridSpan w:val="3"/>
                  <w:tcBorders>
                    <w:top w:val="single" w:color="auto" w:sz="4" w:space="0"/>
                    <w:left w:val="single" w:color="auto" w:sz="4" w:space="0"/>
                    <w:bottom w:val="single" w:color="auto" w:sz="4" w:space="0"/>
                    <w:right w:val="single" w:color="auto" w:sz="4" w:space="0"/>
                    <w:tl2br w:val="nil"/>
                    <w:tr2bl w:val="nil"/>
                  </w:tcBorders>
                  <w:vAlign w:val="center"/>
                </w:tcPr>
                <w:p w14:paraId="6F7FFA6D">
                  <w:pPr>
                    <w:spacing w:line="240" w:lineRule="auto"/>
                    <w:ind w:firstLine="0" w:firstLineChars="0"/>
                    <w:rPr>
                      <w:rFonts w:hint="default"/>
                      <w:color w:val="auto"/>
                      <w:sz w:val="21"/>
                      <w:szCs w:val="21"/>
                    </w:rPr>
                  </w:pPr>
                  <w:r>
                    <w:rPr>
                      <w:rFonts w:hint="default" w:eastAsia="宋体"/>
                      <w:color w:val="auto"/>
                      <w:sz w:val="21"/>
                      <w:szCs w:val="21"/>
                    </w:rPr>
                    <w:t>贮存设施运行环境管理要求</w:t>
                  </w:r>
                </w:p>
              </w:tc>
            </w:tr>
            <w:tr w14:paraId="13ED5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53" w:type="pct"/>
                  <w:tcBorders>
                    <w:top w:val="single" w:color="auto" w:sz="4" w:space="0"/>
                    <w:left w:val="single" w:color="auto" w:sz="4" w:space="0"/>
                    <w:bottom w:val="single" w:color="auto" w:sz="4" w:space="0"/>
                    <w:right w:val="single" w:color="auto" w:sz="4" w:space="0"/>
                    <w:tl2br w:val="nil"/>
                    <w:tr2bl w:val="nil"/>
                  </w:tcBorders>
                  <w:vAlign w:val="center"/>
                </w:tcPr>
                <w:p w14:paraId="74CE7674">
                  <w:pPr>
                    <w:spacing w:line="240" w:lineRule="auto"/>
                    <w:ind w:firstLine="0" w:firstLineChars="0"/>
                    <w:rPr>
                      <w:rFonts w:hint="default"/>
                      <w:color w:val="auto"/>
                      <w:sz w:val="21"/>
                      <w:szCs w:val="21"/>
                    </w:rPr>
                  </w:pPr>
                  <w:r>
                    <w:rPr>
                      <w:rFonts w:hint="default"/>
                      <w:color w:val="auto"/>
                      <w:sz w:val="21"/>
                      <w:szCs w:val="21"/>
                    </w:rPr>
                    <w:t>8.2.1</w:t>
                  </w:r>
                </w:p>
              </w:tc>
              <w:tc>
                <w:tcPr>
                  <w:tcW w:w="1912" w:type="pct"/>
                  <w:tcBorders>
                    <w:top w:val="single" w:color="auto" w:sz="4" w:space="0"/>
                    <w:left w:val="single" w:color="auto" w:sz="4" w:space="0"/>
                    <w:bottom w:val="single" w:color="auto" w:sz="4" w:space="0"/>
                    <w:right w:val="single" w:color="auto" w:sz="4" w:space="0"/>
                    <w:tl2br w:val="nil"/>
                    <w:tr2bl w:val="nil"/>
                  </w:tcBorders>
                  <w:vAlign w:val="center"/>
                </w:tcPr>
                <w:p w14:paraId="441087EB">
                  <w:pPr>
                    <w:spacing w:line="240" w:lineRule="auto"/>
                    <w:ind w:firstLine="0" w:firstLineChars="0"/>
                    <w:rPr>
                      <w:rFonts w:hint="default"/>
                      <w:color w:val="auto"/>
                      <w:sz w:val="21"/>
                      <w:szCs w:val="21"/>
                    </w:rPr>
                  </w:pPr>
                  <w:r>
                    <w:rPr>
                      <w:rFonts w:hint="default" w:eastAsia="宋体"/>
                      <w:color w:val="auto"/>
                      <w:sz w:val="21"/>
                      <w:szCs w:val="21"/>
                    </w:rPr>
                    <w:t>危险废物存入贮存设施前应对危险废物类别和特性与危险废物标签等危险废物识别标志的一致性进行核验，不一致的或类别、特性不明的不应存入。</w:t>
                  </w:r>
                </w:p>
              </w:tc>
              <w:tc>
                <w:tcPr>
                  <w:tcW w:w="1968" w:type="pct"/>
                  <w:tcBorders>
                    <w:top w:val="single" w:color="auto" w:sz="4" w:space="0"/>
                    <w:left w:val="single" w:color="auto" w:sz="4" w:space="0"/>
                    <w:bottom w:val="single" w:color="auto" w:sz="4" w:space="0"/>
                    <w:right w:val="single" w:color="auto" w:sz="4" w:space="0"/>
                    <w:tl2br w:val="nil"/>
                    <w:tr2bl w:val="nil"/>
                  </w:tcBorders>
                  <w:vAlign w:val="center"/>
                </w:tcPr>
                <w:p w14:paraId="02380FE1">
                  <w:pPr>
                    <w:spacing w:line="240" w:lineRule="auto"/>
                    <w:ind w:firstLine="0" w:firstLineChars="0"/>
                    <w:rPr>
                      <w:rFonts w:hint="default"/>
                      <w:color w:val="auto"/>
                      <w:sz w:val="21"/>
                      <w:szCs w:val="21"/>
                    </w:rPr>
                  </w:pPr>
                  <w:r>
                    <w:rPr>
                      <w:rFonts w:hint="default" w:eastAsia="宋体"/>
                      <w:color w:val="auto"/>
                      <w:sz w:val="21"/>
                      <w:szCs w:val="21"/>
                    </w:rPr>
                    <w:t>本项目危险废物存放时，由专业人员对危险废物类别和特性与危险废物标签等危险废物识别标志的一致性进行核验。</w:t>
                  </w:r>
                </w:p>
              </w:tc>
              <w:tc>
                <w:tcPr>
                  <w:tcW w:w="565" w:type="pct"/>
                  <w:tcBorders>
                    <w:top w:val="single" w:color="auto" w:sz="4" w:space="0"/>
                    <w:left w:val="single" w:color="auto" w:sz="4" w:space="0"/>
                    <w:bottom w:val="single" w:color="auto" w:sz="4" w:space="0"/>
                    <w:right w:val="single" w:color="auto" w:sz="4" w:space="0"/>
                    <w:tl2br w:val="nil"/>
                    <w:tr2bl w:val="nil"/>
                  </w:tcBorders>
                  <w:vAlign w:val="center"/>
                </w:tcPr>
                <w:p w14:paraId="6AEC7076">
                  <w:pPr>
                    <w:spacing w:line="240" w:lineRule="auto"/>
                    <w:ind w:firstLine="0" w:firstLineChars="0"/>
                    <w:rPr>
                      <w:rFonts w:hint="default"/>
                      <w:color w:val="auto"/>
                      <w:sz w:val="21"/>
                      <w:szCs w:val="21"/>
                    </w:rPr>
                  </w:pPr>
                  <w:r>
                    <w:rPr>
                      <w:rFonts w:hint="default" w:eastAsia="宋体"/>
                      <w:color w:val="auto"/>
                      <w:sz w:val="21"/>
                      <w:szCs w:val="21"/>
                    </w:rPr>
                    <w:t>符合</w:t>
                  </w:r>
                </w:p>
              </w:tc>
            </w:tr>
            <w:tr w14:paraId="7FB2D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553" w:type="pct"/>
                  <w:tcBorders>
                    <w:top w:val="single" w:color="auto" w:sz="4" w:space="0"/>
                    <w:left w:val="single" w:color="auto" w:sz="4" w:space="0"/>
                    <w:bottom w:val="single" w:color="auto" w:sz="4" w:space="0"/>
                    <w:right w:val="single" w:color="auto" w:sz="4" w:space="0"/>
                    <w:tl2br w:val="nil"/>
                    <w:tr2bl w:val="nil"/>
                  </w:tcBorders>
                  <w:vAlign w:val="center"/>
                </w:tcPr>
                <w:p w14:paraId="2C6569D6">
                  <w:pPr>
                    <w:spacing w:line="240" w:lineRule="auto"/>
                    <w:ind w:firstLine="0" w:firstLineChars="0"/>
                    <w:rPr>
                      <w:rFonts w:hint="default"/>
                      <w:color w:val="auto"/>
                      <w:sz w:val="21"/>
                      <w:szCs w:val="21"/>
                    </w:rPr>
                  </w:pPr>
                  <w:r>
                    <w:rPr>
                      <w:rFonts w:hint="default"/>
                      <w:color w:val="auto"/>
                      <w:sz w:val="21"/>
                      <w:szCs w:val="21"/>
                    </w:rPr>
                    <w:t>8.2.2</w:t>
                  </w:r>
                </w:p>
              </w:tc>
              <w:tc>
                <w:tcPr>
                  <w:tcW w:w="1912" w:type="pct"/>
                  <w:tcBorders>
                    <w:top w:val="single" w:color="auto" w:sz="4" w:space="0"/>
                    <w:left w:val="single" w:color="auto" w:sz="4" w:space="0"/>
                    <w:bottom w:val="single" w:color="auto" w:sz="4" w:space="0"/>
                    <w:right w:val="single" w:color="auto" w:sz="4" w:space="0"/>
                    <w:tl2br w:val="nil"/>
                    <w:tr2bl w:val="nil"/>
                  </w:tcBorders>
                  <w:vAlign w:val="center"/>
                </w:tcPr>
                <w:p w14:paraId="3885F9ED">
                  <w:pPr>
                    <w:spacing w:line="240" w:lineRule="auto"/>
                    <w:ind w:firstLine="0" w:firstLineChars="0"/>
                    <w:rPr>
                      <w:rFonts w:hint="default"/>
                      <w:color w:val="auto"/>
                      <w:sz w:val="21"/>
                      <w:szCs w:val="21"/>
                    </w:rPr>
                  </w:pPr>
                  <w:r>
                    <w:rPr>
                      <w:rFonts w:hint="default" w:eastAsia="宋体"/>
                      <w:color w:val="auto"/>
                      <w:sz w:val="21"/>
                      <w:szCs w:val="21"/>
                    </w:rPr>
                    <w:t>应定期检查危险废物的贮存状况，及时清理贮存设施地面，更换破损泄漏的危险废物贮存容器和包装物，保证堆存危险废物的防雨、防风、防扬尘等设施功能完好。</w:t>
                  </w:r>
                </w:p>
              </w:tc>
              <w:tc>
                <w:tcPr>
                  <w:tcW w:w="1968" w:type="pct"/>
                  <w:tcBorders>
                    <w:top w:val="single" w:color="auto" w:sz="4" w:space="0"/>
                    <w:left w:val="single" w:color="auto" w:sz="4" w:space="0"/>
                    <w:bottom w:val="single" w:color="auto" w:sz="4" w:space="0"/>
                    <w:right w:val="single" w:color="auto" w:sz="4" w:space="0"/>
                    <w:tl2br w:val="nil"/>
                    <w:tr2bl w:val="nil"/>
                  </w:tcBorders>
                  <w:vAlign w:val="center"/>
                </w:tcPr>
                <w:p w14:paraId="4FC3F0FA">
                  <w:pPr>
                    <w:spacing w:line="240" w:lineRule="auto"/>
                    <w:ind w:firstLine="0" w:firstLineChars="0"/>
                    <w:rPr>
                      <w:rFonts w:hint="default" w:eastAsia="宋体"/>
                      <w:color w:val="auto"/>
                      <w:sz w:val="21"/>
                      <w:szCs w:val="21"/>
                    </w:rPr>
                  </w:pPr>
                  <w:r>
                    <w:rPr>
                      <w:rFonts w:hint="default" w:eastAsia="宋体"/>
                      <w:color w:val="auto"/>
                      <w:sz w:val="21"/>
                      <w:szCs w:val="21"/>
                    </w:rPr>
                    <w:t>按要求进行定期检查，发现破损及时采取措施。</w:t>
                  </w:r>
                </w:p>
              </w:tc>
              <w:tc>
                <w:tcPr>
                  <w:tcW w:w="565" w:type="pct"/>
                  <w:tcBorders>
                    <w:top w:val="single" w:color="auto" w:sz="4" w:space="0"/>
                    <w:left w:val="single" w:color="auto" w:sz="4" w:space="0"/>
                    <w:bottom w:val="single" w:color="auto" w:sz="4" w:space="0"/>
                    <w:right w:val="single" w:color="auto" w:sz="4" w:space="0"/>
                    <w:tl2br w:val="nil"/>
                    <w:tr2bl w:val="nil"/>
                  </w:tcBorders>
                  <w:vAlign w:val="center"/>
                </w:tcPr>
                <w:p w14:paraId="333A41B6">
                  <w:pPr>
                    <w:spacing w:line="240" w:lineRule="auto"/>
                    <w:ind w:firstLine="0" w:firstLineChars="0"/>
                    <w:rPr>
                      <w:rFonts w:hint="default"/>
                      <w:color w:val="auto"/>
                      <w:sz w:val="21"/>
                      <w:szCs w:val="21"/>
                    </w:rPr>
                  </w:pPr>
                  <w:r>
                    <w:rPr>
                      <w:rFonts w:hint="default" w:eastAsia="宋体"/>
                      <w:color w:val="auto"/>
                      <w:sz w:val="21"/>
                      <w:szCs w:val="21"/>
                    </w:rPr>
                    <w:t>符合</w:t>
                  </w:r>
                </w:p>
              </w:tc>
            </w:tr>
            <w:tr w14:paraId="405CA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6" w:hRule="atLeast"/>
              </w:trPr>
              <w:tc>
                <w:tcPr>
                  <w:tcW w:w="553" w:type="pct"/>
                  <w:tcBorders>
                    <w:top w:val="single" w:color="auto" w:sz="4" w:space="0"/>
                    <w:left w:val="single" w:color="auto" w:sz="4" w:space="0"/>
                    <w:bottom w:val="single" w:color="auto" w:sz="4" w:space="0"/>
                    <w:right w:val="single" w:color="auto" w:sz="4" w:space="0"/>
                    <w:tl2br w:val="nil"/>
                    <w:tr2bl w:val="nil"/>
                  </w:tcBorders>
                  <w:vAlign w:val="center"/>
                </w:tcPr>
                <w:p w14:paraId="675324CD">
                  <w:pPr>
                    <w:spacing w:line="240" w:lineRule="auto"/>
                    <w:ind w:firstLine="0" w:firstLineChars="0"/>
                    <w:rPr>
                      <w:rFonts w:hint="default"/>
                      <w:color w:val="auto"/>
                      <w:sz w:val="21"/>
                      <w:szCs w:val="21"/>
                    </w:rPr>
                  </w:pPr>
                  <w:r>
                    <w:rPr>
                      <w:rFonts w:hint="default"/>
                      <w:color w:val="auto"/>
                      <w:sz w:val="21"/>
                      <w:szCs w:val="21"/>
                    </w:rPr>
                    <w:t>8.2.3</w:t>
                  </w:r>
                </w:p>
              </w:tc>
              <w:tc>
                <w:tcPr>
                  <w:tcW w:w="1912" w:type="pct"/>
                  <w:tcBorders>
                    <w:top w:val="single" w:color="auto" w:sz="4" w:space="0"/>
                    <w:left w:val="single" w:color="auto" w:sz="4" w:space="0"/>
                    <w:bottom w:val="single" w:color="auto" w:sz="4" w:space="0"/>
                    <w:right w:val="single" w:color="auto" w:sz="4" w:space="0"/>
                    <w:tl2br w:val="nil"/>
                    <w:tr2bl w:val="nil"/>
                  </w:tcBorders>
                  <w:vAlign w:val="center"/>
                </w:tcPr>
                <w:p w14:paraId="2A19D9AF">
                  <w:pPr>
                    <w:spacing w:line="240" w:lineRule="auto"/>
                    <w:ind w:firstLine="0" w:firstLineChars="0"/>
                    <w:rPr>
                      <w:rFonts w:hint="default"/>
                      <w:color w:val="auto"/>
                      <w:sz w:val="21"/>
                      <w:szCs w:val="21"/>
                    </w:rPr>
                  </w:pPr>
                  <w:r>
                    <w:rPr>
                      <w:rFonts w:hint="default" w:eastAsia="宋体"/>
                      <w:color w:val="auto"/>
                      <w:sz w:val="21"/>
                      <w:szCs w:val="21"/>
                    </w:rPr>
                    <w:t>作业设备及车辆等结束作业离开贮存设施时，应对其残留的危险废物进行清理，清理的废物或清洗废水应收集处理。</w:t>
                  </w:r>
                </w:p>
              </w:tc>
              <w:tc>
                <w:tcPr>
                  <w:tcW w:w="1968" w:type="pct"/>
                  <w:tcBorders>
                    <w:top w:val="single" w:color="auto" w:sz="4" w:space="0"/>
                    <w:left w:val="single" w:color="auto" w:sz="4" w:space="0"/>
                    <w:bottom w:val="single" w:color="auto" w:sz="4" w:space="0"/>
                    <w:right w:val="single" w:color="auto" w:sz="4" w:space="0"/>
                    <w:tl2br w:val="nil"/>
                    <w:tr2bl w:val="nil"/>
                  </w:tcBorders>
                  <w:vAlign w:val="center"/>
                </w:tcPr>
                <w:p w14:paraId="289CF81C">
                  <w:pPr>
                    <w:spacing w:line="240" w:lineRule="auto"/>
                    <w:ind w:firstLine="0" w:firstLineChars="0"/>
                    <w:rPr>
                      <w:rFonts w:hint="default"/>
                      <w:color w:val="auto"/>
                      <w:sz w:val="21"/>
                      <w:szCs w:val="21"/>
                    </w:rPr>
                  </w:pPr>
                  <w:r>
                    <w:rPr>
                      <w:rFonts w:hint="default" w:eastAsia="宋体"/>
                      <w:color w:val="auto"/>
                      <w:sz w:val="21"/>
                      <w:szCs w:val="21"/>
                    </w:rPr>
                    <w:t>项目不涉及泄漏液、清洗液、浸出液排放，在危废转运装卸过程中若有残留物，清理的残留废物或清洗废水定期交由有资质单位处置，并建立台账，禁止擅自处理。</w:t>
                  </w:r>
                </w:p>
              </w:tc>
              <w:tc>
                <w:tcPr>
                  <w:tcW w:w="565" w:type="pct"/>
                  <w:tcBorders>
                    <w:top w:val="single" w:color="auto" w:sz="4" w:space="0"/>
                    <w:left w:val="single" w:color="auto" w:sz="4" w:space="0"/>
                    <w:bottom w:val="single" w:color="auto" w:sz="4" w:space="0"/>
                    <w:right w:val="single" w:color="auto" w:sz="4" w:space="0"/>
                    <w:tl2br w:val="nil"/>
                    <w:tr2bl w:val="nil"/>
                  </w:tcBorders>
                  <w:vAlign w:val="center"/>
                </w:tcPr>
                <w:p w14:paraId="6B35274C">
                  <w:pPr>
                    <w:spacing w:line="240" w:lineRule="auto"/>
                    <w:ind w:firstLine="0" w:firstLineChars="0"/>
                    <w:rPr>
                      <w:rFonts w:hint="default"/>
                      <w:color w:val="auto"/>
                      <w:sz w:val="21"/>
                      <w:szCs w:val="21"/>
                    </w:rPr>
                  </w:pPr>
                  <w:r>
                    <w:rPr>
                      <w:rFonts w:hint="default" w:eastAsia="宋体"/>
                      <w:color w:val="auto"/>
                      <w:sz w:val="21"/>
                      <w:szCs w:val="21"/>
                    </w:rPr>
                    <w:t>符合</w:t>
                  </w:r>
                </w:p>
              </w:tc>
            </w:tr>
            <w:tr w14:paraId="49005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 w:hRule="atLeast"/>
              </w:trPr>
              <w:tc>
                <w:tcPr>
                  <w:tcW w:w="553" w:type="pct"/>
                  <w:tcBorders>
                    <w:top w:val="single" w:color="auto" w:sz="4" w:space="0"/>
                    <w:left w:val="single" w:color="auto" w:sz="4" w:space="0"/>
                    <w:bottom w:val="single" w:color="auto" w:sz="4" w:space="0"/>
                    <w:right w:val="single" w:color="auto" w:sz="4" w:space="0"/>
                    <w:tl2br w:val="nil"/>
                    <w:tr2bl w:val="nil"/>
                  </w:tcBorders>
                  <w:vAlign w:val="center"/>
                </w:tcPr>
                <w:p w14:paraId="68722F13">
                  <w:pPr>
                    <w:spacing w:line="240" w:lineRule="auto"/>
                    <w:ind w:firstLine="0" w:firstLineChars="0"/>
                    <w:rPr>
                      <w:rFonts w:hint="default"/>
                      <w:color w:val="auto"/>
                      <w:sz w:val="21"/>
                      <w:szCs w:val="21"/>
                    </w:rPr>
                  </w:pPr>
                  <w:r>
                    <w:rPr>
                      <w:rFonts w:hint="default"/>
                      <w:color w:val="auto"/>
                      <w:sz w:val="21"/>
                      <w:szCs w:val="21"/>
                    </w:rPr>
                    <w:t>8.2.4</w:t>
                  </w:r>
                </w:p>
              </w:tc>
              <w:tc>
                <w:tcPr>
                  <w:tcW w:w="1912" w:type="pct"/>
                  <w:tcBorders>
                    <w:top w:val="single" w:color="auto" w:sz="4" w:space="0"/>
                    <w:left w:val="single" w:color="auto" w:sz="4" w:space="0"/>
                    <w:bottom w:val="single" w:color="auto" w:sz="4" w:space="0"/>
                    <w:right w:val="single" w:color="auto" w:sz="4" w:space="0"/>
                    <w:tl2br w:val="nil"/>
                    <w:tr2bl w:val="nil"/>
                  </w:tcBorders>
                  <w:vAlign w:val="center"/>
                </w:tcPr>
                <w:p w14:paraId="084342A0">
                  <w:pPr>
                    <w:spacing w:line="240" w:lineRule="auto"/>
                    <w:ind w:firstLine="0" w:firstLineChars="0"/>
                    <w:rPr>
                      <w:rFonts w:hint="default"/>
                      <w:color w:val="auto"/>
                      <w:sz w:val="21"/>
                      <w:szCs w:val="21"/>
                    </w:rPr>
                  </w:pPr>
                  <w:r>
                    <w:rPr>
                      <w:rFonts w:hint="default" w:eastAsia="宋体"/>
                      <w:color w:val="auto"/>
                      <w:sz w:val="21"/>
                      <w:szCs w:val="21"/>
                    </w:rPr>
                    <w:t>贮存设施运行期间，应按国家有关标准和规定建立危险废物管理台账并保存。</w:t>
                  </w:r>
                </w:p>
              </w:tc>
              <w:tc>
                <w:tcPr>
                  <w:tcW w:w="1968" w:type="pct"/>
                  <w:tcBorders>
                    <w:top w:val="single" w:color="auto" w:sz="4" w:space="0"/>
                    <w:left w:val="single" w:color="auto" w:sz="4" w:space="0"/>
                    <w:bottom w:val="single" w:color="auto" w:sz="4" w:space="0"/>
                    <w:right w:val="single" w:color="auto" w:sz="4" w:space="0"/>
                    <w:tl2br w:val="nil"/>
                    <w:tr2bl w:val="nil"/>
                  </w:tcBorders>
                  <w:vAlign w:val="center"/>
                </w:tcPr>
                <w:p w14:paraId="0631A373">
                  <w:pPr>
                    <w:spacing w:line="240" w:lineRule="auto"/>
                    <w:ind w:firstLine="0" w:firstLineChars="0"/>
                    <w:rPr>
                      <w:rFonts w:hint="default" w:eastAsia="宋体"/>
                      <w:color w:val="auto"/>
                      <w:sz w:val="21"/>
                      <w:szCs w:val="21"/>
                    </w:rPr>
                  </w:pPr>
                  <w:r>
                    <w:rPr>
                      <w:rFonts w:hint="default" w:eastAsia="宋体"/>
                      <w:color w:val="auto"/>
                      <w:sz w:val="21"/>
                      <w:szCs w:val="21"/>
                    </w:rPr>
                    <w:t>建立台账，如实记录收集、贮存、转移危废的重量、来源、去向等信息，并保存至少</w:t>
                  </w:r>
                  <w:r>
                    <w:rPr>
                      <w:rFonts w:hint="default"/>
                      <w:color w:val="auto"/>
                      <w:sz w:val="21"/>
                      <w:szCs w:val="21"/>
                    </w:rPr>
                    <w:t>10</w:t>
                  </w:r>
                  <w:r>
                    <w:rPr>
                      <w:rFonts w:hint="default" w:eastAsia="宋体"/>
                      <w:color w:val="auto"/>
                      <w:sz w:val="21"/>
                      <w:szCs w:val="21"/>
                    </w:rPr>
                    <w:t>年。</w:t>
                  </w:r>
                </w:p>
              </w:tc>
              <w:tc>
                <w:tcPr>
                  <w:tcW w:w="565" w:type="pct"/>
                  <w:tcBorders>
                    <w:top w:val="single" w:color="auto" w:sz="4" w:space="0"/>
                    <w:left w:val="single" w:color="auto" w:sz="4" w:space="0"/>
                    <w:bottom w:val="single" w:color="auto" w:sz="4" w:space="0"/>
                    <w:right w:val="single" w:color="auto" w:sz="4" w:space="0"/>
                    <w:tl2br w:val="nil"/>
                    <w:tr2bl w:val="nil"/>
                  </w:tcBorders>
                  <w:vAlign w:val="center"/>
                </w:tcPr>
                <w:p w14:paraId="48A4F7D8">
                  <w:pPr>
                    <w:spacing w:line="240" w:lineRule="auto"/>
                    <w:ind w:firstLine="0" w:firstLineChars="0"/>
                    <w:rPr>
                      <w:rFonts w:hint="default"/>
                      <w:color w:val="auto"/>
                      <w:sz w:val="21"/>
                      <w:szCs w:val="21"/>
                    </w:rPr>
                  </w:pPr>
                  <w:r>
                    <w:rPr>
                      <w:rFonts w:hint="default" w:eastAsia="宋体"/>
                      <w:color w:val="auto"/>
                      <w:sz w:val="21"/>
                      <w:szCs w:val="21"/>
                    </w:rPr>
                    <w:t>符合</w:t>
                  </w:r>
                </w:p>
              </w:tc>
            </w:tr>
            <w:tr w14:paraId="71983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53" w:type="pct"/>
                  <w:tcBorders>
                    <w:top w:val="single" w:color="auto" w:sz="4" w:space="0"/>
                    <w:left w:val="single" w:color="auto" w:sz="4" w:space="0"/>
                    <w:bottom w:val="single" w:color="auto" w:sz="4" w:space="0"/>
                    <w:right w:val="single" w:color="auto" w:sz="4" w:space="0"/>
                    <w:tl2br w:val="nil"/>
                    <w:tr2bl w:val="nil"/>
                  </w:tcBorders>
                  <w:vAlign w:val="center"/>
                </w:tcPr>
                <w:p w14:paraId="2DB1D4AB">
                  <w:pPr>
                    <w:spacing w:line="240" w:lineRule="auto"/>
                    <w:ind w:firstLine="0" w:firstLineChars="0"/>
                    <w:rPr>
                      <w:rFonts w:hint="default"/>
                      <w:color w:val="auto"/>
                      <w:sz w:val="21"/>
                      <w:szCs w:val="21"/>
                    </w:rPr>
                  </w:pPr>
                  <w:r>
                    <w:rPr>
                      <w:rFonts w:hint="default"/>
                      <w:color w:val="auto"/>
                      <w:sz w:val="21"/>
                      <w:szCs w:val="21"/>
                    </w:rPr>
                    <w:t>8.2.5</w:t>
                  </w:r>
                </w:p>
              </w:tc>
              <w:tc>
                <w:tcPr>
                  <w:tcW w:w="1912" w:type="pct"/>
                  <w:tcBorders>
                    <w:top w:val="single" w:color="auto" w:sz="4" w:space="0"/>
                    <w:left w:val="single" w:color="auto" w:sz="4" w:space="0"/>
                    <w:bottom w:val="single" w:color="auto" w:sz="4" w:space="0"/>
                    <w:right w:val="single" w:color="auto" w:sz="4" w:space="0"/>
                    <w:tl2br w:val="nil"/>
                    <w:tr2bl w:val="nil"/>
                  </w:tcBorders>
                  <w:vAlign w:val="center"/>
                </w:tcPr>
                <w:p w14:paraId="5CF9CA6E">
                  <w:pPr>
                    <w:spacing w:line="240" w:lineRule="auto"/>
                    <w:ind w:firstLine="0" w:firstLineChars="0"/>
                    <w:rPr>
                      <w:rFonts w:hint="default"/>
                      <w:color w:val="auto"/>
                      <w:sz w:val="21"/>
                      <w:szCs w:val="21"/>
                    </w:rPr>
                  </w:pPr>
                  <w:r>
                    <w:rPr>
                      <w:rFonts w:hint="default" w:eastAsia="宋体"/>
                      <w:color w:val="auto"/>
                      <w:sz w:val="21"/>
                      <w:szCs w:val="21"/>
                    </w:rPr>
                    <w:t>贮存设施所有者或运营者应建立贮存设施环境管理制度、管理人员岗位职责制度、设施运行操作制度、人员岗位培训制度等。</w:t>
                  </w:r>
                </w:p>
              </w:tc>
              <w:tc>
                <w:tcPr>
                  <w:tcW w:w="1968" w:type="pct"/>
                  <w:tcBorders>
                    <w:top w:val="single" w:color="auto" w:sz="4" w:space="0"/>
                    <w:left w:val="single" w:color="auto" w:sz="4" w:space="0"/>
                    <w:bottom w:val="single" w:color="auto" w:sz="4" w:space="0"/>
                    <w:right w:val="single" w:color="auto" w:sz="4" w:space="0"/>
                    <w:tl2br w:val="nil"/>
                    <w:tr2bl w:val="nil"/>
                  </w:tcBorders>
                  <w:vAlign w:val="center"/>
                </w:tcPr>
                <w:p w14:paraId="35C230D5">
                  <w:pPr>
                    <w:spacing w:line="240" w:lineRule="auto"/>
                    <w:ind w:firstLine="0" w:firstLineChars="0"/>
                    <w:rPr>
                      <w:rFonts w:hint="default" w:eastAsia="宋体"/>
                      <w:color w:val="auto"/>
                      <w:sz w:val="21"/>
                      <w:szCs w:val="21"/>
                    </w:rPr>
                  </w:pPr>
                  <w:r>
                    <w:rPr>
                      <w:rFonts w:hint="default" w:eastAsia="宋体"/>
                      <w:color w:val="auto"/>
                      <w:sz w:val="21"/>
                      <w:szCs w:val="21"/>
                    </w:rPr>
                    <w:t>本项目投入运营后及时对值班人员进行培训。</w:t>
                  </w:r>
                </w:p>
              </w:tc>
              <w:tc>
                <w:tcPr>
                  <w:tcW w:w="565" w:type="pct"/>
                  <w:tcBorders>
                    <w:top w:val="single" w:color="auto" w:sz="4" w:space="0"/>
                    <w:left w:val="single" w:color="auto" w:sz="4" w:space="0"/>
                    <w:bottom w:val="single" w:color="auto" w:sz="4" w:space="0"/>
                    <w:right w:val="single" w:color="auto" w:sz="4" w:space="0"/>
                    <w:tl2br w:val="nil"/>
                    <w:tr2bl w:val="nil"/>
                  </w:tcBorders>
                  <w:vAlign w:val="center"/>
                </w:tcPr>
                <w:p w14:paraId="1ADB94CA">
                  <w:pPr>
                    <w:spacing w:line="240" w:lineRule="auto"/>
                    <w:ind w:firstLine="0" w:firstLineChars="0"/>
                    <w:rPr>
                      <w:rFonts w:hint="default"/>
                      <w:color w:val="auto"/>
                      <w:sz w:val="21"/>
                      <w:szCs w:val="21"/>
                    </w:rPr>
                  </w:pPr>
                  <w:r>
                    <w:rPr>
                      <w:rFonts w:hint="default" w:eastAsia="宋体"/>
                      <w:color w:val="auto"/>
                      <w:sz w:val="21"/>
                      <w:szCs w:val="21"/>
                    </w:rPr>
                    <w:t>符合</w:t>
                  </w:r>
                </w:p>
              </w:tc>
            </w:tr>
            <w:tr w14:paraId="7B302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53" w:type="pct"/>
                  <w:tcBorders>
                    <w:top w:val="single" w:color="auto" w:sz="4" w:space="0"/>
                    <w:left w:val="single" w:color="auto" w:sz="4" w:space="0"/>
                    <w:bottom w:val="single" w:color="auto" w:sz="4" w:space="0"/>
                    <w:right w:val="single" w:color="auto" w:sz="4" w:space="0"/>
                    <w:tl2br w:val="nil"/>
                    <w:tr2bl w:val="nil"/>
                  </w:tcBorders>
                  <w:vAlign w:val="center"/>
                </w:tcPr>
                <w:p w14:paraId="6CBAF53A">
                  <w:pPr>
                    <w:spacing w:line="240" w:lineRule="auto"/>
                    <w:ind w:firstLine="0" w:firstLineChars="0"/>
                    <w:rPr>
                      <w:rFonts w:hint="default"/>
                      <w:color w:val="auto"/>
                      <w:sz w:val="21"/>
                      <w:szCs w:val="21"/>
                    </w:rPr>
                  </w:pPr>
                  <w:r>
                    <w:rPr>
                      <w:rFonts w:hint="default"/>
                      <w:color w:val="auto"/>
                      <w:sz w:val="21"/>
                      <w:szCs w:val="21"/>
                    </w:rPr>
                    <w:t>8.2.6</w:t>
                  </w:r>
                </w:p>
              </w:tc>
              <w:tc>
                <w:tcPr>
                  <w:tcW w:w="1912" w:type="pct"/>
                  <w:tcBorders>
                    <w:top w:val="single" w:color="auto" w:sz="4" w:space="0"/>
                    <w:left w:val="single" w:color="auto" w:sz="4" w:space="0"/>
                    <w:bottom w:val="single" w:color="auto" w:sz="4" w:space="0"/>
                    <w:right w:val="single" w:color="auto" w:sz="4" w:space="0"/>
                    <w:tl2br w:val="nil"/>
                    <w:tr2bl w:val="nil"/>
                  </w:tcBorders>
                  <w:vAlign w:val="center"/>
                </w:tcPr>
                <w:p w14:paraId="531E2F4E">
                  <w:pPr>
                    <w:spacing w:line="240" w:lineRule="auto"/>
                    <w:ind w:firstLine="0" w:firstLineChars="0"/>
                    <w:rPr>
                      <w:rFonts w:hint="default"/>
                      <w:color w:val="auto"/>
                      <w:sz w:val="21"/>
                      <w:szCs w:val="21"/>
                    </w:rPr>
                  </w:pPr>
                  <w:r>
                    <w:rPr>
                      <w:rFonts w:hint="default" w:eastAsia="宋体"/>
                      <w:color w:val="auto"/>
                      <w:sz w:val="21"/>
                      <w:szCs w:val="21"/>
                    </w:rPr>
                    <w:t>贮存设施所有者或运营者应依据国家土壤和地下水污染防治的有关规定，结合贮存设施特点建立土壤和地下水污染隐患排查制度，并定期开展隐患排查；发现隐患应及时采取措施消除隐患，并建立档案。</w:t>
                  </w:r>
                </w:p>
              </w:tc>
              <w:tc>
                <w:tcPr>
                  <w:tcW w:w="1968" w:type="pct"/>
                  <w:tcBorders>
                    <w:top w:val="single" w:color="auto" w:sz="4" w:space="0"/>
                    <w:left w:val="single" w:color="auto" w:sz="4" w:space="0"/>
                    <w:bottom w:val="single" w:color="auto" w:sz="4" w:space="0"/>
                    <w:right w:val="single" w:color="auto" w:sz="4" w:space="0"/>
                    <w:tl2br w:val="nil"/>
                    <w:tr2bl w:val="nil"/>
                  </w:tcBorders>
                  <w:vAlign w:val="center"/>
                </w:tcPr>
                <w:p w14:paraId="4AEF8EFB">
                  <w:pPr>
                    <w:spacing w:line="240" w:lineRule="auto"/>
                    <w:ind w:firstLine="0" w:firstLineChars="0"/>
                    <w:rPr>
                      <w:rFonts w:hint="default"/>
                      <w:color w:val="auto"/>
                      <w:sz w:val="21"/>
                      <w:szCs w:val="21"/>
                    </w:rPr>
                  </w:pPr>
                  <w:r>
                    <w:rPr>
                      <w:rFonts w:hint="default" w:eastAsia="宋体"/>
                      <w:color w:val="auto"/>
                      <w:sz w:val="21"/>
                      <w:szCs w:val="21"/>
                    </w:rPr>
                    <w:t>按照要求制定土壤和地下水污染隐患排查制度，定期开展隐患排查，发现隐患立即采取措施消除隐患，并建立档案。</w:t>
                  </w:r>
                </w:p>
              </w:tc>
              <w:tc>
                <w:tcPr>
                  <w:tcW w:w="565" w:type="pct"/>
                  <w:tcBorders>
                    <w:top w:val="single" w:color="auto" w:sz="4" w:space="0"/>
                    <w:left w:val="single" w:color="auto" w:sz="4" w:space="0"/>
                    <w:bottom w:val="single" w:color="auto" w:sz="4" w:space="0"/>
                    <w:right w:val="single" w:color="auto" w:sz="4" w:space="0"/>
                    <w:tl2br w:val="nil"/>
                    <w:tr2bl w:val="nil"/>
                  </w:tcBorders>
                  <w:vAlign w:val="center"/>
                </w:tcPr>
                <w:p w14:paraId="73D39591">
                  <w:pPr>
                    <w:spacing w:line="240" w:lineRule="auto"/>
                    <w:ind w:firstLine="0" w:firstLineChars="0"/>
                    <w:rPr>
                      <w:rFonts w:hint="default"/>
                      <w:color w:val="auto"/>
                      <w:sz w:val="21"/>
                      <w:szCs w:val="21"/>
                    </w:rPr>
                  </w:pPr>
                  <w:r>
                    <w:rPr>
                      <w:rFonts w:hint="default" w:eastAsia="宋体"/>
                      <w:color w:val="auto"/>
                      <w:sz w:val="21"/>
                      <w:szCs w:val="21"/>
                    </w:rPr>
                    <w:t>符合</w:t>
                  </w:r>
                </w:p>
              </w:tc>
            </w:tr>
            <w:tr w14:paraId="67B53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trPr>
              <w:tc>
                <w:tcPr>
                  <w:tcW w:w="553" w:type="pct"/>
                  <w:tcBorders>
                    <w:top w:val="single" w:color="auto" w:sz="4" w:space="0"/>
                    <w:left w:val="single" w:color="auto" w:sz="4" w:space="0"/>
                    <w:bottom w:val="single" w:color="auto" w:sz="4" w:space="0"/>
                    <w:right w:val="single" w:color="auto" w:sz="4" w:space="0"/>
                    <w:tl2br w:val="nil"/>
                    <w:tr2bl w:val="nil"/>
                  </w:tcBorders>
                  <w:vAlign w:val="center"/>
                </w:tcPr>
                <w:p w14:paraId="5D655514">
                  <w:pPr>
                    <w:spacing w:line="240" w:lineRule="auto"/>
                    <w:ind w:firstLine="0" w:firstLineChars="0"/>
                    <w:rPr>
                      <w:rFonts w:hint="default"/>
                      <w:color w:val="auto"/>
                      <w:sz w:val="21"/>
                      <w:szCs w:val="21"/>
                    </w:rPr>
                  </w:pPr>
                  <w:r>
                    <w:rPr>
                      <w:rFonts w:hint="default"/>
                      <w:color w:val="auto"/>
                      <w:sz w:val="21"/>
                      <w:szCs w:val="21"/>
                    </w:rPr>
                    <w:t>8.2.7</w:t>
                  </w:r>
                </w:p>
              </w:tc>
              <w:tc>
                <w:tcPr>
                  <w:tcW w:w="1912" w:type="pct"/>
                  <w:tcBorders>
                    <w:top w:val="single" w:color="auto" w:sz="4" w:space="0"/>
                    <w:left w:val="single" w:color="auto" w:sz="4" w:space="0"/>
                    <w:bottom w:val="single" w:color="auto" w:sz="4" w:space="0"/>
                    <w:right w:val="single" w:color="auto" w:sz="4" w:space="0"/>
                    <w:tl2br w:val="nil"/>
                    <w:tr2bl w:val="nil"/>
                  </w:tcBorders>
                  <w:vAlign w:val="center"/>
                </w:tcPr>
                <w:p w14:paraId="154B862E">
                  <w:pPr>
                    <w:spacing w:line="240" w:lineRule="auto"/>
                    <w:ind w:firstLine="0" w:firstLineChars="0"/>
                    <w:rPr>
                      <w:rFonts w:hint="default"/>
                      <w:color w:val="auto"/>
                      <w:sz w:val="21"/>
                      <w:szCs w:val="21"/>
                    </w:rPr>
                  </w:pPr>
                  <w:r>
                    <w:rPr>
                      <w:rFonts w:hint="default" w:eastAsia="宋体"/>
                      <w:color w:val="auto"/>
                      <w:sz w:val="21"/>
                      <w:szCs w:val="21"/>
                    </w:rPr>
                    <w:t>贮存设施所有者或运营者应建立贮存设施全部档案，包括设计、施工、验收、运行、监测和环境应急等，应按国家有关档案管理的法律法规进行整理和归档。</w:t>
                  </w:r>
                </w:p>
              </w:tc>
              <w:tc>
                <w:tcPr>
                  <w:tcW w:w="1968" w:type="pct"/>
                  <w:tcBorders>
                    <w:top w:val="single" w:color="auto" w:sz="4" w:space="0"/>
                    <w:left w:val="single" w:color="auto" w:sz="4" w:space="0"/>
                    <w:bottom w:val="single" w:color="auto" w:sz="4" w:space="0"/>
                    <w:right w:val="single" w:color="auto" w:sz="4" w:space="0"/>
                    <w:tl2br w:val="nil"/>
                    <w:tr2bl w:val="nil"/>
                  </w:tcBorders>
                  <w:vAlign w:val="center"/>
                </w:tcPr>
                <w:p w14:paraId="626A7900">
                  <w:pPr>
                    <w:spacing w:line="240" w:lineRule="auto"/>
                    <w:ind w:firstLine="0" w:firstLineChars="0"/>
                    <w:rPr>
                      <w:rFonts w:hint="default" w:eastAsia="宋体"/>
                      <w:color w:val="auto"/>
                      <w:sz w:val="21"/>
                      <w:szCs w:val="21"/>
                    </w:rPr>
                  </w:pPr>
                  <w:r>
                    <w:rPr>
                      <w:rFonts w:hint="default" w:eastAsia="宋体"/>
                      <w:color w:val="auto"/>
                      <w:sz w:val="21"/>
                      <w:szCs w:val="21"/>
                    </w:rPr>
                    <w:t>按要求进行突发环境事件应急预案和环保验收的工作，并报生态环境主管部门备案。</w:t>
                  </w:r>
                </w:p>
              </w:tc>
              <w:tc>
                <w:tcPr>
                  <w:tcW w:w="565" w:type="pct"/>
                  <w:tcBorders>
                    <w:top w:val="single" w:color="auto" w:sz="4" w:space="0"/>
                    <w:left w:val="single" w:color="auto" w:sz="4" w:space="0"/>
                    <w:bottom w:val="single" w:color="auto" w:sz="4" w:space="0"/>
                    <w:right w:val="single" w:color="auto" w:sz="4" w:space="0"/>
                    <w:tl2br w:val="nil"/>
                    <w:tr2bl w:val="nil"/>
                  </w:tcBorders>
                  <w:vAlign w:val="center"/>
                </w:tcPr>
                <w:p w14:paraId="36574EB5">
                  <w:pPr>
                    <w:spacing w:line="240" w:lineRule="auto"/>
                    <w:ind w:firstLine="0" w:firstLineChars="0"/>
                    <w:rPr>
                      <w:rFonts w:hint="default"/>
                      <w:color w:val="auto"/>
                      <w:sz w:val="21"/>
                      <w:szCs w:val="21"/>
                    </w:rPr>
                  </w:pPr>
                  <w:r>
                    <w:rPr>
                      <w:rFonts w:hint="default" w:eastAsia="宋体"/>
                      <w:color w:val="auto"/>
                      <w:sz w:val="21"/>
                      <w:szCs w:val="21"/>
                    </w:rPr>
                    <w:t>符合</w:t>
                  </w:r>
                </w:p>
              </w:tc>
            </w:tr>
          </w:tbl>
          <w:p w14:paraId="1168BA1D">
            <w:pPr>
              <w:ind w:firstLine="480"/>
              <w:rPr>
                <w:rFonts w:hint="default"/>
                <w:color w:val="auto"/>
              </w:rPr>
            </w:pPr>
          </w:p>
        </w:tc>
      </w:tr>
    </w:tbl>
    <w:p w14:paraId="10E14E05">
      <w:pPr>
        <w:ind w:firstLine="600"/>
        <w:outlineLvl w:val="0"/>
        <w:rPr>
          <w:rFonts w:hint="default" w:eastAsia="宋体"/>
          <w:color w:val="auto"/>
          <w:sz w:val="30"/>
        </w:rPr>
        <w:sectPr>
          <w:footerReference r:id="rId6" w:type="default"/>
          <w:pgSz w:w="11906" w:h="16838"/>
          <w:pgMar w:top="1701" w:right="1531" w:bottom="1701" w:left="1531" w:header="851" w:footer="1077" w:gutter="0"/>
          <w:pgNumType w:fmt="numberInDash" w:start="1"/>
          <w:cols w:space="720" w:num="1"/>
          <w:docGrid w:linePitch="312" w:charSpace="0"/>
        </w:sectPr>
      </w:pPr>
    </w:p>
    <w:p w14:paraId="575227D6">
      <w:pPr>
        <w:pStyle w:val="12"/>
        <w:ind w:firstLine="0" w:firstLineChars="0"/>
        <w:jc w:val="center"/>
        <w:outlineLvl w:val="0"/>
        <w:rPr>
          <w:rFonts w:ascii="Times New Roman" w:hAnsi="Times New Roman"/>
          <w:b/>
          <w:snapToGrid w:val="0"/>
          <w:color w:val="auto"/>
          <w:sz w:val="30"/>
          <w:szCs w:val="30"/>
        </w:rPr>
      </w:pPr>
      <w:r>
        <w:rPr>
          <w:rFonts w:ascii="Times New Roman" w:hAnsi="Times New Roman"/>
          <w:b/>
          <w:snapToGrid w:val="0"/>
          <w:color w:val="auto"/>
          <w:sz w:val="30"/>
          <w:szCs w:val="30"/>
        </w:rPr>
        <w:t>二、建设项目工程分析</w:t>
      </w:r>
    </w:p>
    <w:tbl>
      <w:tblPr>
        <w:tblStyle w:val="14"/>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41"/>
        <w:gridCol w:w="1405"/>
        <w:gridCol w:w="6743"/>
      </w:tblGrid>
      <w:tr w14:paraId="523127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741" w:type="dxa"/>
            <w:tcBorders>
              <w:top w:val="single" w:color="auto" w:sz="8" w:space="0"/>
              <w:left w:val="single" w:color="auto" w:sz="8" w:space="0"/>
              <w:bottom w:val="single" w:color="auto" w:sz="4" w:space="0"/>
              <w:right w:val="single" w:color="auto" w:sz="4" w:space="0"/>
              <w:tl2br w:val="nil"/>
              <w:tr2bl w:val="nil"/>
            </w:tcBorders>
            <w:vAlign w:val="center"/>
          </w:tcPr>
          <w:p w14:paraId="5A09B023">
            <w:pPr>
              <w:ind w:firstLine="0" w:firstLineChars="0"/>
              <w:rPr>
                <w:rFonts w:hint="default" w:eastAsia="宋体"/>
                <w:color w:val="auto"/>
              </w:rPr>
            </w:pPr>
            <w:r>
              <w:rPr>
                <w:rFonts w:hint="default" w:eastAsia="宋体"/>
                <w:color w:val="auto"/>
              </w:rPr>
              <w:t>建设内容</w:t>
            </w:r>
          </w:p>
        </w:tc>
        <w:tc>
          <w:tcPr>
            <w:tcW w:w="8148" w:type="dxa"/>
            <w:gridSpan w:val="2"/>
            <w:tcBorders>
              <w:top w:val="single" w:color="auto" w:sz="8" w:space="0"/>
              <w:left w:val="single" w:color="auto" w:sz="4" w:space="0"/>
              <w:bottom w:val="single" w:color="auto" w:sz="4" w:space="0"/>
              <w:right w:val="single" w:color="auto" w:sz="8" w:space="0"/>
              <w:tl2br w:val="nil"/>
              <w:tr2bl w:val="nil"/>
            </w:tcBorders>
          </w:tcPr>
          <w:p w14:paraId="1BA3D8C2">
            <w:pPr>
              <w:ind w:firstLine="482"/>
              <w:rPr>
                <w:rFonts w:hint="default"/>
                <w:color w:val="auto"/>
              </w:rPr>
            </w:pPr>
            <w:r>
              <w:rPr>
                <w:rFonts w:hint="default" w:eastAsia="宋体"/>
                <w:b/>
                <w:color w:val="auto"/>
              </w:rPr>
              <w:t>一、项目由来</w:t>
            </w:r>
          </w:p>
          <w:p w14:paraId="74CE7A83">
            <w:pPr>
              <w:ind w:firstLine="480"/>
              <w:rPr>
                <w:rFonts w:hint="default" w:eastAsia="宋体"/>
                <w:color w:val="auto"/>
              </w:rPr>
            </w:pPr>
            <w:r>
              <w:rPr>
                <w:rFonts w:hint="eastAsia" w:eastAsia="宋体"/>
                <w:color w:val="auto"/>
                <w:lang w:eastAsia="zh-CN"/>
              </w:rPr>
              <w:t>中煤张家口煤矿机械有限责任公司鄂尔多斯分公司成立于2014年3月28日，注册地位于伊旗阿镇现代装备制造业基地。经营范围包括许可经营项目：矿山机械设备、普通机械设备、通用机械设备、电气机械设备、工业链条系列产品、</w:t>
            </w:r>
            <w:r>
              <w:rPr>
                <w:rFonts w:hint="eastAsia" w:eastAsia="宋体"/>
                <w:color w:val="0000FF"/>
                <w:lang w:eastAsia="zh-CN"/>
              </w:rPr>
              <w:t>起重吊装索具及冶金专用吊夹具产品的制造、安装、修理、服务、设备租赁</w:t>
            </w:r>
            <w:r>
              <w:rPr>
                <w:rFonts w:hint="eastAsia" w:eastAsia="宋体"/>
                <w:color w:val="0000FF"/>
                <w:lang w:val="en-US" w:eastAsia="zh-CN"/>
              </w:rPr>
              <w:t>等。维修车间占地面积为8000㎡，只进行组件焊接，不使用溶剂型涂料、非溶剂型涂料，根据《</w:t>
            </w:r>
            <w:r>
              <w:rPr>
                <w:rFonts w:hint="default" w:eastAsia="宋体"/>
                <w:color w:val="0000FF"/>
              </w:rPr>
              <w:t>建设项目环境影响评价管理名录</w:t>
            </w:r>
            <w:r>
              <w:rPr>
                <w:rFonts w:hint="eastAsia" w:eastAsia="宋体"/>
                <w:color w:val="0000FF"/>
                <w:lang w:val="en-US" w:eastAsia="zh-CN"/>
              </w:rPr>
              <w:t>》（2021年版），该维修车间不需要进行环评编制。</w:t>
            </w:r>
            <w:r>
              <w:rPr>
                <w:rFonts w:hint="eastAsia" w:eastAsia="宋体"/>
                <w:color w:val="auto"/>
                <w:lang w:eastAsia="zh-CN"/>
              </w:rPr>
              <w:t>中煤张家口煤矿机械有限责任公司</w:t>
            </w:r>
            <w:r>
              <w:rPr>
                <w:rFonts w:hint="eastAsia" w:eastAsia="宋体"/>
                <w:color w:val="auto"/>
                <w:lang w:val="en-US" w:eastAsia="zh-CN"/>
              </w:rPr>
              <w:t>在运行过程中会产生</w:t>
            </w:r>
            <w:r>
              <w:rPr>
                <w:rFonts w:hint="eastAsia" w:eastAsia="宋体"/>
                <w:color w:val="auto"/>
                <w:lang w:eastAsia="zh-CN"/>
              </w:rPr>
              <w:t>废矿物油、废油桶、盛装“干净”矿物油的空桶、废铅酸电池</w:t>
            </w:r>
            <w:r>
              <w:rPr>
                <w:rFonts w:hint="default" w:eastAsia="宋体"/>
                <w:color w:val="auto"/>
              </w:rPr>
              <w:t>等危险废物，这些危险废物如若得不到妥善处理，将给城市的发展带来新的环境问题和环保压力，如随意倾倒和非法转移倒卖，不仅影响人体健康，还会给环境带来二次污染。危险废物规模化、专业化收集、暂存，正是社会发展和环境保护的需要，为此，</w:t>
            </w:r>
            <w:r>
              <w:rPr>
                <w:rFonts w:hint="eastAsia" w:eastAsia="宋体"/>
                <w:color w:val="auto"/>
                <w:lang w:eastAsia="zh-CN"/>
              </w:rPr>
              <w:t>中煤张家口煤矿机械有限责任公司鄂尔多斯分公司</w:t>
            </w:r>
            <w:r>
              <w:rPr>
                <w:rFonts w:hint="default" w:eastAsia="宋体"/>
                <w:color w:val="auto"/>
              </w:rPr>
              <w:t>拟</w:t>
            </w:r>
            <w:r>
              <w:rPr>
                <w:rFonts w:eastAsia="宋体"/>
                <w:color w:val="auto"/>
              </w:rPr>
              <w:t>新建一座危险废物暂存库</w:t>
            </w:r>
            <w:r>
              <w:rPr>
                <w:rFonts w:hint="default" w:eastAsia="宋体"/>
                <w:color w:val="auto"/>
              </w:rPr>
              <w:t>，建筑面积为</w:t>
            </w:r>
            <w:r>
              <w:rPr>
                <w:rFonts w:hint="eastAsia" w:eastAsia="宋体"/>
                <w:color w:val="auto"/>
                <w:lang w:eastAsia="zh-CN"/>
              </w:rPr>
              <w:t>21.6</w:t>
            </w:r>
            <w:r>
              <w:rPr>
                <w:rFonts w:hint="default" w:eastAsia="宋体"/>
                <w:color w:val="auto"/>
              </w:rPr>
              <w:t>㎡</w:t>
            </w:r>
            <w:r>
              <w:rPr>
                <w:rFonts w:eastAsia="宋体"/>
                <w:color w:val="auto"/>
              </w:rPr>
              <w:t>，</w:t>
            </w:r>
            <w:r>
              <w:rPr>
                <w:rFonts w:hint="default" w:eastAsia="宋体"/>
                <w:color w:val="auto"/>
              </w:rPr>
              <w:t>用于储存上述产生的危险废物。</w:t>
            </w:r>
          </w:p>
          <w:p w14:paraId="492BD729">
            <w:pPr>
              <w:ind w:firstLine="480"/>
              <w:rPr>
                <w:rFonts w:hint="default"/>
                <w:color w:val="auto"/>
              </w:rPr>
            </w:pPr>
            <w:r>
              <w:rPr>
                <w:rFonts w:hint="default" w:eastAsia="宋体"/>
                <w:color w:val="auto"/>
              </w:rPr>
              <w:t>根据《中华人民共和国环境保护法》、《中华人民共和国环境影响评价法》及《建设项目环境影响评价管理名录》</w:t>
            </w:r>
            <w:r>
              <w:rPr>
                <w:rFonts w:hint="eastAsia" w:eastAsia="宋体"/>
                <w:color w:val="auto"/>
                <w:lang w:val="en-US" w:eastAsia="zh-CN"/>
              </w:rPr>
              <w:t>（2021年版）</w:t>
            </w:r>
            <w:r>
              <w:rPr>
                <w:rFonts w:hint="default" w:eastAsia="宋体"/>
                <w:color w:val="auto"/>
              </w:rPr>
              <w:t>等有关</w:t>
            </w:r>
            <w:r>
              <w:rPr>
                <w:rFonts w:hint="eastAsia" w:eastAsia="宋体"/>
                <w:color w:val="auto"/>
                <w:lang w:eastAsia="zh-CN"/>
              </w:rPr>
              <w:t>法律法规</w:t>
            </w:r>
            <w:r>
              <w:rPr>
                <w:rFonts w:hint="default" w:eastAsia="宋体"/>
                <w:color w:val="auto"/>
              </w:rPr>
              <w:t>规定，本项目应进行环境影响评价，根据对照环境影响评价行业类别，该项目属于“四十七生态保护和环境治理业；101、危险废物（不含医疗废物）利用及处置；其他”，属于报告表类别，受</w:t>
            </w:r>
            <w:r>
              <w:rPr>
                <w:rFonts w:hint="eastAsia" w:eastAsia="宋体"/>
                <w:color w:val="auto"/>
                <w:lang w:eastAsia="zh-CN"/>
              </w:rPr>
              <w:t>中煤张家口煤矿机械有限责任公司鄂尔多斯分公司</w:t>
            </w:r>
            <w:r>
              <w:rPr>
                <w:rFonts w:hint="default" w:eastAsia="宋体"/>
                <w:color w:val="auto"/>
              </w:rPr>
              <w:t>委托，我公司承担了本项目环境影响报告表的编制工作。接受委托后，我单位工程技术人员对本项目进行了详细的现场踏勘、资料收集，在对有关环境现状和可能造成的环境影响进行初步分析的基础上，编制了该建设项目环境影响评价报告表，现上报生态环境主管部门审查。</w:t>
            </w:r>
          </w:p>
          <w:p w14:paraId="16A912F5">
            <w:pPr>
              <w:ind w:firstLine="482"/>
              <w:rPr>
                <w:rFonts w:hint="default" w:eastAsia="宋体"/>
                <w:b/>
                <w:color w:val="auto"/>
              </w:rPr>
            </w:pPr>
            <w:r>
              <w:rPr>
                <w:rFonts w:hint="default" w:eastAsia="宋体"/>
                <w:b/>
                <w:color w:val="auto"/>
              </w:rPr>
              <w:t>二、项目情况</w:t>
            </w:r>
          </w:p>
          <w:p w14:paraId="187B386A">
            <w:pPr>
              <w:ind w:firstLine="482"/>
              <w:rPr>
                <w:rFonts w:hint="default"/>
                <w:b/>
                <w:color w:val="auto"/>
              </w:rPr>
            </w:pPr>
            <w:r>
              <w:rPr>
                <w:rFonts w:hint="default" w:eastAsia="宋体"/>
                <w:b/>
                <w:color w:val="auto"/>
              </w:rPr>
              <w:t>1、项目基本情况</w:t>
            </w:r>
          </w:p>
          <w:p w14:paraId="365FF2E4">
            <w:pPr>
              <w:ind w:firstLine="480"/>
              <w:rPr>
                <w:rFonts w:hint="default" w:eastAsia="宋体"/>
                <w:color w:val="auto"/>
              </w:rPr>
            </w:pPr>
            <w:r>
              <w:rPr>
                <w:rFonts w:hint="default" w:eastAsia="宋体"/>
                <w:color w:val="auto"/>
              </w:rPr>
              <w:t>项目名称：</w:t>
            </w:r>
            <w:r>
              <w:rPr>
                <w:rFonts w:hint="eastAsia" w:eastAsia="宋体"/>
                <w:color w:val="auto"/>
                <w:lang w:eastAsia="zh-CN"/>
              </w:rPr>
              <w:t>中煤张家口煤矿机械有限责任公司鄂尔多斯分公司</w:t>
            </w:r>
            <w:r>
              <w:rPr>
                <w:rFonts w:hint="default" w:eastAsia="宋体"/>
                <w:color w:val="auto"/>
              </w:rPr>
              <w:t>危险废物贮存库建设项目</w:t>
            </w:r>
          </w:p>
          <w:p w14:paraId="6E507483">
            <w:pPr>
              <w:ind w:firstLine="480"/>
              <w:rPr>
                <w:rFonts w:hint="eastAsia" w:eastAsia="宋体"/>
                <w:color w:val="auto"/>
                <w:lang w:eastAsia="zh-CN"/>
              </w:rPr>
            </w:pPr>
            <w:r>
              <w:rPr>
                <w:rFonts w:hint="default" w:eastAsia="宋体"/>
                <w:color w:val="auto"/>
              </w:rPr>
              <w:t>建设单位：</w:t>
            </w:r>
            <w:r>
              <w:rPr>
                <w:rFonts w:hint="eastAsia" w:eastAsia="宋体"/>
                <w:color w:val="auto"/>
                <w:lang w:eastAsia="zh-CN"/>
              </w:rPr>
              <w:t>中煤张家口煤矿机械有限责任公司鄂尔多斯分公司</w:t>
            </w:r>
          </w:p>
          <w:p w14:paraId="6FB15ED8">
            <w:pPr>
              <w:ind w:firstLine="480"/>
              <w:rPr>
                <w:rFonts w:hint="default" w:eastAsia="宋体"/>
                <w:color w:val="auto"/>
                <w:highlight w:val="yellow"/>
              </w:rPr>
            </w:pPr>
            <w:r>
              <w:rPr>
                <w:rFonts w:hint="default" w:eastAsia="宋体"/>
                <w:color w:val="auto"/>
              </w:rPr>
              <w:t>建设地点：</w:t>
            </w:r>
            <w:r>
              <w:rPr>
                <w:rFonts w:hint="eastAsia" w:eastAsia="宋体"/>
                <w:color w:val="auto"/>
                <w:lang w:eastAsia="zh-CN"/>
              </w:rPr>
              <w:t>内蒙古鄂尔多斯市伊金霍洛旗阿镇现代装备制造基地，在中煤张家口煤矿机械有限责任公司鄂尔多斯分公司现有工业场地内建设</w:t>
            </w:r>
            <w:r>
              <w:rPr>
                <w:rFonts w:hint="default" w:eastAsia="宋体"/>
                <w:color w:val="auto"/>
              </w:rPr>
              <w:t>。厂址中心地理坐标为：</w:t>
            </w:r>
            <w:bookmarkStart w:id="2" w:name="_Hlk80536582"/>
            <w:r>
              <w:rPr>
                <w:rFonts w:hint="default" w:eastAsia="宋体"/>
                <w:color w:val="auto"/>
              </w:rPr>
              <w:t>E1</w:t>
            </w:r>
            <w:r>
              <w:rPr>
                <w:rFonts w:hint="eastAsia" w:eastAsia="宋体"/>
                <w:color w:val="auto"/>
                <w:lang w:val="en-US" w:eastAsia="zh-CN"/>
              </w:rPr>
              <w:t>09</w:t>
            </w:r>
            <w:r>
              <w:rPr>
                <w:rFonts w:hint="default" w:eastAsia="宋体"/>
                <w:color w:val="auto"/>
              </w:rPr>
              <w:t>°</w:t>
            </w:r>
            <w:r>
              <w:rPr>
                <w:rFonts w:hint="eastAsia" w:eastAsia="宋体"/>
                <w:color w:val="auto"/>
                <w:lang w:val="en-US" w:eastAsia="zh-CN"/>
              </w:rPr>
              <w:t>48</w:t>
            </w:r>
            <w:r>
              <w:rPr>
                <w:rFonts w:hint="default" w:eastAsia="宋体"/>
                <w:color w:val="auto"/>
              </w:rPr>
              <w:t>′</w:t>
            </w:r>
            <w:r>
              <w:rPr>
                <w:rFonts w:hint="eastAsia" w:eastAsia="宋体"/>
                <w:color w:val="auto"/>
                <w:lang w:val="en-US" w:eastAsia="zh-CN"/>
              </w:rPr>
              <w:t>22.101</w:t>
            </w:r>
            <w:r>
              <w:rPr>
                <w:rFonts w:hint="default" w:eastAsia="宋体"/>
                <w:color w:val="auto"/>
              </w:rPr>
              <w:t>″，N</w:t>
            </w:r>
            <w:bookmarkEnd w:id="2"/>
            <w:r>
              <w:rPr>
                <w:rFonts w:hint="default" w:eastAsia="宋体"/>
                <w:color w:val="auto"/>
              </w:rPr>
              <w:t>39°</w:t>
            </w:r>
            <w:r>
              <w:rPr>
                <w:rFonts w:hint="eastAsia" w:eastAsia="宋体"/>
                <w:color w:val="auto"/>
                <w:lang w:val="en-US" w:eastAsia="zh-CN"/>
              </w:rPr>
              <w:t>31</w:t>
            </w:r>
            <w:r>
              <w:rPr>
                <w:rFonts w:hint="default" w:eastAsia="宋体"/>
                <w:color w:val="auto"/>
              </w:rPr>
              <w:t>′</w:t>
            </w:r>
            <w:r>
              <w:rPr>
                <w:rFonts w:hint="eastAsia" w:eastAsia="宋体"/>
                <w:color w:val="auto"/>
                <w:lang w:val="en-US" w:eastAsia="zh-CN"/>
              </w:rPr>
              <w:t>5.002</w:t>
            </w:r>
            <w:r>
              <w:rPr>
                <w:rFonts w:hint="default" w:eastAsia="宋体"/>
                <w:color w:val="auto"/>
              </w:rPr>
              <w:t>″，项目地理位置图见附图1。</w:t>
            </w:r>
          </w:p>
          <w:p w14:paraId="34C91ACB">
            <w:pPr>
              <w:ind w:firstLine="480"/>
              <w:rPr>
                <w:rFonts w:hint="default"/>
                <w:color w:val="auto"/>
              </w:rPr>
            </w:pPr>
            <w:r>
              <w:rPr>
                <w:rFonts w:hint="default" w:eastAsia="宋体"/>
                <w:color w:val="auto"/>
              </w:rPr>
              <w:t>建设规模：本项目</w:t>
            </w:r>
            <w:r>
              <w:rPr>
                <w:rFonts w:eastAsia="宋体"/>
                <w:color w:val="auto"/>
              </w:rPr>
              <w:t>建设</w:t>
            </w:r>
            <w:r>
              <w:rPr>
                <w:rFonts w:hint="default" w:eastAsia="宋体"/>
                <w:color w:val="auto"/>
              </w:rPr>
              <w:t>危废暂存库1座，建筑面积</w:t>
            </w:r>
            <w:r>
              <w:rPr>
                <w:rFonts w:hint="eastAsia" w:eastAsia="宋体"/>
                <w:color w:val="auto"/>
                <w:lang w:eastAsia="zh-CN"/>
              </w:rPr>
              <w:t>21.6</w:t>
            </w:r>
            <w:r>
              <w:rPr>
                <w:rFonts w:hint="default" w:eastAsia="宋体"/>
                <w:color w:val="auto"/>
              </w:rPr>
              <w:t>㎡，用于暂存</w:t>
            </w:r>
            <w:r>
              <w:rPr>
                <w:rFonts w:hint="eastAsia" w:eastAsia="宋体"/>
                <w:color w:val="auto"/>
                <w:lang w:eastAsia="zh-CN"/>
              </w:rPr>
              <w:t>中煤张家口煤矿机械有限责任公司鄂尔多斯分公司</w:t>
            </w:r>
            <w:r>
              <w:rPr>
                <w:rFonts w:hint="default" w:eastAsia="宋体"/>
                <w:color w:val="auto"/>
              </w:rPr>
              <w:t>运行过程中产生的危险废物，主要包括废矿物油（HW08废矿物油与含矿物油废物</w:t>
            </w:r>
            <w:r>
              <w:rPr>
                <w:rFonts w:hint="eastAsia" w:eastAsia="宋体"/>
                <w:color w:val="auto"/>
                <w:lang w:val="en-US" w:eastAsia="zh-CN"/>
              </w:rPr>
              <w:t>900-214-08</w:t>
            </w:r>
            <w:r>
              <w:rPr>
                <w:rFonts w:hint="default" w:eastAsia="宋体"/>
                <w:color w:val="auto"/>
              </w:rPr>
              <w:t>）、</w:t>
            </w:r>
            <w:r>
              <w:rPr>
                <w:rFonts w:hint="eastAsia" w:eastAsia="宋体"/>
                <w:color w:val="auto"/>
                <w:lang w:val="en-US" w:eastAsia="zh-CN"/>
              </w:rPr>
              <w:t>盛装“干净”矿物油的空桶（危废代码：HW08废矿物油与含矿物油废物900-249-08）、盛装更换下废油的废油桶（危废代码：HW49其他废物900-041-49）、废铅酸电池（危废代码：HW31含铅废物900-052-31）</w:t>
            </w:r>
            <w:r>
              <w:rPr>
                <w:rFonts w:hint="default" w:eastAsia="宋体"/>
                <w:color w:val="auto"/>
              </w:rPr>
              <w:t>。</w:t>
            </w:r>
          </w:p>
          <w:p w14:paraId="0B57B1A0">
            <w:pPr>
              <w:ind w:firstLine="480"/>
              <w:rPr>
                <w:rFonts w:hint="default" w:eastAsia="宋体"/>
                <w:color w:val="auto"/>
              </w:rPr>
            </w:pPr>
            <w:r>
              <w:rPr>
                <w:rFonts w:hint="default" w:eastAsia="宋体"/>
                <w:color w:val="auto"/>
              </w:rPr>
              <w:t>项目投资：本项目总投资为</w:t>
            </w:r>
            <w:r>
              <w:rPr>
                <w:rFonts w:hint="eastAsia" w:eastAsia="宋体"/>
                <w:color w:val="auto"/>
                <w:lang w:val="en-US" w:eastAsia="zh-CN"/>
              </w:rPr>
              <w:t>15</w:t>
            </w:r>
            <w:r>
              <w:rPr>
                <w:rFonts w:hint="default" w:eastAsia="宋体"/>
                <w:color w:val="auto"/>
              </w:rPr>
              <w:t>万元，全部为环保投资。</w:t>
            </w:r>
          </w:p>
          <w:p w14:paraId="76F5F74D">
            <w:pPr>
              <w:ind w:firstLine="480"/>
              <w:rPr>
                <w:rFonts w:hint="default" w:eastAsia="宋体"/>
                <w:color w:val="auto"/>
              </w:rPr>
            </w:pPr>
            <w:r>
              <w:rPr>
                <w:rFonts w:hint="default" w:eastAsia="宋体"/>
                <w:color w:val="auto"/>
              </w:rPr>
              <w:t>建设内容：本项目主要建设1座全封闭危险废物贮存库，内设导流渠、集液池及其他环保设施。本项目工程组成</w:t>
            </w:r>
            <w:r>
              <w:rPr>
                <w:rFonts w:eastAsia="宋体"/>
                <w:color w:val="auto"/>
              </w:rPr>
              <w:t>详见</w:t>
            </w:r>
            <w:r>
              <w:rPr>
                <w:rFonts w:hint="default" w:eastAsia="宋体"/>
                <w:color w:val="auto"/>
              </w:rPr>
              <w:t>表2-1。</w:t>
            </w:r>
          </w:p>
          <w:p w14:paraId="22B820AE">
            <w:pPr>
              <w:ind w:firstLine="0" w:firstLineChars="0"/>
              <w:jc w:val="center"/>
              <w:rPr>
                <w:rFonts w:hint="default" w:eastAsia="宋体"/>
                <w:b/>
                <w:color w:val="auto"/>
              </w:rPr>
            </w:pPr>
            <w:r>
              <w:rPr>
                <w:rFonts w:hint="default" w:eastAsia="宋体"/>
                <w:b/>
                <w:color w:val="auto"/>
              </w:rPr>
              <w:t>表2-1项目工程组成一览表</w:t>
            </w:r>
          </w:p>
          <w:tbl>
            <w:tblPr>
              <w:tblStyle w:val="14"/>
              <w:tblW w:w="80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88"/>
              <w:gridCol w:w="785"/>
              <w:gridCol w:w="6044"/>
              <w:gridCol w:w="600"/>
            </w:tblGrid>
            <w:tr w14:paraId="2D9D4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33" w:hRule="atLeast"/>
                <w:jc w:val="center"/>
              </w:trPr>
              <w:tc>
                <w:tcPr>
                  <w:tcW w:w="588" w:type="dxa"/>
                  <w:tcBorders>
                    <w:top w:val="single" w:color="auto" w:sz="4" w:space="0"/>
                    <w:left w:val="single" w:color="auto" w:sz="4" w:space="0"/>
                    <w:bottom w:val="single" w:color="auto" w:sz="4" w:space="0"/>
                    <w:right w:val="single" w:color="auto" w:sz="4" w:space="0"/>
                    <w:tl2br w:val="nil"/>
                    <w:tr2bl w:val="nil"/>
                  </w:tcBorders>
                  <w:tcMar>
                    <w:left w:w="0" w:type="dxa"/>
                    <w:right w:w="0" w:type="dxa"/>
                  </w:tcMar>
                  <w:vAlign w:val="center"/>
                </w:tcPr>
                <w:p w14:paraId="0640A427">
                  <w:pPr>
                    <w:spacing w:line="240" w:lineRule="auto"/>
                    <w:ind w:firstLine="0" w:firstLineChars="0"/>
                    <w:jc w:val="center"/>
                    <w:rPr>
                      <w:rFonts w:hint="default" w:eastAsia="宋体"/>
                      <w:color w:val="auto"/>
                    </w:rPr>
                  </w:pPr>
                  <w:r>
                    <w:rPr>
                      <w:rFonts w:hint="default" w:eastAsia="宋体"/>
                      <w:color w:val="auto"/>
                    </w:rPr>
                    <w:t>工程分类</w:t>
                  </w:r>
                </w:p>
              </w:tc>
              <w:tc>
                <w:tcPr>
                  <w:tcW w:w="785" w:type="dxa"/>
                  <w:tcBorders>
                    <w:top w:val="single" w:color="auto" w:sz="4" w:space="0"/>
                    <w:left w:val="single" w:color="auto" w:sz="4" w:space="0"/>
                    <w:bottom w:val="single" w:color="auto" w:sz="4" w:space="0"/>
                    <w:right w:val="single" w:color="auto" w:sz="4" w:space="0"/>
                    <w:tl2br w:val="nil"/>
                    <w:tr2bl w:val="nil"/>
                  </w:tcBorders>
                  <w:vAlign w:val="center"/>
                </w:tcPr>
                <w:p w14:paraId="2E50B743">
                  <w:pPr>
                    <w:spacing w:line="240" w:lineRule="auto"/>
                    <w:ind w:firstLine="0" w:firstLineChars="0"/>
                    <w:jc w:val="center"/>
                    <w:rPr>
                      <w:rFonts w:hint="default" w:eastAsia="宋体"/>
                      <w:color w:val="auto"/>
                    </w:rPr>
                  </w:pPr>
                  <w:r>
                    <w:rPr>
                      <w:rFonts w:hint="default" w:eastAsia="宋体"/>
                      <w:color w:val="auto"/>
                    </w:rPr>
                    <w:t>项目</w:t>
                  </w:r>
                </w:p>
              </w:tc>
              <w:tc>
                <w:tcPr>
                  <w:tcW w:w="6044" w:type="dxa"/>
                  <w:tcBorders>
                    <w:top w:val="single" w:color="auto" w:sz="4" w:space="0"/>
                    <w:left w:val="single" w:color="auto" w:sz="4" w:space="0"/>
                    <w:bottom w:val="single" w:color="auto" w:sz="4" w:space="0"/>
                    <w:right w:val="single" w:color="auto" w:sz="4" w:space="0"/>
                    <w:tl2br w:val="nil"/>
                    <w:tr2bl w:val="nil"/>
                  </w:tcBorders>
                  <w:vAlign w:val="center"/>
                </w:tcPr>
                <w:p w14:paraId="3C9FC2C8">
                  <w:pPr>
                    <w:spacing w:line="240" w:lineRule="auto"/>
                    <w:ind w:firstLine="0" w:firstLineChars="0"/>
                    <w:jc w:val="center"/>
                    <w:rPr>
                      <w:rFonts w:hint="default" w:eastAsia="宋体"/>
                      <w:color w:val="auto"/>
                    </w:rPr>
                  </w:pPr>
                  <w:r>
                    <w:rPr>
                      <w:rFonts w:hint="default" w:eastAsia="宋体"/>
                      <w:color w:val="auto"/>
                    </w:rPr>
                    <w:t>建设内容</w:t>
                  </w:r>
                </w:p>
              </w:tc>
              <w:tc>
                <w:tcPr>
                  <w:tcW w:w="600" w:type="dxa"/>
                  <w:tcBorders>
                    <w:top w:val="single" w:color="auto" w:sz="4" w:space="0"/>
                    <w:left w:val="single" w:color="auto" w:sz="4" w:space="0"/>
                    <w:bottom w:val="single" w:color="auto" w:sz="4" w:space="0"/>
                    <w:right w:val="single" w:color="auto" w:sz="4" w:space="0"/>
                    <w:tl2br w:val="nil"/>
                    <w:tr2bl w:val="nil"/>
                  </w:tcBorders>
                  <w:vAlign w:val="center"/>
                </w:tcPr>
                <w:p w14:paraId="0F11439A">
                  <w:pPr>
                    <w:spacing w:line="240" w:lineRule="auto"/>
                    <w:ind w:firstLine="0" w:firstLineChars="0"/>
                    <w:jc w:val="center"/>
                    <w:rPr>
                      <w:rFonts w:hint="default" w:eastAsia="宋体"/>
                      <w:color w:val="auto"/>
                    </w:rPr>
                  </w:pPr>
                  <w:r>
                    <w:rPr>
                      <w:rFonts w:hint="default" w:eastAsia="宋体"/>
                      <w:color w:val="auto"/>
                    </w:rPr>
                    <w:t>备注</w:t>
                  </w:r>
                </w:p>
              </w:tc>
            </w:tr>
            <w:tr w14:paraId="6D1A3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588" w:type="dxa"/>
                  <w:vMerge w:val="restart"/>
                  <w:tcBorders>
                    <w:top w:val="single" w:color="auto" w:sz="4" w:space="0"/>
                    <w:left w:val="single" w:color="auto" w:sz="4" w:space="0"/>
                    <w:bottom w:val="single" w:color="auto" w:sz="4" w:space="0"/>
                    <w:right w:val="single" w:color="auto" w:sz="4" w:space="0"/>
                    <w:tl2br w:val="nil"/>
                    <w:tr2bl w:val="nil"/>
                  </w:tcBorders>
                  <w:tcMar>
                    <w:left w:w="0" w:type="dxa"/>
                    <w:right w:w="0" w:type="dxa"/>
                  </w:tcMar>
                  <w:vAlign w:val="center"/>
                </w:tcPr>
                <w:p w14:paraId="7416B610">
                  <w:pPr>
                    <w:spacing w:line="240" w:lineRule="auto"/>
                    <w:ind w:firstLine="0" w:firstLineChars="0"/>
                    <w:jc w:val="center"/>
                    <w:rPr>
                      <w:rFonts w:hint="default" w:eastAsia="宋体"/>
                      <w:color w:val="auto"/>
                    </w:rPr>
                  </w:pPr>
                  <w:r>
                    <w:rPr>
                      <w:rFonts w:hint="default" w:eastAsia="宋体"/>
                      <w:color w:val="auto"/>
                    </w:rPr>
                    <w:t>主体工程</w:t>
                  </w:r>
                </w:p>
              </w:tc>
              <w:tc>
                <w:tcPr>
                  <w:tcW w:w="785" w:type="dxa"/>
                  <w:tcBorders>
                    <w:top w:val="single" w:color="auto" w:sz="4" w:space="0"/>
                    <w:left w:val="single" w:color="auto" w:sz="4" w:space="0"/>
                    <w:bottom w:val="single" w:color="auto" w:sz="4" w:space="0"/>
                    <w:right w:val="single" w:color="auto" w:sz="4" w:space="0"/>
                    <w:tl2br w:val="nil"/>
                    <w:tr2bl w:val="nil"/>
                  </w:tcBorders>
                  <w:vAlign w:val="center"/>
                </w:tcPr>
                <w:p w14:paraId="6F2356CD">
                  <w:pPr>
                    <w:spacing w:line="240" w:lineRule="auto"/>
                    <w:ind w:firstLine="0" w:firstLineChars="0"/>
                    <w:jc w:val="center"/>
                    <w:rPr>
                      <w:rFonts w:hint="default" w:eastAsia="宋体"/>
                      <w:color w:val="auto"/>
                    </w:rPr>
                  </w:pPr>
                  <w:r>
                    <w:rPr>
                      <w:rFonts w:hint="default" w:eastAsia="宋体"/>
                      <w:color w:val="auto"/>
                    </w:rPr>
                    <w:t>危废暂存库</w:t>
                  </w:r>
                </w:p>
              </w:tc>
              <w:tc>
                <w:tcPr>
                  <w:tcW w:w="6044" w:type="dxa"/>
                  <w:tcBorders>
                    <w:top w:val="single" w:color="auto" w:sz="4" w:space="0"/>
                    <w:left w:val="single" w:color="auto" w:sz="4" w:space="0"/>
                    <w:bottom w:val="single" w:color="auto" w:sz="4" w:space="0"/>
                    <w:right w:val="single" w:color="auto" w:sz="4" w:space="0"/>
                    <w:tl2br w:val="nil"/>
                    <w:tr2bl w:val="nil"/>
                  </w:tcBorders>
                  <w:vAlign w:val="center"/>
                </w:tcPr>
                <w:p w14:paraId="005F9F41">
                  <w:pPr>
                    <w:spacing w:line="240" w:lineRule="auto"/>
                    <w:ind w:firstLine="0" w:firstLineChars="0"/>
                    <w:rPr>
                      <w:rFonts w:hint="default" w:eastAsia="宋体"/>
                      <w:color w:val="auto"/>
                    </w:rPr>
                  </w:pPr>
                  <w:r>
                    <w:rPr>
                      <w:rFonts w:hint="default" w:eastAsia="宋体"/>
                      <w:color w:val="auto"/>
                    </w:rPr>
                    <w:t>本项目建设危险废物暂存库，建筑面积</w:t>
                  </w:r>
                  <w:r>
                    <w:rPr>
                      <w:rFonts w:hint="eastAsia" w:eastAsia="宋体"/>
                      <w:color w:val="auto"/>
                      <w:lang w:eastAsia="zh-CN"/>
                    </w:rPr>
                    <w:t>21.6</w:t>
                  </w:r>
                  <w:r>
                    <w:rPr>
                      <w:rFonts w:hint="default" w:eastAsia="宋体"/>
                      <w:color w:val="auto"/>
                    </w:rPr>
                    <w:t>㎡，设置1座金属防火门，全封闭结构，独立、密闭并上锁（双人双锁）库门设置高0.2m门槛，可有效防止雨水进入，库内地面自门槛向内处设一定向下坡度，防止废液外溢；本项目设置</w:t>
                  </w:r>
                  <w:r>
                    <w:rPr>
                      <w:rFonts w:hint="eastAsia" w:eastAsia="宋体"/>
                      <w:color w:val="auto"/>
                      <w:lang w:eastAsia="zh-CN"/>
                    </w:rPr>
                    <w:t>4个分区</w:t>
                  </w:r>
                  <w:r>
                    <w:rPr>
                      <w:rFonts w:hint="default" w:eastAsia="宋体"/>
                      <w:color w:val="auto"/>
                    </w:rPr>
                    <w:t>，分区一占地面积为</w:t>
                  </w:r>
                  <w:r>
                    <w:rPr>
                      <w:rFonts w:hint="eastAsia" w:eastAsia="宋体"/>
                      <w:color w:val="auto"/>
                      <w:lang w:val="en-US" w:eastAsia="zh-CN"/>
                    </w:rPr>
                    <w:t>5</w:t>
                  </w:r>
                  <w:r>
                    <w:rPr>
                      <w:rFonts w:hint="default" w:eastAsia="宋体"/>
                      <w:color w:val="auto"/>
                    </w:rPr>
                    <w:t>㎡，用于暂存废矿物油；分区二占地面积为</w:t>
                  </w:r>
                  <w:r>
                    <w:rPr>
                      <w:rFonts w:hint="eastAsia" w:eastAsia="宋体"/>
                      <w:color w:val="auto"/>
                      <w:lang w:val="en-US" w:eastAsia="zh-CN"/>
                    </w:rPr>
                    <w:t>5</w:t>
                  </w:r>
                  <w:r>
                    <w:rPr>
                      <w:rFonts w:hint="default" w:eastAsia="宋体"/>
                      <w:color w:val="auto"/>
                    </w:rPr>
                    <w:t>㎡，用于暂存</w:t>
                  </w:r>
                  <w:r>
                    <w:rPr>
                      <w:rFonts w:hint="eastAsia" w:eastAsia="宋体"/>
                      <w:color w:val="auto"/>
                      <w:lang w:val="en-US" w:eastAsia="zh-CN"/>
                    </w:rPr>
                    <w:t>盛装“干净”矿物油的空桶</w:t>
                  </w:r>
                  <w:r>
                    <w:rPr>
                      <w:rFonts w:hint="eastAsia" w:eastAsia="宋体"/>
                      <w:color w:val="auto"/>
                      <w:lang w:eastAsia="zh-CN"/>
                    </w:rPr>
                    <w:t>；</w:t>
                  </w:r>
                  <w:r>
                    <w:rPr>
                      <w:rFonts w:hint="default" w:eastAsia="宋体"/>
                      <w:color w:val="auto"/>
                    </w:rPr>
                    <w:t>分区</w:t>
                  </w:r>
                  <w:r>
                    <w:rPr>
                      <w:rFonts w:hint="eastAsia" w:eastAsia="宋体"/>
                      <w:color w:val="auto"/>
                      <w:lang w:val="en-US" w:eastAsia="zh-CN"/>
                    </w:rPr>
                    <w:t>三</w:t>
                  </w:r>
                  <w:r>
                    <w:rPr>
                      <w:rFonts w:hint="default" w:eastAsia="宋体"/>
                      <w:color w:val="auto"/>
                    </w:rPr>
                    <w:t>占地面积为</w:t>
                  </w:r>
                  <w:r>
                    <w:rPr>
                      <w:rFonts w:hint="eastAsia" w:eastAsia="宋体"/>
                      <w:color w:val="auto"/>
                      <w:lang w:val="en-US" w:eastAsia="zh-CN"/>
                    </w:rPr>
                    <w:t>5</w:t>
                  </w:r>
                  <w:r>
                    <w:rPr>
                      <w:rFonts w:hint="default" w:eastAsia="宋体"/>
                      <w:color w:val="auto"/>
                    </w:rPr>
                    <w:t>㎡，用于暂存</w:t>
                  </w:r>
                  <w:r>
                    <w:rPr>
                      <w:rFonts w:hint="eastAsia" w:eastAsia="宋体"/>
                      <w:color w:val="auto"/>
                      <w:lang w:val="en-US" w:eastAsia="zh-CN"/>
                    </w:rPr>
                    <w:t>废油桶</w:t>
                  </w:r>
                  <w:r>
                    <w:rPr>
                      <w:rFonts w:hint="eastAsia" w:eastAsia="宋体"/>
                      <w:color w:val="auto"/>
                      <w:lang w:eastAsia="zh-CN"/>
                    </w:rPr>
                    <w:t>；</w:t>
                  </w:r>
                  <w:r>
                    <w:rPr>
                      <w:rFonts w:hint="default" w:eastAsia="宋体"/>
                      <w:color w:val="auto"/>
                    </w:rPr>
                    <w:t>分区</w:t>
                  </w:r>
                  <w:r>
                    <w:rPr>
                      <w:rFonts w:hint="eastAsia" w:eastAsia="宋体"/>
                      <w:color w:val="auto"/>
                      <w:lang w:val="en-US" w:eastAsia="zh-CN"/>
                    </w:rPr>
                    <w:t>四</w:t>
                  </w:r>
                  <w:r>
                    <w:rPr>
                      <w:rFonts w:hint="default" w:eastAsia="宋体"/>
                      <w:color w:val="auto"/>
                    </w:rPr>
                    <w:t>占地面积为</w:t>
                  </w:r>
                  <w:r>
                    <w:rPr>
                      <w:rFonts w:hint="eastAsia" w:eastAsia="宋体"/>
                      <w:color w:val="auto"/>
                      <w:lang w:val="en-US" w:eastAsia="zh-CN"/>
                    </w:rPr>
                    <w:t>5</w:t>
                  </w:r>
                  <w:r>
                    <w:rPr>
                      <w:rFonts w:hint="default" w:eastAsia="宋体"/>
                      <w:color w:val="auto"/>
                    </w:rPr>
                    <w:t>㎡，用于暂存</w:t>
                  </w:r>
                  <w:r>
                    <w:rPr>
                      <w:rFonts w:hint="eastAsia" w:eastAsia="宋体"/>
                      <w:color w:val="auto"/>
                      <w:lang w:val="en-US" w:eastAsia="zh-CN"/>
                    </w:rPr>
                    <w:t>废铅酸电池</w:t>
                  </w:r>
                  <w:r>
                    <w:rPr>
                      <w:rFonts w:hint="default" w:eastAsia="宋体"/>
                      <w:color w:val="auto"/>
                    </w:rPr>
                    <w:t>。</w:t>
                  </w:r>
                </w:p>
              </w:tc>
              <w:tc>
                <w:tcPr>
                  <w:tcW w:w="600" w:type="dxa"/>
                  <w:tcBorders>
                    <w:top w:val="single" w:color="auto" w:sz="4" w:space="0"/>
                    <w:left w:val="single" w:color="auto" w:sz="4" w:space="0"/>
                    <w:bottom w:val="single" w:color="auto" w:sz="4" w:space="0"/>
                    <w:right w:val="single" w:color="auto" w:sz="4" w:space="0"/>
                    <w:tl2br w:val="nil"/>
                    <w:tr2bl w:val="nil"/>
                  </w:tcBorders>
                  <w:vAlign w:val="center"/>
                </w:tcPr>
                <w:p w14:paraId="30E77A14">
                  <w:pPr>
                    <w:spacing w:line="240" w:lineRule="auto"/>
                    <w:ind w:firstLine="0" w:firstLineChars="0"/>
                    <w:jc w:val="center"/>
                    <w:rPr>
                      <w:rFonts w:hint="default" w:eastAsia="宋体"/>
                      <w:color w:val="auto"/>
                    </w:rPr>
                  </w:pPr>
                  <w:r>
                    <w:rPr>
                      <w:rFonts w:hint="default" w:eastAsia="宋体"/>
                      <w:color w:val="auto"/>
                    </w:rPr>
                    <w:t>新建</w:t>
                  </w:r>
                </w:p>
              </w:tc>
            </w:tr>
            <w:tr w14:paraId="29D0A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588" w:type="dxa"/>
                  <w:vMerge w:val="continue"/>
                  <w:tcBorders>
                    <w:top w:val="single" w:color="auto" w:sz="4" w:space="0"/>
                    <w:left w:val="single" w:color="auto" w:sz="4" w:space="0"/>
                    <w:bottom w:val="single" w:color="auto" w:sz="4" w:space="0"/>
                    <w:right w:val="single" w:color="auto" w:sz="4" w:space="0"/>
                    <w:tl2br w:val="nil"/>
                    <w:tr2bl w:val="nil"/>
                  </w:tcBorders>
                  <w:tcMar>
                    <w:left w:w="0" w:type="dxa"/>
                    <w:right w:w="0" w:type="dxa"/>
                  </w:tcMar>
                  <w:vAlign w:val="center"/>
                </w:tcPr>
                <w:p w14:paraId="3299C16D">
                  <w:pPr>
                    <w:spacing w:line="240" w:lineRule="auto"/>
                    <w:ind w:firstLine="0" w:firstLineChars="0"/>
                    <w:jc w:val="center"/>
                    <w:rPr>
                      <w:rFonts w:hint="default" w:eastAsia="宋体"/>
                      <w:color w:val="auto"/>
                    </w:rPr>
                  </w:pPr>
                </w:p>
              </w:tc>
              <w:tc>
                <w:tcPr>
                  <w:tcW w:w="785" w:type="dxa"/>
                  <w:tcBorders>
                    <w:top w:val="single" w:color="auto" w:sz="4" w:space="0"/>
                    <w:left w:val="single" w:color="auto" w:sz="4" w:space="0"/>
                    <w:bottom w:val="single" w:color="auto" w:sz="4" w:space="0"/>
                    <w:right w:val="single" w:color="auto" w:sz="4" w:space="0"/>
                    <w:tl2br w:val="nil"/>
                    <w:tr2bl w:val="nil"/>
                  </w:tcBorders>
                  <w:vAlign w:val="center"/>
                </w:tcPr>
                <w:p w14:paraId="70B66007">
                  <w:pPr>
                    <w:spacing w:line="240" w:lineRule="auto"/>
                    <w:ind w:firstLine="0" w:firstLineChars="0"/>
                    <w:rPr>
                      <w:rFonts w:hint="default" w:eastAsia="宋体"/>
                      <w:color w:val="auto"/>
                    </w:rPr>
                  </w:pPr>
                  <w:r>
                    <w:rPr>
                      <w:rFonts w:hint="default" w:eastAsia="宋体"/>
                      <w:color w:val="auto"/>
                    </w:rPr>
                    <w:t>导流渠、裙脚</w:t>
                  </w:r>
                  <w:r>
                    <w:rPr>
                      <w:rFonts w:eastAsia="宋体"/>
                      <w:color w:val="auto"/>
                    </w:rPr>
                    <w:t>、</w:t>
                  </w:r>
                  <w:r>
                    <w:rPr>
                      <w:rFonts w:hint="default" w:eastAsia="宋体"/>
                      <w:color w:val="auto"/>
                    </w:rPr>
                    <w:t>集液池</w:t>
                  </w:r>
                  <w:r>
                    <w:rPr>
                      <w:rFonts w:eastAsia="宋体"/>
                      <w:color w:val="auto"/>
                    </w:rPr>
                    <w:t>、围堰</w:t>
                  </w:r>
                </w:p>
              </w:tc>
              <w:tc>
                <w:tcPr>
                  <w:tcW w:w="6044" w:type="dxa"/>
                  <w:tcBorders>
                    <w:top w:val="single" w:color="auto" w:sz="4" w:space="0"/>
                    <w:left w:val="single" w:color="auto" w:sz="4" w:space="0"/>
                    <w:bottom w:val="single" w:color="auto" w:sz="4" w:space="0"/>
                    <w:right w:val="single" w:color="auto" w:sz="4" w:space="0"/>
                    <w:tl2br w:val="nil"/>
                    <w:tr2bl w:val="nil"/>
                  </w:tcBorders>
                  <w:vAlign w:val="center"/>
                </w:tcPr>
                <w:p w14:paraId="0BF58A23">
                  <w:pPr>
                    <w:spacing w:line="240" w:lineRule="auto"/>
                    <w:ind w:firstLine="0" w:firstLineChars="0"/>
                    <w:rPr>
                      <w:rFonts w:hint="default" w:eastAsia="宋体"/>
                      <w:color w:val="auto"/>
                    </w:rPr>
                  </w:pPr>
                  <w:r>
                    <w:rPr>
                      <w:rFonts w:hint="default" w:eastAsia="宋体"/>
                      <w:color w:val="auto"/>
                    </w:rPr>
                    <w:t>导流渠：四周均设导流渠（宽200mm，高200mm），通往危险废物暂存库集液池，用于将溢出废液导入集液池内。</w:t>
                  </w:r>
                </w:p>
                <w:p w14:paraId="5A4A0730">
                  <w:pPr>
                    <w:spacing w:line="240" w:lineRule="auto"/>
                    <w:ind w:firstLine="0" w:firstLineChars="0"/>
                    <w:rPr>
                      <w:rFonts w:hint="default"/>
                      <w:color w:val="auto"/>
                    </w:rPr>
                  </w:pPr>
                  <w:r>
                    <w:rPr>
                      <w:rFonts w:hint="default" w:eastAsia="宋体"/>
                      <w:color w:val="auto"/>
                    </w:rPr>
                    <w:t>裙脚：墙面四周设置300mm高的裙脚。</w:t>
                  </w:r>
                </w:p>
                <w:p w14:paraId="5867EDB1">
                  <w:pPr>
                    <w:spacing w:line="240" w:lineRule="auto"/>
                    <w:ind w:firstLine="0" w:firstLineChars="0"/>
                    <w:rPr>
                      <w:rFonts w:hint="default" w:eastAsia="宋体"/>
                      <w:color w:val="auto"/>
                    </w:rPr>
                  </w:pPr>
                  <w:r>
                    <w:rPr>
                      <w:rFonts w:eastAsia="宋体"/>
                      <w:color w:val="auto"/>
                    </w:rPr>
                    <w:t>围堰：门口设置围堰。</w:t>
                  </w:r>
                </w:p>
                <w:p w14:paraId="0E09A2AA">
                  <w:pPr>
                    <w:spacing w:line="240" w:lineRule="auto"/>
                    <w:ind w:firstLine="0" w:firstLineChars="0"/>
                    <w:rPr>
                      <w:rFonts w:hint="default" w:eastAsia="宋体"/>
                      <w:color w:val="auto"/>
                    </w:rPr>
                  </w:pPr>
                  <w:r>
                    <w:rPr>
                      <w:rFonts w:hint="default" w:eastAsia="宋体"/>
                      <w:color w:val="auto"/>
                    </w:rPr>
                    <w:t>集液</w:t>
                  </w:r>
                  <w:r>
                    <w:rPr>
                      <w:rFonts w:hint="default" w:ascii="Times New Roman" w:hAnsi="Times New Roman" w:eastAsia="宋体" w:cs="Times New Roman"/>
                      <w:color w:val="auto"/>
                    </w:rPr>
                    <w:t>池：角落设1座集液池（容积1m³），用于</w:t>
                  </w:r>
                  <w:r>
                    <w:rPr>
                      <w:rFonts w:hint="default" w:eastAsia="宋体"/>
                      <w:color w:val="auto"/>
                    </w:rPr>
                    <w:t>收集暂存一旦发生损坏时渗漏的危险废物。</w:t>
                  </w:r>
                </w:p>
                <w:p w14:paraId="3EC31444">
                  <w:pPr>
                    <w:spacing w:line="240" w:lineRule="auto"/>
                    <w:ind w:firstLine="0" w:firstLineChars="0"/>
                    <w:rPr>
                      <w:rFonts w:hint="default" w:eastAsia="宋体"/>
                      <w:color w:val="auto"/>
                    </w:rPr>
                  </w:pPr>
                  <w:r>
                    <w:rPr>
                      <w:rFonts w:hint="default" w:eastAsia="宋体"/>
                      <w:color w:val="auto"/>
                    </w:rPr>
                    <w:t>导流渠、裙脚</w:t>
                  </w:r>
                  <w:r>
                    <w:rPr>
                      <w:rFonts w:eastAsia="宋体"/>
                      <w:color w:val="auto"/>
                    </w:rPr>
                    <w:t>、围堰、</w:t>
                  </w:r>
                  <w:r>
                    <w:rPr>
                      <w:rFonts w:hint="default" w:eastAsia="宋体"/>
                      <w:color w:val="auto"/>
                    </w:rPr>
                    <w:t>集液池防渗措施与地面相同，在地面与</w:t>
                  </w:r>
                  <w:r>
                    <w:rPr>
                      <w:rFonts w:eastAsia="宋体"/>
                      <w:color w:val="auto"/>
                    </w:rPr>
                    <w:t>围堰</w:t>
                  </w:r>
                  <w:r>
                    <w:rPr>
                      <w:rFonts w:hint="default" w:eastAsia="宋体"/>
                      <w:color w:val="auto"/>
                    </w:rPr>
                    <w:t>施工过</w:t>
                  </w:r>
                  <w:r>
                    <w:rPr>
                      <w:rFonts w:hint="eastAsia" w:eastAsia="宋体"/>
                      <w:color w:val="auto"/>
                      <w:lang w:eastAsia="zh-CN"/>
                    </w:rPr>
                    <w:t>程中</w:t>
                  </w:r>
                  <w:r>
                    <w:rPr>
                      <w:rFonts w:hint="default" w:eastAsia="宋体"/>
                      <w:color w:val="auto"/>
                    </w:rPr>
                    <w:t>注意地面与墙体接缝处的严密衔接；收集事故情况下</w:t>
                  </w:r>
                  <w:r>
                    <w:rPr>
                      <w:rFonts w:eastAsia="宋体"/>
                      <w:color w:val="auto"/>
                    </w:rPr>
                    <w:t>泄漏</w:t>
                  </w:r>
                  <w:r>
                    <w:rPr>
                      <w:rFonts w:hint="default" w:eastAsia="宋体"/>
                      <w:color w:val="auto"/>
                    </w:rPr>
                    <w:t>的废矿物油，导流渠沿内墙墙壁布置，与集液池连通。导流渠、集液池采取与地面相同防渗措施，防渗措施为防渗层为至少1m厚黏土层（渗透系数</w:t>
                  </w:r>
                  <w:r>
                    <w:rPr>
                      <w:rFonts w:eastAsia="宋体"/>
                      <w:color w:val="auto"/>
                    </w:rPr>
                    <w:t>≤</w:t>
                  </w:r>
                  <w:r>
                    <w:rPr>
                      <w:rFonts w:hint="default" w:eastAsia="宋体"/>
                      <w:color w:val="auto"/>
                    </w:rPr>
                    <w:t>10</w:t>
                  </w:r>
                  <w:r>
                    <w:rPr>
                      <w:rFonts w:hint="default" w:eastAsia="宋体"/>
                      <w:color w:val="auto"/>
                      <w:vertAlign w:val="superscript"/>
                    </w:rPr>
                    <w:t>-7</w:t>
                  </w:r>
                  <w:r>
                    <w:rPr>
                      <w:rFonts w:hint="default" w:eastAsia="宋体"/>
                      <w:color w:val="auto"/>
                    </w:rPr>
                    <w:t>cm/s），或至少2mm厚高密度聚乙烯膜等人工防渗材料（渗透系数</w:t>
                  </w:r>
                  <w:r>
                    <w:rPr>
                      <w:rFonts w:eastAsia="宋体"/>
                      <w:color w:val="auto"/>
                    </w:rPr>
                    <w:t>≤</w:t>
                  </w:r>
                  <w:r>
                    <w:rPr>
                      <w:rFonts w:hint="default" w:eastAsia="宋体"/>
                      <w:color w:val="auto"/>
                    </w:rPr>
                    <w:t>10</w:t>
                  </w:r>
                  <w:r>
                    <w:rPr>
                      <w:rFonts w:hint="default" w:eastAsia="宋体"/>
                      <w:color w:val="auto"/>
                      <w:vertAlign w:val="superscript"/>
                    </w:rPr>
                    <w:t>-10</w:t>
                  </w:r>
                  <w:r>
                    <w:rPr>
                      <w:rFonts w:hint="default" w:eastAsia="宋体"/>
                      <w:color w:val="auto"/>
                    </w:rPr>
                    <w:t>cm/s），或其他防渗性能等效的材料。</w:t>
                  </w:r>
                </w:p>
              </w:tc>
              <w:tc>
                <w:tcPr>
                  <w:tcW w:w="600" w:type="dxa"/>
                  <w:tcBorders>
                    <w:top w:val="single" w:color="auto" w:sz="4" w:space="0"/>
                    <w:left w:val="single" w:color="auto" w:sz="4" w:space="0"/>
                    <w:bottom w:val="single" w:color="auto" w:sz="4" w:space="0"/>
                    <w:right w:val="single" w:color="auto" w:sz="4" w:space="0"/>
                    <w:tl2br w:val="nil"/>
                    <w:tr2bl w:val="nil"/>
                  </w:tcBorders>
                  <w:vAlign w:val="center"/>
                </w:tcPr>
                <w:p w14:paraId="71B6CC02">
                  <w:pPr>
                    <w:spacing w:line="240" w:lineRule="auto"/>
                    <w:ind w:firstLine="0" w:firstLineChars="0"/>
                    <w:jc w:val="center"/>
                    <w:rPr>
                      <w:rFonts w:hint="default" w:eastAsia="宋体"/>
                      <w:color w:val="auto"/>
                    </w:rPr>
                  </w:pPr>
                  <w:r>
                    <w:rPr>
                      <w:rFonts w:hint="default" w:eastAsia="宋体"/>
                      <w:color w:val="auto"/>
                    </w:rPr>
                    <w:t>新建</w:t>
                  </w:r>
                </w:p>
              </w:tc>
            </w:tr>
            <w:tr w14:paraId="0EC45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588" w:type="dxa"/>
                  <w:vMerge w:val="restart"/>
                  <w:tcBorders>
                    <w:top w:val="single" w:color="auto" w:sz="4" w:space="0"/>
                    <w:left w:val="single" w:color="auto" w:sz="4" w:space="0"/>
                    <w:bottom w:val="single" w:color="auto" w:sz="4" w:space="0"/>
                    <w:right w:val="single" w:color="auto" w:sz="4" w:space="0"/>
                    <w:tl2br w:val="nil"/>
                    <w:tr2bl w:val="nil"/>
                  </w:tcBorders>
                  <w:tcMar>
                    <w:left w:w="0" w:type="dxa"/>
                    <w:right w:w="0" w:type="dxa"/>
                  </w:tcMar>
                  <w:vAlign w:val="center"/>
                </w:tcPr>
                <w:p w14:paraId="3B414887">
                  <w:pPr>
                    <w:spacing w:line="240" w:lineRule="auto"/>
                    <w:ind w:firstLine="0" w:firstLineChars="0"/>
                    <w:jc w:val="center"/>
                    <w:rPr>
                      <w:rFonts w:hint="default" w:eastAsia="宋体"/>
                      <w:color w:val="auto"/>
                    </w:rPr>
                  </w:pPr>
                  <w:r>
                    <w:rPr>
                      <w:rFonts w:hint="default" w:eastAsia="宋体"/>
                      <w:color w:val="auto"/>
                    </w:rPr>
                    <w:t>公用</w:t>
                  </w:r>
                </w:p>
                <w:p w14:paraId="224926AE">
                  <w:pPr>
                    <w:spacing w:line="240" w:lineRule="auto"/>
                    <w:ind w:firstLine="0" w:firstLineChars="0"/>
                    <w:jc w:val="center"/>
                    <w:rPr>
                      <w:rFonts w:hint="default" w:eastAsia="宋体"/>
                      <w:color w:val="auto"/>
                    </w:rPr>
                  </w:pPr>
                  <w:r>
                    <w:rPr>
                      <w:rFonts w:hint="default" w:eastAsia="宋体"/>
                      <w:color w:val="auto"/>
                    </w:rPr>
                    <w:t>工程</w:t>
                  </w:r>
                </w:p>
              </w:tc>
              <w:tc>
                <w:tcPr>
                  <w:tcW w:w="785" w:type="dxa"/>
                  <w:tcBorders>
                    <w:top w:val="single" w:color="auto" w:sz="4" w:space="0"/>
                    <w:left w:val="single" w:color="auto" w:sz="4" w:space="0"/>
                    <w:bottom w:val="single" w:color="auto" w:sz="4" w:space="0"/>
                    <w:right w:val="single" w:color="auto" w:sz="4" w:space="0"/>
                    <w:tl2br w:val="nil"/>
                    <w:tr2bl w:val="nil"/>
                  </w:tcBorders>
                  <w:vAlign w:val="center"/>
                </w:tcPr>
                <w:p w14:paraId="57DABDA1">
                  <w:pPr>
                    <w:spacing w:line="240" w:lineRule="auto"/>
                    <w:ind w:firstLine="0" w:firstLineChars="0"/>
                    <w:jc w:val="center"/>
                    <w:rPr>
                      <w:rFonts w:hint="default" w:eastAsia="宋体"/>
                      <w:color w:val="auto"/>
                    </w:rPr>
                  </w:pPr>
                  <w:r>
                    <w:rPr>
                      <w:rFonts w:hint="default" w:eastAsia="宋体"/>
                      <w:color w:val="auto"/>
                    </w:rPr>
                    <w:t>供热</w:t>
                  </w:r>
                </w:p>
              </w:tc>
              <w:tc>
                <w:tcPr>
                  <w:tcW w:w="6044" w:type="dxa"/>
                  <w:tcBorders>
                    <w:top w:val="single" w:color="auto" w:sz="4" w:space="0"/>
                    <w:left w:val="single" w:color="auto" w:sz="4" w:space="0"/>
                    <w:bottom w:val="single" w:color="auto" w:sz="4" w:space="0"/>
                    <w:right w:val="single" w:color="auto" w:sz="4" w:space="0"/>
                    <w:tl2br w:val="nil"/>
                    <w:tr2bl w:val="nil"/>
                  </w:tcBorders>
                  <w:vAlign w:val="center"/>
                </w:tcPr>
                <w:p w14:paraId="7C6FCCD8">
                  <w:pPr>
                    <w:spacing w:line="240" w:lineRule="auto"/>
                    <w:ind w:firstLine="0" w:firstLineChars="0"/>
                    <w:jc w:val="center"/>
                    <w:rPr>
                      <w:rFonts w:hint="default" w:eastAsia="宋体"/>
                      <w:color w:val="auto"/>
                    </w:rPr>
                  </w:pPr>
                  <w:r>
                    <w:rPr>
                      <w:rFonts w:hint="default" w:eastAsia="宋体"/>
                      <w:color w:val="auto"/>
                    </w:rPr>
                    <w:t>本项目不需要供热。</w:t>
                  </w:r>
                </w:p>
              </w:tc>
              <w:tc>
                <w:tcPr>
                  <w:tcW w:w="600" w:type="dxa"/>
                  <w:tcBorders>
                    <w:top w:val="single" w:color="auto" w:sz="4" w:space="0"/>
                    <w:left w:val="single" w:color="auto" w:sz="4" w:space="0"/>
                    <w:bottom w:val="single" w:color="auto" w:sz="4" w:space="0"/>
                    <w:right w:val="single" w:color="auto" w:sz="4" w:space="0"/>
                    <w:tl2br w:val="nil"/>
                    <w:tr2bl w:val="nil"/>
                  </w:tcBorders>
                  <w:vAlign w:val="center"/>
                </w:tcPr>
                <w:p w14:paraId="12D02CF1">
                  <w:pPr>
                    <w:spacing w:line="240" w:lineRule="auto"/>
                    <w:ind w:firstLine="0" w:firstLineChars="0"/>
                    <w:jc w:val="center"/>
                    <w:rPr>
                      <w:rFonts w:hint="default" w:eastAsia="宋体"/>
                      <w:color w:val="auto"/>
                    </w:rPr>
                  </w:pPr>
                  <w:r>
                    <w:rPr>
                      <w:rFonts w:hint="default" w:eastAsia="宋体"/>
                      <w:color w:val="auto"/>
                    </w:rPr>
                    <w:t>/</w:t>
                  </w:r>
                </w:p>
              </w:tc>
            </w:tr>
            <w:tr w14:paraId="54517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588" w:type="dxa"/>
                  <w:vMerge w:val="continue"/>
                  <w:tcBorders>
                    <w:top w:val="single" w:color="auto" w:sz="4" w:space="0"/>
                    <w:left w:val="single" w:color="auto" w:sz="4" w:space="0"/>
                    <w:bottom w:val="single" w:color="auto" w:sz="4" w:space="0"/>
                    <w:right w:val="single" w:color="auto" w:sz="4" w:space="0"/>
                    <w:tl2br w:val="nil"/>
                    <w:tr2bl w:val="nil"/>
                  </w:tcBorders>
                  <w:tcMar>
                    <w:left w:w="0" w:type="dxa"/>
                    <w:right w:w="0" w:type="dxa"/>
                  </w:tcMar>
                  <w:vAlign w:val="center"/>
                </w:tcPr>
                <w:p w14:paraId="437F8909">
                  <w:pPr>
                    <w:spacing w:line="240" w:lineRule="auto"/>
                    <w:ind w:firstLine="0" w:firstLineChars="0"/>
                    <w:jc w:val="center"/>
                    <w:rPr>
                      <w:rFonts w:hint="default" w:eastAsia="宋体"/>
                      <w:color w:val="auto"/>
                    </w:rPr>
                  </w:pPr>
                </w:p>
              </w:tc>
              <w:tc>
                <w:tcPr>
                  <w:tcW w:w="785" w:type="dxa"/>
                  <w:tcBorders>
                    <w:top w:val="single" w:color="auto" w:sz="4" w:space="0"/>
                    <w:left w:val="single" w:color="auto" w:sz="4" w:space="0"/>
                    <w:bottom w:val="single" w:color="auto" w:sz="4" w:space="0"/>
                    <w:right w:val="single" w:color="auto" w:sz="4" w:space="0"/>
                    <w:tl2br w:val="nil"/>
                    <w:tr2bl w:val="nil"/>
                  </w:tcBorders>
                  <w:vAlign w:val="center"/>
                </w:tcPr>
                <w:p w14:paraId="3784D75A">
                  <w:pPr>
                    <w:spacing w:line="240" w:lineRule="auto"/>
                    <w:ind w:firstLine="0" w:firstLineChars="0"/>
                    <w:jc w:val="center"/>
                    <w:rPr>
                      <w:rFonts w:hint="default" w:eastAsia="宋体"/>
                      <w:color w:val="auto"/>
                    </w:rPr>
                  </w:pPr>
                  <w:r>
                    <w:rPr>
                      <w:rFonts w:hint="default" w:eastAsia="宋体"/>
                      <w:color w:val="auto"/>
                    </w:rPr>
                    <w:t>供电</w:t>
                  </w:r>
                </w:p>
              </w:tc>
              <w:tc>
                <w:tcPr>
                  <w:tcW w:w="6044" w:type="dxa"/>
                  <w:tcBorders>
                    <w:top w:val="single" w:color="auto" w:sz="4" w:space="0"/>
                    <w:left w:val="single" w:color="auto" w:sz="4" w:space="0"/>
                    <w:bottom w:val="single" w:color="auto" w:sz="4" w:space="0"/>
                    <w:right w:val="single" w:color="auto" w:sz="4" w:space="0"/>
                    <w:tl2br w:val="nil"/>
                    <w:tr2bl w:val="nil"/>
                  </w:tcBorders>
                  <w:vAlign w:val="center"/>
                </w:tcPr>
                <w:p w14:paraId="5007595D">
                  <w:pPr>
                    <w:spacing w:line="240" w:lineRule="auto"/>
                    <w:ind w:firstLine="0" w:firstLineChars="0"/>
                    <w:jc w:val="center"/>
                    <w:rPr>
                      <w:rFonts w:hint="default" w:eastAsia="宋体"/>
                      <w:color w:val="auto"/>
                    </w:rPr>
                  </w:pPr>
                  <w:r>
                    <w:rPr>
                      <w:rFonts w:hint="default" w:eastAsia="宋体"/>
                      <w:color w:val="auto"/>
                    </w:rPr>
                    <w:t>依托项目区内现有供电设备。</w:t>
                  </w:r>
                </w:p>
              </w:tc>
              <w:tc>
                <w:tcPr>
                  <w:tcW w:w="600" w:type="dxa"/>
                  <w:tcBorders>
                    <w:top w:val="single" w:color="auto" w:sz="4" w:space="0"/>
                    <w:left w:val="single" w:color="auto" w:sz="4" w:space="0"/>
                    <w:bottom w:val="single" w:color="auto" w:sz="4" w:space="0"/>
                    <w:right w:val="single" w:color="auto" w:sz="4" w:space="0"/>
                    <w:tl2br w:val="nil"/>
                    <w:tr2bl w:val="nil"/>
                  </w:tcBorders>
                  <w:vAlign w:val="center"/>
                </w:tcPr>
                <w:p w14:paraId="49F4226D">
                  <w:pPr>
                    <w:spacing w:line="240" w:lineRule="auto"/>
                    <w:ind w:firstLine="0" w:firstLineChars="0"/>
                    <w:jc w:val="center"/>
                    <w:rPr>
                      <w:rFonts w:hint="default" w:eastAsia="宋体"/>
                      <w:color w:val="auto"/>
                    </w:rPr>
                  </w:pPr>
                  <w:r>
                    <w:rPr>
                      <w:rFonts w:hint="default" w:eastAsia="宋体"/>
                      <w:color w:val="auto"/>
                    </w:rPr>
                    <w:t>依托</w:t>
                  </w:r>
                </w:p>
              </w:tc>
            </w:tr>
            <w:tr w14:paraId="2AACA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588" w:type="dxa"/>
                  <w:vMerge w:val="continue"/>
                  <w:tcBorders>
                    <w:top w:val="single" w:color="auto" w:sz="4" w:space="0"/>
                    <w:left w:val="single" w:color="auto" w:sz="4" w:space="0"/>
                    <w:bottom w:val="single" w:color="auto" w:sz="4" w:space="0"/>
                    <w:right w:val="single" w:color="auto" w:sz="4" w:space="0"/>
                    <w:tl2br w:val="nil"/>
                    <w:tr2bl w:val="nil"/>
                  </w:tcBorders>
                  <w:tcMar>
                    <w:left w:w="0" w:type="dxa"/>
                    <w:right w:w="0" w:type="dxa"/>
                  </w:tcMar>
                  <w:vAlign w:val="center"/>
                </w:tcPr>
                <w:p w14:paraId="310450C5">
                  <w:pPr>
                    <w:spacing w:line="240" w:lineRule="auto"/>
                    <w:ind w:firstLine="0" w:firstLineChars="0"/>
                    <w:jc w:val="center"/>
                    <w:rPr>
                      <w:rFonts w:hint="default" w:eastAsia="宋体"/>
                      <w:color w:val="auto"/>
                    </w:rPr>
                  </w:pPr>
                </w:p>
              </w:tc>
              <w:tc>
                <w:tcPr>
                  <w:tcW w:w="785" w:type="dxa"/>
                  <w:tcBorders>
                    <w:top w:val="single" w:color="auto" w:sz="4" w:space="0"/>
                    <w:left w:val="single" w:color="auto" w:sz="4" w:space="0"/>
                    <w:bottom w:val="single" w:color="auto" w:sz="4" w:space="0"/>
                    <w:right w:val="single" w:color="auto" w:sz="4" w:space="0"/>
                    <w:tl2br w:val="nil"/>
                    <w:tr2bl w:val="nil"/>
                  </w:tcBorders>
                  <w:vAlign w:val="center"/>
                </w:tcPr>
                <w:p w14:paraId="3674EC9D">
                  <w:pPr>
                    <w:spacing w:line="240" w:lineRule="auto"/>
                    <w:ind w:firstLine="0" w:firstLineChars="0"/>
                    <w:jc w:val="center"/>
                    <w:rPr>
                      <w:rFonts w:hint="default" w:eastAsia="宋体"/>
                      <w:color w:val="auto"/>
                    </w:rPr>
                  </w:pPr>
                  <w:r>
                    <w:rPr>
                      <w:rFonts w:hint="default" w:eastAsia="宋体"/>
                      <w:color w:val="auto"/>
                    </w:rPr>
                    <w:t>供水</w:t>
                  </w:r>
                </w:p>
              </w:tc>
              <w:tc>
                <w:tcPr>
                  <w:tcW w:w="6044" w:type="dxa"/>
                  <w:tcBorders>
                    <w:top w:val="single" w:color="auto" w:sz="4" w:space="0"/>
                    <w:left w:val="single" w:color="auto" w:sz="4" w:space="0"/>
                    <w:bottom w:val="single" w:color="auto" w:sz="4" w:space="0"/>
                    <w:right w:val="single" w:color="auto" w:sz="4" w:space="0"/>
                    <w:tl2br w:val="nil"/>
                    <w:tr2bl w:val="nil"/>
                  </w:tcBorders>
                  <w:vAlign w:val="center"/>
                </w:tcPr>
                <w:p w14:paraId="2A9DAB41">
                  <w:pPr>
                    <w:spacing w:line="240" w:lineRule="auto"/>
                    <w:ind w:firstLine="0" w:firstLineChars="0"/>
                    <w:jc w:val="center"/>
                    <w:rPr>
                      <w:rFonts w:hint="default" w:eastAsia="宋体"/>
                      <w:color w:val="auto"/>
                    </w:rPr>
                  </w:pPr>
                  <w:r>
                    <w:rPr>
                      <w:rFonts w:hint="default" w:eastAsia="宋体"/>
                      <w:color w:val="auto"/>
                    </w:rPr>
                    <w:t>危废暂存库无需生产、生活用水。</w:t>
                  </w:r>
                </w:p>
              </w:tc>
              <w:tc>
                <w:tcPr>
                  <w:tcW w:w="600" w:type="dxa"/>
                  <w:tcBorders>
                    <w:top w:val="single" w:color="auto" w:sz="4" w:space="0"/>
                    <w:left w:val="single" w:color="auto" w:sz="4" w:space="0"/>
                    <w:bottom w:val="single" w:color="auto" w:sz="4" w:space="0"/>
                    <w:right w:val="single" w:color="auto" w:sz="4" w:space="0"/>
                    <w:tl2br w:val="nil"/>
                    <w:tr2bl w:val="nil"/>
                  </w:tcBorders>
                  <w:vAlign w:val="center"/>
                </w:tcPr>
                <w:p w14:paraId="76B34195">
                  <w:pPr>
                    <w:spacing w:line="240" w:lineRule="auto"/>
                    <w:ind w:firstLine="0" w:firstLineChars="0"/>
                    <w:jc w:val="center"/>
                    <w:rPr>
                      <w:rFonts w:hint="default" w:eastAsia="宋体"/>
                      <w:color w:val="auto"/>
                    </w:rPr>
                  </w:pPr>
                  <w:r>
                    <w:rPr>
                      <w:rFonts w:hint="default" w:eastAsia="宋体"/>
                      <w:color w:val="auto"/>
                    </w:rPr>
                    <w:t>/</w:t>
                  </w:r>
                </w:p>
              </w:tc>
            </w:tr>
            <w:tr w14:paraId="0A49F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6" w:hRule="atLeast"/>
                <w:jc w:val="center"/>
              </w:trPr>
              <w:tc>
                <w:tcPr>
                  <w:tcW w:w="588" w:type="dxa"/>
                  <w:vMerge w:val="continue"/>
                  <w:tcBorders>
                    <w:top w:val="single" w:color="auto" w:sz="4" w:space="0"/>
                    <w:left w:val="single" w:color="auto" w:sz="4" w:space="0"/>
                    <w:bottom w:val="single" w:color="auto" w:sz="4" w:space="0"/>
                    <w:right w:val="single" w:color="auto" w:sz="4" w:space="0"/>
                    <w:tl2br w:val="nil"/>
                    <w:tr2bl w:val="nil"/>
                  </w:tcBorders>
                  <w:tcMar>
                    <w:left w:w="0" w:type="dxa"/>
                    <w:right w:w="0" w:type="dxa"/>
                  </w:tcMar>
                  <w:vAlign w:val="center"/>
                </w:tcPr>
                <w:p w14:paraId="4BCFBE3A">
                  <w:pPr>
                    <w:spacing w:line="240" w:lineRule="auto"/>
                    <w:ind w:firstLine="0" w:firstLineChars="0"/>
                    <w:jc w:val="center"/>
                    <w:rPr>
                      <w:rFonts w:hint="default" w:eastAsia="宋体"/>
                      <w:color w:val="auto"/>
                    </w:rPr>
                  </w:pPr>
                </w:p>
              </w:tc>
              <w:tc>
                <w:tcPr>
                  <w:tcW w:w="785" w:type="dxa"/>
                  <w:tcBorders>
                    <w:top w:val="single" w:color="auto" w:sz="4" w:space="0"/>
                    <w:left w:val="single" w:color="auto" w:sz="4" w:space="0"/>
                    <w:bottom w:val="single" w:color="auto" w:sz="4" w:space="0"/>
                    <w:right w:val="single" w:color="auto" w:sz="4" w:space="0"/>
                    <w:tl2br w:val="nil"/>
                    <w:tr2bl w:val="nil"/>
                  </w:tcBorders>
                  <w:vAlign w:val="center"/>
                </w:tcPr>
                <w:p w14:paraId="305E6B16">
                  <w:pPr>
                    <w:spacing w:line="240" w:lineRule="auto"/>
                    <w:ind w:firstLine="0" w:firstLineChars="0"/>
                    <w:jc w:val="center"/>
                    <w:rPr>
                      <w:rFonts w:hint="default" w:eastAsia="宋体"/>
                      <w:color w:val="auto"/>
                    </w:rPr>
                  </w:pPr>
                  <w:r>
                    <w:rPr>
                      <w:rFonts w:hint="default" w:eastAsia="宋体"/>
                      <w:color w:val="auto"/>
                    </w:rPr>
                    <w:t>消防设施</w:t>
                  </w:r>
                </w:p>
              </w:tc>
              <w:tc>
                <w:tcPr>
                  <w:tcW w:w="6044" w:type="dxa"/>
                  <w:tcBorders>
                    <w:top w:val="single" w:color="auto" w:sz="4" w:space="0"/>
                    <w:left w:val="single" w:color="auto" w:sz="4" w:space="0"/>
                    <w:bottom w:val="single" w:color="auto" w:sz="4" w:space="0"/>
                    <w:right w:val="single" w:color="auto" w:sz="4" w:space="0"/>
                    <w:tl2br w:val="nil"/>
                    <w:tr2bl w:val="nil"/>
                  </w:tcBorders>
                  <w:vAlign w:val="center"/>
                </w:tcPr>
                <w:p w14:paraId="4C1FC19C">
                  <w:pPr>
                    <w:spacing w:line="240" w:lineRule="auto"/>
                    <w:ind w:firstLine="0" w:firstLineChars="0"/>
                    <w:jc w:val="center"/>
                    <w:rPr>
                      <w:rFonts w:hint="default" w:eastAsia="宋体"/>
                      <w:color w:val="auto"/>
                    </w:rPr>
                  </w:pPr>
                  <w:r>
                    <w:rPr>
                      <w:rFonts w:hint="default" w:eastAsia="宋体"/>
                      <w:color w:val="auto"/>
                    </w:rPr>
                    <w:t>消防系统主要为灭火器、铲子等。</w:t>
                  </w:r>
                </w:p>
              </w:tc>
              <w:tc>
                <w:tcPr>
                  <w:tcW w:w="600" w:type="dxa"/>
                  <w:tcBorders>
                    <w:top w:val="single" w:color="auto" w:sz="4" w:space="0"/>
                    <w:left w:val="single" w:color="auto" w:sz="4" w:space="0"/>
                    <w:bottom w:val="single" w:color="auto" w:sz="4" w:space="0"/>
                    <w:right w:val="single" w:color="auto" w:sz="4" w:space="0"/>
                    <w:tl2br w:val="nil"/>
                    <w:tr2bl w:val="nil"/>
                  </w:tcBorders>
                  <w:vAlign w:val="center"/>
                </w:tcPr>
                <w:p w14:paraId="042E2913">
                  <w:pPr>
                    <w:spacing w:line="240" w:lineRule="auto"/>
                    <w:ind w:firstLine="0" w:firstLineChars="0"/>
                    <w:jc w:val="center"/>
                    <w:rPr>
                      <w:rFonts w:hint="default" w:eastAsia="宋体"/>
                      <w:color w:val="auto"/>
                    </w:rPr>
                  </w:pPr>
                  <w:r>
                    <w:rPr>
                      <w:rFonts w:hint="default" w:eastAsia="宋体"/>
                      <w:color w:val="auto"/>
                    </w:rPr>
                    <w:t>新建</w:t>
                  </w:r>
                </w:p>
              </w:tc>
            </w:tr>
            <w:tr w14:paraId="58097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15" w:hRule="atLeast"/>
                <w:jc w:val="center"/>
              </w:trPr>
              <w:tc>
                <w:tcPr>
                  <w:tcW w:w="588" w:type="dxa"/>
                  <w:vMerge w:val="restart"/>
                  <w:tcBorders>
                    <w:top w:val="single" w:color="auto" w:sz="4" w:space="0"/>
                    <w:left w:val="single" w:color="auto" w:sz="4" w:space="0"/>
                    <w:bottom w:val="single" w:color="auto" w:sz="4" w:space="0"/>
                    <w:right w:val="single" w:color="auto" w:sz="4" w:space="0"/>
                    <w:tl2br w:val="nil"/>
                    <w:tr2bl w:val="nil"/>
                  </w:tcBorders>
                  <w:tcMar>
                    <w:left w:w="0" w:type="dxa"/>
                    <w:right w:w="0" w:type="dxa"/>
                  </w:tcMar>
                  <w:vAlign w:val="center"/>
                </w:tcPr>
                <w:p w14:paraId="7CF7E857">
                  <w:pPr>
                    <w:spacing w:line="240" w:lineRule="auto"/>
                    <w:ind w:firstLine="0" w:firstLineChars="0"/>
                    <w:jc w:val="center"/>
                    <w:rPr>
                      <w:rFonts w:hint="default" w:eastAsia="宋体"/>
                      <w:color w:val="auto"/>
                    </w:rPr>
                  </w:pPr>
                  <w:r>
                    <w:rPr>
                      <w:rFonts w:hint="default" w:eastAsia="宋体"/>
                      <w:color w:val="auto"/>
                    </w:rPr>
                    <w:t>环保</w:t>
                  </w:r>
                </w:p>
                <w:p w14:paraId="1ACDDB87">
                  <w:pPr>
                    <w:spacing w:line="240" w:lineRule="auto"/>
                    <w:ind w:firstLine="0" w:firstLineChars="0"/>
                    <w:jc w:val="center"/>
                    <w:rPr>
                      <w:rFonts w:hint="default" w:eastAsia="宋体"/>
                      <w:color w:val="auto"/>
                    </w:rPr>
                  </w:pPr>
                  <w:r>
                    <w:rPr>
                      <w:rFonts w:hint="default" w:eastAsia="宋体"/>
                      <w:color w:val="auto"/>
                    </w:rPr>
                    <w:t>工程</w:t>
                  </w:r>
                </w:p>
              </w:tc>
              <w:tc>
                <w:tcPr>
                  <w:tcW w:w="785" w:type="dxa"/>
                  <w:tcBorders>
                    <w:top w:val="single" w:color="auto" w:sz="4" w:space="0"/>
                    <w:left w:val="single" w:color="auto" w:sz="4" w:space="0"/>
                    <w:bottom w:val="single" w:color="auto" w:sz="4" w:space="0"/>
                    <w:right w:val="single" w:color="auto" w:sz="4" w:space="0"/>
                    <w:tl2br w:val="nil"/>
                    <w:tr2bl w:val="nil"/>
                  </w:tcBorders>
                  <w:vAlign w:val="center"/>
                </w:tcPr>
                <w:p w14:paraId="34CC2933">
                  <w:pPr>
                    <w:spacing w:line="240" w:lineRule="auto"/>
                    <w:ind w:firstLine="0" w:firstLineChars="0"/>
                    <w:jc w:val="center"/>
                    <w:rPr>
                      <w:rFonts w:hint="default" w:eastAsia="宋体"/>
                      <w:color w:val="auto"/>
                    </w:rPr>
                  </w:pPr>
                  <w:r>
                    <w:rPr>
                      <w:rFonts w:hint="default" w:eastAsia="宋体"/>
                      <w:color w:val="auto"/>
                    </w:rPr>
                    <w:t>废气</w:t>
                  </w:r>
                </w:p>
              </w:tc>
              <w:tc>
                <w:tcPr>
                  <w:tcW w:w="6044" w:type="dxa"/>
                  <w:tcBorders>
                    <w:top w:val="single" w:color="auto" w:sz="4" w:space="0"/>
                    <w:left w:val="single" w:color="auto" w:sz="4" w:space="0"/>
                    <w:bottom w:val="single" w:color="auto" w:sz="4" w:space="0"/>
                    <w:right w:val="single" w:color="auto" w:sz="4" w:space="0"/>
                    <w:tl2br w:val="nil"/>
                    <w:tr2bl w:val="nil"/>
                  </w:tcBorders>
                  <w:vAlign w:val="center"/>
                </w:tcPr>
                <w:p w14:paraId="15A0AE5D">
                  <w:pPr>
                    <w:spacing w:line="240" w:lineRule="auto"/>
                    <w:ind w:firstLine="0" w:firstLineChars="0"/>
                    <w:rPr>
                      <w:rFonts w:hint="default" w:eastAsia="宋体"/>
                      <w:color w:val="auto"/>
                    </w:rPr>
                  </w:pPr>
                  <w:r>
                    <w:rPr>
                      <w:rFonts w:hint="default" w:eastAsia="宋体"/>
                      <w:color w:val="auto"/>
                    </w:rPr>
                    <w:t>废气主要为危废暂存库内贮存的危险废物挥发出的非甲烷总烃</w:t>
                  </w:r>
                  <w:r>
                    <w:rPr>
                      <w:rFonts w:hint="eastAsia" w:eastAsia="宋体"/>
                      <w:color w:val="auto"/>
                      <w:lang w:eastAsia="zh-CN"/>
                    </w:rPr>
                    <w:t>，</w:t>
                  </w:r>
                  <w:r>
                    <w:rPr>
                      <w:rFonts w:hint="default" w:eastAsia="宋体"/>
                      <w:color w:val="auto"/>
                    </w:rPr>
                    <w:t>危险废物贮存、转运过程中均密封保存，因此正常贮存过程中废气排放量较少，安装</w:t>
                  </w:r>
                  <w:r>
                    <w:rPr>
                      <w:rFonts w:hint="eastAsia" w:eastAsia="宋体"/>
                      <w:color w:val="auto"/>
                      <w:lang w:eastAsia="zh-CN"/>
                    </w:rPr>
                    <w:t>轴流风</w:t>
                  </w:r>
                  <w:r>
                    <w:rPr>
                      <w:rFonts w:hint="default" w:eastAsia="宋体"/>
                      <w:color w:val="auto"/>
                    </w:rPr>
                    <w:t>机，及时转运。</w:t>
                  </w:r>
                </w:p>
              </w:tc>
              <w:tc>
                <w:tcPr>
                  <w:tcW w:w="600" w:type="dxa"/>
                  <w:tcBorders>
                    <w:top w:val="single" w:color="auto" w:sz="4" w:space="0"/>
                    <w:left w:val="single" w:color="auto" w:sz="4" w:space="0"/>
                    <w:bottom w:val="single" w:color="auto" w:sz="4" w:space="0"/>
                    <w:right w:val="single" w:color="auto" w:sz="4" w:space="0"/>
                    <w:tl2br w:val="nil"/>
                    <w:tr2bl w:val="nil"/>
                  </w:tcBorders>
                  <w:vAlign w:val="center"/>
                </w:tcPr>
                <w:p w14:paraId="7A29FD65">
                  <w:pPr>
                    <w:spacing w:line="240" w:lineRule="auto"/>
                    <w:ind w:firstLine="0" w:firstLineChars="0"/>
                    <w:jc w:val="center"/>
                    <w:rPr>
                      <w:rFonts w:hint="default" w:eastAsia="宋体"/>
                      <w:color w:val="auto"/>
                    </w:rPr>
                  </w:pPr>
                  <w:r>
                    <w:rPr>
                      <w:rFonts w:hint="default" w:eastAsia="宋体"/>
                      <w:color w:val="auto"/>
                    </w:rPr>
                    <w:t>新建</w:t>
                  </w:r>
                </w:p>
              </w:tc>
            </w:tr>
            <w:tr w14:paraId="6195F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0" w:hRule="atLeast"/>
                <w:jc w:val="center"/>
              </w:trPr>
              <w:tc>
                <w:tcPr>
                  <w:tcW w:w="588" w:type="dxa"/>
                  <w:vMerge w:val="continue"/>
                  <w:tcBorders>
                    <w:top w:val="single" w:color="auto" w:sz="4" w:space="0"/>
                    <w:left w:val="single" w:color="auto" w:sz="4" w:space="0"/>
                    <w:bottom w:val="single" w:color="auto" w:sz="4" w:space="0"/>
                    <w:right w:val="single" w:color="auto" w:sz="4" w:space="0"/>
                    <w:tl2br w:val="nil"/>
                    <w:tr2bl w:val="nil"/>
                  </w:tcBorders>
                  <w:tcMar>
                    <w:left w:w="0" w:type="dxa"/>
                    <w:right w:w="0" w:type="dxa"/>
                  </w:tcMar>
                  <w:vAlign w:val="center"/>
                </w:tcPr>
                <w:p w14:paraId="5DC14EB9">
                  <w:pPr>
                    <w:spacing w:line="240" w:lineRule="auto"/>
                    <w:ind w:firstLine="0" w:firstLineChars="0"/>
                    <w:jc w:val="center"/>
                    <w:rPr>
                      <w:rFonts w:hint="default" w:eastAsia="宋体"/>
                      <w:color w:val="auto"/>
                    </w:rPr>
                  </w:pPr>
                </w:p>
              </w:tc>
              <w:tc>
                <w:tcPr>
                  <w:tcW w:w="785" w:type="dxa"/>
                  <w:tcBorders>
                    <w:top w:val="single" w:color="auto" w:sz="4" w:space="0"/>
                    <w:left w:val="single" w:color="auto" w:sz="4" w:space="0"/>
                    <w:bottom w:val="single" w:color="auto" w:sz="4" w:space="0"/>
                    <w:right w:val="single" w:color="auto" w:sz="4" w:space="0"/>
                    <w:tl2br w:val="nil"/>
                    <w:tr2bl w:val="nil"/>
                  </w:tcBorders>
                  <w:vAlign w:val="center"/>
                </w:tcPr>
                <w:p w14:paraId="72421636">
                  <w:pPr>
                    <w:spacing w:line="240" w:lineRule="auto"/>
                    <w:ind w:firstLine="0" w:firstLineChars="0"/>
                    <w:jc w:val="center"/>
                    <w:rPr>
                      <w:rFonts w:hint="default" w:eastAsia="宋体"/>
                      <w:color w:val="auto"/>
                    </w:rPr>
                  </w:pPr>
                  <w:r>
                    <w:rPr>
                      <w:rFonts w:hint="default" w:eastAsia="宋体"/>
                      <w:color w:val="auto"/>
                    </w:rPr>
                    <w:t>废水</w:t>
                  </w:r>
                </w:p>
              </w:tc>
              <w:tc>
                <w:tcPr>
                  <w:tcW w:w="6044" w:type="dxa"/>
                  <w:tcBorders>
                    <w:top w:val="single" w:color="auto" w:sz="4" w:space="0"/>
                    <w:left w:val="single" w:color="auto" w:sz="4" w:space="0"/>
                    <w:bottom w:val="single" w:color="auto" w:sz="4" w:space="0"/>
                    <w:right w:val="single" w:color="auto" w:sz="4" w:space="0"/>
                    <w:tl2br w:val="nil"/>
                    <w:tr2bl w:val="nil"/>
                  </w:tcBorders>
                  <w:vAlign w:val="center"/>
                </w:tcPr>
                <w:p w14:paraId="44F3A6B8">
                  <w:pPr>
                    <w:spacing w:line="240" w:lineRule="auto"/>
                    <w:ind w:firstLine="0" w:firstLineChars="0"/>
                    <w:jc w:val="center"/>
                    <w:rPr>
                      <w:rFonts w:hint="default" w:eastAsia="宋体"/>
                      <w:color w:val="auto"/>
                    </w:rPr>
                  </w:pPr>
                  <w:r>
                    <w:rPr>
                      <w:rFonts w:hint="default" w:eastAsia="宋体"/>
                      <w:color w:val="auto"/>
                    </w:rPr>
                    <w:t>本项目不产生生产废水和生活污水。</w:t>
                  </w:r>
                </w:p>
              </w:tc>
              <w:tc>
                <w:tcPr>
                  <w:tcW w:w="600" w:type="dxa"/>
                  <w:tcBorders>
                    <w:top w:val="single" w:color="auto" w:sz="4" w:space="0"/>
                    <w:left w:val="single" w:color="auto" w:sz="4" w:space="0"/>
                    <w:bottom w:val="single" w:color="auto" w:sz="4" w:space="0"/>
                    <w:right w:val="single" w:color="auto" w:sz="4" w:space="0"/>
                    <w:tl2br w:val="nil"/>
                    <w:tr2bl w:val="nil"/>
                  </w:tcBorders>
                  <w:vAlign w:val="center"/>
                </w:tcPr>
                <w:p w14:paraId="40BB292E">
                  <w:pPr>
                    <w:spacing w:line="240" w:lineRule="auto"/>
                    <w:ind w:firstLine="0" w:firstLineChars="0"/>
                    <w:jc w:val="center"/>
                    <w:rPr>
                      <w:rFonts w:hint="default" w:eastAsia="宋体"/>
                      <w:color w:val="auto"/>
                    </w:rPr>
                  </w:pPr>
                  <w:r>
                    <w:rPr>
                      <w:rFonts w:hint="default" w:eastAsia="宋体"/>
                      <w:color w:val="auto"/>
                    </w:rPr>
                    <w:t>/</w:t>
                  </w:r>
                </w:p>
              </w:tc>
            </w:tr>
            <w:tr w14:paraId="36A2E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588" w:type="dxa"/>
                  <w:vMerge w:val="continue"/>
                  <w:tcBorders>
                    <w:top w:val="single" w:color="auto" w:sz="4" w:space="0"/>
                    <w:left w:val="single" w:color="auto" w:sz="4" w:space="0"/>
                    <w:bottom w:val="single" w:color="auto" w:sz="4" w:space="0"/>
                    <w:right w:val="single" w:color="auto" w:sz="4" w:space="0"/>
                    <w:tl2br w:val="nil"/>
                    <w:tr2bl w:val="nil"/>
                  </w:tcBorders>
                  <w:tcMar>
                    <w:left w:w="0" w:type="dxa"/>
                    <w:right w:w="0" w:type="dxa"/>
                  </w:tcMar>
                  <w:vAlign w:val="center"/>
                </w:tcPr>
                <w:p w14:paraId="41B41D4D">
                  <w:pPr>
                    <w:spacing w:line="240" w:lineRule="auto"/>
                    <w:ind w:firstLine="0" w:firstLineChars="0"/>
                    <w:jc w:val="center"/>
                    <w:rPr>
                      <w:rFonts w:hint="default" w:eastAsia="宋体"/>
                      <w:color w:val="auto"/>
                    </w:rPr>
                  </w:pPr>
                </w:p>
              </w:tc>
              <w:tc>
                <w:tcPr>
                  <w:tcW w:w="785" w:type="dxa"/>
                  <w:tcBorders>
                    <w:top w:val="single" w:color="auto" w:sz="4" w:space="0"/>
                    <w:left w:val="single" w:color="auto" w:sz="4" w:space="0"/>
                    <w:bottom w:val="single" w:color="auto" w:sz="4" w:space="0"/>
                    <w:right w:val="single" w:color="auto" w:sz="4" w:space="0"/>
                    <w:tl2br w:val="nil"/>
                    <w:tr2bl w:val="nil"/>
                  </w:tcBorders>
                  <w:vAlign w:val="center"/>
                </w:tcPr>
                <w:p w14:paraId="17161E73">
                  <w:pPr>
                    <w:spacing w:line="240" w:lineRule="auto"/>
                    <w:ind w:firstLine="0" w:firstLineChars="0"/>
                    <w:jc w:val="center"/>
                    <w:rPr>
                      <w:rFonts w:hint="default" w:eastAsia="宋体"/>
                      <w:color w:val="auto"/>
                    </w:rPr>
                  </w:pPr>
                  <w:r>
                    <w:rPr>
                      <w:rFonts w:hint="default" w:eastAsia="宋体"/>
                      <w:color w:val="auto"/>
                    </w:rPr>
                    <w:t>噪声</w:t>
                  </w:r>
                </w:p>
              </w:tc>
              <w:tc>
                <w:tcPr>
                  <w:tcW w:w="6044" w:type="dxa"/>
                  <w:tcBorders>
                    <w:top w:val="single" w:color="auto" w:sz="4" w:space="0"/>
                    <w:left w:val="single" w:color="auto" w:sz="4" w:space="0"/>
                    <w:bottom w:val="single" w:color="auto" w:sz="4" w:space="0"/>
                    <w:right w:val="single" w:color="auto" w:sz="4" w:space="0"/>
                    <w:tl2br w:val="nil"/>
                    <w:tr2bl w:val="nil"/>
                  </w:tcBorders>
                  <w:vAlign w:val="center"/>
                </w:tcPr>
                <w:p w14:paraId="3D89CDFF">
                  <w:pPr>
                    <w:spacing w:line="240" w:lineRule="auto"/>
                    <w:ind w:firstLine="0" w:firstLineChars="0"/>
                    <w:jc w:val="center"/>
                    <w:rPr>
                      <w:rFonts w:hint="default" w:eastAsia="宋体"/>
                      <w:color w:val="auto"/>
                    </w:rPr>
                  </w:pPr>
                  <w:r>
                    <w:rPr>
                      <w:rFonts w:hint="default" w:eastAsia="宋体"/>
                      <w:color w:val="auto"/>
                    </w:rPr>
                    <w:t>来往车辆限制车速、禁止鸣笛等措施，并经距离衰减。</w:t>
                  </w:r>
                </w:p>
              </w:tc>
              <w:tc>
                <w:tcPr>
                  <w:tcW w:w="600" w:type="dxa"/>
                  <w:tcBorders>
                    <w:top w:val="single" w:color="auto" w:sz="4" w:space="0"/>
                    <w:left w:val="single" w:color="auto" w:sz="4" w:space="0"/>
                    <w:bottom w:val="single" w:color="auto" w:sz="4" w:space="0"/>
                    <w:right w:val="single" w:color="auto" w:sz="4" w:space="0"/>
                    <w:tl2br w:val="nil"/>
                    <w:tr2bl w:val="nil"/>
                  </w:tcBorders>
                  <w:vAlign w:val="center"/>
                </w:tcPr>
                <w:p w14:paraId="3915381D">
                  <w:pPr>
                    <w:spacing w:line="240" w:lineRule="auto"/>
                    <w:ind w:firstLine="0" w:firstLineChars="0"/>
                    <w:jc w:val="center"/>
                    <w:rPr>
                      <w:rFonts w:hint="default" w:eastAsia="宋体"/>
                      <w:color w:val="auto"/>
                    </w:rPr>
                  </w:pPr>
                  <w:r>
                    <w:rPr>
                      <w:rFonts w:hint="default" w:eastAsia="宋体"/>
                      <w:color w:val="auto"/>
                    </w:rPr>
                    <w:t>新建</w:t>
                  </w:r>
                </w:p>
              </w:tc>
            </w:tr>
            <w:tr w14:paraId="71A38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28" w:hRule="atLeast"/>
                <w:jc w:val="center"/>
              </w:trPr>
              <w:tc>
                <w:tcPr>
                  <w:tcW w:w="588" w:type="dxa"/>
                  <w:vMerge w:val="continue"/>
                  <w:tcBorders>
                    <w:top w:val="single" w:color="auto" w:sz="4" w:space="0"/>
                    <w:left w:val="single" w:color="auto" w:sz="4" w:space="0"/>
                    <w:bottom w:val="single" w:color="auto" w:sz="4" w:space="0"/>
                    <w:right w:val="single" w:color="auto" w:sz="4" w:space="0"/>
                    <w:tl2br w:val="nil"/>
                    <w:tr2bl w:val="nil"/>
                  </w:tcBorders>
                  <w:tcMar>
                    <w:left w:w="0" w:type="dxa"/>
                    <w:right w:w="0" w:type="dxa"/>
                  </w:tcMar>
                  <w:vAlign w:val="center"/>
                </w:tcPr>
                <w:p w14:paraId="60138364">
                  <w:pPr>
                    <w:spacing w:line="240" w:lineRule="auto"/>
                    <w:ind w:firstLine="0" w:firstLineChars="0"/>
                    <w:jc w:val="center"/>
                    <w:rPr>
                      <w:rFonts w:hint="default" w:eastAsia="宋体"/>
                      <w:color w:val="auto"/>
                    </w:rPr>
                  </w:pPr>
                </w:p>
              </w:tc>
              <w:tc>
                <w:tcPr>
                  <w:tcW w:w="785" w:type="dxa"/>
                  <w:tcBorders>
                    <w:top w:val="single" w:color="auto" w:sz="4" w:space="0"/>
                    <w:left w:val="single" w:color="auto" w:sz="4" w:space="0"/>
                    <w:bottom w:val="single" w:color="auto" w:sz="4" w:space="0"/>
                    <w:right w:val="single" w:color="auto" w:sz="4" w:space="0"/>
                    <w:tl2br w:val="nil"/>
                    <w:tr2bl w:val="nil"/>
                  </w:tcBorders>
                  <w:vAlign w:val="center"/>
                </w:tcPr>
                <w:p w14:paraId="1FA53B68">
                  <w:pPr>
                    <w:spacing w:line="240" w:lineRule="auto"/>
                    <w:ind w:firstLine="0" w:firstLineChars="0"/>
                    <w:jc w:val="center"/>
                    <w:rPr>
                      <w:rFonts w:hint="default" w:eastAsia="宋体"/>
                      <w:color w:val="auto"/>
                    </w:rPr>
                  </w:pPr>
                  <w:r>
                    <w:rPr>
                      <w:rFonts w:hint="default" w:eastAsia="宋体"/>
                      <w:color w:val="auto"/>
                    </w:rPr>
                    <w:t>固废</w:t>
                  </w:r>
                </w:p>
              </w:tc>
              <w:tc>
                <w:tcPr>
                  <w:tcW w:w="6044" w:type="dxa"/>
                  <w:tcBorders>
                    <w:top w:val="single" w:color="auto" w:sz="4" w:space="0"/>
                    <w:left w:val="single" w:color="auto" w:sz="4" w:space="0"/>
                    <w:bottom w:val="single" w:color="auto" w:sz="4" w:space="0"/>
                    <w:right w:val="single" w:color="auto" w:sz="4" w:space="0"/>
                    <w:tl2br w:val="nil"/>
                    <w:tr2bl w:val="nil"/>
                  </w:tcBorders>
                  <w:vAlign w:val="center"/>
                </w:tcPr>
                <w:p w14:paraId="5B8FA7EB">
                  <w:pPr>
                    <w:spacing w:line="240" w:lineRule="auto"/>
                    <w:ind w:firstLine="0" w:firstLineChars="0"/>
                    <w:rPr>
                      <w:rFonts w:hint="default" w:eastAsia="宋体"/>
                      <w:color w:val="auto"/>
                    </w:rPr>
                  </w:pPr>
                  <w:r>
                    <w:rPr>
                      <w:rFonts w:hint="default" w:eastAsia="宋体"/>
                      <w:color w:val="auto"/>
                    </w:rPr>
                    <w:t>搬运过程中产生的沾染油污废抹布、手套等废劳保用品与厂区内的生活垃圾统一收集后交由当地环卫部门进行处理。</w:t>
                  </w:r>
                </w:p>
              </w:tc>
              <w:tc>
                <w:tcPr>
                  <w:tcW w:w="600" w:type="dxa"/>
                  <w:tcBorders>
                    <w:top w:val="single" w:color="auto" w:sz="4" w:space="0"/>
                    <w:left w:val="single" w:color="auto" w:sz="4" w:space="0"/>
                    <w:bottom w:val="single" w:color="auto" w:sz="4" w:space="0"/>
                    <w:right w:val="single" w:color="auto" w:sz="4" w:space="0"/>
                    <w:tl2br w:val="nil"/>
                    <w:tr2bl w:val="nil"/>
                  </w:tcBorders>
                  <w:vAlign w:val="center"/>
                </w:tcPr>
                <w:p w14:paraId="16C34F26">
                  <w:pPr>
                    <w:spacing w:line="240" w:lineRule="auto"/>
                    <w:ind w:firstLine="0" w:firstLineChars="0"/>
                    <w:jc w:val="center"/>
                    <w:rPr>
                      <w:rFonts w:hint="default" w:eastAsia="宋体"/>
                      <w:color w:val="auto"/>
                    </w:rPr>
                  </w:pPr>
                  <w:r>
                    <w:rPr>
                      <w:rFonts w:hint="default" w:eastAsia="宋体"/>
                      <w:color w:val="auto"/>
                    </w:rPr>
                    <w:t>/</w:t>
                  </w:r>
                </w:p>
              </w:tc>
            </w:tr>
            <w:tr w14:paraId="7C0BA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33" w:hRule="atLeast"/>
                <w:jc w:val="center"/>
              </w:trPr>
              <w:tc>
                <w:tcPr>
                  <w:tcW w:w="1373" w:type="dxa"/>
                  <w:gridSpan w:val="2"/>
                  <w:tcBorders>
                    <w:top w:val="single" w:color="auto" w:sz="4" w:space="0"/>
                    <w:left w:val="single" w:color="auto" w:sz="4" w:space="0"/>
                    <w:bottom w:val="single" w:color="auto" w:sz="4" w:space="0"/>
                    <w:right w:val="single" w:color="auto" w:sz="4" w:space="0"/>
                    <w:tl2br w:val="nil"/>
                    <w:tr2bl w:val="nil"/>
                  </w:tcBorders>
                  <w:tcMar>
                    <w:left w:w="0" w:type="dxa"/>
                    <w:right w:w="0" w:type="dxa"/>
                  </w:tcMar>
                  <w:vAlign w:val="center"/>
                </w:tcPr>
                <w:p w14:paraId="551FC309">
                  <w:pPr>
                    <w:spacing w:line="240" w:lineRule="auto"/>
                    <w:ind w:firstLine="0" w:firstLineChars="0"/>
                    <w:jc w:val="center"/>
                    <w:rPr>
                      <w:rFonts w:hint="default" w:eastAsia="宋体"/>
                      <w:color w:val="auto"/>
                    </w:rPr>
                  </w:pPr>
                  <w:r>
                    <w:rPr>
                      <w:rFonts w:hint="default" w:eastAsia="宋体"/>
                      <w:color w:val="auto"/>
                    </w:rPr>
                    <w:t>防渗</w:t>
                  </w:r>
                </w:p>
              </w:tc>
              <w:tc>
                <w:tcPr>
                  <w:tcW w:w="6044" w:type="dxa"/>
                  <w:tcBorders>
                    <w:top w:val="single" w:color="auto" w:sz="4" w:space="0"/>
                    <w:left w:val="single" w:color="auto" w:sz="4" w:space="0"/>
                    <w:bottom w:val="single" w:color="auto" w:sz="4" w:space="0"/>
                    <w:right w:val="single" w:color="auto" w:sz="4" w:space="0"/>
                    <w:tl2br w:val="nil"/>
                    <w:tr2bl w:val="nil"/>
                  </w:tcBorders>
                  <w:vAlign w:val="center"/>
                </w:tcPr>
                <w:p w14:paraId="0BC26436">
                  <w:pPr>
                    <w:spacing w:line="240" w:lineRule="auto"/>
                    <w:ind w:firstLine="0" w:firstLineChars="0"/>
                    <w:rPr>
                      <w:rFonts w:hint="default"/>
                      <w:color w:val="auto"/>
                    </w:rPr>
                  </w:pPr>
                  <w:r>
                    <w:rPr>
                      <w:rFonts w:hint="default" w:eastAsia="宋体"/>
                      <w:color w:val="auto"/>
                    </w:rPr>
                    <w:t>本项目地面、导流渠、集液池、</w:t>
                  </w:r>
                  <w:r>
                    <w:rPr>
                      <w:rFonts w:eastAsia="宋体"/>
                      <w:color w:val="auto"/>
                    </w:rPr>
                    <w:t>围堰、</w:t>
                  </w:r>
                  <w:r>
                    <w:rPr>
                      <w:rFonts w:hint="default" w:eastAsia="宋体"/>
                      <w:color w:val="auto"/>
                    </w:rPr>
                    <w:t>裙脚采用相同的防渗措施，防渗措施按照《危险废物贮存污染控制标准》（GB18597-2023）建设，防渗层为至少1m厚黏土层（渗透系数</w:t>
                  </w:r>
                  <w:r>
                    <w:rPr>
                      <w:rFonts w:eastAsia="宋体"/>
                      <w:color w:val="auto"/>
                    </w:rPr>
                    <w:t>≤</w:t>
                  </w:r>
                  <w:r>
                    <w:rPr>
                      <w:rFonts w:hint="default" w:eastAsia="宋体"/>
                      <w:color w:val="auto"/>
                    </w:rPr>
                    <w:t>10</w:t>
                  </w:r>
                  <w:r>
                    <w:rPr>
                      <w:rFonts w:hint="default" w:eastAsia="宋体"/>
                      <w:color w:val="auto"/>
                      <w:vertAlign w:val="superscript"/>
                    </w:rPr>
                    <w:t>-7</w:t>
                  </w:r>
                  <w:r>
                    <w:rPr>
                      <w:rFonts w:hint="default" w:eastAsia="宋体"/>
                      <w:color w:val="auto"/>
                    </w:rPr>
                    <w:t>cm/s），或至少2mm厚高密度聚乙烯膜等人工防渗材料（渗透系数</w:t>
                  </w:r>
                  <w:r>
                    <w:rPr>
                      <w:rFonts w:eastAsia="宋体"/>
                      <w:color w:val="auto"/>
                    </w:rPr>
                    <w:t>≤</w:t>
                  </w:r>
                  <w:r>
                    <w:rPr>
                      <w:rFonts w:hint="default" w:eastAsia="宋体"/>
                      <w:color w:val="auto"/>
                    </w:rPr>
                    <w:t>10</w:t>
                  </w:r>
                  <w:r>
                    <w:rPr>
                      <w:rFonts w:hint="default" w:eastAsia="宋体"/>
                      <w:color w:val="auto"/>
                      <w:vertAlign w:val="superscript"/>
                    </w:rPr>
                    <w:t>-10</w:t>
                  </w:r>
                  <w:r>
                    <w:rPr>
                      <w:rFonts w:hint="default" w:eastAsia="宋体"/>
                      <w:color w:val="auto"/>
                    </w:rPr>
                    <w:t>cm/s），或其他防渗性能等效的材料。</w:t>
                  </w:r>
                </w:p>
              </w:tc>
              <w:tc>
                <w:tcPr>
                  <w:tcW w:w="600" w:type="dxa"/>
                  <w:tcBorders>
                    <w:top w:val="single" w:color="auto" w:sz="4" w:space="0"/>
                    <w:left w:val="single" w:color="auto" w:sz="4" w:space="0"/>
                    <w:bottom w:val="single" w:color="auto" w:sz="4" w:space="0"/>
                    <w:right w:val="single" w:color="auto" w:sz="4" w:space="0"/>
                    <w:tl2br w:val="nil"/>
                    <w:tr2bl w:val="nil"/>
                  </w:tcBorders>
                  <w:vAlign w:val="center"/>
                </w:tcPr>
                <w:p w14:paraId="44C493C9">
                  <w:pPr>
                    <w:spacing w:line="240" w:lineRule="auto"/>
                    <w:ind w:firstLine="0" w:firstLineChars="0"/>
                    <w:jc w:val="center"/>
                    <w:rPr>
                      <w:rFonts w:hint="default" w:eastAsia="宋体"/>
                      <w:color w:val="auto"/>
                    </w:rPr>
                  </w:pPr>
                  <w:r>
                    <w:rPr>
                      <w:rFonts w:hint="default" w:eastAsia="宋体"/>
                      <w:color w:val="auto"/>
                    </w:rPr>
                    <w:t>新建</w:t>
                  </w:r>
                </w:p>
              </w:tc>
            </w:tr>
            <w:tr w14:paraId="2FF76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7" w:hRule="atLeast"/>
                <w:jc w:val="center"/>
              </w:trPr>
              <w:tc>
                <w:tcPr>
                  <w:tcW w:w="1373" w:type="dxa"/>
                  <w:gridSpan w:val="2"/>
                  <w:tcBorders>
                    <w:top w:val="single" w:color="auto" w:sz="4" w:space="0"/>
                    <w:left w:val="single" w:color="auto" w:sz="4" w:space="0"/>
                    <w:bottom w:val="single" w:color="auto" w:sz="4" w:space="0"/>
                    <w:right w:val="single" w:color="auto" w:sz="4" w:space="0"/>
                    <w:tl2br w:val="nil"/>
                    <w:tr2bl w:val="nil"/>
                  </w:tcBorders>
                  <w:tcMar>
                    <w:left w:w="0" w:type="dxa"/>
                    <w:right w:w="0" w:type="dxa"/>
                  </w:tcMar>
                  <w:vAlign w:val="center"/>
                </w:tcPr>
                <w:p w14:paraId="7ABE5641">
                  <w:pPr>
                    <w:spacing w:line="240" w:lineRule="auto"/>
                    <w:ind w:firstLine="0" w:firstLineChars="0"/>
                    <w:jc w:val="center"/>
                    <w:rPr>
                      <w:rFonts w:hint="default" w:eastAsia="宋体"/>
                      <w:color w:val="auto"/>
                    </w:rPr>
                  </w:pPr>
                  <w:r>
                    <w:rPr>
                      <w:rFonts w:hint="default" w:eastAsia="宋体"/>
                      <w:color w:val="auto"/>
                    </w:rPr>
                    <w:t>环境风险</w:t>
                  </w:r>
                </w:p>
              </w:tc>
              <w:tc>
                <w:tcPr>
                  <w:tcW w:w="6044" w:type="dxa"/>
                  <w:tcBorders>
                    <w:top w:val="single" w:color="auto" w:sz="4" w:space="0"/>
                    <w:left w:val="single" w:color="auto" w:sz="4" w:space="0"/>
                    <w:bottom w:val="single" w:color="auto" w:sz="4" w:space="0"/>
                    <w:right w:val="single" w:color="auto" w:sz="4" w:space="0"/>
                    <w:tl2br w:val="nil"/>
                    <w:tr2bl w:val="nil"/>
                  </w:tcBorders>
                  <w:vAlign w:val="center"/>
                </w:tcPr>
                <w:p w14:paraId="34D6A3A2">
                  <w:pPr>
                    <w:spacing w:line="240" w:lineRule="auto"/>
                    <w:ind w:firstLine="0" w:firstLineChars="0"/>
                    <w:rPr>
                      <w:rFonts w:hint="default" w:eastAsia="宋体"/>
                      <w:color w:val="auto"/>
                    </w:rPr>
                  </w:pPr>
                  <w:r>
                    <w:rPr>
                      <w:rFonts w:hint="default" w:eastAsia="宋体"/>
                      <w:color w:val="auto"/>
                    </w:rPr>
                    <w:t>地面、裙脚、集液池、导流渠等做好防渗、防腐、防漏措施，防止事故状态下收集废液</w:t>
                  </w:r>
                  <w:r>
                    <w:rPr>
                      <w:rFonts w:eastAsia="宋体"/>
                      <w:color w:val="auto"/>
                    </w:rPr>
                    <w:t>泄漏</w:t>
                  </w:r>
                  <w:r>
                    <w:rPr>
                      <w:rFonts w:hint="default" w:eastAsia="宋体"/>
                      <w:color w:val="auto"/>
                    </w:rPr>
                    <w:t>至地下水体，收集桶设置警示标志，危险废物标识参照《危险废物识别标志设置技术规范》（HJ1276-2022）危险废物标签。库房里外设置摄像头，库房设置火灾报警装置以及消防设备。</w:t>
                  </w:r>
                </w:p>
              </w:tc>
              <w:tc>
                <w:tcPr>
                  <w:tcW w:w="600" w:type="dxa"/>
                  <w:tcBorders>
                    <w:top w:val="single" w:color="auto" w:sz="4" w:space="0"/>
                    <w:left w:val="single" w:color="auto" w:sz="4" w:space="0"/>
                    <w:bottom w:val="single" w:color="auto" w:sz="4" w:space="0"/>
                    <w:right w:val="single" w:color="auto" w:sz="4" w:space="0"/>
                    <w:tl2br w:val="nil"/>
                    <w:tr2bl w:val="nil"/>
                  </w:tcBorders>
                  <w:vAlign w:val="center"/>
                </w:tcPr>
                <w:p w14:paraId="55A42B85">
                  <w:pPr>
                    <w:spacing w:line="240" w:lineRule="auto"/>
                    <w:ind w:firstLine="0" w:firstLineChars="0"/>
                    <w:jc w:val="center"/>
                    <w:rPr>
                      <w:rFonts w:hint="default" w:eastAsia="宋体"/>
                      <w:color w:val="auto"/>
                    </w:rPr>
                  </w:pPr>
                  <w:r>
                    <w:rPr>
                      <w:rFonts w:hint="default" w:eastAsia="宋体"/>
                      <w:color w:val="auto"/>
                    </w:rPr>
                    <w:t>新建</w:t>
                  </w:r>
                </w:p>
              </w:tc>
            </w:tr>
          </w:tbl>
          <w:p w14:paraId="44C55108">
            <w:pPr>
              <w:ind w:firstLine="482"/>
              <w:rPr>
                <w:rFonts w:hint="default" w:eastAsia="宋体"/>
                <w:color w:val="auto"/>
              </w:rPr>
            </w:pPr>
            <w:r>
              <w:rPr>
                <w:rFonts w:hint="default" w:eastAsia="宋体"/>
                <w:b/>
                <w:color w:val="auto"/>
              </w:rPr>
              <w:t>2、主要生产设备</w:t>
            </w:r>
          </w:p>
          <w:p w14:paraId="5350C32D">
            <w:pPr>
              <w:ind w:firstLine="480"/>
              <w:rPr>
                <w:rFonts w:hint="default" w:eastAsia="宋体"/>
                <w:color w:val="auto"/>
              </w:rPr>
            </w:pPr>
            <w:r>
              <w:rPr>
                <w:rFonts w:hint="default" w:eastAsia="宋体"/>
                <w:color w:val="auto"/>
              </w:rPr>
              <w:t>本项目主要生产设备见下表。</w:t>
            </w:r>
          </w:p>
          <w:p w14:paraId="461CB7F4">
            <w:pPr>
              <w:ind w:firstLine="0" w:firstLineChars="0"/>
              <w:jc w:val="center"/>
              <w:rPr>
                <w:rFonts w:hint="default" w:eastAsia="宋体"/>
                <w:color w:val="auto"/>
              </w:rPr>
            </w:pPr>
            <w:r>
              <w:rPr>
                <w:rFonts w:hint="default" w:eastAsia="宋体"/>
                <w:b/>
                <w:color w:val="auto"/>
              </w:rPr>
              <w:t>表2-2危险废物暂存库主要设备</w:t>
            </w:r>
          </w:p>
          <w:tbl>
            <w:tblPr>
              <w:tblStyle w:val="14"/>
              <w:tblW w:w="79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0"/>
              <w:gridCol w:w="2297"/>
              <w:gridCol w:w="1877"/>
              <w:gridCol w:w="2304"/>
              <w:gridCol w:w="760"/>
            </w:tblGrid>
            <w:tr w14:paraId="33A18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40" w:type="dxa"/>
                  <w:tcBorders>
                    <w:top w:val="single" w:color="auto" w:sz="4" w:space="0"/>
                    <w:left w:val="single" w:color="auto" w:sz="4" w:space="0"/>
                    <w:bottom w:val="single" w:color="auto" w:sz="4" w:space="0"/>
                    <w:right w:val="single" w:color="auto" w:sz="4" w:space="0"/>
                    <w:tl2br w:val="nil"/>
                    <w:tr2bl w:val="nil"/>
                  </w:tcBorders>
                  <w:vAlign w:val="center"/>
                </w:tcPr>
                <w:p w14:paraId="4AE906CC">
                  <w:pPr>
                    <w:spacing w:line="240" w:lineRule="auto"/>
                    <w:ind w:firstLine="0" w:firstLineChars="0"/>
                    <w:jc w:val="center"/>
                    <w:rPr>
                      <w:rFonts w:hint="default" w:eastAsia="宋体"/>
                      <w:color w:val="auto"/>
                    </w:rPr>
                  </w:pPr>
                  <w:r>
                    <w:rPr>
                      <w:rFonts w:hint="default" w:eastAsia="宋体"/>
                      <w:color w:val="auto"/>
                    </w:rPr>
                    <w:t>序号</w:t>
                  </w:r>
                </w:p>
              </w:tc>
              <w:tc>
                <w:tcPr>
                  <w:tcW w:w="2297" w:type="dxa"/>
                  <w:tcBorders>
                    <w:top w:val="single" w:color="auto" w:sz="4" w:space="0"/>
                    <w:left w:val="single" w:color="auto" w:sz="4" w:space="0"/>
                    <w:bottom w:val="single" w:color="auto" w:sz="4" w:space="0"/>
                    <w:right w:val="single" w:color="auto" w:sz="4" w:space="0"/>
                    <w:tl2br w:val="nil"/>
                    <w:tr2bl w:val="nil"/>
                  </w:tcBorders>
                  <w:vAlign w:val="center"/>
                </w:tcPr>
                <w:p w14:paraId="67008CB2">
                  <w:pPr>
                    <w:spacing w:line="240" w:lineRule="auto"/>
                    <w:ind w:firstLine="0" w:firstLineChars="0"/>
                    <w:jc w:val="center"/>
                    <w:rPr>
                      <w:rFonts w:hint="default" w:eastAsia="宋体"/>
                      <w:color w:val="auto"/>
                    </w:rPr>
                  </w:pPr>
                  <w:r>
                    <w:rPr>
                      <w:rFonts w:hint="default" w:eastAsia="宋体"/>
                      <w:color w:val="auto"/>
                    </w:rPr>
                    <w:t>名称</w:t>
                  </w:r>
                </w:p>
              </w:tc>
              <w:tc>
                <w:tcPr>
                  <w:tcW w:w="1877" w:type="dxa"/>
                  <w:tcBorders>
                    <w:top w:val="single" w:color="auto" w:sz="4" w:space="0"/>
                    <w:left w:val="single" w:color="auto" w:sz="4" w:space="0"/>
                    <w:bottom w:val="single" w:color="auto" w:sz="4" w:space="0"/>
                    <w:right w:val="single" w:color="auto" w:sz="4" w:space="0"/>
                    <w:tl2br w:val="nil"/>
                    <w:tr2bl w:val="nil"/>
                  </w:tcBorders>
                  <w:vAlign w:val="center"/>
                </w:tcPr>
                <w:p w14:paraId="43C642CF">
                  <w:pPr>
                    <w:spacing w:line="240" w:lineRule="auto"/>
                    <w:ind w:firstLine="0" w:firstLineChars="0"/>
                    <w:jc w:val="center"/>
                    <w:rPr>
                      <w:rFonts w:hint="default" w:eastAsia="宋体"/>
                      <w:color w:val="auto"/>
                    </w:rPr>
                  </w:pPr>
                  <w:r>
                    <w:rPr>
                      <w:rFonts w:hint="default" w:eastAsia="宋体"/>
                      <w:color w:val="auto"/>
                    </w:rPr>
                    <w:t>单位</w:t>
                  </w:r>
                </w:p>
              </w:tc>
              <w:tc>
                <w:tcPr>
                  <w:tcW w:w="2304" w:type="dxa"/>
                  <w:tcBorders>
                    <w:top w:val="single" w:color="auto" w:sz="4" w:space="0"/>
                    <w:left w:val="single" w:color="auto" w:sz="4" w:space="0"/>
                    <w:bottom w:val="single" w:color="auto" w:sz="4" w:space="0"/>
                    <w:right w:val="single" w:color="auto" w:sz="4" w:space="0"/>
                    <w:tl2br w:val="nil"/>
                    <w:tr2bl w:val="nil"/>
                  </w:tcBorders>
                  <w:vAlign w:val="center"/>
                </w:tcPr>
                <w:p w14:paraId="5E2FA58C">
                  <w:pPr>
                    <w:spacing w:line="240" w:lineRule="auto"/>
                    <w:ind w:firstLine="0" w:firstLineChars="0"/>
                    <w:jc w:val="center"/>
                    <w:rPr>
                      <w:rFonts w:hint="default" w:eastAsia="宋体"/>
                      <w:color w:val="auto"/>
                    </w:rPr>
                  </w:pPr>
                  <w:r>
                    <w:rPr>
                      <w:rFonts w:hint="default" w:eastAsia="宋体"/>
                      <w:color w:val="auto"/>
                    </w:rPr>
                    <w:t>数量</w:t>
                  </w:r>
                </w:p>
              </w:tc>
              <w:tc>
                <w:tcPr>
                  <w:tcW w:w="760" w:type="dxa"/>
                  <w:tcBorders>
                    <w:top w:val="single" w:color="auto" w:sz="4" w:space="0"/>
                    <w:left w:val="single" w:color="auto" w:sz="4" w:space="0"/>
                    <w:bottom w:val="single" w:color="auto" w:sz="4" w:space="0"/>
                    <w:right w:val="single" w:color="auto" w:sz="4" w:space="0"/>
                    <w:tl2br w:val="nil"/>
                    <w:tr2bl w:val="nil"/>
                  </w:tcBorders>
                  <w:vAlign w:val="center"/>
                </w:tcPr>
                <w:p w14:paraId="4EC884E3">
                  <w:pPr>
                    <w:spacing w:line="240" w:lineRule="auto"/>
                    <w:ind w:firstLine="0" w:firstLineChars="0"/>
                    <w:jc w:val="center"/>
                    <w:rPr>
                      <w:rFonts w:hint="default" w:eastAsia="宋体"/>
                      <w:color w:val="auto"/>
                    </w:rPr>
                  </w:pPr>
                  <w:r>
                    <w:rPr>
                      <w:rFonts w:hint="default" w:eastAsia="宋体"/>
                      <w:color w:val="auto"/>
                    </w:rPr>
                    <w:t>备注</w:t>
                  </w:r>
                </w:p>
              </w:tc>
            </w:tr>
            <w:tr w14:paraId="3AE6C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40" w:type="dxa"/>
                  <w:tcBorders>
                    <w:top w:val="single" w:color="auto" w:sz="4" w:space="0"/>
                    <w:left w:val="single" w:color="auto" w:sz="4" w:space="0"/>
                    <w:bottom w:val="single" w:color="auto" w:sz="4" w:space="0"/>
                    <w:right w:val="single" w:color="auto" w:sz="4" w:space="0"/>
                    <w:tl2br w:val="nil"/>
                    <w:tr2bl w:val="nil"/>
                  </w:tcBorders>
                  <w:vAlign w:val="center"/>
                </w:tcPr>
                <w:p w14:paraId="3F146F58">
                  <w:pPr>
                    <w:spacing w:line="240" w:lineRule="auto"/>
                    <w:ind w:firstLine="0" w:firstLineChars="0"/>
                    <w:jc w:val="center"/>
                    <w:rPr>
                      <w:rFonts w:hint="default" w:eastAsia="宋体"/>
                      <w:color w:val="auto"/>
                    </w:rPr>
                  </w:pPr>
                  <w:r>
                    <w:rPr>
                      <w:rFonts w:hint="default" w:eastAsia="宋体"/>
                      <w:color w:val="auto"/>
                    </w:rPr>
                    <w:t>1</w:t>
                  </w:r>
                </w:p>
              </w:tc>
              <w:tc>
                <w:tcPr>
                  <w:tcW w:w="2297" w:type="dxa"/>
                  <w:tcBorders>
                    <w:top w:val="single" w:color="auto" w:sz="4" w:space="0"/>
                    <w:left w:val="single" w:color="auto" w:sz="4" w:space="0"/>
                    <w:bottom w:val="single" w:color="auto" w:sz="4" w:space="0"/>
                    <w:right w:val="single" w:color="auto" w:sz="4" w:space="0"/>
                    <w:tl2br w:val="nil"/>
                    <w:tr2bl w:val="nil"/>
                  </w:tcBorders>
                  <w:vAlign w:val="center"/>
                </w:tcPr>
                <w:p w14:paraId="57735668">
                  <w:pPr>
                    <w:spacing w:line="240" w:lineRule="auto"/>
                    <w:ind w:firstLine="0" w:firstLineChars="0"/>
                    <w:jc w:val="center"/>
                    <w:rPr>
                      <w:rFonts w:hint="default" w:eastAsia="宋体"/>
                      <w:color w:val="auto"/>
                    </w:rPr>
                  </w:pPr>
                  <w:r>
                    <w:rPr>
                      <w:rFonts w:hint="default" w:eastAsia="宋体"/>
                      <w:color w:val="auto"/>
                    </w:rPr>
                    <w:t>灭火器</w:t>
                  </w:r>
                </w:p>
              </w:tc>
              <w:tc>
                <w:tcPr>
                  <w:tcW w:w="1877" w:type="dxa"/>
                  <w:tcBorders>
                    <w:top w:val="single" w:color="auto" w:sz="4" w:space="0"/>
                    <w:left w:val="single" w:color="auto" w:sz="4" w:space="0"/>
                    <w:bottom w:val="single" w:color="auto" w:sz="4" w:space="0"/>
                    <w:right w:val="single" w:color="auto" w:sz="4" w:space="0"/>
                    <w:tl2br w:val="nil"/>
                    <w:tr2bl w:val="nil"/>
                  </w:tcBorders>
                  <w:vAlign w:val="center"/>
                </w:tcPr>
                <w:p w14:paraId="4D493891">
                  <w:pPr>
                    <w:spacing w:line="240" w:lineRule="auto"/>
                    <w:ind w:firstLine="0" w:firstLineChars="0"/>
                    <w:jc w:val="center"/>
                    <w:rPr>
                      <w:rFonts w:hint="default" w:eastAsia="宋体"/>
                      <w:color w:val="auto"/>
                    </w:rPr>
                  </w:pPr>
                  <w:r>
                    <w:rPr>
                      <w:rFonts w:hint="default" w:eastAsia="宋体"/>
                      <w:color w:val="auto"/>
                    </w:rPr>
                    <w:t>具</w:t>
                  </w:r>
                </w:p>
              </w:tc>
              <w:tc>
                <w:tcPr>
                  <w:tcW w:w="2304" w:type="dxa"/>
                  <w:tcBorders>
                    <w:top w:val="single" w:color="auto" w:sz="4" w:space="0"/>
                    <w:left w:val="single" w:color="auto" w:sz="4" w:space="0"/>
                    <w:bottom w:val="single" w:color="auto" w:sz="4" w:space="0"/>
                    <w:right w:val="single" w:color="auto" w:sz="4" w:space="0"/>
                    <w:tl2br w:val="nil"/>
                    <w:tr2bl w:val="nil"/>
                  </w:tcBorders>
                  <w:vAlign w:val="center"/>
                </w:tcPr>
                <w:p w14:paraId="6D1E15F2">
                  <w:pPr>
                    <w:spacing w:line="240" w:lineRule="auto"/>
                    <w:ind w:firstLine="0" w:firstLineChars="0"/>
                    <w:jc w:val="center"/>
                    <w:rPr>
                      <w:rFonts w:hint="default" w:eastAsia="宋体"/>
                      <w:color w:val="auto"/>
                    </w:rPr>
                  </w:pPr>
                  <w:r>
                    <w:rPr>
                      <w:rFonts w:hint="default" w:eastAsia="宋体"/>
                      <w:color w:val="auto"/>
                    </w:rPr>
                    <w:t>2</w:t>
                  </w:r>
                </w:p>
              </w:tc>
              <w:tc>
                <w:tcPr>
                  <w:tcW w:w="760" w:type="dxa"/>
                  <w:tcBorders>
                    <w:top w:val="single" w:color="auto" w:sz="4" w:space="0"/>
                    <w:left w:val="single" w:color="auto" w:sz="4" w:space="0"/>
                    <w:bottom w:val="single" w:color="auto" w:sz="4" w:space="0"/>
                    <w:right w:val="single" w:color="auto" w:sz="4" w:space="0"/>
                    <w:tl2br w:val="nil"/>
                    <w:tr2bl w:val="nil"/>
                  </w:tcBorders>
                  <w:vAlign w:val="center"/>
                </w:tcPr>
                <w:p w14:paraId="71BB117C">
                  <w:pPr>
                    <w:spacing w:line="240" w:lineRule="auto"/>
                    <w:ind w:firstLine="0" w:firstLineChars="0"/>
                    <w:jc w:val="center"/>
                    <w:rPr>
                      <w:rFonts w:hint="default" w:eastAsia="宋体"/>
                      <w:color w:val="auto"/>
                    </w:rPr>
                  </w:pPr>
                </w:p>
              </w:tc>
            </w:tr>
            <w:tr w14:paraId="650B3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40" w:type="dxa"/>
                  <w:tcBorders>
                    <w:top w:val="single" w:color="auto" w:sz="4" w:space="0"/>
                    <w:left w:val="single" w:color="auto" w:sz="4" w:space="0"/>
                    <w:bottom w:val="single" w:color="auto" w:sz="4" w:space="0"/>
                    <w:right w:val="single" w:color="auto" w:sz="4" w:space="0"/>
                    <w:tl2br w:val="nil"/>
                    <w:tr2bl w:val="nil"/>
                  </w:tcBorders>
                  <w:vAlign w:val="center"/>
                </w:tcPr>
                <w:p w14:paraId="7F4D12E5">
                  <w:pPr>
                    <w:spacing w:line="240" w:lineRule="auto"/>
                    <w:ind w:firstLine="0" w:firstLineChars="0"/>
                    <w:jc w:val="center"/>
                    <w:rPr>
                      <w:rFonts w:hint="default" w:eastAsia="宋体"/>
                      <w:color w:val="auto"/>
                    </w:rPr>
                  </w:pPr>
                  <w:r>
                    <w:rPr>
                      <w:rFonts w:hint="default" w:eastAsia="宋体"/>
                      <w:color w:val="auto"/>
                    </w:rPr>
                    <w:t>2</w:t>
                  </w:r>
                </w:p>
              </w:tc>
              <w:tc>
                <w:tcPr>
                  <w:tcW w:w="2297" w:type="dxa"/>
                  <w:tcBorders>
                    <w:top w:val="single" w:color="auto" w:sz="4" w:space="0"/>
                    <w:left w:val="single" w:color="auto" w:sz="4" w:space="0"/>
                    <w:bottom w:val="single" w:color="auto" w:sz="4" w:space="0"/>
                    <w:right w:val="single" w:color="auto" w:sz="4" w:space="0"/>
                    <w:tl2br w:val="nil"/>
                    <w:tr2bl w:val="nil"/>
                  </w:tcBorders>
                  <w:vAlign w:val="center"/>
                </w:tcPr>
                <w:p w14:paraId="272ADC3D">
                  <w:pPr>
                    <w:spacing w:line="240" w:lineRule="auto"/>
                    <w:ind w:firstLine="0" w:firstLineChars="0"/>
                    <w:jc w:val="center"/>
                    <w:rPr>
                      <w:rFonts w:hint="default" w:eastAsia="宋体"/>
                      <w:color w:val="auto"/>
                    </w:rPr>
                  </w:pPr>
                  <w:r>
                    <w:rPr>
                      <w:rFonts w:hint="default" w:eastAsia="宋体"/>
                      <w:color w:val="auto"/>
                    </w:rPr>
                    <w:t>监控摄像头</w:t>
                  </w:r>
                </w:p>
              </w:tc>
              <w:tc>
                <w:tcPr>
                  <w:tcW w:w="1877" w:type="dxa"/>
                  <w:tcBorders>
                    <w:top w:val="single" w:color="auto" w:sz="4" w:space="0"/>
                    <w:left w:val="single" w:color="auto" w:sz="4" w:space="0"/>
                    <w:bottom w:val="single" w:color="auto" w:sz="4" w:space="0"/>
                    <w:right w:val="single" w:color="auto" w:sz="4" w:space="0"/>
                    <w:tl2br w:val="nil"/>
                    <w:tr2bl w:val="nil"/>
                  </w:tcBorders>
                  <w:vAlign w:val="center"/>
                </w:tcPr>
                <w:p w14:paraId="52089518">
                  <w:pPr>
                    <w:spacing w:line="240" w:lineRule="auto"/>
                    <w:ind w:firstLine="0" w:firstLineChars="0"/>
                    <w:jc w:val="center"/>
                    <w:rPr>
                      <w:rFonts w:hint="default" w:eastAsia="宋体"/>
                      <w:color w:val="auto"/>
                    </w:rPr>
                  </w:pPr>
                  <w:r>
                    <w:rPr>
                      <w:rFonts w:hint="default" w:eastAsia="宋体"/>
                      <w:color w:val="auto"/>
                    </w:rPr>
                    <w:t>个</w:t>
                  </w:r>
                </w:p>
              </w:tc>
              <w:tc>
                <w:tcPr>
                  <w:tcW w:w="2304" w:type="dxa"/>
                  <w:tcBorders>
                    <w:top w:val="single" w:color="auto" w:sz="4" w:space="0"/>
                    <w:left w:val="single" w:color="auto" w:sz="4" w:space="0"/>
                    <w:bottom w:val="single" w:color="auto" w:sz="4" w:space="0"/>
                    <w:right w:val="single" w:color="auto" w:sz="4" w:space="0"/>
                    <w:tl2br w:val="nil"/>
                    <w:tr2bl w:val="nil"/>
                  </w:tcBorders>
                  <w:vAlign w:val="center"/>
                </w:tcPr>
                <w:p w14:paraId="4CA73236">
                  <w:pPr>
                    <w:spacing w:line="240" w:lineRule="auto"/>
                    <w:ind w:firstLine="0" w:firstLineChars="0"/>
                    <w:jc w:val="center"/>
                    <w:rPr>
                      <w:rFonts w:hint="eastAsia" w:eastAsia="宋体"/>
                      <w:color w:val="auto"/>
                      <w:lang w:eastAsia="zh-CN"/>
                    </w:rPr>
                  </w:pPr>
                  <w:r>
                    <w:rPr>
                      <w:rFonts w:hint="eastAsia" w:eastAsia="宋体"/>
                      <w:color w:val="auto"/>
                      <w:lang w:val="en-US" w:eastAsia="zh-CN"/>
                    </w:rPr>
                    <w:t>1</w:t>
                  </w:r>
                </w:p>
              </w:tc>
              <w:tc>
                <w:tcPr>
                  <w:tcW w:w="760" w:type="dxa"/>
                  <w:tcBorders>
                    <w:top w:val="single" w:color="auto" w:sz="4" w:space="0"/>
                    <w:left w:val="single" w:color="auto" w:sz="4" w:space="0"/>
                    <w:bottom w:val="single" w:color="auto" w:sz="4" w:space="0"/>
                    <w:right w:val="single" w:color="auto" w:sz="4" w:space="0"/>
                    <w:tl2br w:val="nil"/>
                    <w:tr2bl w:val="nil"/>
                  </w:tcBorders>
                  <w:vAlign w:val="center"/>
                </w:tcPr>
                <w:p w14:paraId="2ECF437F">
                  <w:pPr>
                    <w:spacing w:line="240" w:lineRule="auto"/>
                    <w:ind w:firstLine="0" w:firstLineChars="0"/>
                    <w:jc w:val="center"/>
                    <w:rPr>
                      <w:rFonts w:hint="default" w:eastAsia="宋体"/>
                      <w:color w:val="auto"/>
                    </w:rPr>
                  </w:pPr>
                </w:p>
              </w:tc>
            </w:tr>
            <w:tr w14:paraId="3B3E4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40" w:type="dxa"/>
                  <w:tcBorders>
                    <w:top w:val="single" w:color="auto" w:sz="4" w:space="0"/>
                    <w:left w:val="single" w:color="auto" w:sz="4" w:space="0"/>
                    <w:bottom w:val="single" w:color="auto" w:sz="4" w:space="0"/>
                    <w:right w:val="single" w:color="auto" w:sz="4" w:space="0"/>
                    <w:tl2br w:val="nil"/>
                    <w:tr2bl w:val="nil"/>
                  </w:tcBorders>
                  <w:vAlign w:val="center"/>
                </w:tcPr>
                <w:p w14:paraId="6DE4FE2E">
                  <w:pPr>
                    <w:spacing w:line="240" w:lineRule="auto"/>
                    <w:ind w:firstLine="0" w:firstLineChars="0"/>
                    <w:jc w:val="center"/>
                    <w:rPr>
                      <w:rFonts w:hint="default" w:eastAsia="宋体"/>
                      <w:color w:val="auto"/>
                    </w:rPr>
                  </w:pPr>
                  <w:r>
                    <w:rPr>
                      <w:rFonts w:hint="default" w:eastAsia="宋体"/>
                      <w:color w:val="auto"/>
                    </w:rPr>
                    <w:t>3</w:t>
                  </w:r>
                </w:p>
              </w:tc>
              <w:tc>
                <w:tcPr>
                  <w:tcW w:w="2297" w:type="dxa"/>
                  <w:tcBorders>
                    <w:top w:val="single" w:color="auto" w:sz="4" w:space="0"/>
                    <w:left w:val="single" w:color="auto" w:sz="4" w:space="0"/>
                    <w:bottom w:val="single" w:color="auto" w:sz="4" w:space="0"/>
                    <w:right w:val="single" w:color="auto" w:sz="4" w:space="0"/>
                    <w:tl2br w:val="nil"/>
                    <w:tr2bl w:val="nil"/>
                  </w:tcBorders>
                  <w:vAlign w:val="center"/>
                </w:tcPr>
                <w:p w14:paraId="30625A80">
                  <w:pPr>
                    <w:spacing w:line="240" w:lineRule="auto"/>
                    <w:ind w:firstLine="0" w:firstLineChars="0"/>
                    <w:jc w:val="center"/>
                    <w:rPr>
                      <w:rFonts w:hint="default" w:eastAsia="宋体"/>
                      <w:color w:val="auto"/>
                    </w:rPr>
                  </w:pPr>
                  <w:r>
                    <w:rPr>
                      <w:rFonts w:hint="default" w:eastAsia="宋体"/>
                      <w:color w:val="auto"/>
                    </w:rPr>
                    <w:t>照明灯</w:t>
                  </w:r>
                </w:p>
              </w:tc>
              <w:tc>
                <w:tcPr>
                  <w:tcW w:w="1877" w:type="dxa"/>
                  <w:tcBorders>
                    <w:top w:val="single" w:color="auto" w:sz="4" w:space="0"/>
                    <w:left w:val="single" w:color="auto" w:sz="4" w:space="0"/>
                    <w:bottom w:val="single" w:color="auto" w:sz="4" w:space="0"/>
                    <w:right w:val="single" w:color="auto" w:sz="4" w:space="0"/>
                    <w:tl2br w:val="nil"/>
                    <w:tr2bl w:val="nil"/>
                  </w:tcBorders>
                  <w:vAlign w:val="center"/>
                </w:tcPr>
                <w:p w14:paraId="59D9658A">
                  <w:pPr>
                    <w:spacing w:line="240" w:lineRule="auto"/>
                    <w:ind w:firstLine="0" w:firstLineChars="0"/>
                    <w:jc w:val="center"/>
                    <w:rPr>
                      <w:rFonts w:hint="default" w:eastAsia="宋体"/>
                      <w:color w:val="auto"/>
                    </w:rPr>
                  </w:pPr>
                  <w:r>
                    <w:rPr>
                      <w:rFonts w:hint="default" w:eastAsia="宋体"/>
                      <w:color w:val="auto"/>
                    </w:rPr>
                    <w:t>个</w:t>
                  </w:r>
                </w:p>
              </w:tc>
              <w:tc>
                <w:tcPr>
                  <w:tcW w:w="2304" w:type="dxa"/>
                  <w:tcBorders>
                    <w:top w:val="single" w:color="auto" w:sz="4" w:space="0"/>
                    <w:left w:val="single" w:color="auto" w:sz="4" w:space="0"/>
                    <w:bottom w:val="single" w:color="auto" w:sz="4" w:space="0"/>
                    <w:right w:val="single" w:color="auto" w:sz="4" w:space="0"/>
                    <w:tl2br w:val="nil"/>
                    <w:tr2bl w:val="nil"/>
                  </w:tcBorders>
                  <w:vAlign w:val="center"/>
                </w:tcPr>
                <w:p w14:paraId="3291E378">
                  <w:pPr>
                    <w:spacing w:line="240" w:lineRule="auto"/>
                    <w:ind w:firstLine="0" w:firstLineChars="0"/>
                    <w:jc w:val="center"/>
                    <w:rPr>
                      <w:rFonts w:hint="default" w:eastAsia="宋体"/>
                      <w:color w:val="auto"/>
                    </w:rPr>
                  </w:pPr>
                  <w:r>
                    <w:rPr>
                      <w:rFonts w:hint="default" w:eastAsia="宋体"/>
                      <w:color w:val="auto"/>
                    </w:rPr>
                    <w:t>2</w:t>
                  </w:r>
                </w:p>
              </w:tc>
              <w:tc>
                <w:tcPr>
                  <w:tcW w:w="760" w:type="dxa"/>
                  <w:tcBorders>
                    <w:top w:val="single" w:color="auto" w:sz="4" w:space="0"/>
                    <w:left w:val="single" w:color="auto" w:sz="4" w:space="0"/>
                    <w:bottom w:val="single" w:color="auto" w:sz="4" w:space="0"/>
                    <w:right w:val="single" w:color="auto" w:sz="4" w:space="0"/>
                    <w:tl2br w:val="nil"/>
                    <w:tr2bl w:val="nil"/>
                  </w:tcBorders>
                  <w:vAlign w:val="center"/>
                </w:tcPr>
                <w:p w14:paraId="2F97A6C0">
                  <w:pPr>
                    <w:spacing w:line="240" w:lineRule="auto"/>
                    <w:ind w:firstLine="0" w:firstLineChars="0"/>
                    <w:jc w:val="center"/>
                    <w:rPr>
                      <w:rFonts w:hint="default" w:eastAsia="宋体"/>
                      <w:color w:val="auto"/>
                    </w:rPr>
                  </w:pPr>
                </w:p>
              </w:tc>
            </w:tr>
            <w:tr w14:paraId="403A1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40" w:type="dxa"/>
                  <w:tcBorders>
                    <w:top w:val="single" w:color="auto" w:sz="4" w:space="0"/>
                    <w:left w:val="single" w:color="auto" w:sz="4" w:space="0"/>
                    <w:bottom w:val="single" w:color="auto" w:sz="4" w:space="0"/>
                    <w:right w:val="single" w:color="auto" w:sz="4" w:space="0"/>
                    <w:tl2br w:val="nil"/>
                    <w:tr2bl w:val="nil"/>
                  </w:tcBorders>
                  <w:vAlign w:val="center"/>
                </w:tcPr>
                <w:p w14:paraId="42258BF1">
                  <w:pPr>
                    <w:spacing w:line="240" w:lineRule="auto"/>
                    <w:ind w:firstLine="0" w:firstLineChars="0"/>
                    <w:jc w:val="center"/>
                    <w:rPr>
                      <w:rFonts w:hint="default" w:eastAsia="宋体"/>
                      <w:color w:val="auto"/>
                    </w:rPr>
                  </w:pPr>
                  <w:r>
                    <w:rPr>
                      <w:rFonts w:hint="default" w:eastAsia="宋体"/>
                      <w:color w:val="auto"/>
                    </w:rPr>
                    <w:t>4</w:t>
                  </w:r>
                </w:p>
              </w:tc>
              <w:tc>
                <w:tcPr>
                  <w:tcW w:w="2297" w:type="dxa"/>
                  <w:tcBorders>
                    <w:top w:val="single" w:color="auto" w:sz="4" w:space="0"/>
                    <w:left w:val="single" w:color="auto" w:sz="4" w:space="0"/>
                    <w:bottom w:val="single" w:color="auto" w:sz="4" w:space="0"/>
                    <w:right w:val="single" w:color="auto" w:sz="4" w:space="0"/>
                    <w:tl2br w:val="nil"/>
                    <w:tr2bl w:val="nil"/>
                  </w:tcBorders>
                  <w:vAlign w:val="center"/>
                </w:tcPr>
                <w:p w14:paraId="3FA69110">
                  <w:pPr>
                    <w:spacing w:line="240" w:lineRule="auto"/>
                    <w:ind w:firstLine="0" w:firstLineChars="0"/>
                    <w:jc w:val="center"/>
                    <w:rPr>
                      <w:rFonts w:hint="default" w:eastAsia="宋体"/>
                      <w:color w:val="auto"/>
                    </w:rPr>
                  </w:pPr>
                  <w:r>
                    <w:rPr>
                      <w:rFonts w:hint="default" w:eastAsia="宋体"/>
                      <w:color w:val="auto"/>
                    </w:rPr>
                    <w:t>轴流风机</w:t>
                  </w:r>
                </w:p>
              </w:tc>
              <w:tc>
                <w:tcPr>
                  <w:tcW w:w="1877" w:type="dxa"/>
                  <w:tcBorders>
                    <w:top w:val="single" w:color="auto" w:sz="4" w:space="0"/>
                    <w:left w:val="single" w:color="auto" w:sz="4" w:space="0"/>
                    <w:bottom w:val="single" w:color="auto" w:sz="4" w:space="0"/>
                    <w:right w:val="single" w:color="auto" w:sz="4" w:space="0"/>
                    <w:tl2br w:val="nil"/>
                    <w:tr2bl w:val="nil"/>
                  </w:tcBorders>
                  <w:vAlign w:val="center"/>
                </w:tcPr>
                <w:p w14:paraId="11F36215">
                  <w:pPr>
                    <w:spacing w:line="240" w:lineRule="auto"/>
                    <w:ind w:firstLine="0" w:firstLineChars="0"/>
                    <w:jc w:val="center"/>
                    <w:rPr>
                      <w:rFonts w:hint="default" w:eastAsia="宋体"/>
                      <w:color w:val="auto"/>
                    </w:rPr>
                  </w:pPr>
                  <w:r>
                    <w:rPr>
                      <w:rFonts w:hint="default" w:eastAsia="宋体"/>
                      <w:color w:val="auto"/>
                    </w:rPr>
                    <w:t>个</w:t>
                  </w:r>
                </w:p>
              </w:tc>
              <w:tc>
                <w:tcPr>
                  <w:tcW w:w="2304" w:type="dxa"/>
                  <w:tcBorders>
                    <w:top w:val="single" w:color="auto" w:sz="4" w:space="0"/>
                    <w:left w:val="single" w:color="auto" w:sz="4" w:space="0"/>
                    <w:bottom w:val="single" w:color="auto" w:sz="4" w:space="0"/>
                    <w:right w:val="single" w:color="auto" w:sz="4" w:space="0"/>
                    <w:tl2br w:val="nil"/>
                    <w:tr2bl w:val="nil"/>
                  </w:tcBorders>
                  <w:vAlign w:val="center"/>
                </w:tcPr>
                <w:p w14:paraId="524CCE5C">
                  <w:pPr>
                    <w:spacing w:line="240" w:lineRule="auto"/>
                    <w:ind w:firstLine="0" w:firstLineChars="0"/>
                    <w:jc w:val="center"/>
                    <w:rPr>
                      <w:rFonts w:hint="default" w:eastAsia="宋体"/>
                      <w:color w:val="auto"/>
                    </w:rPr>
                  </w:pPr>
                  <w:r>
                    <w:rPr>
                      <w:rFonts w:hint="default" w:eastAsia="宋体"/>
                      <w:color w:val="auto"/>
                    </w:rPr>
                    <w:t>1</w:t>
                  </w:r>
                </w:p>
              </w:tc>
              <w:tc>
                <w:tcPr>
                  <w:tcW w:w="760" w:type="dxa"/>
                  <w:tcBorders>
                    <w:top w:val="single" w:color="auto" w:sz="4" w:space="0"/>
                    <w:left w:val="single" w:color="auto" w:sz="4" w:space="0"/>
                    <w:bottom w:val="single" w:color="auto" w:sz="4" w:space="0"/>
                    <w:right w:val="single" w:color="auto" w:sz="4" w:space="0"/>
                    <w:tl2br w:val="nil"/>
                    <w:tr2bl w:val="nil"/>
                  </w:tcBorders>
                  <w:vAlign w:val="center"/>
                </w:tcPr>
                <w:p w14:paraId="08B5CD84">
                  <w:pPr>
                    <w:spacing w:line="240" w:lineRule="auto"/>
                    <w:ind w:firstLine="0" w:firstLineChars="0"/>
                    <w:jc w:val="center"/>
                    <w:rPr>
                      <w:rFonts w:hint="default" w:eastAsia="宋体"/>
                      <w:color w:val="auto"/>
                    </w:rPr>
                  </w:pPr>
                </w:p>
              </w:tc>
            </w:tr>
          </w:tbl>
          <w:p w14:paraId="220E9592">
            <w:pPr>
              <w:ind w:firstLine="482"/>
              <w:rPr>
                <w:rFonts w:hint="default" w:eastAsia="宋体"/>
                <w:b/>
                <w:color w:val="auto"/>
              </w:rPr>
            </w:pPr>
            <w:r>
              <w:rPr>
                <w:rFonts w:hint="default" w:eastAsia="宋体"/>
                <w:b/>
                <w:color w:val="auto"/>
              </w:rPr>
              <w:t>3、本项目仓库贮存规模与主要贮存废物</w:t>
            </w:r>
          </w:p>
          <w:p w14:paraId="7C9BADD3">
            <w:pPr>
              <w:ind w:firstLine="480"/>
              <w:rPr>
                <w:rFonts w:hint="default" w:eastAsia="宋体"/>
                <w:color w:val="auto"/>
                <w:lang w:val="zh-CN"/>
              </w:rPr>
            </w:pPr>
            <w:r>
              <w:rPr>
                <w:rFonts w:hint="default" w:eastAsia="宋体"/>
                <w:color w:val="auto"/>
              </w:rPr>
              <w:t>本项目建设完成后，危险废物暂存库用于贮存</w:t>
            </w:r>
            <w:r>
              <w:rPr>
                <w:rFonts w:hint="eastAsia" w:eastAsia="宋体"/>
                <w:color w:val="auto"/>
                <w:lang w:eastAsia="zh-CN"/>
              </w:rPr>
              <w:t>中煤张家口煤矿机械有限责任公司鄂尔多斯分公司</w:t>
            </w:r>
            <w:r>
              <w:rPr>
                <w:rFonts w:hint="default" w:eastAsia="宋体"/>
                <w:color w:val="auto"/>
              </w:rPr>
              <w:t>生产运行过程中产生的危险废物。项目存储主要危险废物情况详见表2-3、危险废物贮存场所基本情况见表2-4。</w:t>
            </w:r>
          </w:p>
          <w:p w14:paraId="20EF7F56">
            <w:pPr>
              <w:ind w:firstLine="0" w:firstLineChars="0"/>
              <w:jc w:val="center"/>
              <w:rPr>
                <w:rFonts w:hint="default" w:eastAsia="宋体"/>
                <w:b/>
                <w:color w:val="auto"/>
              </w:rPr>
            </w:pPr>
            <w:r>
              <w:rPr>
                <w:rFonts w:hint="default" w:eastAsia="宋体"/>
                <w:b/>
                <w:color w:val="auto"/>
                <w:lang w:val="zh-CN"/>
              </w:rPr>
              <w:t>表</w:t>
            </w:r>
            <w:r>
              <w:rPr>
                <w:rFonts w:hint="default" w:eastAsia="宋体"/>
                <w:b/>
                <w:color w:val="auto"/>
              </w:rPr>
              <w:t>2-3本项目主要存储危险废物情况表</w:t>
            </w:r>
          </w:p>
          <w:tbl>
            <w:tblPr>
              <w:tblStyle w:val="14"/>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5"/>
              <w:gridCol w:w="1631"/>
              <w:gridCol w:w="1173"/>
              <w:gridCol w:w="1165"/>
              <w:gridCol w:w="1246"/>
              <w:gridCol w:w="1113"/>
              <w:gridCol w:w="1143"/>
            </w:tblGrid>
            <w:tr w14:paraId="2709F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281" w:type="pct"/>
                  <w:tcBorders>
                    <w:top w:val="single" w:color="auto" w:sz="4" w:space="0"/>
                    <w:left w:val="single" w:color="auto" w:sz="4" w:space="0"/>
                    <w:bottom w:val="single" w:color="auto" w:sz="4" w:space="0"/>
                    <w:right w:val="single" w:color="auto" w:sz="4" w:space="0"/>
                    <w:tl2br w:val="nil"/>
                    <w:tr2bl w:val="nil"/>
                  </w:tcBorders>
                  <w:noWrap/>
                  <w:tcMar>
                    <w:left w:w="28" w:type="dxa"/>
                    <w:right w:w="28" w:type="dxa"/>
                  </w:tcMar>
                  <w:vAlign w:val="center"/>
                </w:tcPr>
                <w:p w14:paraId="79DDCAA5">
                  <w:pPr>
                    <w:spacing w:line="240" w:lineRule="auto"/>
                    <w:ind w:firstLine="0" w:firstLineChars="0"/>
                    <w:jc w:val="center"/>
                    <w:rPr>
                      <w:rFonts w:hint="default" w:eastAsia="宋体"/>
                      <w:color w:val="auto"/>
                      <w:sz w:val="22"/>
                      <w:szCs w:val="22"/>
                    </w:rPr>
                  </w:pPr>
                  <w:r>
                    <w:rPr>
                      <w:rFonts w:hint="default" w:eastAsia="宋体"/>
                      <w:color w:val="auto"/>
                      <w:sz w:val="22"/>
                      <w:szCs w:val="22"/>
                    </w:rPr>
                    <w:t>序号</w:t>
                  </w:r>
                </w:p>
              </w:tc>
              <w:tc>
                <w:tcPr>
                  <w:tcW w:w="1030" w:type="pct"/>
                  <w:tcBorders>
                    <w:top w:val="single" w:color="auto" w:sz="4" w:space="0"/>
                    <w:left w:val="single" w:color="auto" w:sz="4" w:space="0"/>
                    <w:bottom w:val="single" w:color="auto" w:sz="4" w:space="0"/>
                    <w:right w:val="single" w:color="auto" w:sz="4" w:space="0"/>
                    <w:tl2br w:val="nil"/>
                    <w:tr2bl w:val="nil"/>
                  </w:tcBorders>
                  <w:noWrap/>
                  <w:tcMar>
                    <w:left w:w="28" w:type="dxa"/>
                    <w:right w:w="28" w:type="dxa"/>
                  </w:tcMar>
                  <w:vAlign w:val="center"/>
                </w:tcPr>
                <w:p w14:paraId="1AB7B567">
                  <w:pPr>
                    <w:spacing w:line="240" w:lineRule="auto"/>
                    <w:ind w:firstLine="0" w:firstLineChars="0"/>
                    <w:jc w:val="center"/>
                    <w:rPr>
                      <w:rFonts w:hint="default" w:eastAsia="宋体"/>
                      <w:color w:val="auto"/>
                      <w:sz w:val="22"/>
                      <w:szCs w:val="22"/>
                    </w:rPr>
                  </w:pPr>
                  <w:r>
                    <w:rPr>
                      <w:rFonts w:hint="default" w:eastAsia="宋体"/>
                      <w:color w:val="auto"/>
                      <w:sz w:val="22"/>
                      <w:szCs w:val="22"/>
                    </w:rPr>
                    <w:t>危废编号</w:t>
                  </w:r>
                </w:p>
              </w:tc>
              <w:tc>
                <w:tcPr>
                  <w:tcW w:w="740" w:type="pct"/>
                  <w:tcBorders>
                    <w:top w:val="single" w:color="auto" w:sz="4" w:space="0"/>
                    <w:left w:val="single" w:color="auto" w:sz="4" w:space="0"/>
                    <w:bottom w:val="single" w:color="auto" w:sz="4" w:space="0"/>
                    <w:right w:val="single" w:color="auto" w:sz="4" w:space="0"/>
                    <w:tl2br w:val="nil"/>
                    <w:tr2bl w:val="nil"/>
                  </w:tcBorders>
                  <w:noWrap/>
                  <w:tcMar>
                    <w:left w:w="28" w:type="dxa"/>
                    <w:right w:w="28" w:type="dxa"/>
                  </w:tcMar>
                  <w:vAlign w:val="center"/>
                </w:tcPr>
                <w:p w14:paraId="627326C5">
                  <w:pPr>
                    <w:spacing w:line="240" w:lineRule="auto"/>
                    <w:ind w:firstLine="0" w:firstLineChars="0"/>
                    <w:jc w:val="center"/>
                    <w:rPr>
                      <w:rFonts w:hint="eastAsia" w:eastAsia="宋体"/>
                      <w:color w:val="auto"/>
                      <w:sz w:val="22"/>
                      <w:szCs w:val="22"/>
                      <w:lang w:eastAsia="zh-CN"/>
                    </w:rPr>
                  </w:pPr>
                  <w:r>
                    <w:rPr>
                      <w:rFonts w:hint="eastAsia" w:eastAsia="宋体"/>
                      <w:color w:val="auto"/>
                      <w:sz w:val="22"/>
                      <w:szCs w:val="22"/>
                      <w:lang w:eastAsia="zh-CN"/>
                    </w:rPr>
                    <w:t>危废代码</w:t>
                  </w:r>
                </w:p>
              </w:tc>
              <w:tc>
                <w:tcPr>
                  <w:tcW w:w="735" w:type="pct"/>
                  <w:tcBorders>
                    <w:top w:val="single" w:color="auto" w:sz="4" w:space="0"/>
                    <w:left w:val="single" w:color="auto" w:sz="4" w:space="0"/>
                    <w:bottom w:val="single" w:color="auto" w:sz="4" w:space="0"/>
                    <w:right w:val="single" w:color="auto" w:sz="4" w:space="0"/>
                    <w:tl2br w:val="nil"/>
                    <w:tr2bl w:val="nil"/>
                  </w:tcBorders>
                  <w:noWrap/>
                  <w:tcMar>
                    <w:left w:w="28" w:type="dxa"/>
                    <w:right w:w="28" w:type="dxa"/>
                  </w:tcMar>
                  <w:vAlign w:val="center"/>
                </w:tcPr>
                <w:p w14:paraId="176A0CAE">
                  <w:pPr>
                    <w:spacing w:line="240" w:lineRule="auto"/>
                    <w:ind w:firstLine="0" w:firstLineChars="0"/>
                    <w:jc w:val="center"/>
                    <w:rPr>
                      <w:rFonts w:hint="default" w:eastAsia="宋体"/>
                      <w:color w:val="auto"/>
                      <w:sz w:val="22"/>
                      <w:szCs w:val="22"/>
                    </w:rPr>
                  </w:pPr>
                  <w:r>
                    <w:rPr>
                      <w:rFonts w:hint="default" w:eastAsia="宋体"/>
                      <w:color w:val="auto"/>
                      <w:sz w:val="22"/>
                      <w:szCs w:val="22"/>
                    </w:rPr>
                    <w:t>危废名称</w:t>
                  </w:r>
                </w:p>
              </w:tc>
              <w:tc>
                <w:tcPr>
                  <w:tcW w:w="787" w:type="pct"/>
                  <w:tcBorders>
                    <w:top w:val="single" w:color="auto" w:sz="4" w:space="0"/>
                    <w:left w:val="single" w:color="auto" w:sz="4" w:space="0"/>
                    <w:bottom w:val="single" w:color="auto" w:sz="4" w:space="0"/>
                    <w:right w:val="single" w:color="auto" w:sz="4" w:space="0"/>
                    <w:tl2br w:val="nil"/>
                    <w:tr2bl w:val="nil"/>
                  </w:tcBorders>
                  <w:noWrap/>
                  <w:tcMar>
                    <w:left w:w="28" w:type="dxa"/>
                    <w:right w:w="28" w:type="dxa"/>
                  </w:tcMar>
                  <w:vAlign w:val="center"/>
                </w:tcPr>
                <w:p w14:paraId="314B4A2E">
                  <w:pPr>
                    <w:spacing w:line="240" w:lineRule="auto"/>
                    <w:ind w:firstLine="0" w:firstLineChars="0"/>
                    <w:jc w:val="center"/>
                    <w:rPr>
                      <w:rFonts w:hint="default" w:eastAsia="宋体"/>
                      <w:color w:val="auto"/>
                      <w:sz w:val="22"/>
                      <w:szCs w:val="22"/>
                    </w:rPr>
                  </w:pPr>
                  <w:r>
                    <w:rPr>
                      <w:rFonts w:hint="default" w:eastAsia="宋体"/>
                      <w:color w:val="auto"/>
                      <w:sz w:val="22"/>
                      <w:szCs w:val="22"/>
                    </w:rPr>
                    <w:t>最大存储量</w:t>
                  </w:r>
                </w:p>
              </w:tc>
              <w:tc>
                <w:tcPr>
                  <w:tcW w:w="703" w:type="pct"/>
                  <w:tcBorders>
                    <w:top w:val="single" w:color="auto" w:sz="4" w:space="0"/>
                    <w:left w:val="single" w:color="auto" w:sz="4" w:space="0"/>
                    <w:bottom w:val="single" w:color="auto" w:sz="4" w:space="0"/>
                    <w:right w:val="single" w:color="auto" w:sz="4" w:space="0"/>
                    <w:tl2br w:val="nil"/>
                    <w:tr2bl w:val="nil"/>
                  </w:tcBorders>
                  <w:noWrap/>
                  <w:vAlign w:val="center"/>
                </w:tcPr>
                <w:p w14:paraId="1DA47F49">
                  <w:pPr>
                    <w:spacing w:line="240" w:lineRule="auto"/>
                    <w:ind w:firstLine="0" w:firstLineChars="0"/>
                    <w:jc w:val="center"/>
                    <w:rPr>
                      <w:rFonts w:hint="default" w:eastAsia="宋体"/>
                      <w:color w:val="auto"/>
                      <w:sz w:val="22"/>
                      <w:szCs w:val="22"/>
                    </w:rPr>
                  </w:pPr>
                  <w:r>
                    <w:rPr>
                      <w:rFonts w:hint="default" w:eastAsia="宋体"/>
                      <w:color w:val="auto"/>
                      <w:sz w:val="22"/>
                      <w:szCs w:val="22"/>
                    </w:rPr>
                    <w:t>年产生量</w:t>
                  </w:r>
                </w:p>
              </w:tc>
              <w:tc>
                <w:tcPr>
                  <w:tcW w:w="721" w:type="pct"/>
                  <w:tcBorders>
                    <w:top w:val="single" w:color="auto" w:sz="4" w:space="0"/>
                    <w:left w:val="single" w:color="auto" w:sz="4" w:space="0"/>
                    <w:bottom w:val="single" w:color="auto" w:sz="4" w:space="0"/>
                    <w:right w:val="single" w:color="auto" w:sz="4" w:space="0"/>
                    <w:tl2br w:val="nil"/>
                    <w:tr2bl w:val="nil"/>
                  </w:tcBorders>
                  <w:noWrap/>
                  <w:vAlign w:val="center"/>
                </w:tcPr>
                <w:p w14:paraId="0B263D02">
                  <w:pPr>
                    <w:spacing w:line="240" w:lineRule="auto"/>
                    <w:ind w:firstLine="0" w:firstLineChars="0"/>
                    <w:jc w:val="center"/>
                    <w:rPr>
                      <w:rFonts w:hint="default" w:eastAsia="宋体"/>
                      <w:color w:val="auto"/>
                      <w:sz w:val="22"/>
                      <w:szCs w:val="22"/>
                    </w:rPr>
                  </w:pPr>
                  <w:r>
                    <w:rPr>
                      <w:rFonts w:hint="default" w:eastAsia="宋体"/>
                      <w:color w:val="auto"/>
                      <w:sz w:val="22"/>
                      <w:szCs w:val="22"/>
                    </w:rPr>
                    <w:t>危废来源</w:t>
                  </w:r>
                </w:p>
              </w:tc>
            </w:tr>
            <w:tr w14:paraId="7DD7B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281" w:type="pct"/>
                  <w:tcBorders>
                    <w:top w:val="single" w:color="auto" w:sz="4" w:space="0"/>
                    <w:left w:val="single" w:color="auto" w:sz="4" w:space="0"/>
                    <w:bottom w:val="single" w:color="auto" w:sz="4" w:space="0"/>
                    <w:right w:val="single" w:color="auto" w:sz="4" w:space="0"/>
                    <w:tl2br w:val="nil"/>
                    <w:tr2bl w:val="nil"/>
                  </w:tcBorders>
                  <w:noWrap/>
                  <w:tcMar>
                    <w:left w:w="28" w:type="dxa"/>
                    <w:right w:w="28" w:type="dxa"/>
                  </w:tcMar>
                  <w:vAlign w:val="center"/>
                </w:tcPr>
                <w:p w14:paraId="76ED4C77">
                  <w:pPr>
                    <w:spacing w:line="240" w:lineRule="auto"/>
                    <w:ind w:firstLine="0" w:firstLineChars="0"/>
                    <w:jc w:val="center"/>
                    <w:rPr>
                      <w:rFonts w:hint="default" w:eastAsia="宋体"/>
                      <w:color w:val="auto"/>
                      <w:sz w:val="22"/>
                      <w:szCs w:val="22"/>
                      <w:lang w:val="en-US" w:eastAsia="zh-CN"/>
                    </w:rPr>
                  </w:pPr>
                  <w:r>
                    <w:rPr>
                      <w:rFonts w:hint="eastAsia" w:eastAsia="宋体"/>
                      <w:color w:val="auto"/>
                      <w:sz w:val="22"/>
                      <w:szCs w:val="22"/>
                      <w:lang w:val="en-US" w:eastAsia="zh-CN"/>
                    </w:rPr>
                    <w:t>1</w:t>
                  </w:r>
                </w:p>
              </w:tc>
              <w:tc>
                <w:tcPr>
                  <w:tcW w:w="1030" w:type="pct"/>
                  <w:tcBorders>
                    <w:top w:val="single" w:color="auto" w:sz="4" w:space="0"/>
                    <w:left w:val="single" w:color="auto" w:sz="4" w:space="0"/>
                    <w:bottom w:val="single" w:color="auto" w:sz="4" w:space="0"/>
                    <w:right w:val="single" w:color="auto" w:sz="4" w:space="0"/>
                    <w:tl2br w:val="nil"/>
                    <w:tr2bl w:val="nil"/>
                  </w:tcBorders>
                  <w:noWrap/>
                  <w:tcMar>
                    <w:left w:w="28" w:type="dxa"/>
                    <w:right w:w="28" w:type="dxa"/>
                  </w:tcMar>
                  <w:vAlign w:val="center"/>
                </w:tcPr>
                <w:p w14:paraId="24E93381">
                  <w:pPr>
                    <w:spacing w:line="240" w:lineRule="auto"/>
                    <w:ind w:firstLine="0" w:firstLineChars="0"/>
                    <w:jc w:val="center"/>
                    <w:rPr>
                      <w:rFonts w:hint="default" w:eastAsia="宋体"/>
                      <w:color w:val="auto"/>
                      <w:sz w:val="22"/>
                      <w:szCs w:val="22"/>
                    </w:rPr>
                  </w:pPr>
                  <w:r>
                    <w:rPr>
                      <w:rFonts w:hint="default" w:eastAsia="宋体"/>
                      <w:color w:val="auto"/>
                      <w:sz w:val="22"/>
                      <w:szCs w:val="22"/>
                    </w:rPr>
                    <w:t>HW08废矿物油与含矿物油废物</w:t>
                  </w:r>
                </w:p>
              </w:tc>
              <w:tc>
                <w:tcPr>
                  <w:tcW w:w="740" w:type="pct"/>
                  <w:tcBorders>
                    <w:top w:val="single" w:color="auto" w:sz="4" w:space="0"/>
                    <w:left w:val="single" w:color="auto" w:sz="4" w:space="0"/>
                    <w:bottom w:val="single" w:color="auto" w:sz="4" w:space="0"/>
                    <w:right w:val="single" w:color="auto" w:sz="4" w:space="0"/>
                    <w:tl2br w:val="nil"/>
                    <w:tr2bl w:val="nil"/>
                  </w:tcBorders>
                  <w:noWrap/>
                  <w:tcMar>
                    <w:left w:w="28" w:type="dxa"/>
                    <w:right w:w="28" w:type="dxa"/>
                  </w:tcMar>
                  <w:vAlign w:val="center"/>
                </w:tcPr>
                <w:p w14:paraId="2B35F535">
                  <w:pPr>
                    <w:spacing w:line="240" w:lineRule="auto"/>
                    <w:ind w:firstLine="0" w:firstLineChars="0"/>
                    <w:jc w:val="center"/>
                    <w:rPr>
                      <w:rFonts w:hint="default" w:eastAsia="宋体"/>
                      <w:color w:val="auto"/>
                      <w:sz w:val="22"/>
                      <w:szCs w:val="22"/>
                    </w:rPr>
                  </w:pPr>
                  <w:r>
                    <w:rPr>
                      <w:rFonts w:hint="default" w:eastAsia="宋体"/>
                      <w:color w:val="auto"/>
                      <w:sz w:val="22"/>
                      <w:szCs w:val="22"/>
                    </w:rPr>
                    <w:t>900-214-08</w:t>
                  </w:r>
                </w:p>
              </w:tc>
              <w:tc>
                <w:tcPr>
                  <w:tcW w:w="735" w:type="pct"/>
                  <w:tcBorders>
                    <w:top w:val="single" w:color="auto" w:sz="4" w:space="0"/>
                    <w:left w:val="single" w:color="auto" w:sz="4" w:space="0"/>
                    <w:bottom w:val="single" w:color="auto" w:sz="4" w:space="0"/>
                    <w:right w:val="single" w:color="auto" w:sz="4" w:space="0"/>
                    <w:tl2br w:val="nil"/>
                    <w:tr2bl w:val="nil"/>
                  </w:tcBorders>
                  <w:noWrap/>
                  <w:tcMar>
                    <w:left w:w="28" w:type="dxa"/>
                    <w:right w:w="28" w:type="dxa"/>
                  </w:tcMar>
                  <w:vAlign w:val="center"/>
                </w:tcPr>
                <w:p w14:paraId="6AC9BF97">
                  <w:pPr>
                    <w:spacing w:line="240" w:lineRule="auto"/>
                    <w:ind w:firstLine="0" w:firstLineChars="0"/>
                    <w:jc w:val="center"/>
                    <w:rPr>
                      <w:rFonts w:hint="default"/>
                      <w:color w:val="auto"/>
                      <w:sz w:val="22"/>
                      <w:szCs w:val="22"/>
                    </w:rPr>
                  </w:pPr>
                  <w:r>
                    <w:rPr>
                      <w:rFonts w:hint="default" w:eastAsia="宋体"/>
                      <w:color w:val="auto"/>
                      <w:sz w:val="22"/>
                      <w:szCs w:val="22"/>
                    </w:rPr>
                    <w:t>废矿物油</w:t>
                  </w:r>
                </w:p>
              </w:tc>
              <w:tc>
                <w:tcPr>
                  <w:tcW w:w="787" w:type="pct"/>
                  <w:tcBorders>
                    <w:top w:val="single" w:color="auto" w:sz="4" w:space="0"/>
                    <w:left w:val="single" w:color="auto" w:sz="4" w:space="0"/>
                    <w:bottom w:val="single" w:color="auto" w:sz="4" w:space="0"/>
                    <w:right w:val="single" w:color="auto" w:sz="4" w:space="0"/>
                    <w:tl2br w:val="nil"/>
                    <w:tr2bl w:val="nil"/>
                  </w:tcBorders>
                  <w:noWrap/>
                  <w:tcMar>
                    <w:left w:w="28" w:type="dxa"/>
                    <w:right w:w="28" w:type="dxa"/>
                  </w:tcMar>
                  <w:vAlign w:val="center"/>
                </w:tcPr>
                <w:p w14:paraId="1127D00B">
                  <w:pPr>
                    <w:spacing w:line="240" w:lineRule="auto"/>
                    <w:ind w:firstLine="0" w:firstLineChars="0"/>
                    <w:jc w:val="center"/>
                    <w:rPr>
                      <w:rFonts w:hint="default"/>
                      <w:color w:val="auto"/>
                      <w:sz w:val="22"/>
                      <w:szCs w:val="22"/>
                    </w:rPr>
                  </w:pPr>
                  <w:r>
                    <w:rPr>
                      <w:rFonts w:hint="eastAsia" w:eastAsia="宋体"/>
                      <w:color w:val="auto"/>
                      <w:sz w:val="22"/>
                      <w:szCs w:val="22"/>
                      <w:lang w:val="en-US" w:eastAsia="zh-CN"/>
                    </w:rPr>
                    <w:t>0.5</w:t>
                  </w:r>
                  <w:r>
                    <w:rPr>
                      <w:rFonts w:hint="default" w:eastAsia="宋体"/>
                      <w:color w:val="auto"/>
                      <w:sz w:val="22"/>
                      <w:szCs w:val="22"/>
                    </w:rPr>
                    <w:t>t</w:t>
                  </w:r>
                </w:p>
              </w:tc>
              <w:tc>
                <w:tcPr>
                  <w:tcW w:w="703" w:type="pct"/>
                  <w:tcBorders>
                    <w:top w:val="single" w:color="auto" w:sz="4" w:space="0"/>
                    <w:left w:val="single" w:color="auto" w:sz="4" w:space="0"/>
                    <w:bottom w:val="single" w:color="auto" w:sz="4" w:space="0"/>
                    <w:right w:val="single" w:color="auto" w:sz="4" w:space="0"/>
                    <w:tl2br w:val="nil"/>
                    <w:tr2bl w:val="nil"/>
                  </w:tcBorders>
                  <w:noWrap/>
                  <w:vAlign w:val="center"/>
                </w:tcPr>
                <w:p w14:paraId="6B7796DE">
                  <w:pPr>
                    <w:spacing w:line="240" w:lineRule="auto"/>
                    <w:ind w:firstLine="0" w:firstLineChars="0"/>
                    <w:jc w:val="center"/>
                    <w:rPr>
                      <w:rFonts w:hint="default"/>
                      <w:color w:val="auto"/>
                      <w:sz w:val="22"/>
                      <w:szCs w:val="22"/>
                    </w:rPr>
                  </w:pPr>
                  <w:r>
                    <w:rPr>
                      <w:rFonts w:hint="eastAsia" w:eastAsia="宋体"/>
                      <w:color w:val="auto"/>
                      <w:sz w:val="22"/>
                      <w:szCs w:val="22"/>
                      <w:lang w:val="en-US" w:eastAsia="zh-CN"/>
                    </w:rPr>
                    <w:t>0.5</w:t>
                  </w:r>
                  <w:r>
                    <w:rPr>
                      <w:rFonts w:hint="default" w:eastAsia="宋体"/>
                      <w:color w:val="auto"/>
                      <w:sz w:val="22"/>
                      <w:szCs w:val="22"/>
                    </w:rPr>
                    <w:t>t/a</w:t>
                  </w:r>
                </w:p>
              </w:tc>
              <w:tc>
                <w:tcPr>
                  <w:tcW w:w="721" w:type="pct"/>
                  <w:tcBorders>
                    <w:top w:val="single" w:color="auto" w:sz="4" w:space="0"/>
                    <w:left w:val="single" w:color="auto" w:sz="4" w:space="0"/>
                    <w:bottom w:val="single" w:color="auto" w:sz="4" w:space="0"/>
                    <w:right w:val="single" w:color="auto" w:sz="4" w:space="0"/>
                    <w:tl2br w:val="nil"/>
                    <w:tr2bl w:val="nil"/>
                  </w:tcBorders>
                  <w:noWrap/>
                  <w:vAlign w:val="center"/>
                </w:tcPr>
                <w:p w14:paraId="127F2184">
                  <w:pPr>
                    <w:spacing w:line="240" w:lineRule="auto"/>
                    <w:ind w:firstLine="0" w:firstLineChars="0"/>
                    <w:jc w:val="center"/>
                    <w:rPr>
                      <w:rFonts w:hint="default"/>
                      <w:color w:val="auto"/>
                      <w:sz w:val="22"/>
                      <w:szCs w:val="22"/>
                    </w:rPr>
                  </w:pPr>
                  <w:r>
                    <w:rPr>
                      <w:rFonts w:hint="default" w:eastAsia="宋体"/>
                      <w:color w:val="auto"/>
                      <w:sz w:val="22"/>
                      <w:szCs w:val="22"/>
                    </w:rPr>
                    <w:t>维修过程</w:t>
                  </w:r>
                </w:p>
              </w:tc>
            </w:tr>
            <w:tr w14:paraId="2C2D5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81" w:type="pct"/>
                  <w:tcBorders>
                    <w:top w:val="single" w:color="auto" w:sz="4" w:space="0"/>
                    <w:left w:val="single" w:color="auto" w:sz="4" w:space="0"/>
                    <w:bottom w:val="single" w:color="auto" w:sz="4" w:space="0"/>
                    <w:right w:val="single" w:color="auto" w:sz="4" w:space="0"/>
                    <w:tl2br w:val="nil"/>
                    <w:tr2bl w:val="nil"/>
                  </w:tcBorders>
                  <w:noWrap/>
                  <w:tcMar>
                    <w:left w:w="28" w:type="dxa"/>
                    <w:right w:w="28" w:type="dxa"/>
                  </w:tcMar>
                  <w:vAlign w:val="center"/>
                </w:tcPr>
                <w:p w14:paraId="479E3B9B">
                  <w:pPr>
                    <w:spacing w:line="240" w:lineRule="auto"/>
                    <w:ind w:firstLine="0" w:firstLineChars="0"/>
                    <w:jc w:val="center"/>
                    <w:rPr>
                      <w:rFonts w:hint="default" w:eastAsia="宋体"/>
                      <w:color w:val="auto"/>
                      <w:sz w:val="22"/>
                      <w:szCs w:val="22"/>
                      <w:lang w:val="en-US" w:eastAsia="zh-CN"/>
                    </w:rPr>
                  </w:pPr>
                  <w:r>
                    <w:rPr>
                      <w:rFonts w:hint="eastAsia" w:eastAsia="宋体"/>
                      <w:color w:val="auto"/>
                      <w:sz w:val="22"/>
                      <w:szCs w:val="22"/>
                      <w:lang w:val="en-US" w:eastAsia="zh-CN"/>
                    </w:rPr>
                    <w:t>2</w:t>
                  </w:r>
                </w:p>
              </w:tc>
              <w:tc>
                <w:tcPr>
                  <w:tcW w:w="1030" w:type="pct"/>
                  <w:tcBorders>
                    <w:top w:val="single" w:color="auto" w:sz="4" w:space="0"/>
                    <w:left w:val="single" w:color="auto" w:sz="4" w:space="0"/>
                    <w:bottom w:val="single" w:color="auto" w:sz="4" w:space="0"/>
                    <w:right w:val="single" w:color="auto" w:sz="4" w:space="0"/>
                    <w:tl2br w:val="nil"/>
                    <w:tr2bl w:val="nil"/>
                  </w:tcBorders>
                  <w:noWrap/>
                  <w:tcMar>
                    <w:left w:w="28" w:type="dxa"/>
                    <w:right w:w="28" w:type="dxa"/>
                  </w:tcMar>
                  <w:vAlign w:val="center"/>
                </w:tcPr>
                <w:p w14:paraId="7AF9CCAB">
                  <w:pPr>
                    <w:spacing w:line="240" w:lineRule="auto"/>
                    <w:ind w:firstLine="0" w:firstLineChars="0"/>
                    <w:jc w:val="center"/>
                    <w:rPr>
                      <w:rFonts w:hint="default" w:eastAsia="宋体"/>
                      <w:color w:val="auto"/>
                      <w:sz w:val="22"/>
                      <w:szCs w:val="22"/>
                    </w:rPr>
                  </w:pPr>
                  <w:r>
                    <w:rPr>
                      <w:rFonts w:hint="default" w:eastAsia="宋体"/>
                      <w:color w:val="auto"/>
                      <w:sz w:val="22"/>
                      <w:szCs w:val="22"/>
                    </w:rPr>
                    <w:t>HW08废矿物油与含矿物油废物</w:t>
                  </w:r>
                </w:p>
              </w:tc>
              <w:tc>
                <w:tcPr>
                  <w:tcW w:w="740" w:type="pct"/>
                  <w:tcBorders>
                    <w:top w:val="single" w:color="auto" w:sz="4" w:space="0"/>
                    <w:left w:val="single" w:color="auto" w:sz="4" w:space="0"/>
                    <w:bottom w:val="single" w:color="auto" w:sz="4" w:space="0"/>
                    <w:right w:val="single" w:color="auto" w:sz="4" w:space="0"/>
                    <w:tl2br w:val="nil"/>
                    <w:tr2bl w:val="nil"/>
                  </w:tcBorders>
                  <w:noWrap/>
                  <w:tcMar>
                    <w:left w:w="28" w:type="dxa"/>
                    <w:right w:w="28" w:type="dxa"/>
                  </w:tcMar>
                  <w:vAlign w:val="center"/>
                </w:tcPr>
                <w:p w14:paraId="1F252C39">
                  <w:pPr>
                    <w:spacing w:line="240" w:lineRule="auto"/>
                    <w:ind w:firstLine="0" w:firstLineChars="0"/>
                    <w:jc w:val="center"/>
                    <w:rPr>
                      <w:rFonts w:hint="default" w:eastAsia="宋体"/>
                      <w:color w:val="auto"/>
                      <w:sz w:val="22"/>
                      <w:szCs w:val="22"/>
                    </w:rPr>
                  </w:pPr>
                  <w:r>
                    <w:rPr>
                      <w:rFonts w:hint="default" w:eastAsia="宋体"/>
                      <w:color w:val="auto"/>
                      <w:sz w:val="22"/>
                      <w:szCs w:val="22"/>
                      <w:lang w:val="en-US" w:eastAsia="zh-CN"/>
                    </w:rPr>
                    <w:t>900-249-08</w:t>
                  </w:r>
                </w:p>
              </w:tc>
              <w:tc>
                <w:tcPr>
                  <w:tcW w:w="735" w:type="pct"/>
                  <w:tcBorders>
                    <w:top w:val="single" w:color="auto" w:sz="4" w:space="0"/>
                    <w:left w:val="single" w:color="auto" w:sz="4" w:space="0"/>
                    <w:bottom w:val="single" w:color="auto" w:sz="4" w:space="0"/>
                    <w:right w:val="single" w:color="auto" w:sz="4" w:space="0"/>
                    <w:tl2br w:val="nil"/>
                    <w:tr2bl w:val="nil"/>
                  </w:tcBorders>
                  <w:noWrap/>
                  <w:tcMar>
                    <w:left w:w="28" w:type="dxa"/>
                    <w:right w:w="28" w:type="dxa"/>
                  </w:tcMar>
                  <w:vAlign w:val="center"/>
                </w:tcPr>
                <w:p w14:paraId="46B0AEC5">
                  <w:pPr>
                    <w:spacing w:line="240" w:lineRule="auto"/>
                    <w:ind w:firstLine="0" w:firstLineChars="0"/>
                    <w:jc w:val="center"/>
                    <w:rPr>
                      <w:rFonts w:hint="default"/>
                      <w:color w:val="auto"/>
                      <w:sz w:val="22"/>
                      <w:szCs w:val="22"/>
                    </w:rPr>
                  </w:pPr>
                  <w:r>
                    <w:rPr>
                      <w:rFonts w:hint="default"/>
                      <w:color w:val="auto"/>
                      <w:sz w:val="22"/>
                      <w:szCs w:val="22"/>
                      <w:lang w:val="en-US" w:eastAsia="zh-CN"/>
                    </w:rPr>
                    <w:t>盛装“干净”矿物油的空桶</w:t>
                  </w:r>
                </w:p>
              </w:tc>
              <w:tc>
                <w:tcPr>
                  <w:tcW w:w="787" w:type="pct"/>
                  <w:tcBorders>
                    <w:top w:val="single" w:color="auto" w:sz="4" w:space="0"/>
                    <w:left w:val="single" w:color="auto" w:sz="4" w:space="0"/>
                    <w:bottom w:val="single" w:color="auto" w:sz="4" w:space="0"/>
                    <w:right w:val="single" w:color="auto" w:sz="4" w:space="0"/>
                    <w:tl2br w:val="nil"/>
                    <w:tr2bl w:val="nil"/>
                  </w:tcBorders>
                  <w:noWrap/>
                  <w:tcMar>
                    <w:left w:w="28" w:type="dxa"/>
                    <w:right w:w="28" w:type="dxa"/>
                  </w:tcMar>
                  <w:vAlign w:val="center"/>
                </w:tcPr>
                <w:p w14:paraId="55E941DE">
                  <w:pPr>
                    <w:spacing w:line="240" w:lineRule="auto"/>
                    <w:ind w:firstLine="0" w:firstLineChars="0"/>
                    <w:jc w:val="center"/>
                    <w:rPr>
                      <w:rFonts w:hint="default"/>
                      <w:color w:val="auto"/>
                      <w:sz w:val="22"/>
                      <w:szCs w:val="22"/>
                    </w:rPr>
                  </w:pPr>
                  <w:r>
                    <w:rPr>
                      <w:rFonts w:hint="eastAsia" w:eastAsia="宋体"/>
                      <w:color w:val="auto"/>
                      <w:sz w:val="22"/>
                      <w:szCs w:val="22"/>
                      <w:lang w:val="en-US" w:eastAsia="zh-CN"/>
                    </w:rPr>
                    <w:t>0.5</w:t>
                  </w:r>
                  <w:r>
                    <w:rPr>
                      <w:rFonts w:hint="default" w:eastAsia="宋体"/>
                      <w:color w:val="auto"/>
                      <w:sz w:val="22"/>
                      <w:szCs w:val="22"/>
                    </w:rPr>
                    <w:t>t</w:t>
                  </w:r>
                </w:p>
              </w:tc>
              <w:tc>
                <w:tcPr>
                  <w:tcW w:w="703" w:type="pct"/>
                  <w:tcBorders>
                    <w:top w:val="single" w:color="auto" w:sz="4" w:space="0"/>
                    <w:left w:val="single" w:color="auto" w:sz="4" w:space="0"/>
                    <w:bottom w:val="single" w:color="auto" w:sz="4" w:space="0"/>
                    <w:right w:val="single" w:color="auto" w:sz="4" w:space="0"/>
                    <w:tl2br w:val="nil"/>
                    <w:tr2bl w:val="nil"/>
                  </w:tcBorders>
                  <w:noWrap/>
                  <w:vAlign w:val="center"/>
                </w:tcPr>
                <w:p w14:paraId="79E55CD5">
                  <w:pPr>
                    <w:spacing w:line="240" w:lineRule="auto"/>
                    <w:ind w:firstLine="0" w:firstLineChars="0"/>
                    <w:jc w:val="center"/>
                    <w:rPr>
                      <w:rFonts w:hint="default"/>
                      <w:color w:val="auto"/>
                      <w:sz w:val="22"/>
                      <w:szCs w:val="22"/>
                    </w:rPr>
                  </w:pPr>
                  <w:r>
                    <w:rPr>
                      <w:rFonts w:hint="eastAsia" w:eastAsia="宋体"/>
                      <w:color w:val="auto"/>
                      <w:sz w:val="22"/>
                      <w:szCs w:val="22"/>
                      <w:lang w:val="en-US" w:eastAsia="zh-CN"/>
                    </w:rPr>
                    <w:t>0.05</w:t>
                  </w:r>
                  <w:r>
                    <w:rPr>
                      <w:rFonts w:hint="default" w:eastAsia="宋体"/>
                      <w:color w:val="auto"/>
                      <w:sz w:val="22"/>
                      <w:szCs w:val="22"/>
                    </w:rPr>
                    <w:t>t/a</w:t>
                  </w:r>
                </w:p>
              </w:tc>
              <w:tc>
                <w:tcPr>
                  <w:tcW w:w="721" w:type="pct"/>
                  <w:tcBorders>
                    <w:top w:val="single" w:color="auto" w:sz="4" w:space="0"/>
                    <w:left w:val="single" w:color="auto" w:sz="4" w:space="0"/>
                    <w:bottom w:val="single" w:color="auto" w:sz="4" w:space="0"/>
                    <w:right w:val="single" w:color="auto" w:sz="4" w:space="0"/>
                    <w:tl2br w:val="nil"/>
                    <w:tr2bl w:val="nil"/>
                  </w:tcBorders>
                  <w:noWrap/>
                  <w:vAlign w:val="center"/>
                </w:tcPr>
                <w:p w14:paraId="4487C61E">
                  <w:pPr>
                    <w:spacing w:line="240" w:lineRule="auto"/>
                    <w:ind w:firstLine="0" w:firstLineChars="0"/>
                    <w:jc w:val="center"/>
                    <w:rPr>
                      <w:rFonts w:hint="default" w:eastAsia="宋体"/>
                      <w:color w:val="auto"/>
                      <w:sz w:val="22"/>
                      <w:szCs w:val="22"/>
                    </w:rPr>
                  </w:pPr>
                  <w:r>
                    <w:rPr>
                      <w:rFonts w:hint="default" w:eastAsia="宋体"/>
                      <w:color w:val="auto"/>
                      <w:sz w:val="22"/>
                      <w:szCs w:val="22"/>
                    </w:rPr>
                    <w:t>维修过程</w:t>
                  </w:r>
                </w:p>
              </w:tc>
            </w:tr>
            <w:tr w14:paraId="56CBF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81" w:type="pct"/>
                  <w:tcBorders>
                    <w:top w:val="single" w:color="auto" w:sz="4" w:space="0"/>
                    <w:left w:val="single" w:color="auto" w:sz="4" w:space="0"/>
                    <w:bottom w:val="single" w:color="auto" w:sz="4" w:space="0"/>
                    <w:right w:val="single" w:color="auto" w:sz="4" w:space="0"/>
                    <w:tl2br w:val="nil"/>
                    <w:tr2bl w:val="nil"/>
                  </w:tcBorders>
                  <w:noWrap/>
                  <w:tcMar>
                    <w:left w:w="28" w:type="dxa"/>
                    <w:right w:w="28" w:type="dxa"/>
                  </w:tcMar>
                  <w:vAlign w:val="center"/>
                </w:tcPr>
                <w:p w14:paraId="4ABE0296">
                  <w:pPr>
                    <w:spacing w:line="240" w:lineRule="auto"/>
                    <w:ind w:firstLine="0" w:firstLineChars="0"/>
                    <w:jc w:val="center"/>
                    <w:rPr>
                      <w:rFonts w:hint="default" w:eastAsia="宋体"/>
                      <w:color w:val="auto"/>
                      <w:sz w:val="22"/>
                      <w:szCs w:val="22"/>
                      <w:lang w:val="en-US" w:eastAsia="zh-CN"/>
                    </w:rPr>
                  </w:pPr>
                  <w:r>
                    <w:rPr>
                      <w:rFonts w:hint="eastAsia" w:eastAsia="宋体"/>
                      <w:color w:val="auto"/>
                      <w:sz w:val="22"/>
                      <w:szCs w:val="22"/>
                      <w:lang w:val="en-US" w:eastAsia="zh-CN"/>
                    </w:rPr>
                    <w:t>3</w:t>
                  </w:r>
                </w:p>
              </w:tc>
              <w:tc>
                <w:tcPr>
                  <w:tcW w:w="1030" w:type="pct"/>
                  <w:tcBorders>
                    <w:top w:val="single" w:color="auto" w:sz="4" w:space="0"/>
                    <w:left w:val="single" w:color="auto" w:sz="4" w:space="0"/>
                    <w:bottom w:val="single" w:color="auto" w:sz="4" w:space="0"/>
                    <w:right w:val="single" w:color="auto" w:sz="4" w:space="0"/>
                    <w:tl2br w:val="nil"/>
                    <w:tr2bl w:val="nil"/>
                  </w:tcBorders>
                  <w:noWrap/>
                  <w:tcMar>
                    <w:left w:w="28" w:type="dxa"/>
                    <w:right w:w="28" w:type="dxa"/>
                  </w:tcMar>
                  <w:vAlign w:val="center"/>
                </w:tcPr>
                <w:p w14:paraId="33F5197C">
                  <w:pPr>
                    <w:spacing w:line="240" w:lineRule="auto"/>
                    <w:ind w:firstLine="0" w:firstLineChars="0"/>
                    <w:jc w:val="center"/>
                    <w:rPr>
                      <w:rFonts w:hint="default" w:eastAsia="宋体"/>
                      <w:color w:val="auto"/>
                      <w:sz w:val="22"/>
                      <w:szCs w:val="22"/>
                    </w:rPr>
                  </w:pPr>
                  <w:r>
                    <w:rPr>
                      <w:rFonts w:hint="default" w:eastAsia="宋体"/>
                      <w:color w:val="auto"/>
                      <w:sz w:val="22"/>
                      <w:szCs w:val="22"/>
                    </w:rPr>
                    <w:t>HW49</w:t>
                  </w:r>
                  <w:r>
                    <w:rPr>
                      <w:rFonts w:hint="eastAsia" w:eastAsia="宋体"/>
                      <w:color w:val="auto"/>
                      <w:sz w:val="22"/>
                      <w:szCs w:val="22"/>
                      <w:lang w:eastAsia="zh-CN"/>
                    </w:rPr>
                    <w:t>其他</w:t>
                  </w:r>
                  <w:r>
                    <w:rPr>
                      <w:rFonts w:hint="default" w:eastAsia="宋体"/>
                      <w:color w:val="auto"/>
                      <w:sz w:val="22"/>
                      <w:szCs w:val="22"/>
                    </w:rPr>
                    <w:t>废物</w:t>
                  </w:r>
                </w:p>
              </w:tc>
              <w:tc>
                <w:tcPr>
                  <w:tcW w:w="740" w:type="pct"/>
                  <w:tcBorders>
                    <w:top w:val="single" w:color="auto" w:sz="4" w:space="0"/>
                    <w:left w:val="single" w:color="auto" w:sz="4" w:space="0"/>
                    <w:bottom w:val="single" w:color="auto" w:sz="4" w:space="0"/>
                    <w:right w:val="single" w:color="auto" w:sz="4" w:space="0"/>
                    <w:tl2br w:val="nil"/>
                    <w:tr2bl w:val="nil"/>
                  </w:tcBorders>
                  <w:noWrap/>
                  <w:tcMar>
                    <w:left w:w="28" w:type="dxa"/>
                    <w:right w:w="28" w:type="dxa"/>
                  </w:tcMar>
                  <w:vAlign w:val="center"/>
                </w:tcPr>
                <w:p w14:paraId="45ECA9E3">
                  <w:pPr>
                    <w:spacing w:line="240" w:lineRule="auto"/>
                    <w:ind w:firstLine="0" w:firstLineChars="0"/>
                    <w:jc w:val="center"/>
                    <w:rPr>
                      <w:rFonts w:hint="default" w:eastAsia="宋体"/>
                      <w:color w:val="auto"/>
                      <w:sz w:val="22"/>
                      <w:szCs w:val="22"/>
                    </w:rPr>
                  </w:pPr>
                  <w:r>
                    <w:rPr>
                      <w:rFonts w:hint="default" w:eastAsia="宋体"/>
                      <w:color w:val="auto"/>
                      <w:sz w:val="22"/>
                      <w:szCs w:val="22"/>
                    </w:rPr>
                    <w:t>900-041-49</w:t>
                  </w:r>
                </w:p>
              </w:tc>
              <w:tc>
                <w:tcPr>
                  <w:tcW w:w="735" w:type="pct"/>
                  <w:tcBorders>
                    <w:top w:val="single" w:color="auto" w:sz="4" w:space="0"/>
                    <w:left w:val="single" w:color="auto" w:sz="4" w:space="0"/>
                    <w:bottom w:val="single" w:color="auto" w:sz="4" w:space="0"/>
                    <w:right w:val="single" w:color="auto" w:sz="4" w:space="0"/>
                    <w:tl2br w:val="nil"/>
                    <w:tr2bl w:val="nil"/>
                  </w:tcBorders>
                  <w:noWrap/>
                  <w:tcMar>
                    <w:left w:w="28" w:type="dxa"/>
                    <w:right w:w="28" w:type="dxa"/>
                  </w:tcMar>
                  <w:vAlign w:val="center"/>
                </w:tcPr>
                <w:p w14:paraId="0191169A">
                  <w:pPr>
                    <w:spacing w:line="240" w:lineRule="auto"/>
                    <w:ind w:firstLine="0" w:firstLineChars="0"/>
                    <w:jc w:val="center"/>
                    <w:rPr>
                      <w:rFonts w:hint="eastAsia" w:eastAsia="宋体"/>
                      <w:color w:val="auto"/>
                      <w:sz w:val="22"/>
                      <w:szCs w:val="22"/>
                      <w:lang w:eastAsia="zh-CN"/>
                    </w:rPr>
                  </w:pPr>
                  <w:r>
                    <w:rPr>
                      <w:rFonts w:hint="eastAsia" w:eastAsia="宋体"/>
                      <w:color w:val="auto"/>
                      <w:sz w:val="22"/>
                      <w:szCs w:val="22"/>
                      <w:lang w:eastAsia="zh-CN"/>
                    </w:rPr>
                    <w:t>废油桶</w:t>
                  </w:r>
                </w:p>
              </w:tc>
              <w:tc>
                <w:tcPr>
                  <w:tcW w:w="787" w:type="pct"/>
                  <w:tcBorders>
                    <w:top w:val="single" w:color="auto" w:sz="4" w:space="0"/>
                    <w:left w:val="single" w:color="auto" w:sz="4" w:space="0"/>
                    <w:bottom w:val="single" w:color="auto" w:sz="4" w:space="0"/>
                    <w:right w:val="single" w:color="auto" w:sz="4" w:space="0"/>
                    <w:tl2br w:val="nil"/>
                    <w:tr2bl w:val="nil"/>
                  </w:tcBorders>
                  <w:noWrap/>
                  <w:tcMar>
                    <w:left w:w="28" w:type="dxa"/>
                    <w:right w:w="28" w:type="dxa"/>
                  </w:tcMar>
                  <w:vAlign w:val="center"/>
                </w:tcPr>
                <w:p w14:paraId="22840F1A">
                  <w:pPr>
                    <w:spacing w:line="240" w:lineRule="auto"/>
                    <w:ind w:firstLine="0" w:firstLineChars="0"/>
                    <w:jc w:val="center"/>
                    <w:rPr>
                      <w:rFonts w:hint="default"/>
                      <w:color w:val="auto"/>
                      <w:sz w:val="22"/>
                      <w:szCs w:val="22"/>
                    </w:rPr>
                  </w:pPr>
                  <w:r>
                    <w:rPr>
                      <w:rFonts w:hint="eastAsia" w:eastAsia="宋体"/>
                      <w:color w:val="auto"/>
                      <w:sz w:val="22"/>
                      <w:szCs w:val="22"/>
                      <w:lang w:val="en-US" w:eastAsia="zh-CN"/>
                    </w:rPr>
                    <w:t>0.5</w:t>
                  </w:r>
                  <w:r>
                    <w:rPr>
                      <w:rFonts w:hint="default" w:eastAsia="宋体"/>
                      <w:color w:val="auto"/>
                      <w:sz w:val="22"/>
                      <w:szCs w:val="22"/>
                    </w:rPr>
                    <w:t>t</w:t>
                  </w:r>
                </w:p>
              </w:tc>
              <w:tc>
                <w:tcPr>
                  <w:tcW w:w="703" w:type="pct"/>
                  <w:tcBorders>
                    <w:top w:val="single" w:color="auto" w:sz="4" w:space="0"/>
                    <w:left w:val="single" w:color="auto" w:sz="4" w:space="0"/>
                    <w:bottom w:val="single" w:color="auto" w:sz="4" w:space="0"/>
                    <w:right w:val="single" w:color="auto" w:sz="4" w:space="0"/>
                    <w:tl2br w:val="nil"/>
                    <w:tr2bl w:val="nil"/>
                  </w:tcBorders>
                  <w:noWrap/>
                  <w:vAlign w:val="center"/>
                </w:tcPr>
                <w:p w14:paraId="3948EE23">
                  <w:pPr>
                    <w:spacing w:line="240" w:lineRule="auto"/>
                    <w:ind w:firstLine="0" w:firstLineChars="0"/>
                    <w:jc w:val="center"/>
                    <w:rPr>
                      <w:rFonts w:hint="default"/>
                      <w:color w:val="auto"/>
                      <w:sz w:val="22"/>
                      <w:szCs w:val="22"/>
                    </w:rPr>
                  </w:pPr>
                  <w:r>
                    <w:rPr>
                      <w:rFonts w:hint="default"/>
                      <w:color w:val="auto"/>
                      <w:sz w:val="22"/>
                      <w:szCs w:val="22"/>
                      <w:lang w:val="en-US" w:eastAsia="zh-CN"/>
                    </w:rPr>
                    <w:t>0.05</w:t>
                  </w:r>
                  <w:r>
                    <w:rPr>
                      <w:rFonts w:hint="default"/>
                      <w:color w:val="auto"/>
                      <w:sz w:val="22"/>
                      <w:szCs w:val="22"/>
                    </w:rPr>
                    <w:t>t/a</w:t>
                  </w:r>
                </w:p>
              </w:tc>
              <w:tc>
                <w:tcPr>
                  <w:tcW w:w="721" w:type="pct"/>
                  <w:tcBorders>
                    <w:top w:val="single" w:color="auto" w:sz="4" w:space="0"/>
                    <w:left w:val="single" w:color="auto" w:sz="4" w:space="0"/>
                    <w:bottom w:val="single" w:color="auto" w:sz="4" w:space="0"/>
                    <w:right w:val="single" w:color="auto" w:sz="4" w:space="0"/>
                    <w:tl2br w:val="nil"/>
                    <w:tr2bl w:val="nil"/>
                  </w:tcBorders>
                  <w:noWrap/>
                  <w:vAlign w:val="center"/>
                </w:tcPr>
                <w:p w14:paraId="27487364">
                  <w:pPr>
                    <w:spacing w:line="240" w:lineRule="auto"/>
                    <w:ind w:firstLine="0" w:firstLineChars="0"/>
                    <w:jc w:val="center"/>
                    <w:rPr>
                      <w:rFonts w:hint="default" w:eastAsia="宋体"/>
                      <w:color w:val="auto"/>
                      <w:sz w:val="22"/>
                      <w:szCs w:val="22"/>
                    </w:rPr>
                  </w:pPr>
                  <w:r>
                    <w:rPr>
                      <w:rFonts w:hint="default" w:eastAsia="宋体"/>
                      <w:color w:val="auto"/>
                      <w:sz w:val="22"/>
                      <w:szCs w:val="22"/>
                    </w:rPr>
                    <w:t>维修过程</w:t>
                  </w:r>
                </w:p>
              </w:tc>
            </w:tr>
            <w:tr w14:paraId="3EF91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81" w:type="pct"/>
                  <w:tcBorders>
                    <w:top w:val="single" w:color="auto" w:sz="4" w:space="0"/>
                    <w:left w:val="single" w:color="auto" w:sz="4" w:space="0"/>
                    <w:bottom w:val="single" w:color="auto" w:sz="4" w:space="0"/>
                    <w:right w:val="single" w:color="auto" w:sz="4" w:space="0"/>
                    <w:tl2br w:val="nil"/>
                    <w:tr2bl w:val="nil"/>
                  </w:tcBorders>
                  <w:noWrap/>
                  <w:tcMar>
                    <w:left w:w="28" w:type="dxa"/>
                    <w:right w:w="28" w:type="dxa"/>
                  </w:tcMar>
                  <w:vAlign w:val="center"/>
                </w:tcPr>
                <w:p w14:paraId="63D7290A">
                  <w:pPr>
                    <w:spacing w:line="240" w:lineRule="auto"/>
                    <w:ind w:firstLine="0" w:firstLineChars="0"/>
                    <w:jc w:val="center"/>
                    <w:rPr>
                      <w:rFonts w:hint="default" w:eastAsia="宋体"/>
                      <w:color w:val="auto"/>
                      <w:sz w:val="22"/>
                      <w:szCs w:val="22"/>
                      <w:lang w:val="en-US" w:eastAsia="zh-CN"/>
                    </w:rPr>
                  </w:pPr>
                  <w:r>
                    <w:rPr>
                      <w:rFonts w:hint="eastAsia" w:eastAsia="宋体"/>
                      <w:color w:val="auto"/>
                      <w:sz w:val="22"/>
                      <w:szCs w:val="22"/>
                      <w:lang w:val="en-US" w:eastAsia="zh-CN"/>
                    </w:rPr>
                    <w:t>4</w:t>
                  </w:r>
                </w:p>
              </w:tc>
              <w:tc>
                <w:tcPr>
                  <w:tcW w:w="1030" w:type="pct"/>
                  <w:tcBorders>
                    <w:top w:val="single" w:color="auto" w:sz="4" w:space="0"/>
                    <w:left w:val="single" w:color="auto" w:sz="4" w:space="0"/>
                    <w:bottom w:val="single" w:color="auto" w:sz="4" w:space="0"/>
                    <w:right w:val="single" w:color="auto" w:sz="4" w:space="0"/>
                    <w:tl2br w:val="nil"/>
                    <w:tr2bl w:val="nil"/>
                  </w:tcBorders>
                  <w:noWrap/>
                  <w:tcMar>
                    <w:left w:w="28" w:type="dxa"/>
                    <w:right w:w="28" w:type="dxa"/>
                  </w:tcMar>
                  <w:vAlign w:val="center"/>
                </w:tcPr>
                <w:p w14:paraId="79FD8768">
                  <w:pPr>
                    <w:spacing w:line="240" w:lineRule="auto"/>
                    <w:ind w:firstLine="0" w:firstLineChars="0"/>
                    <w:jc w:val="center"/>
                    <w:rPr>
                      <w:rFonts w:hint="default" w:eastAsia="宋体"/>
                      <w:color w:val="auto"/>
                      <w:sz w:val="22"/>
                      <w:szCs w:val="22"/>
                    </w:rPr>
                  </w:pPr>
                  <w:r>
                    <w:rPr>
                      <w:rFonts w:hint="default" w:eastAsia="宋体"/>
                      <w:color w:val="auto"/>
                      <w:sz w:val="22"/>
                      <w:szCs w:val="22"/>
                    </w:rPr>
                    <w:t>HW31含铅废物</w:t>
                  </w:r>
                </w:p>
              </w:tc>
              <w:tc>
                <w:tcPr>
                  <w:tcW w:w="740" w:type="pct"/>
                  <w:tcBorders>
                    <w:top w:val="single" w:color="auto" w:sz="4" w:space="0"/>
                    <w:left w:val="single" w:color="auto" w:sz="4" w:space="0"/>
                    <w:bottom w:val="single" w:color="auto" w:sz="4" w:space="0"/>
                    <w:right w:val="single" w:color="auto" w:sz="4" w:space="0"/>
                    <w:tl2br w:val="nil"/>
                    <w:tr2bl w:val="nil"/>
                  </w:tcBorders>
                  <w:noWrap/>
                  <w:tcMar>
                    <w:left w:w="28" w:type="dxa"/>
                    <w:right w:w="28" w:type="dxa"/>
                  </w:tcMar>
                  <w:vAlign w:val="center"/>
                </w:tcPr>
                <w:p w14:paraId="03030963">
                  <w:pPr>
                    <w:spacing w:line="240" w:lineRule="auto"/>
                    <w:ind w:firstLine="0" w:firstLineChars="0"/>
                    <w:jc w:val="center"/>
                    <w:rPr>
                      <w:rFonts w:hint="default" w:eastAsia="宋体"/>
                      <w:color w:val="auto"/>
                      <w:sz w:val="22"/>
                      <w:szCs w:val="22"/>
                    </w:rPr>
                  </w:pPr>
                  <w:r>
                    <w:rPr>
                      <w:rFonts w:hint="default" w:eastAsia="宋体"/>
                      <w:color w:val="auto"/>
                      <w:sz w:val="22"/>
                      <w:szCs w:val="22"/>
                      <w:lang w:val="en-US" w:eastAsia="zh-CN"/>
                    </w:rPr>
                    <w:t>900-052-31</w:t>
                  </w:r>
                </w:p>
              </w:tc>
              <w:tc>
                <w:tcPr>
                  <w:tcW w:w="735" w:type="pct"/>
                  <w:tcBorders>
                    <w:top w:val="single" w:color="auto" w:sz="4" w:space="0"/>
                    <w:left w:val="single" w:color="auto" w:sz="4" w:space="0"/>
                    <w:bottom w:val="single" w:color="auto" w:sz="4" w:space="0"/>
                    <w:right w:val="single" w:color="auto" w:sz="4" w:space="0"/>
                    <w:tl2br w:val="nil"/>
                    <w:tr2bl w:val="nil"/>
                  </w:tcBorders>
                  <w:noWrap/>
                  <w:tcMar>
                    <w:left w:w="28" w:type="dxa"/>
                    <w:right w:w="28" w:type="dxa"/>
                  </w:tcMar>
                  <w:vAlign w:val="center"/>
                </w:tcPr>
                <w:p w14:paraId="33835F60">
                  <w:pPr>
                    <w:spacing w:line="240" w:lineRule="auto"/>
                    <w:ind w:firstLine="0" w:firstLineChars="0"/>
                    <w:jc w:val="center"/>
                    <w:rPr>
                      <w:rFonts w:hint="eastAsia" w:eastAsia="宋体"/>
                      <w:color w:val="auto"/>
                      <w:sz w:val="22"/>
                      <w:szCs w:val="22"/>
                      <w:lang w:eastAsia="zh-CN"/>
                    </w:rPr>
                  </w:pPr>
                  <w:r>
                    <w:rPr>
                      <w:rFonts w:hint="eastAsia" w:eastAsia="宋体"/>
                      <w:color w:val="auto"/>
                      <w:sz w:val="22"/>
                      <w:szCs w:val="22"/>
                      <w:lang w:val="en-US" w:eastAsia="zh-CN"/>
                    </w:rPr>
                    <w:t>废铅酸电池</w:t>
                  </w:r>
                </w:p>
              </w:tc>
              <w:tc>
                <w:tcPr>
                  <w:tcW w:w="787" w:type="pct"/>
                  <w:tcBorders>
                    <w:top w:val="single" w:color="auto" w:sz="4" w:space="0"/>
                    <w:left w:val="single" w:color="auto" w:sz="4" w:space="0"/>
                    <w:bottom w:val="single" w:color="auto" w:sz="4" w:space="0"/>
                    <w:right w:val="single" w:color="auto" w:sz="4" w:space="0"/>
                    <w:tl2br w:val="nil"/>
                    <w:tr2bl w:val="nil"/>
                  </w:tcBorders>
                  <w:noWrap/>
                  <w:tcMar>
                    <w:left w:w="28" w:type="dxa"/>
                    <w:right w:w="28" w:type="dxa"/>
                  </w:tcMar>
                  <w:vAlign w:val="center"/>
                </w:tcPr>
                <w:p w14:paraId="5240F475">
                  <w:pPr>
                    <w:spacing w:line="240" w:lineRule="auto"/>
                    <w:ind w:firstLine="0" w:firstLineChars="0"/>
                    <w:jc w:val="center"/>
                    <w:rPr>
                      <w:rFonts w:hint="eastAsia" w:eastAsia="宋体"/>
                      <w:color w:val="auto"/>
                      <w:sz w:val="22"/>
                      <w:szCs w:val="22"/>
                      <w:lang w:val="en-US" w:eastAsia="zh-CN"/>
                    </w:rPr>
                  </w:pPr>
                  <w:r>
                    <w:rPr>
                      <w:rFonts w:hint="eastAsia"/>
                      <w:color w:val="auto"/>
                      <w:sz w:val="22"/>
                      <w:szCs w:val="22"/>
                      <w:lang w:val="en-US" w:eastAsia="zh-CN"/>
                    </w:rPr>
                    <w:t>0.5t</w:t>
                  </w:r>
                </w:p>
              </w:tc>
              <w:tc>
                <w:tcPr>
                  <w:tcW w:w="703" w:type="pct"/>
                  <w:tcBorders>
                    <w:top w:val="single" w:color="auto" w:sz="4" w:space="0"/>
                    <w:left w:val="single" w:color="auto" w:sz="4" w:space="0"/>
                    <w:bottom w:val="single" w:color="auto" w:sz="4" w:space="0"/>
                    <w:right w:val="single" w:color="auto" w:sz="4" w:space="0"/>
                    <w:tl2br w:val="nil"/>
                    <w:tr2bl w:val="nil"/>
                  </w:tcBorders>
                  <w:noWrap/>
                  <w:vAlign w:val="center"/>
                </w:tcPr>
                <w:p w14:paraId="2FF6D7B6">
                  <w:pPr>
                    <w:spacing w:line="240" w:lineRule="auto"/>
                    <w:ind w:firstLine="0" w:firstLineChars="0"/>
                    <w:jc w:val="center"/>
                    <w:rPr>
                      <w:rFonts w:hint="default"/>
                      <w:color w:val="auto"/>
                      <w:sz w:val="22"/>
                      <w:szCs w:val="22"/>
                      <w:lang w:val="en-US" w:eastAsia="zh-CN"/>
                    </w:rPr>
                  </w:pPr>
                  <w:r>
                    <w:rPr>
                      <w:rFonts w:hint="eastAsia"/>
                      <w:color w:val="auto"/>
                      <w:sz w:val="22"/>
                      <w:szCs w:val="22"/>
                      <w:lang w:val="en-US" w:eastAsia="zh-CN"/>
                    </w:rPr>
                    <w:t>0.01t/a</w:t>
                  </w:r>
                </w:p>
              </w:tc>
              <w:tc>
                <w:tcPr>
                  <w:tcW w:w="721" w:type="pct"/>
                  <w:tcBorders>
                    <w:top w:val="single" w:color="auto" w:sz="4" w:space="0"/>
                    <w:left w:val="single" w:color="auto" w:sz="4" w:space="0"/>
                    <w:bottom w:val="single" w:color="auto" w:sz="4" w:space="0"/>
                    <w:right w:val="single" w:color="auto" w:sz="4" w:space="0"/>
                    <w:tl2br w:val="nil"/>
                    <w:tr2bl w:val="nil"/>
                  </w:tcBorders>
                  <w:noWrap/>
                  <w:vAlign w:val="center"/>
                </w:tcPr>
                <w:p w14:paraId="3F170A68">
                  <w:pPr>
                    <w:spacing w:line="240" w:lineRule="auto"/>
                    <w:ind w:firstLine="0" w:firstLineChars="0"/>
                    <w:jc w:val="center"/>
                    <w:rPr>
                      <w:rFonts w:hint="default" w:eastAsia="宋体"/>
                      <w:color w:val="auto"/>
                      <w:sz w:val="22"/>
                      <w:szCs w:val="22"/>
                    </w:rPr>
                  </w:pPr>
                  <w:r>
                    <w:rPr>
                      <w:rFonts w:hint="default" w:eastAsia="宋体"/>
                      <w:color w:val="auto"/>
                      <w:sz w:val="22"/>
                      <w:szCs w:val="22"/>
                    </w:rPr>
                    <w:t>维修过程</w:t>
                  </w:r>
                </w:p>
              </w:tc>
            </w:tr>
          </w:tbl>
          <w:p w14:paraId="32696DB8">
            <w:pPr>
              <w:ind w:firstLine="0" w:firstLineChars="0"/>
              <w:jc w:val="center"/>
              <w:rPr>
                <w:rFonts w:hint="default"/>
                <w:b/>
                <w:color w:val="auto"/>
              </w:rPr>
            </w:pPr>
            <w:r>
              <w:rPr>
                <w:rFonts w:hint="default" w:eastAsia="宋体"/>
                <w:b/>
                <w:color w:val="auto"/>
              </w:rPr>
              <w:t>表2-4危险废物特性及储存情况一览表</w:t>
            </w:r>
          </w:p>
          <w:tbl>
            <w:tblPr>
              <w:tblStyle w:val="14"/>
              <w:tblW w:w="79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2"/>
              <w:gridCol w:w="752"/>
              <w:gridCol w:w="669"/>
              <w:gridCol w:w="1344"/>
              <w:gridCol w:w="687"/>
              <w:gridCol w:w="755"/>
              <w:gridCol w:w="745"/>
              <w:gridCol w:w="755"/>
              <w:gridCol w:w="642"/>
              <w:gridCol w:w="805"/>
            </w:tblGrid>
            <w:tr w14:paraId="56F03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802" w:type="dxa"/>
                  <w:tcBorders>
                    <w:top w:val="single" w:color="auto" w:sz="4" w:space="0"/>
                    <w:left w:val="single" w:color="auto" w:sz="4" w:space="0"/>
                    <w:bottom w:val="single" w:color="auto" w:sz="4" w:space="0"/>
                    <w:right w:val="single" w:color="auto" w:sz="4" w:space="0"/>
                    <w:tl2br w:val="nil"/>
                    <w:tr2bl w:val="nil"/>
                  </w:tcBorders>
                  <w:vAlign w:val="center"/>
                </w:tcPr>
                <w:p w14:paraId="0365FEDF">
                  <w:pPr>
                    <w:spacing w:line="240" w:lineRule="auto"/>
                    <w:ind w:firstLine="0" w:firstLineChars="0"/>
                    <w:jc w:val="center"/>
                    <w:rPr>
                      <w:rFonts w:hint="default"/>
                      <w:color w:val="auto"/>
                      <w:sz w:val="20"/>
                      <w:szCs w:val="20"/>
                    </w:rPr>
                  </w:pPr>
                  <w:r>
                    <w:rPr>
                      <w:rFonts w:hint="default" w:eastAsia="宋体"/>
                      <w:color w:val="auto"/>
                      <w:sz w:val="20"/>
                      <w:szCs w:val="20"/>
                    </w:rPr>
                    <w:t>暂存区域名称</w:t>
                  </w:r>
                </w:p>
              </w:tc>
              <w:tc>
                <w:tcPr>
                  <w:tcW w:w="752" w:type="dxa"/>
                  <w:tcBorders>
                    <w:top w:val="single" w:color="auto" w:sz="4" w:space="0"/>
                    <w:left w:val="single" w:color="auto" w:sz="4" w:space="0"/>
                    <w:bottom w:val="single" w:color="auto" w:sz="4" w:space="0"/>
                    <w:right w:val="single" w:color="auto" w:sz="4" w:space="0"/>
                    <w:tl2br w:val="nil"/>
                    <w:tr2bl w:val="nil"/>
                  </w:tcBorders>
                  <w:vAlign w:val="center"/>
                </w:tcPr>
                <w:p w14:paraId="6939630D">
                  <w:pPr>
                    <w:spacing w:line="240" w:lineRule="auto"/>
                    <w:ind w:firstLine="0" w:firstLineChars="0"/>
                    <w:jc w:val="center"/>
                    <w:rPr>
                      <w:rFonts w:hint="default"/>
                      <w:color w:val="auto"/>
                      <w:sz w:val="20"/>
                      <w:szCs w:val="20"/>
                    </w:rPr>
                  </w:pPr>
                  <w:r>
                    <w:rPr>
                      <w:rFonts w:hint="default" w:eastAsia="宋体"/>
                      <w:color w:val="auto"/>
                      <w:sz w:val="20"/>
                      <w:szCs w:val="20"/>
                    </w:rPr>
                    <w:t>废物类别</w:t>
                  </w:r>
                </w:p>
              </w:tc>
              <w:tc>
                <w:tcPr>
                  <w:tcW w:w="669" w:type="dxa"/>
                  <w:tcBorders>
                    <w:top w:val="single" w:color="auto" w:sz="4" w:space="0"/>
                    <w:left w:val="single" w:color="auto" w:sz="4" w:space="0"/>
                    <w:bottom w:val="single" w:color="auto" w:sz="4" w:space="0"/>
                    <w:right w:val="single" w:color="auto" w:sz="4" w:space="0"/>
                    <w:tl2br w:val="nil"/>
                    <w:tr2bl w:val="nil"/>
                  </w:tcBorders>
                  <w:vAlign w:val="center"/>
                </w:tcPr>
                <w:p w14:paraId="051EF713">
                  <w:pPr>
                    <w:spacing w:line="240" w:lineRule="auto"/>
                    <w:ind w:firstLine="0" w:firstLineChars="0"/>
                    <w:jc w:val="center"/>
                    <w:rPr>
                      <w:rFonts w:hint="eastAsia" w:eastAsia="宋体"/>
                      <w:color w:val="auto"/>
                      <w:sz w:val="20"/>
                      <w:szCs w:val="20"/>
                      <w:lang w:eastAsia="zh-CN"/>
                    </w:rPr>
                  </w:pPr>
                  <w:r>
                    <w:rPr>
                      <w:rFonts w:hint="eastAsia" w:eastAsia="宋体"/>
                      <w:color w:val="auto"/>
                      <w:sz w:val="20"/>
                      <w:szCs w:val="20"/>
                      <w:lang w:eastAsia="zh-CN"/>
                    </w:rPr>
                    <w:t>危废代码</w:t>
                  </w:r>
                </w:p>
              </w:tc>
              <w:tc>
                <w:tcPr>
                  <w:tcW w:w="1344" w:type="dxa"/>
                  <w:tcBorders>
                    <w:top w:val="single" w:color="auto" w:sz="4" w:space="0"/>
                    <w:left w:val="single" w:color="auto" w:sz="4" w:space="0"/>
                    <w:bottom w:val="single" w:color="auto" w:sz="4" w:space="0"/>
                    <w:right w:val="single" w:color="auto" w:sz="4" w:space="0"/>
                    <w:tl2br w:val="nil"/>
                    <w:tr2bl w:val="nil"/>
                  </w:tcBorders>
                  <w:vAlign w:val="center"/>
                </w:tcPr>
                <w:p w14:paraId="5EF23663">
                  <w:pPr>
                    <w:spacing w:line="240" w:lineRule="auto"/>
                    <w:ind w:firstLine="0" w:firstLineChars="0"/>
                    <w:jc w:val="center"/>
                    <w:rPr>
                      <w:rFonts w:hint="default"/>
                      <w:color w:val="auto"/>
                      <w:sz w:val="20"/>
                      <w:szCs w:val="20"/>
                    </w:rPr>
                  </w:pPr>
                  <w:r>
                    <w:rPr>
                      <w:rFonts w:hint="default" w:eastAsia="宋体"/>
                      <w:color w:val="auto"/>
                      <w:sz w:val="20"/>
                      <w:szCs w:val="20"/>
                    </w:rPr>
                    <w:t>行业来源</w:t>
                  </w:r>
                </w:p>
              </w:tc>
              <w:tc>
                <w:tcPr>
                  <w:tcW w:w="687" w:type="dxa"/>
                  <w:tcBorders>
                    <w:top w:val="single" w:color="auto" w:sz="4" w:space="0"/>
                    <w:left w:val="single" w:color="auto" w:sz="4" w:space="0"/>
                    <w:bottom w:val="single" w:color="auto" w:sz="4" w:space="0"/>
                    <w:right w:val="single" w:color="auto" w:sz="4" w:space="0"/>
                    <w:tl2br w:val="nil"/>
                    <w:tr2bl w:val="nil"/>
                  </w:tcBorders>
                  <w:vAlign w:val="center"/>
                </w:tcPr>
                <w:p w14:paraId="60527C0A">
                  <w:pPr>
                    <w:spacing w:line="240" w:lineRule="auto"/>
                    <w:ind w:firstLine="0" w:firstLineChars="0"/>
                    <w:jc w:val="center"/>
                    <w:rPr>
                      <w:rFonts w:hint="default"/>
                      <w:color w:val="auto"/>
                      <w:sz w:val="20"/>
                      <w:szCs w:val="20"/>
                    </w:rPr>
                  </w:pPr>
                  <w:r>
                    <w:rPr>
                      <w:rFonts w:hint="default" w:eastAsia="宋体"/>
                      <w:color w:val="auto"/>
                      <w:sz w:val="20"/>
                      <w:szCs w:val="20"/>
                    </w:rPr>
                    <w:t>危废种类</w:t>
                  </w:r>
                </w:p>
              </w:tc>
              <w:tc>
                <w:tcPr>
                  <w:tcW w:w="755" w:type="dxa"/>
                  <w:tcBorders>
                    <w:top w:val="single" w:color="auto" w:sz="4" w:space="0"/>
                    <w:left w:val="single" w:color="auto" w:sz="4" w:space="0"/>
                    <w:bottom w:val="single" w:color="auto" w:sz="4" w:space="0"/>
                    <w:right w:val="single" w:color="auto" w:sz="4" w:space="0"/>
                    <w:tl2br w:val="nil"/>
                    <w:tr2bl w:val="nil"/>
                  </w:tcBorders>
                  <w:vAlign w:val="center"/>
                </w:tcPr>
                <w:p w14:paraId="77C3E377">
                  <w:pPr>
                    <w:spacing w:line="240" w:lineRule="auto"/>
                    <w:ind w:firstLine="0" w:firstLineChars="0"/>
                    <w:jc w:val="center"/>
                    <w:rPr>
                      <w:rFonts w:hint="default"/>
                      <w:color w:val="auto"/>
                      <w:sz w:val="20"/>
                      <w:szCs w:val="20"/>
                    </w:rPr>
                  </w:pPr>
                  <w:r>
                    <w:rPr>
                      <w:rFonts w:hint="default" w:eastAsia="宋体"/>
                      <w:color w:val="auto"/>
                      <w:sz w:val="20"/>
                      <w:szCs w:val="20"/>
                    </w:rPr>
                    <w:t>危险特性</w:t>
                  </w:r>
                </w:p>
              </w:tc>
              <w:tc>
                <w:tcPr>
                  <w:tcW w:w="745" w:type="dxa"/>
                  <w:tcBorders>
                    <w:top w:val="single" w:color="auto" w:sz="4" w:space="0"/>
                    <w:left w:val="single" w:color="auto" w:sz="4" w:space="0"/>
                    <w:bottom w:val="single" w:color="auto" w:sz="4" w:space="0"/>
                    <w:right w:val="single" w:color="auto" w:sz="4" w:space="0"/>
                    <w:tl2br w:val="nil"/>
                    <w:tr2bl w:val="nil"/>
                  </w:tcBorders>
                  <w:vAlign w:val="center"/>
                </w:tcPr>
                <w:p w14:paraId="7C25D219">
                  <w:pPr>
                    <w:spacing w:line="240" w:lineRule="auto"/>
                    <w:ind w:firstLine="0" w:firstLineChars="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物理形态</w:t>
                  </w:r>
                </w:p>
              </w:tc>
              <w:tc>
                <w:tcPr>
                  <w:tcW w:w="755" w:type="dxa"/>
                  <w:tcBorders>
                    <w:top w:val="single" w:color="auto" w:sz="4" w:space="0"/>
                    <w:left w:val="single" w:color="auto" w:sz="4" w:space="0"/>
                    <w:bottom w:val="single" w:color="auto" w:sz="4" w:space="0"/>
                    <w:right w:val="single" w:color="auto" w:sz="4" w:space="0"/>
                    <w:tl2br w:val="nil"/>
                    <w:tr2bl w:val="nil"/>
                  </w:tcBorders>
                  <w:vAlign w:val="center"/>
                </w:tcPr>
                <w:p w14:paraId="21E4678D">
                  <w:pPr>
                    <w:spacing w:line="240" w:lineRule="auto"/>
                    <w:ind w:firstLine="0" w:firstLineChars="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包装形式</w:t>
                  </w:r>
                </w:p>
              </w:tc>
              <w:tc>
                <w:tcPr>
                  <w:tcW w:w="642" w:type="dxa"/>
                  <w:tcBorders>
                    <w:top w:val="single" w:color="auto" w:sz="4" w:space="0"/>
                    <w:left w:val="single" w:color="auto" w:sz="4" w:space="0"/>
                    <w:bottom w:val="single" w:color="auto" w:sz="4" w:space="0"/>
                    <w:right w:val="single" w:color="auto" w:sz="4" w:space="0"/>
                    <w:tl2br w:val="nil"/>
                    <w:tr2bl w:val="nil"/>
                  </w:tcBorders>
                  <w:vAlign w:val="center"/>
                </w:tcPr>
                <w:p w14:paraId="3901D642">
                  <w:pPr>
                    <w:spacing w:line="240" w:lineRule="auto"/>
                    <w:ind w:firstLine="0" w:firstLineChars="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周转周期</w:t>
                  </w:r>
                </w:p>
              </w:tc>
              <w:tc>
                <w:tcPr>
                  <w:tcW w:w="805" w:type="dxa"/>
                  <w:tcBorders>
                    <w:top w:val="single" w:color="auto" w:sz="4" w:space="0"/>
                    <w:left w:val="single" w:color="auto" w:sz="4" w:space="0"/>
                    <w:bottom w:val="single" w:color="auto" w:sz="4" w:space="0"/>
                    <w:right w:val="single" w:color="auto" w:sz="4" w:space="0"/>
                    <w:tl2br w:val="nil"/>
                    <w:tr2bl w:val="nil"/>
                  </w:tcBorders>
                  <w:vAlign w:val="center"/>
                </w:tcPr>
                <w:p w14:paraId="728C8764">
                  <w:pPr>
                    <w:spacing w:line="240" w:lineRule="auto"/>
                    <w:ind w:firstLine="0" w:firstLineChars="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年周转量</w:t>
                  </w:r>
                </w:p>
              </w:tc>
            </w:tr>
            <w:tr w14:paraId="466A0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4" w:hRule="atLeast"/>
              </w:trPr>
              <w:tc>
                <w:tcPr>
                  <w:tcW w:w="802" w:type="dxa"/>
                  <w:tcBorders>
                    <w:top w:val="single" w:color="auto" w:sz="4" w:space="0"/>
                    <w:left w:val="single" w:color="auto" w:sz="4" w:space="0"/>
                    <w:bottom w:val="single" w:color="auto" w:sz="4" w:space="0"/>
                    <w:right w:val="single" w:color="auto" w:sz="4" w:space="0"/>
                    <w:tl2br w:val="nil"/>
                    <w:tr2bl w:val="nil"/>
                  </w:tcBorders>
                  <w:vAlign w:val="center"/>
                </w:tcPr>
                <w:p w14:paraId="1D671EE1">
                  <w:pPr>
                    <w:spacing w:line="240" w:lineRule="auto"/>
                    <w:ind w:firstLine="0" w:firstLineChars="0"/>
                    <w:jc w:val="center"/>
                    <w:rPr>
                      <w:rFonts w:hint="eastAsia" w:eastAsia="宋体"/>
                      <w:color w:val="auto"/>
                      <w:sz w:val="20"/>
                      <w:szCs w:val="20"/>
                      <w:lang w:eastAsia="zh-CN"/>
                    </w:rPr>
                  </w:pPr>
                  <w:r>
                    <w:rPr>
                      <w:rFonts w:hint="default" w:eastAsia="宋体"/>
                      <w:color w:val="auto"/>
                      <w:sz w:val="20"/>
                      <w:szCs w:val="20"/>
                    </w:rPr>
                    <w:t>分区</w:t>
                  </w:r>
                  <w:r>
                    <w:rPr>
                      <w:rFonts w:hint="eastAsia" w:eastAsia="宋体"/>
                      <w:color w:val="auto"/>
                      <w:sz w:val="20"/>
                      <w:szCs w:val="20"/>
                      <w:lang w:val="en-US" w:eastAsia="zh-CN"/>
                    </w:rPr>
                    <w:t>一</w:t>
                  </w:r>
                </w:p>
              </w:tc>
              <w:tc>
                <w:tcPr>
                  <w:tcW w:w="752" w:type="dxa"/>
                  <w:tcBorders>
                    <w:top w:val="single" w:color="auto" w:sz="4" w:space="0"/>
                    <w:left w:val="single" w:color="auto" w:sz="4" w:space="0"/>
                    <w:bottom w:val="single" w:color="auto" w:sz="4" w:space="0"/>
                    <w:right w:val="single" w:color="auto" w:sz="4" w:space="0"/>
                    <w:tl2br w:val="nil"/>
                    <w:tr2bl w:val="nil"/>
                  </w:tcBorders>
                  <w:vAlign w:val="center"/>
                </w:tcPr>
                <w:p w14:paraId="0FA9C64F">
                  <w:pPr>
                    <w:spacing w:line="240" w:lineRule="auto"/>
                    <w:ind w:firstLine="0" w:firstLineChars="0"/>
                    <w:jc w:val="center"/>
                    <w:rPr>
                      <w:rFonts w:hint="default"/>
                      <w:color w:val="auto"/>
                      <w:sz w:val="20"/>
                      <w:szCs w:val="20"/>
                    </w:rPr>
                  </w:pPr>
                  <w:r>
                    <w:rPr>
                      <w:rFonts w:hint="default" w:eastAsia="宋体"/>
                      <w:color w:val="auto"/>
                      <w:sz w:val="20"/>
                      <w:szCs w:val="20"/>
                    </w:rPr>
                    <w:t>HW08废矿物油与含矿物油废物</w:t>
                  </w:r>
                </w:p>
              </w:tc>
              <w:tc>
                <w:tcPr>
                  <w:tcW w:w="669" w:type="dxa"/>
                  <w:tcBorders>
                    <w:top w:val="single" w:color="auto" w:sz="4" w:space="0"/>
                    <w:left w:val="single" w:color="auto" w:sz="4" w:space="0"/>
                    <w:bottom w:val="single" w:color="auto" w:sz="4" w:space="0"/>
                    <w:right w:val="single" w:color="auto" w:sz="4" w:space="0"/>
                    <w:tl2br w:val="nil"/>
                    <w:tr2bl w:val="nil"/>
                  </w:tcBorders>
                  <w:vAlign w:val="center"/>
                </w:tcPr>
                <w:p w14:paraId="23DE8830">
                  <w:pPr>
                    <w:spacing w:line="240" w:lineRule="auto"/>
                    <w:ind w:firstLine="0" w:firstLineChars="0"/>
                    <w:jc w:val="center"/>
                    <w:rPr>
                      <w:rFonts w:hint="default"/>
                      <w:color w:val="auto"/>
                      <w:sz w:val="20"/>
                      <w:szCs w:val="20"/>
                    </w:rPr>
                  </w:pPr>
                  <w:r>
                    <w:rPr>
                      <w:rFonts w:hint="default" w:eastAsia="宋体"/>
                      <w:color w:val="auto"/>
                      <w:sz w:val="20"/>
                      <w:szCs w:val="20"/>
                    </w:rPr>
                    <w:t>900-214-08</w:t>
                  </w:r>
                </w:p>
              </w:tc>
              <w:tc>
                <w:tcPr>
                  <w:tcW w:w="1344" w:type="dxa"/>
                  <w:tcBorders>
                    <w:top w:val="single" w:color="auto" w:sz="4" w:space="0"/>
                    <w:left w:val="single" w:color="auto" w:sz="4" w:space="0"/>
                    <w:bottom w:val="single" w:color="auto" w:sz="4" w:space="0"/>
                    <w:right w:val="single" w:color="auto" w:sz="4" w:space="0"/>
                    <w:tl2br w:val="nil"/>
                    <w:tr2bl w:val="nil"/>
                  </w:tcBorders>
                  <w:vAlign w:val="center"/>
                </w:tcPr>
                <w:p w14:paraId="3B811239">
                  <w:pPr>
                    <w:spacing w:line="240" w:lineRule="auto"/>
                    <w:ind w:firstLine="0" w:firstLineChars="0"/>
                    <w:jc w:val="center"/>
                    <w:rPr>
                      <w:rFonts w:hint="default"/>
                      <w:color w:val="auto"/>
                      <w:sz w:val="20"/>
                      <w:szCs w:val="20"/>
                    </w:rPr>
                  </w:pPr>
                  <w:r>
                    <w:rPr>
                      <w:rFonts w:hint="default" w:eastAsia="宋体"/>
                      <w:color w:val="auto"/>
                      <w:sz w:val="20"/>
                      <w:szCs w:val="20"/>
                    </w:rPr>
                    <w:t>车辆、轮船及</w:t>
                  </w:r>
                  <w:r>
                    <w:rPr>
                      <w:rFonts w:hint="eastAsia" w:eastAsia="宋体"/>
                      <w:color w:val="auto"/>
                      <w:sz w:val="20"/>
                      <w:szCs w:val="20"/>
                      <w:lang w:eastAsia="zh-CN"/>
                    </w:rPr>
                    <w:t>其他</w:t>
                  </w:r>
                  <w:r>
                    <w:rPr>
                      <w:rFonts w:hint="default" w:eastAsia="宋体"/>
                      <w:color w:val="auto"/>
                      <w:sz w:val="20"/>
                      <w:szCs w:val="20"/>
                    </w:rPr>
                    <w:t>机械维修过程中产生的废发动机油、制动器油、自动变速器油、齿轮油等废润滑油</w:t>
                  </w:r>
                </w:p>
              </w:tc>
              <w:tc>
                <w:tcPr>
                  <w:tcW w:w="687" w:type="dxa"/>
                  <w:tcBorders>
                    <w:top w:val="single" w:color="auto" w:sz="4" w:space="0"/>
                    <w:left w:val="single" w:color="auto" w:sz="4" w:space="0"/>
                    <w:bottom w:val="single" w:color="auto" w:sz="4" w:space="0"/>
                    <w:right w:val="single" w:color="auto" w:sz="4" w:space="0"/>
                    <w:tl2br w:val="nil"/>
                    <w:tr2bl w:val="nil"/>
                  </w:tcBorders>
                  <w:vAlign w:val="center"/>
                </w:tcPr>
                <w:p w14:paraId="3A84C37E">
                  <w:pPr>
                    <w:spacing w:line="240" w:lineRule="auto"/>
                    <w:ind w:firstLine="0" w:firstLineChars="0"/>
                    <w:jc w:val="center"/>
                    <w:rPr>
                      <w:rFonts w:hint="eastAsia" w:eastAsia="宋体"/>
                      <w:color w:val="auto"/>
                      <w:sz w:val="20"/>
                      <w:szCs w:val="20"/>
                      <w:lang w:eastAsia="zh-CN"/>
                    </w:rPr>
                  </w:pPr>
                  <w:r>
                    <w:rPr>
                      <w:rFonts w:hint="default" w:eastAsia="宋体"/>
                      <w:color w:val="auto"/>
                      <w:sz w:val="20"/>
                      <w:szCs w:val="20"/>
                    </w:rPr>
                    <w:t>废矿物油</w:t>
                  </w:r>
                </w:p>
              </w:tc>
              <w:tc>
                <w:tcPr>
                  <w:tcW w:w="755" w:type="dxa"/>
                  <w:tcBorders>
                    <w:top w:val="single" w:color="auto" w:sz="4" w:space="0"/>
                    <w:left w:val="single" w:color="auto" w:sz="4" w:space="0"/>
                    <w:bottom w:val="single" w:color="auto" w:sz="4" w:space="0"/>
                    <w:right w:val="single" w:color="auto" w:sz="4" w:space="0"/>
                    <w:tl2br w:val="nil"/>
                    <w:tr2bl w:val="nil"/>
                  </w:tcBorders>
                  <w:vAlign w:val="center"/>
                </w:tcPr>
                <w:p w14:paraId="124CA9B0">
                  <w:pPr>
                    <w:spacing w:line="240" w:lineRule="auto"/>
                    <w:ind w:firstLine="0" w:firstLineChars="0"/>
                    <w:jc w:val="center"/>
                    <w:rPr>
                      <w:rFonts w:hint="default"/>
                      <w:color w:val="auto"/>
                      <w:sz w:val="20"/>
                      <w:szCs w:val="20"/>
                    </w:rPr>
                  </w:pPr>
                  <w:r>
                    <w:rPr>
                      <w:rFonts w:hint="default"/>
                      <w:color w:val="auto"/>
                      <w:sz w:val="20"/>
                      <w:szCs w:val="20"/>
                    </w:rPr>
                    <w:t>T</w:t>
                  </w:r>
                  <w:r>
                    <w:rPr>
                      <w:rFonts w:hint="default" w:eastAsia="宋体"/>
                      <w:color w:val="auto"/>
                      <w:sz w:val="20"/>
                      <w:szCs w:val="20"/>
                    </w:rPr>
                    <w:t>，I</w:t>
                  </w:r>
                </w:p>
              </w:tc>
              <w:tc>
                <w:tcPr>
                  <w:tcW w:w="745" w:type="dxa"/>
                  <w:tcBorders>
                    <w:top w:val="single" w:color="auto" w:sz="4" w:space="0"/>
                    <w:left w:val="single" w:color="auto" w:sz="4" w:space="0"/>
                    <w:bottom w:val="single" w:color="auto" w:sz="4" w:space="0"/>
                    <w:right w:val="single" w:color="auto" w:sz="4" w:space="0"/>
                    <w:tl2br w:val="nil"/>
                    <w:tr2bl w:val="nil"/>
                  </w:tcBorders>
                  <w:vAlign w:val="center"/>
                </w:tcPr>
                <w:p w14:paraId="4FED5353">
                  <w:pPr>
                    <w:spacing w:line="240" w:lineRule="auto"/>
                    <w:ind w:firstLine="0" w:firstLineChars="0"/>
                    <w:jc w:val="center"/>
                    <w:rPr>
                      <w:rFonts w:hint="default" w:ascii="Times New Roman" w:hAnsi="Times New Roman" w:eastAsia="宋体" w:cs="Times New Roman"/>
                      <w:color w:val="auto"/>
                      <w:sz w:val="20"/>
                      <w:szCs w:val="20"/>
                    </w:rPr>
                  </w:pPr>
                  <w:r>
                    <w:rPr>
                      <w:rFonts w:hint="default" w:eastAsia="宋体"/>
                      <w:color w:val="auto"/>
                      <w:sz w:val="20"/>
                      <w:szCs w:val="20"/>
                    </w:rPr>
                    <w:t>液态</w:t>
                  </w:r>
                </w:p>
              </w:tc>
              <w:tc>
                <w:tcPr>
                  <w:tcW w:w="755" w:type="dxa"/>
                  <w:tcBorders>
                    <w:top w:val="single" w:color="auto" w:sz="4" w:space="0"/>
                    <w:left w:val="single" w:color="auto" w:sz="4" w:space="0"/>
                    <w:bottom w:val="single" w:color="auto" w:sz="4" w:space="0"/>
                    <w:right w:val="single" w:color="auto" w:sz="4" w:space="0"/>
                    <w:tl2br w:val="nil"/>
                    <w:tr2bl w:val="nil"/>
                  </w:tcBorders>
                  <w:vAlign w:val="center"/>
                </w:tcPr>
                <w:p w14:paraId="057578C0">
                  <w:pPr>
                    <w:spacing w:line="240" w:lineRule="auto"/>
                    <w:ind w:firstLine="0" w:firstLineChars="0"/>
                    <w:jc w:val="center"/>
                    <w:rPr>
                      <w:rFonts w:hint="default" w:ascii="Times New Roman" w:hAnsi="Times New Roman" w:eastAsia="宋体" w:cs="Times New Roman"/>
                      <w:color w:val="auto"/>
                      <w:sz w:val="20"/>
                      <w:szCs w:val="20"/>
                      <w:lang w:val="en-US"/>
                    </w:rPr>
                  </w:pPr>
                  <w:r>
                    <w:rPr>
                      <w:rFonts w:hint="default" w:eastAsia="宋体"/>
                      <w:color w:val="auto"/>
                      <w:sz w:val="20"/>
                      <w:szCs w:val="20"/>
                    </w:rPr>
                    <w:t>密封，桶装</w:t>
                  </w:r>
                </w:p>
              </w:tc>
              <w:tc>
                <w:tcPr>
                  <w:tcW w:w="642" w:type="dxa"/>
                  <w:tcBorders>
                    <w:top w:val="single" w:color="auto" w:sz="4" w:space="0"/>
                    <w:left w:val="single" w:color="auto" w:sz="4" w:space="0"/>
                    <w:bottom w:val="single" w:color="auto" w:sz="4" w:space="0"/>
                    <w:right w:val="single" w:color="auto" w:sz="4" w:space="0"/>
                    <w:tl2br w:val="nil"/>
                    <w:tr2bl w:val="nil"/>
                  </w:tcBorders>
                  <w:vAlign w:val="center"/>
                </w:tcPr>
                <w:p w14:paraId="3DB3649E">
                  <w:pPr>
                    <w:spacing w:line="240" w:lineRule="auto"/>
                    <w:ind w:firstLine="0" w:firstLineChars="0"/>
                    <w:jc w:val="center"/>
                    <w:rPr>
                      <w:rFonts w:hint="default" w:ascii="Times New Roman" w:hAnsi="Times New Roman" w:eastAsia="宋体" w:cs="Times New Roman"/>
                      <w:color w:val="auto"/>
                      <w:sz w:val="20"/>
                      <w:szCs w:val="20"/>
                      <w:lang w:val="en-US" w:eastAsia="zh-CN"/>
                    </w:rPr>
                  </w:pPr>
                  <w:r>
                    <w:rPr>
                      <w:rFonts w:hint="eastAsia" w:eastAsia="宋体" w:cs="Times New Roman"/>
                      <w:color w:val="auto"/>
                      <w:sz w:val="20"/>
                      <w:szCs w:val="20"/>
                      <w:lang w:val="en-US" w:eastAsia="zh-CN"/>
                    </w:rPr>
                    <w:t>0.5t</w:t>
                  </w:r>
                </w:p>
              </w:tc>
              <w:tc>
                <w:tcPr>
                  <w:tcW w:w="805" w:type="dxa"/>
                  <w:tcBorders>
                    <w:top w:val="single" w:color="auto" w:sz="4" w:space="0"/>
                    <w:left w:val="single" w:color="auto" w:sz="4" w:space="0"/>
                    <w:bottom w:val="single" w:color="auto" w:sz="4" w:space="0"/>
                    <w:right w:val="single" w:color="auto" w:sz="4" w:space="0"/>
                    <w:tl2br w:val="nil"/>
                    <w:tr2bl w:val="nil"/>
                  </w:tcBorders>
                  <w:vAlign w:val="center"/>
                </w:tcPr>
                <w:p w14:paraId="43053EFF">
                  <w:pPr>
                    <w:spacing w:line="240" w:lineRule="auto"/>
                    <w:ind w:firstLine="0" w:firstLineChars="0"/>
                    <w:jc w:val="center"/>
                    <w:rPr>
                      <w:rFonts w:hint="default" w:ascii="Times New Roman" w:hAnsi="Times New Roman" w:eastAsia="宋体" w:cs="Times New Roman"/>
                      <w:color w:val="auto"/>
                      <w:sz w:val="20"/>
                      <w:szCs w:val="20"/>
                      <w:lang w:val="en-US" w:eastAsia="zh-CN"/>
                    </w:rPr>
                  </w:pPr>
                  <w:r>
                    <w:rPr>
                      <w:rFonts w:hint="eastAsia" w:eastAsia="宋体" w:cs="Times New Roman"/>
                      <w:color w:val="auto"/>
                      <w:sz w:val="20"/>
                      <w:szCs w:val="20"/>
                      <w:lang w:val="en-US" w:eastAsia="zh-CN"/>
                    </w:rPr>
                    <w:t>12个月</w:t>
                  </w:r>
                </w:p>
              </w:tc>
            </w:tr>
            <w:tr w14:paraId="66BEA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4" w:hRule="atLeast"/>
              </w:trPr>
              <w:tc>
                <w:tcPr>
                  <w:tcW w:w="802" w:type="dxa"/>
                  <w:tcBorders>
                    <w:top w:val="single" w:color="auto" w:sz="4" w:space="0"/>
                    <w:left w:val="single" w:color="auto" w:sz="4" w:space="0"/>
                    <w:bottom w:val="single" w:color="auto" w:sz="4" w:space="0"/>
                    <w:right w:val="single" w:color="auto" w:sz="4" w:space="0"/>
                    <w:tl2br w:val="nil"/>
                    <w:tr2bl w:val="nil"/>
                  </w:tcBorders>
                  <w:vAlign w:val="center"/>
                </w:tcPr>
                <w:p w14:paraId="7F818924">
                  <w:pPr>
                    <w:spacing w:line="240" w:lineRule="auto"/>
                    <w:ind w:firstLine="0" w:firstLineChars="0"/>
                    <w:jc w:val="center"/>
                    <w:rPr>
                      <w:rFonts w:hint="eastAsia" w:eastAsia="宋体"/>
                      <w:color w:val="auto"/>
                      <w:sz w:val="20"/>
                      <w:szCs w:val="20"/>
                      <w:lang w:eastAsia="zh-CN"/>
                    </w:rPr>
                  </w:pPr>
                  <w:r>
                    <w:rPr>
                      <w:rFonts w:hint="default" w:eastAsia="宋体"/>
                      <w:color w:val="auto"/>
                      <w:sz w:val="20"/>
                      <w:szCs w:val="20"/>
                    </w:rPr>
                    <w:t>分区</w:t>
                  </w:r>
                  <w:r>
                    <w:rPr>
                      <w:rFonts w:hint="eastAsia" w:eastAsia="宋体"/>
                      <w:color w:val="auto"/>
                      <w:sz w:val="20"/>
                      <w:szCs w:val="20"/>
                      <w:lang w:val="en-US" w:eastAsia="zh-CN"/>
                    </w:rPr>
                    <w:t>二</w:t>
                  </w:r>
                </w:p>
              </w:tc>
              <w:tc>
                <w:tcPr>
                  <w:tcW w:w="752" w:type="dxa"/>
                  <w:tcBorders>
                    <w:top w:val="single" w:color="auto" w:sz="4" w:space="0"/>
                    <w:left w:val="single" w:color="auto" w:sz="4" w:space="0"/>
                    <w:bottom w:val="single" w:color="auto" w:sz="4" w:space="0"/>
                    <w:right w:val="single" w:color="auto" w:sz="4" w:space="0"/>
                    <w:tl2br w:val="nil"/>
                    <w:tr2bl w:val="nil"/>
                  </w:tcBorders>
                  <w:vAlign w:val="center"/>
                </w:tcPr>
                <w:p w14:paraId="1524B8CF">
                  <w:pPr>
                    <w:spacing w:line="240" w:lineRule="auto"/>
                    <w:ind w:firstLine="0" w:firstLineChars="0"/>
                    <w:jc w:val="center"/>
                    <w:rPr>
                      <w:rFonts w:hint="default" w:eastAsia="宋体"/>
                      <w:color w:val="auto"/>
                      <w:sz w:val="20"/>
                      <w:szCs w:val="20"/>
                    </w:rPr>
                  </w:pPr>
                  <w:r>
                    <w:rPr>
                      <w:rFonts w:hint="default" w:eastAsia="宋体"/>
                      <w:color w:val="auto"/>
                      <w:sz w:val="20"/>
                      <w:szCs w:val="20"/>
                    </w:rPr>
                    <w:t>HW08废矿物油与含矿物油废物</w:t>
                  </w:r>
                </w:p>
              </w:tc>
              <w:tc>
                <w:tcPr>
                  <w:tcW w:w="669" w:type="dxa"/>
                  <w:tcBorders>
                    <w:top w:val="single" w:color="auto" w:sz="4" w:space="0"/>
                    <w:left w:val="single" w:color="auto" w:sz="4" w:space="0"/>
                    <w:bottom w:val="single" w:color="auto" w:sz="4" w:space="0"/>
                    <w:right w:val="single" w:color="auto" w:sz="4" w:space="0"/>
                    <w:tl2br w:val="nil"/>
                    <w:tr2bl w:val="nil"/>
                  </w:tcBorders>
                  <w:vAlign w:val="center"/>
                </w:tcPr>
                <w:p w14:paraId="1D3AD1C9">
                  <w:pPr>
                    <w:spacing w:line="240" w:lineRule="auto"/>
                    <w:ind w:firstLine="0" w:firstLineChars="0"/>
                    <w:jc w:val="center"/>
                    <w:rPr>
                      <w:rFonts w:hint="default" w:eastAsia="宋体"/>
                      <w:color w:val="auto"/>
                      <w:sz w:val="20"/>
                      <w:szCs w:val="20"/>
                    </w:rPr>
                  </w:pPr>
                  <w:r>
                    <w:rPr>
                      <w:rFonts w:hint="default" w:eastAsia="宋体"/>
                      <w:color w:val="auto"/>
                      <w:sz w:val="20"/>
                      <w:szCs w:val="20"/>
                    </w:rPr>
                    <w:t>900-249-08</w:t>
                  </w:r>
                </w:p>
              </w:tc>
              <w:tc>
                <w:tcPr>
                  <w:tcW w:w="1344" w:type="dxa"/>
                  <w:tcBorders>
                    <w:top w:val="single" w:color="auto" w:sz="4" w:space="0"/>
                    <w:left w:val="single" w:color="auto" w:sz="4" w:space="0"/>
                    <w:bottom w:val="single" w:color="auto" w:sz="4" w:space="0"/>
                    <w:right w:val="single" w:color="auto" w:sz="4" w:space="0"/>
                    <w:tl2br w:val="nil"/>
                    <w:tr2bl w:val="nil"/>
                  </w:tcBorders>
                  <w:vAlign w:val="center"/>
                </w:tcPr>
                <w:p w14:paraId="1A9864D0">
                  <w:pPr>
                    <w:spacing w:line="240" w:lineRule="auto"/>
                    <w:ind w:firstLine="0" w:firstLineChars="0"/>
                    <w:jc w:val="center"/>
                    <w:rPr>
                      <w:rFonts w:hint="default"/>
                      <w:color w:val="auto"/>
                      <w:sz w:val="20"/>
                      <w:szCs w:val="20"/>
                    </w:rPr>
                  </w:pPr>
                  <w:r>
                    <w:rPr>
                      <w:rFonts w:hint="default" w:eastAsia="宋体"/>
                      <w:color w:val="auto"/>
                      <w:sz w:val="20"/>
                      <w:szCs w:val="20"/>
                    </w:rPr>
                    <w:t>其他生产、销售、使用过程中产生的废矿物油及沾染矿物油的废弃包装物</w:t>
                  </w:r>
                </w:p>
              </w:tc>
              <w:tc>
                <w:tcPr>
                  <w:tcW w:w="687" w:type="dxa"/>
                  <w:tcBorders>
                    <w:top w:val="single" w:color="auto" w:sz="4" w:space="0"/>
                    <w:left w:val="single" w:color="auto" w:sz="4" w:space="0"/>
                    <w:bottom w:val="single" w:color="auto" w:sz="4" w:space="0"/>
                    <w:right w:val="single" w:color="auto" w:sz="4" w:space="0"/>
                    <w:tl2br w:val="nil"/>
                    <w:tr2bl w:val="nil"/>
                  </w:tcBorders>
                  <w:vAlign w:val="center"/>
                </w:tcPr>
                <w:p w14:paraId="1EE2D8D6">
                  <w:pPr>
                    <w:spacing w:line="240" w:lineRule="auto"/>
                    <w:ind w:firstLine="0" w:firstLineChars="0"/>
                    <w:jc w:val="center"/>
                    <w:rPr>
                      <w:rFonts w:hint="default"/>
                      <w:color w:val="auto"/>
                      <w:sz w:val="20"/>
                      <w:szCs w:val="20"/>
                    </w:rPr>
                  </w:pPr>
                  <w:r>
                    <w:rPr>
                      <w:rFonts w:eastAsia="宋体"/>
                      <w:color w:val="auto"/>
                      <w:sz w:val="20"/>
                      <w:szCs w:val="20"/>
                    </w:rPr>
                    <w:t>矿物油空桶</w:t>
                  </w:r>
                </w:p>
              </w:tc>
              <w:tc>
                <w:tcPr>
                  <w:tcW w:w="755" w:type="dxa"/>
                  <w:tcBorders>
                    <w:top w:val="single" w:color="auto" w:sz="4" w:space="0"/>
                    <w:left w:val="single" w:color="auto" w:sz="4" w:space="0"/>
                    <w:bottom w:val="single" w:color="auto" w:sz="4" w:space="0"/>
                    <w:right w:val="single" w:color="auto" w:sz="4" w:space="0"/>
                    <w:tl2br w:val="nil"/>
                    <w:tr2bl w:val="nil"/>
                  </w:tcBorders>
                  <w:vAlign w:val="center"/>
                </w:tcPr>
                <w:p w14:paraId="6008E2D2">
                  <w:pPr>
                    <w:spacing w:line="240" w:lineRule="auto"/>
                    <w:ind w:firstLine="0" w:firstLineChars="0"/>
                    <w:jc w:val="center"/>
                    <w:rPr>
                      <w:rFonts w:hint="default"/>
                      <w:color w:val="auto"/>
                      <w:sz w:val="20"/>
                      <w:szCs w:val="20"/>
                    </w:rPr>
                  </w:pPr>
                  <w:r>
                    <w:rPr>
                      <w:rFonts w:hint="default"/>
                      <w:color w:val="auto"/>
                      <w:sz w:val="20"/>
                      <w:szCs w:val="20"/>
                    </w:rPr>
                    <w:t>T</w:t>
                  </w:r>
                  <w:r>
                    <w:rPr>
                      <w:rFonts w:hint="default" w:eastAsia="宋体"/>
                      <w:color w:val="auto"/>
                      <w:sz w:val="20"/>
                      <w:szCs w:val="20"/>
                    </w:rPr>
                    <w:t>，I</w:t>
                  </w:r>
                </w:p>
              </w:tc>
              <w:tc>
                <w:tcPr>
                  <w:tcW w:w="745" w:type="dxa"/>
                  <w:tcBorders>
                    <w:top w:val="single" w:color="auto" w:sz="4" w:space="0"/>
                    <w:left w:val="single" w:color="auto" w:sz="4" w:space="0"/>
                    <w:bottom w:val="single" w:color="auto" w:sz="4" w:space="0"/>
                    <w:right w:val="single" w:color="auto" w:sz="4" w:space="0"/>
                    <w:tl2br w:val="nil"/>
                    <w:tr2bl w:val="nil"/>
                  </w:tcBorders>
                  <w:vAlign w:val="center"/>
                </w:tcPr>
                <w:p w14:paraId="3288F482">
                  <w:pPr>
                    <w:spacing w:line="240" w:lineRule="auto"/>
                    <w:ind w:firstLine="0" w:firstLineChars="0"/>
                    <w:jc w:val="center"/>
                    <w:rPr>
                      <w:rFonts w:hint="default" w:ascii="Times New Roman" w:hAnsi="Times New Roman" w:eastAsia="宋体" w:cs="Times New Roman"/>
                      <w:color w:val="auto"/>
                      <w:sz w:val="20"/>
                      <w:szCs w:val="20"/>
                    </w:rPr>
                  </w:pPr>
                  <w:r>
                    <w:rPr>
                      <w:rFonts w:hint="default" w:eastAsia="宋体"/>
                      <w:color w:val="auto"/>
                      <w:sz w:val="20"/>
                      <w:szCs w:val="20"/>
                    </w:rPr>
                    <w:t>固体</w:t>
                  </w:r>
                </w:p>
              </w:tc>
              <w:tc>
                <w:tcPr>
                  <w:tcW w:w="755" w:type="dxa"/>
                  <w:tcBorders>
                    <w:top w:val="single" w:color="auto" w:sz="4" w:space="0"/>
                    <w:left w:val="single" w:color="auto" w:sz="4" w:space="0"/>
                    <w:bottom w:val="single" w:color="auto" w:sz="4" w:space="0"/>
                    <w:right w:val="single" w:color="auto" w:sz="4" w:space="0"/>
                    <w:tl2br w:val="nil"/>
                    <w:tr2bl w:val="nil"/>
                  </w:tcBorders>
                  <w:vAlign w:val="center"/>
                </w:tcPr>
                <w:p w14:paraId="62EB2637">
                  <w:pPr>
                    <w:spacing w:line="240" w:lineRule="auto"/>
                    <w:ind w:firstLine="0" w:firstLineChars="0"/>
                    <w:jc w:val="center"/>
                    <w:rPr>
                      <w:rFonts w:hint="default" w:ascii="Times New Roman" w:hAnsi="Times New Roman" w:eastAsia="宋体" w:cs="Times New Roman"/>
                      <w:color w:val="auto"/>
                      <w:sz w:val="20"/>
                      <w:szCs w:val="20"/>
                    </w:rPr>
                  </w:pPr>
                  <w:r>
                    <w:rPr>
                      <w:rFonts w:hint="default" w:eastAsia="宋体"/>
                      <w:color w:val="auto"/>
                      <w:sz w:val="20"/>
                      <w:szCs w:val="20"/>
                    </w:rPr>
                    <w:t>加盖密封</w:t>
                  </w:r>
                </w:p>
              </w:tc>
              <w:tc>
                <w:tcPr>
                  <w:tcW w:w="642" w:type="dxa"/>
                  <w:tcBorders>
                    <w:top w:val="single" w:color="auto" w:sz="4" w:space="0"/>
                    <w:left w:val="single" w:color="auto" w:sz="4" w:space="0"/>
                    <w:bottom w:val="single" w:color="auto" w:sz="4" w:space="0"/>
                    <w:right w:val="single" w:color="auto" w:sz="4" w:space="0"/>
                    <w:tl2br w:val="nil"/>
                    <w:tr2bl w:val="nil"/>
                  </w:tcBorders>
                  <w:vAlign w:val="center"/>
                </w:tcPr>
                <w:p w14:paraId="231A8BB3">
                  <w:pPr>
                    <w:spacing w:line="240" w:lineRule="auto"/>
                    <w:ind w:firstLine="0" w:firstLineChars="0"/>
                    <w:jc w:val="center"/>
                    <w:rPr>
                      <w:rFonts w:hint="default" w:ascii="Times New Roman" w:hAnsi="Times New Roman" w:eastAsia="宋体" w:cs="Times New Roman"/>
                      <w:color w:val="auto"/>
                      <w:sz w:val="20"/>
                      <w:szCs w:val="20"/>
                      <w:lang w:val="en-US" w:eastAsia="zh-CN"/>
                    </w:rPr>
                  </w:pPr>
                  <w:r>
                    <w:rPr>
                      <w:rFonts w:hint="eastAsia" w:eastAsia="宋体" w:cs="Times New Roman"/>
                      <w:color w:val="auto"/>
                      <w:sz w:val="20"/>
                      <w:szCs w:val="20"/>
                      <w:lang w:val="en-US" w:eastAsia="zh-CN"/>
                    </w:rPr>
                    <w:t>0.05t</w:t>
                  </w:r>
                </w:p>
              </w:tc>
              <w:tc>
                <w:tcPr>
                  <w:tcW w:w="805" w:type="dxa"/>
                  <w:tcBorders>
                    <w:top w:val="single" w:color="auto" w:sz="4" w:space="0"/>
                    <w:left w:val="single" w:color="auto" w:sz="4" w:space="0"/>
                    <w:bottom w:val="single" w:color="auto" w:sz="4" w:space="0"/>
                    <w:right w:val="single" w:color="auto" w:sz="4" w:space="0"/>
                    <w:tl2br w:val="nil"/>
                    <w:tr2bl w:val="nil"/>
                  </w:tcBorders>
                  <w:vAlign w:val="center"/>
                </w:tcPr>
                <w:p w14:paraId="1B981C35">
                  <w:pPr>
                    <w:spacing w:line="240" w:lineRule="auto"/>
                    <w:ind w:firstLine="0" w:firstLineChars="0"/>
                    <w:jc w:val="center"/>
                    <w:rPr>
                      <w:rFonts w:hint="default" w:ascii="Times New Roman" w:hAnsi="Times New Roman" w:eastAsia="宋体" w:cs="Times New Roman"/>
                      <w:color w:val="auto"/>
                      <w:sz w:val="20"/>
                      <w:szCs w:val="20"/>
                    </w:rPr>
                  </w:pPr>
                  <w:r>
                    <w:rPr>
                      <w:rFonts w:hint="eastAsia" w:eastAsia="宋体" w:cs="Times New Roman"/>
                      <w:color w:val="auto"/>
                      <w:sz w:val="20"/>
                      <w:szCs w:val="20"/>
                      <w:lang w:val="en-US" w:eastAsia="zh-CN"/>
                    </w:rPr>
                    <w:t>12个月</w:t>
                  </w:r>
                </w:p>
              </w:tc>
            </w:tr>
            <w:tr w14:paraId="741EC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4" w:hRule="atLeast"/>
              </w:trPr>
              <w:tc>
                <w:tcPr>
                  <w:tcW w:w="802" w:type="dxa"/>
                  <w:tcBorders>
                    <w:top w:val="single" w:color="auto" w:sz="4" w:space="0"/>
                    <w:left w:val="single" w:color="auto" w:sz="4" w:space="0"/>
                    <w:bottom w:val="single" w:color="auto" w:sz="4" w:space="0"/>
                    <w:right w:val="single" w:color="auto" w:sz="4" w:space="0"/>
                    <w:tl2br w:val="nil"/>
                    <w:tr2bl w:val="nil"/>
                  </w:tcBorders>
                  <w:vAlign w:val="center"/>
                </w:tcPr>
                <w:p w14:paraId="4AD66DB8">
                  <w:pPr>
                    <w:spacing w:line="240" w:lineRule="auto"/>
                    <w:ind w:firstLine="0" w:firstLineChars="0"/>
                    <w:jc w:val="center"/>
                    <w:rPr>
                      <w:rFonts w:hint="eastAsia" w:eastAsia="宋体"/>
                      <w:color w:val="auto"/>
                      <w:sz w:val="20"/>
                      <w:szCs w:val="20"/>
                      <w:lang w:val="en-US" w:eastAsia="zh-CN"/>
                    </w:rPr>
                  </w:pPr>
                  <w:r>
                    <w:rPr>
                      <w:rFonts w:hint="default" w:eastAsia="宋体"/>
                      <w:color w:val="auto"/>
                      <w:sz w:val="20"/>
                      <w:szCs w:val="20"/>
                    </w:rPr>
                    <w:t>分区</w:t>
                  </w:r>
                  <w:r>
                    <w:rPr>
                      <w:rFonts w:hint="eastAsia" w:eastAsia="宋体"/>
                      <w:color w:val="auto"/>
                      <w:sz w:val="20"/>
                      <w:szCs w:val="20"/>
                      <w:lang w:val="en-US" w:eastAsia="zh-CN"/>
                    </w:rPr>
                    <w:t>三</w:t>
                  </w:r>
                </w:p>
              </w:tc>
              <w:tc>
                <w:tcPr>
                  <w:tcW w:w="752" w:type="dxa"/>
                  <w:tcBorders>
                    <w:top w:val="single" w:color="auto" w:sz="4" w:space="0"/>
                    <w:left w:val="single" w:color="auto" w:sz="4" w:space="0"/>
                    <w:bottom w:val="single" w:color="auto" w:sz="4" w:space="0"/>
                    <w:right w:val="single" w:color="auto" w:sz="4" w:space="0"/>
                    <w:tl2br w:val="nil"/>
                    <w:tr2bl w:val="nil"/>
                  </w:tcBorders>
                  <w:vAlign w:val="center"/>
                </w:tcPr>
                <w:p w14:paraId="063D105C">
                  <w:pPr>
                    <w:spacing w:line="240" w:lineRule="auto"/>
                    <w:ind w:firstLine="0" w:firstLineChars="0"/>
                    <w:jc w:val="center"/>
                    <w:rPr>
                      <w:rFonts w:hint="default" w:eastAsia="宋体"/>
                      <w:color w:val="auto"/>
                      <w:sz w:val="20"/>
                      <w:szCs w:val="20"/>
                    </w:rPr>
                  </w:pPr>
                  <w:r>
                    <w:rPr>
                      <w:rFonts w:hint="default" w:eastAsia="宋体"/>
                      <w:color w:val="auto"/>
                      <w:sz w:val="20"/>
                      <w:szCs w:val="20"/>
                    </w:rPr>
                    <w:t>HW49其他废物</w:t>
                  </w:r>
                </w:p>
              </w:tc>
              <w:tc>
                <w:tcPr>
                  <w:tcW w:w="669" w:type="dxa"/>
                  <w:tcBorders>
                    <w:top w:val="single" w:color="auto" w:sz="4" w:space="0"/>
                    <w:left w:val="single" w:color="auto" w:sz="4" w:space="0"/>
                    <w:bottom w:val="single" w:color="auto" w:sz="4" w:space="0"/>
                    <w:right w:val="single" w:color="auto" w:sz="4" w:space="0"/>
                    <w:tl2br w:val="nil"/>
                    <w:tr2bl w:val="nil"/>
                  </w:tcBorders>
                  <w:vAlign w:val="center"/>
                </w:tcPr>
                <w:p w14:paraId="58B6A4B7">
                  <w:pPr>
                    <w:spacing w:line="240" w:lineRule="auto"/>
                    <w:ind w:firstLine="0" w:firstLineChars="0"/>
                    <w:jc w:val="center"/>
                    <w:rPr>
                      <w:rFonts w:hint="default" w:eastAsia="宋体"/>
                      <w:color w:val="auto"/>
                      <w:sz w:val="20"/>
                      <w:szCs w:val="20"/>
                    </w:rPr>
                  </w:pPr>
                  <w:r>
                    <w:rPr>
                      <w:rFonts w:hint="default" w:eastAsia="宋体"/>
                      <w:color w:val="auto"/>
                      <w:sz w:val="20"/>
                      <w:szCs w:val="20"/>
                      <w:lang w:val="en-US" w:eastAsia="zh-CN"/>
                    </w:rPr>
                    <w:t>900-041-49</w:t>
                  </w:r>
                </w:p>
              </w:tc>
              <w:tc>
                <w:tcPr>
                  <w:tcW w:w="1344" w:type="dxa"/>
                  <w:tcBorders>
                    <w:top w:val="single" w:color="auto" w:sz="4" w:space="0"/>
                    <w:left w:val="single" w:color="auto" w:sz="4" w:space="0"/>
                    <w:bottom w:val="single" w:color="auto" w:sz="4" w:space="0"/>
                    <w:right w:val="single" w:color="auto" w:sz="4" w:space="0"/>
                    <w:tl2br w:val="nil"/>
                    <w:tr2bl w:val="nil"/>
                  </w:tcBorders>
                  <w:vAlign w:val="center"/>
                </w:tcPr>
                <w:p w14:paraId="5414EAF5">
                  <w:pPr>
                    <w:spacing w:line="240" w:lineRule="auto"/>
                    <w:ind w:firstLine="0" w:firstLineChars="0"/>
                    <w:jc w:val="center"/>
                    <w:rPr>
                      <w:rFonts w:hint="default" w:eastAsia="宋体"/>
                      <w:color w:val="auto"/>
                      <w:sz w:val="20"/>
                      <w:szCs w:val="20"/>
                    </w:rPr>
                  </w:pPr>
                  <w:r>
                    <w:rPr>
                      <w:rFonts w:hint="default" w:eastAsia="宋体"/>
                      <w:color w:val="auto"/>
                      <w:sz w:val="20"/>
                      <w:szCs w:val="20"/>
                      <w:lang w:val="en-US" w:eastAsia="zh-CN"/>
                    </w:rPr>
                    <w:t>含有或者沾染毒性、感染性危险废物的废弃的包装物、容器、过滤吸附介质</w:t>
                  </w:r>
                </w:p>
              </w:tc>
              <w:tc>
                <w:tcPr>
                  <w:tcW w:w="687" w:type="dxa"/>
                  <w:tcBorders>
                    <w:top w:val="single" w:color="auto" w:sz="4" w:space="0"/>
                    <w:left w:val="single" w:color="auto" w:sz="4" w:space="0"/>
                    <w:bottom w:val="single" w:color="auto" w:sz="4" w:space="0"/>
                    <w:right w:val="single" w:color="auto" w:sz="4" w:space="0"/>
                    <w:tl2br w:val="nil"/>
                    <w:tr2bl w:val="nil"/>
                  </w:tcBorders>
                  <w:vAlign w:val="center"/>
                </w:tcPr>
                <w:p w14:paraId="62E7B6E8">
                  <w:pPr>
                    <w:spacing w:line="240" w:lineRule="auto"/>
                    <w:ind w:firstLine="0" w:firstLineChars="0"/>
                    <w:jc w:val="center"/>
                    <w:rPr>
                      <w:rFonts w:hint="eastAsia" w:eastAsia="宋体"/>
                      <w:color w:val="auto"/>
                      <w:sz w:val="20"/>
                      <w:szCs w:val="20"/>
                      <w:lang w:val="en-US" w:eastAsia="zh-CN"/>
                    </w:rPr>
                  </w:pPr>
                  <w:r>
                    <w:rPr>
                      <w:rFonts w:hint="eastAsia" w:eastAsia="宋体"/>
                      <w:color w:val="auto"/>
                      <w:sz w:val="20"/>
                      <w:szCs w:val="20"/>
                      <w:lang w:val="en-US" w:eastAsia="zh-CN"/>
                    </w:rPr>
                    <w:t>废油桶</w:t>
                  </w:r>
                </w:p>
              </w:tc>
              <w:tc>
                <w:tcPr>
                  <w:tcW w:w="755" w:type="dxa"/>
                  <w:tcBorders>
                    <w:top w:val="single" w:color="auto" w:sz="4" w:space="0"/>
                    <w:left w:val="single" w:color="auto" w:sz="4" w:space="0"/>
                    <w:bottom w:val="single" w:color="auto" w:sz="4" w:space="0"/>
                    <w:right w:val="single" w:color="auto" w:sz="4" w:space="0"/>
                    <w:tl2br w:val="nil"/>
                    <w:tr2bl w:val="nil"/>
                  </w:tcBorders>
                  <w:vAlign w:val="center"/>
                </w:tcPr>
                <w:p w14:paraId="509DCC4F">
                  <w:pPr>
                    <w:spacing w:line="240" w:lineRule="auto"/>
                    <w:ind w:firstLine="0" w:firstLineChars="0"/>
                    <w:jc w:val="center"/>
                    <w:rPr>
                      <w:rFonts w:hint="default"/>
                      <w:color w:val="auto"/>
                      <w:sz w:val="20"/>
                      <w:szCs w:val="20"/>
                    </w:rPr>
                  </w:pPr>
                  <w:r>
                    <w:rPr>
                      <w:rFonts w:hint="default" w:ascii="Times New Roman" w:hAnsi="Times New Roman" w:cs="Times New Roman"/>
                      <w:color w:val="auto"/>
                      <w:sz w:val="20"/>
                      <w:szCs w:val="20"/>
                      <w:lang w:val="en-US" w:eastAsia="zh-CN"/>
                    </w:rPr>
                    <w:t>T/In</w:t>
                  </w:r>
                </w:p>
              </w:tc>
              <w:tc>
                <w:tcPr>
                  <w:tcW w:w="745" w:type="dxa"/>
                  <w:tcBorders>
                    <w:top w:val="single" w:color="auto" w:sz="4" w:space="0"/>
                    <w:left w:val="single" w:color="auto" w:sz="4" w:space="0"/>
                    <w:bottom w:val="single" w:color="auto" w:sz="4" w:space="0"/>
                    <w:right w:val="single" w:color="auto" w:sz="4" w:space="0"/>
                    <w:tl2br w:val="nil"/>
                    <w:tr2bl w:val="nil"/>
                  </w:tcBorders>
                  <w:vAlign w:val="center"/>
                </w:tcPr>
                <w:p w14:paraId="760294D8">
                  <w:pPr>
                    <w:spacing w:line="240" w:lineRule="auto"/>
                    <w:ind w:firstLine="0" w:firstLineChars="0"/>
                    <w:jc w:val="center"/>
                    <w:rPr>
                      <w:rFonts w:hint="default" w:ascii="Times New Roman" w:hAnsi="Times New Roman" w:eastAsia="宋体" w:cs="Times New Roman"/>
                      <w:color w:val="auto"/>
                      <w:sz w:val="20"/>
                      <w:szCs w:val="20"/>
                    </w:rPr>
                  </w:pPr>
                  <w:r>
                    <w:rPr>
                      <w:rFonts w:hint="default" w:eastAsia="宋体"/>
                      <w:color w:val="auto"/>
                      <w:sz w:val="20"/>
                      <w:szCs w:val="20"/>
                    </w:rPr>
                    <w:t>固体</w:t>
                  </w:r>
                </w:p>
              </w:tc>
              <w:tc>
                <w:tcPr>
                  <w:tcW w:w="755" w:type="dxa"/>
                  <w:tcBorders>
                    <w:top w:val="single" w:color="auto" w:sz="4" w:space="0"/>
                    <w:left w:val="single" w:color="auto" w:sz="4" w:space="0"/>
                    <w:bottom w:val="single" w:color="auto" w:sz="4" w:space="0"/>
                    <w:right w:val="single" w:color="auto" w:sz="4" w:space="0"/>
                    <w:tl2br w:val="nil"/>
                    <w:tr2bl w:val="nil"/>
                  </w:tcBorders>
                  <w:vAlign w:val="center"/>
                </w:tcPr>
                <w:p w14:paraId="3962A392">
                  <w:pPr>
                    <w:spacing w:line="240" w:lineRule="auto"/>
                    <w:ind w:firstLine="0" w:firstLineChars="0"/>
                    <w:jc w:val="center"/>
                    <w:rPr>
                      <w:rFonts w:hint="default" w:ascii="Times New Roman" w:hAnsi="Times New Roman" w:eastAsia="宋体" w:cs="Times New Roman"/>
                      <w:color w:val="auto"/>
                      <w:sz w:val="20"/>
                      <w:szCs w:val="20"/>
                    </w:rPr>
                  </w:pPr>
                  <w:r>
                    <w:rPr>
                      <w:rFonts w:hint="default" w:eastAsia="宋体"/>
                      <w:color w:val="auto"/>
                      <w:sz w:val="20"/>
                      <w:szCs w:val="20"/>
                    </w:rPr>
                    <w:t>加盖密封</w:t>
                  </w:r>
                </w:p>
              </w:tc>
              <w:tc>
                <w:tcPr>
                  <w:tcW w:w="642" w:type="dxa"/>
                  <w:tcBorders>
                    <w:top w:val="single" w:color="auto" w:sz="4" w:space="0"/>
                    <w:left w:val="single" w:color="auto" w:sz="4" w:space="0"/>
                    <w:bottom w:val="single" w:color="auto" w:sz="4" w:space="0"/>
                    <w:right w:val="single" w:color="auto" w:sz="4" w:space="0"/>
                    <w:tl2br w:val="nil"/>
                    <w:tr2bl w:val="nil"/>
                  </w:tcBorders>
                  <w:vAlign w:val="center"/>
                </w:tcPr>
                <w:p w14:paraId="460F281D">
                  <w:pPr>
                    <w:spacing w:line="240" w:lineRule="auto"/>
                    <w:ind w:firstLine="0" w:firstLineChars="0"/>
                    <w:jc w:val="center"/>
                    <w:rPr>
                      <w:rFonts w:hint="eastAsia" w:ascii="Times New Roman" w:hAnsi="Times New Roman" w:eastAsia="宋体" w:cs="Times New Roman"/>
                      <w:color w:val="auto"/>
                      <w:sz w:val="20"/>
                      <w:szCs w:val="20"/>
                      <w:lang w:val="en-US" w:eastAsia="zh-CN"/>
                    </w:rPr>
                  </w:pPr>
                  <w:r>
                    <w:rPr>
                      <w:rFonts w:hint="eastAsia" w:eastAsia="宋体" w:cs="Times New Roman"/>
                      <w:color w:val="auto"/>
                      <w:sz w:val="20"/>
                      <w:szCs w:val="20"/>
                      <w:lang w:val="en-US" w:eastAsia="zh-CN"/>
                    </w:rPr>
                    <w:t>0.05t</w:t>
                  </w:r>
                </w:p>
              </w:tc>
              <w:tc>
                <w:tcPr>
                  <w:tcW w:w="805" w:type="dxa"/>
                  <w:tcBorders>
                    <w:top w:val="single" w:color="auto" w:sz="4" w:space="0"/>
                    <w:left w:val="single" w:color="auto" w:sz="4" w:space="0"/>
                    <w:bottom w:val="single" w:color="auto" w:sz="4" w:space="0"/>
                    <w:right w:val="single" w:color="auto" w:sz="4" w:space="0"/>
                    <w:tl2br w:val="nil"/>
                    <w:tr2bl w:val="nil"/>
                  </w:tcBorders>
                  <w:vAlign w:val="center"/>
                </w:tcPr>
                <w:p w14:paraId="4C212AA9">
                  <w:pPr>
                    <w:spacing w:line="240" w:lineRule="auto"/>
                    <w:ind w:firstLine="0" w:firstLineChars="0"/>
                    <w:jc w:val="center"/>
                    <w:rPr>
                      <w:rFonts w:hint="eastAsia" w:eastAsia="宋体"/>
                      <w:color w:val="auto"/>
                      <w:sz w:val="22"/>
                      <w:szCs w:val="22"/>
                      <w:lang w:val="en-US" w:eastAsia="zh-CN"/>
                    </w:rPr>
                  </w:pPr>
                  <w:r>
                    <w:rPr>
                      <w:rFonts w:hint="eastAsia" w:eastAsia="宋体" w:cs="Times New Roman"/>
                      <w:color w:val="auto"/>
                      <w:sz w:val="20"/>
                      <w:szCs w:val="20"/>
                      <w:lang w:val="en-US" w:eastAsia="zh-CN"/>
                    </w:rPr>
                    <w:t>12个月</w:t>
                  </w:r>
                </w:p>
              </w:tc>
            </w:tr>
            <w:tr w14:paraId="1706C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4" w:hRule="atLeast"/>
              </w:trPr>
              <w:tc>
                <w:tcPr>
                  <w:tcW w:w="802" w:type="dxa"/>
                  <w:tcBorders>
                    <w:top w:val="single" w:color="auto" w:sz="4" w:space="0"/>
                    <w:left w:val="single" w:color="auto" w:sz="4" w:space="0"/>
                    <w:bottom w:val="single" w:color="auto" w:sz="4" w:space="0"/>
                    <w:right w:val="single" w:color="auto" w:sz="4" w:space="0"/>
                    <w:tl2br w:val="nil"/>
                    <w:tr2bl w:val="nil"/>
                  </w:tcBorders>
                  <w:vAlign w:val="center"/>
                </w:tcPr>
                <w:p w14:paraId="1A81960A">
                  <w:pPr>
                    <w:spacing w:line="240" w:lineRule="auto"/>
                    <w:ind w:firstLine="0" w:firstLineChars="0"/>
                    <w:jc w:val="center"/>
                    <w:rPr>
                      <w:rFonts w:hint="eastAsia" w:eastAsia="宋体"/>
                      <w:color w:val="auto"/>
                      <w:sz w:val="20"/>
                      <w:szCs w:val="20"/>
                      <w:lang w:val="en-US" w:eastAsia="zh-CN"/>
                    </w:rPr>
                  </w:pPr>
                  <w:r>
                    <w:rPr>
                      <w:rFonts w:hint="default" w:eastAsia="宋体"/>
                      <w:color w:val="auto"/>
                      <w:sz w:val="20"/>
                      <w:szCs w:val="20"/>
                    </w:rPr>
                    <w:t>分区</w:t>
                  </w:r>
                  <w:r>
                    <w:rPr>
                      <w:rFonts w:hint="eastAsia" w:eastAsia="宋体"/>
                      <w:color w:val="auto"/>
                      <w:sz w:val="20"/>
                      <w:szCs w:val="20"/>
                      <w:lang w:val="en-US" w:eastAsia="zh-CN"/>
                    </w:rPr>
                    <w:t>四</w:t>
                  </w:r>
                </w:p>
              </w:tc>
              <w:tc>
                <w:tcPr>
                  <w:tcW w:w="752" w:type="dxa"/>
                  <w:tcBorders>
                    <w:top w:val="single" w:color="auto" w:sz="4" w:space="0"/>
                    <w:left w:val="single" w:color="auto" w:sz="4" w:space="0"/>
                    <w:bottom w:val="single" w:color="auto" w:sz="4" w:space="0"/>
                    <w:right w:val="single" w:color="auto" w:sz="4" w:space="0"/>
                    <w:tl2br w:val="nil"/>
                    <w:tr2bl w:val="nil"/>
                  </w:tcBorders>
                  <w:vAlign w:val="center"/>
                </w:tcPr>
                <w:p w14:paraId="200C1C0A">
                  <w:pPr>
                    <w:spacing w:line="240" w:lineRule="auto"/>
                    <w:ind w:firstLine="0" w:firstLineChars="0"/>
                    <w:jc w:val="center"/>
                    <w:rPr>
                      <w:rFonts w:hint="default" w:eastAsia="宋体"/>
                      <w:color w:val="auto"/>
                      <w:sz w:val="20"/>
                      <w:szCs w:val="20"/>
                    </w:rPr>
                  </w:pPr>
                  <w:r>
                    <w:rPr>
                      <w:rFonts w:hint="default" w:eastAsia="宋体"/>
                      <w:color w:val="auto"/>
                      <w:sz w:val="20"/>
                      <w:szCs w:val="20"/>
                      <w:lang w:val="en-US" w:eastAsia="zh-CN"/>
                    </w:rPr>
                    <w:t>HW31含铅废物</w:t>
                  </w:r>
                </w:p>
              </w:tc>
              <w:tc>
                <w:tcPr>
                  <w:tcW w:w="669" w:type="dxa"/>
                  <w:tcBorders>
                    <w:top w:val="single" w:color="auto" w:sz="4" w:space="0"/>
                    <w:left w:val="single" w:color="auto" w:sz="4" w:space="0"/>
                    <w:bottom w:val="single" w:color="auto" w:sz="4" w:space="0"/>
                    <w:right w:val="single" w:color="auto" w:sz="4" w:space="0"/>
                    <w:tl2br w:val="nil"/>
                    <w:tr2bl w:val="nil"/>
                  </w:tcBorders>
                  <w:vAlign w:val="center"/>
                </w:tcPr>
                <w:p w14:paraId="3EBB517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sz w:val="20"/>
                      <w:szCs w:val="20"/>
                    </w:rPr>
                  </w:pPr>
                  <w:r>
                    <w:rPr>
                      <w:rFonts w:hint="default" w:ascii="Times New Roman" w:hAnsi="Times New Roman" w:cs="Times New Roman"/>
                      <w:color w:val="auto"/>
                      <w:sz w:val="20"/>
                      <w:szCs w:val="20"/>
                      <w:lang w:val="en-US" w:eastAsia="zh-CN"/>
                    </w:rPr>
                    <w:t>900-052-31</w:t>
                  </w:r>
                </w:p>
              </w:tc>
              <w:tc>
                <w:tcPr>
                  <w:tcW w:w="1344" w:type="dxa"/>
                  <w:tcBorders>
                    <w:top w:val="single" w:color="auto" w:sz="4" w:space="0"/>
                    <w:left w:val="single" w:color="auto" w:sz="4" w:space="0"/>
                    <w:bottom w:val="single" w:color="auto" w:sz="4" w:space="0"/>
                    <w:right w:val="single" w:color="auto" w:sz="4" w:space="0"/>
                    <w:tl2br w:val="nil"/>
                    <w:tr2bl w:val="nil"/>
                  </w:tcBorders>
                  <w:vAlign w:val="center"/>
                </w:tcPr>
                <w:p w14:paraId="275DDA9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sz w:val="20"/>
                      <w:szCs w:val="20"/>
                    </w:rPr>
                  </w:pPr>
                  <w:r>
                    <w:rPr>
                      <w:rFonts w:hint="default" w:ascii="Times New Roman" w:hAnsi="Times New Roman" w:cs="Times New Roman"/>
                      <w:color w:val="auto"/>
                      <w:sz w:val="20"/>
                      <w:szCs w:val="20"/>
                      <w:lang w:val="en-US" w:eastAsia="zh-CN"/>
                    </w:rPr>
                    <w:t>线路板制造过程中电镀铅锡合金产生的废液</w:t>
                  </w:r>
                </w:p>
              </w:tc>
              <w:tc>
                <w:tcPr>
                  <w:tcW w:w="687" w:type="dxa"/>
                  <w:tcBorders>
                    <w:top w:val="single" w:color="auto" w:sz="4" w:space="0"/>
                    <w:left w:val="single" w:color="auto" w:sz="4" w:space="0"/>
                    <w:bottom w:val="single" w:color="auto" w:sz="4" w:space="0"/>
                    <w:right w:val="single" w:color="auto" w:sz="4" w:space="0"/>
                    <w:tl2br w:val="nil"/>
                    <w:tr2bl w:val="nil"/>
                  </w:tcBorders>
                  <w:vAlign w:val="center"/>
                </w:tcPr>
                <w:p w14:paraId="4DF47E01">
                  <w:pPr>
                    <w:spacing w:line="240" w:lineRule="auto"/>
                    <w:ind w:firstLine="0" w:firstLineChars="0"/>
                    <w:jc w:val="center"/>
                    <w:rPr>
                      <w:rFonts w:hint="default" w:eastAsia="宋体"/>
                      <w:color w:val="auto"/>
                      <w:sz w:val="20"/>
                      <w:szCs w:val="20"/>
                    </w:rPr>
                  </w:pPr>
                  <w:r>
                    <w:rPr>
                      <w:rFonts w:hint="default" w:eastAsia="宋体"/>
                      <w:color w:val="auto"/>
                      <w:sz w:val="20"/>
                      <w:szCs w:val="20"/>
                    </w:rPr>
                    <w:t>废铅蓄电池</w:t>
                  </w:r>
                </w:p>
              </w:tc>
              <w:tc>
                <w:tcPr>
                  <w:tcW w:w="755" w:type="dxa"/>
                  <w:tcBorders>
                    <w:top w:val="single" w:color="auto" w:sz="4" w:space="0"/>
                    <w:left w:val="single" w:color="auto" w:sz="4" w:space="0"/>
                    <w:bottom w:val="single" w:color="auto" w:sz="4" w:space="0"/>
                    <w:right w:val="single" w:color="auto" w:sz="4" w:space="0"/>
                    <w:tl2br w:val="nil"/>
                    <w:tr2bl w:val="nil"/>
                  </w:tcBorders>
                  <w:vAlign w:val="center"/>
                </w:tcPr>
                <w:p w14:paraId="3CA29A9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0"/>
                      <w:szCs w:val="20"/>
                    </w:rPr>
                  </w:pPr>
                  <w:r>
                    <w:rPr>
                      <w:rFonts w:hint="default" w:ascii="Times New Roman" w:hAnsi="Times New Roman" w:cs="Times New Roman"/>
                      <w:color w:val="auto"/>
                      <w:sz w:val="20"/>
                      <w:szCs w:val="20"/>
                      <w:lang w:val="en-US" w:eastAsia="zh-CN"/>
                    </w:rPr>
                    <w:t>T</w:t>
                  </w:r>
                </w:p>
              </w:tc>
              <w:tc>
                <w:tcPr>
                  <w:tcW w:w="745" w:type="dxa"/>
                  <w:tcBorders>
                    <w:top w:val="single" w:color="auto" w:sz="4" w:space="0"/>
                    <w:left w:val="single" w:color="auto" w:sz="4" w:space="0"/>
                    <w:bottom w:val="single" w:color="auto" w:sz="4" w:space="0"/>
                    <w:right w:val="single" w:color="auto" w:sz="4" w:space="0"/>
                    <w:tl2br w:val="nil"/>
                    <w:tr2bl w:val="nil"/>
                  </w:tcBorders>
                  <w:vAlign w:val="center"/>
                </w:tcPr>
                <w:p w14:paraId="4CBE1DB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0"/>
                      <w:szCs w:val="20"/>
                    </w:rPr>
                  </w:pPr>
                  <w:r>
                    <w:rPr>
                      <w:rFonts w:hint="default" w:ascii="Times New Roman" w:hAnsi="Times New Roman" w:cs="Times New Roman"/>
                      <w:color w:val="auto"/>
                      <w:sz w:val="20"/>
                      <w:szCs w:val="20"/>
                      <w:lang w:val="en-US" w:eastAsia="zh-CN"/>
                    </w:rPr>
                    <w:t>固体</w:t>
                  </w:r>
                </w:p>
              </w:tc>
              <w:tc>
                <w:tcPr>
                  <w:tcW w:w="755" w:type="dxa"/>
                  <w:tcBorders>
                    <w:top w:val="single" w:color="auto" w:sz="4" w:space="0"/>
                    <w:left w:val="single" w:color="auto" w:sz="4" w:space="0"/>
                    <w:bottom w:val="single" w:color="auto" w:sz="4" w:space="0"/>
                    <w:right w:val="single" w:color="auto" w:sz="4" w:space="0"/>
                    <w:tl2br w:val="nil"/>
                    <w:tr2bl w:val="nil"/>
                  </w:tcBorders>
                  <w:vAlign w:val="center"/>
                </w:tcPr>
                <w:p w14:paraId="53096FC4">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color w:val="auto"/>
                      <w:sz w:val="20"/>
                      <w:szCs w:val="20"/>
                      <w:lang w:val="en-US"/>
                    </w:rPr>
                  </w:pPr>
                  <w:r>
                    <w:rPr>
                      <w:rFonts w:hint="eastAsia" w:ascii="Times New Roman" w:hAnsi="Times New Roman" w:cs="Times New Roman"/>
                      <w:color w:val="auto"/>
                      <w:sz w:val="20"/>
                      <w:szCs w:val="20"/>
                      <w:lang w:val="en-US" w:eastAsia="zh-CN"/>
                    </w:rPr>
                    <w:t>桶装、密封</w:t>
                  </w:r>
                </w:p>
              </w:tc>
              <w:tc>
                <w:tcPr>
                  <w:tcW w:w="642" w:type="dxa"/>
                  <w:tcBorders>
                    <w:top w:val="single" w:color="auto" w:sz="4" w:space="0"/>
                    <w:left w:val="single" w:color="auto" w:sz="4" w:space="0"/>
                    <w:bottom w:val="single" w:color="auto" w:sz="4" w:space="0"/>
                    <w:right w:val="single" w:color="auto" w:sz="4" w:space="0"/>
                    <w:tl2br w:val="nil"/>
                    <w:tr2bl w:val="nil"/>
                  </w:tcBorders>
                  <w:vAlign w:val="center"/>
                </w:tcPr>
                <w:p w14:paraId="1971CCBA">
                  <w:pPr>
                    <w:spacing w:line="240" w:lineRule="auto"/>
                    <w:ind w:firstLine="0" w:firstLineChars="0"/>
                    <w:jc w:val="center"/>
                    <w:rPr>
                      <w:rFonts w:hint="eastAsia" w:ascii="Times New Roman" w:hAnsi="Times New Roman" w:eastAsia="宋体" w:cs="Times New Roman"/>
                      <w:color w:val="auto"/>
                      <w:sz w:val="20"/>
                      <w:szCs w:val="20"/>
                      <w:lang w:val="en-US" w:eastAsia="zh-CN"/>
                    </w:rPr>
                  </w:pPr>
                  <w:r>
                    <w:rPr>
                      <w:rFonts w:hint="eastAsia"/>
                      <w:color w:val="auto"/>
                      <w:sz w:val="22"/>
                      <w:szCs w:val="22"/>
                      <w:lang w:val="en-US" w:eastAsia="zh-CN"/>
                    </w:rPr>
                    <w:t>0.01t</w:t>
                  </w:r>
                </w:p>
              </w:tc>
              <w:tc>
                <w:tcPr>
                  <w:tcW w:w="805" w:type="dxa"/>
                  <w:tcBorders>
                    <w:top w:val="single" w:color="auto" w:sz="4" w:space="0"/>
                    <w:left w:val="single" w:color="auto" w:sz="4" w:space="0"/>
                    <w:bottom w:val="single" w:color="auto" w:sz="4" w:space="0"/>
                    <w:right w:val="single" w:color="auto" w:sz="4" w:space="0"/>
                    <w:tl2br w:val="nil"/>
                    <w:tr2bl w:val="nil"/>
                  </w:tcBorders>
                  <w:vAlign w:val="center"/>
                </w:tcPr>
                <w:p w14:paraId="62DD1D8D">
                  <w:pPr>
                    <w:spacing w:line="240" w:lineRule="auto"/>
                    <w:ind w:firstLine="0" w:firstLineChars="0"/>
                    <w:jc w:val="center"/>
                    <w:rPr>
                      <w:rFonts w:hint="eastAsia" w:eastAsia="宋体"/>
                      <w:color w:val="auto"/>
                      <w:sz w:val="22"/>
                      <w:szCs w:val="22"/>
                      <w:lang w:val="en-US" w:eastAsia="zh-CN"/>
                    </w:rPr>
                  </w:pPr>
                  <w:r>
                    <w:rPr>
                      <w:rFonts w:hint="eastAsia" w:eastAsia="宋体" w:cs="Times New Roman"/>
                      <w:color w:val="auto"/>
                      <w:sz w:val="20"/>
                      <w:szCs w:val="20"/>
                      <w:lang w:val="en-US" w:eastAsia="zh-CN"/>
                    </w:rPr>
                    <w:t>12个月</w:t>
                  </w:r>
                </w:p>
              </w:tc>
            </w:tr>
          </w:tbl>
          <w:p w14:paraId="34CD6F31">
            <w:pPr>
              <w:ind w:firstLine="480"/>
              <w:rPr>
                <w:rFonts w:hint="default" w:eastAsia="宋体"/>
                <w:color w:val="auto"/>
              </w:rPr>
            </w:pPr>
            <w:r>
              <w:rPr>
                <w:rFonts w:hint="default" w:eastAsia="宋体"/>
                <w:color w:val="auto"/>
              </w:rPr>
              <w:t>（1）收集、储存方式</w:t>
            </w:r>
          </w:p>
          <w:p w14:paraId="230D14F5">
            <w:pPr>
              <w:ind w:firstLine="480"/>
              <w:rPr>
                <w:rFonts w:hint="default" w:eastAsia="宋体"/>
                <w:color w:val="auto"/>
              </w:rPr>
            </w:pPr>
            <w:r>
              <w:rPr>
                <w:rFonts w:hint="default" w:eastAsia="宋体"/>
                <w:color w:val="auto"/>
              </w:rPr>
              <w:t>本项目暂存</w:t>
            </w:r>
            <w:r>
              <w:rPr>
                <w:rFonts w:hint="eastAsia" w:eastAsia="宋体"/>
                <w:color w:val="auto"/>
                <w:lang w:eastAsia="zh-CN"/>
              </w:rPr>
              <w:t>中煤张家口煤矿机械有限责任公司鄂尔多斯分公司</w:t>
            </w:r>
            <w:r>
              <w:rPr>
                <w:rFonts w:hint="default" w:eastAsia="宋体"/>
                <w:color w:val="auto"/>
              </w:rPr>
              <w:t>生产运行过程中产生的产生</w:t>
            </w:r>
            <w:r>
              <w:rPr>
                <w:rFonts w:hint="eastAsia" w:eastAsia="宋体"/>
                <w:color w:val="auto"/>
                <w:lang w:eastAsia="zh-CN"/>
              </w:rPr>
              <w:t>废矿物油、废油桶、盛装“干净”矿物油的空桶、废铅酸电池</w:t>
            </w:r>
            <w:r>
              <w:rPr>
                <w:rFonts w:hint="default" w:eastAsia="宋体"/>
                <w:color w:val="auto"/>
              </w:rPr>
              <w:t>等危险废物，各危险废物根据各自类别分区存放于相应废危废暂存间区域，定期委托有资质单位进行收集处置。各危险废物分类存放，严禁人为混杂或掺水，并按照《危险废物收集贮存运输技术规范》（HJ2025-2012）规范设置标识标牌，由专人管理，其他人不得进出。</w:t>
            </w:r>
          </w:p>
          <w:p w14:paraId="5185432C">
            <w:pPr>
              <w:ind w:firstLine="480"/>
              <w:rPr>
                <w:rFonts w:hint="default" w:eastAsia="宋体"/>
                <w:color w:val="auto"/>
              </w:rPr>
            </w:pPr>
            <w:r>
              <w:rPr>
                <w:rFonts w:hint="default" w:eastAsia="宋体"/>
                <w:color w:val="auto"/>
              </w:rPr>
              <w:t>（2）运输方式</w:t>
            </w:r>
          </w:p>
          <w:p w14:paraId="216329F8">
            <w:pPr>
              <w:ind w:firstLine="480"/>
              <w:rPr>
                <w:rFonts w:hint="default" w:eastAsia="宋体"/>
                <w:color w:val="auto"/>
              </w:rPr>
            </w:pPr>
            <w:r>
              <w:rPr>
                <w:rFonts w:hint="default" w:eastAsia="宋体"/>
                <w:color w:val="auto"/>
              </w:rPr>
              <w:t>根据《危险废物收集贮存运输技术规范》（HJ2025-2012）中规定：“危险废物运输应由持有危险废物经营许可证的单位按照其许可证的经营范围组织实施，承担危险废物运输的单位应获得交通运输部门颁发的危险废物运输资质”。</w:t>
            </w:r>
          </w:p>
          <w:p w14:paraId="25084306">
            <w:pPr>
              <w:ind w:firstLine="480"/>
              <w:rPr>
                <w:rFonts w:hint="default" w:eastAsia="宋体"/>
                <w:color w:val="auto"/>
              </w:rPr>
            </w:pPr>
            <w:r>
              <w:rPr>
                <w:rFonts w:hint="default" w:eastAsia="宋体"/>
                <w:color w:val="auto"/>
              </w:rPr>
              <w:t>本项目外部运输依托有资质单位进行运输，本项目危险废物在收集后运送中途不更换容器。并根据《危险废物转移管理办法》（部令第23号，2022年1月1日起施行）的规定，执行危险废物转移联单制度。</w:t>
            </w:r>
          </w:p>
          <w:p w14:paraId="433902CF">
            <w:pPr>
              <w:ind w:firstLine="482"/>
              <w:rPr>
                <w:rFonts w:hint="default" w:eastAsia="宋体"/>
                <w:b/>
                <w:color w:val="auto"/>
              </w:rPr>
            </w:pPr>
            <w:r>
              <w:rPr>
                <w:rFonts w:hint="default" w:eastAsia="宋体"/>
                <w:b/>
                <w:color w:val="auto"/>
              </w:rPr>
              <w:t>4、设计方案</w:t>
            </w:r>
          </w:p>
          <w:p w14:paraId="677974E2">
            <w:pPr>
              <w:ind w:firstLine="480"/>
              <w:rPr>
                <w:rFonts w:hint="default" w:eastAsia="宋体"/>
                <w:color w:val="auto"/>
              </w:rPr>
            </w:pPr>
            <w:r>
              <w:rPr>
                <w:rFonts w:hint="default" w:eastAsia="宋体"/>
                <w:color w:val="auto"/>
              </w:rPr>
              <w:t>（1）防渗设计方案</w:t>
            </w:r>
          </w:p>
          <w:p w14:paraId="1BEEF050">
            <w:pPr>
              <w:ind w:firstLine="480"/>
              <w:rPr>
                <w:rFonts w:hint="default" w:eastAsia="宋体"/>
                <w:color w:val="auto"/>
              </w:rPr>
            </w:pPr>
            <w:r>
              <w:rPr>
                <w:rFonts w:hint="default" w:eastAsia="宋体"/>
                <w:color w:val="auto"/>
              </w:rPr>
              <w:t>本项目建筑面积</w:t>
            </w:r>
            <w:r>
              <w:rPr>
                <w:rFonts w:hint="eastAsia" w:eastAsia="宋体"/>
                <w:color w:val="auto"/>
                <w:lang w:eastAsia="zh-CN"/>
              </w:rPr>
              <w:t>21.6</w:t>
            </w:r>
            <w:r>
              <w:rPr>
                <w:rFonts w:hint="default" w:eastAsia="宋体"/>
                <w:color w:val="auto"/>
              </w:rPr>
              <w:t>㎡，危险废物暂存库</w:t>
            </w:r>
            <w:r>
              <w:rPr>
                <w:rFonts w:eastAsia="宋体"/>
                <w:color w:val="auto"/>
              </w:rPr>
              <w:t>地面、裙脚、导流渠、围堰及集液池</w:t>
            </w:r>
            <w:r>
              <w:rPr>
                <w:rFonts w:hint="default" w:eastAsia="宋体"/>
                <w:color w:val="auto"/>
              </w:rPr>
              <w:t>进行相同防渗措施，危险废物暂存库地面采取重点防渗，防渗措施采用防渗层为至少1m厚黏土层（渗透系数</w:t>
            </w:r>
            <w:r>
              <w:rPr>
                <w:rFonts w:eastAsia="宋体"/>
                <w:color w:val="auto"/>
              </w:rPr>
              <w:t>≤</w:t>
            </w:r>
            <w:r>
              <w:rPr>
                <w:rFonts w:hint="default" w:eastAsia="宋体"/>
                <w:color w:val="auto"/>
              </w:rPr>
              <w:t>10</w:t>
            </w:r>
            <w:r>
              <w:rPr>
                <w:rFonts w:hint="default" w:eastAsia="宋体"/>
                <w:color w:val="auto"/>
                <w:vertAlign w:val="superscript"/>
              </w:rPr>
              <w:t>-7</w:t>
            </w:r>
            <w:r>
              <w:rPr>
                <w:rFonts w:hint="default" w:eastAsia="宋体"/>
                <w:color w:val="auto"/>
              </w:rPr>
              <w:t>cm/s），或至少2mm厚高密度聚乙烯膜等人工防渗材料（渗透系数</w:t>
            </w:r>
            <w:r>
              <w:rPr>
                <w:rFonts w:eastAsia="宋体"/>
                <w:color w:val="auto"/>
              </w:rPr>
              <w:t>≤</w:t>
            </w:r>
            <w:r>
              <w:rPr>
                <w:rFonts w:hint="default" w:eastAsia="宋体"/>
                <w:color w:val="auto"/>
              </w:rPr>
              <w:t>10</w:t>
            </w:r>
            <w:r>
              <w:rPr>
                <w:rFonts w:hint="default" w:eastAsia="宋体"/>
                <w:color w:val="auto"/>
                <w:vertAlign w:val="superscript"/>
              </w:rPr>
              <w:t>-10</w:t>
            </w:r>
            <w:r>
              <w:rPr>
                <w:rFonts w:hint="default" w:eastAsia="宋体"/>
                <w:color w:val="auto"/>
              </w:rPr>
              <w:t>cm/s），或其他防渗性能等效的材料，共设1个集液池连通导流渠，集液池规格为长1.0m×宽1.0m×深1m，容积为1m³，主要用于将泄漏的危险废物收集至集液池，导流渠及集液池按照上述要求进行防渗处理。</w:t>
            </w:r>
          </w:p>
          <w:p w14:paraId="659B6674">
            <w:pPr>
              <w:ind w:firstLine="480"/>
              <w:rPr>
                <w:rFonts w:hint="default" w:eastAsia="宋体"/>
                <w:color w:val="auto"/>
              </w:rPr>
            </w:pPr>
            <w:r>
              <w:rPr>
                <w:rFonts w:hint="default" w:eastAsia="宋体"/>
                <w:color w:val="auto"/>
              </w:rPr>
              <w:t>（2）储存区设计方案</w:t>
            </w:r>
          </w:p>
          <w:p w14:paraId="409C829C">
            <w:pPr>
              <w:ind w:firstLine="480"/>
              <w:rPr>
                <w:rFonts w:hint="default" w:eastAsia="宋体"/>
                <w:color w:val="auto"/>
              </w:rPr>
            </w:pPr>
            <w:r>
              <w:rPr>
                <w:rFonts w:hint="default" w:eastAsia="宋体"/>
                <w:color w:val="auto"/>
              </w:rPr>
              <w:t>①库房内根据危险废物的种类和数量分区域存放，中间设置隔断；</w:t>
            </w:r>
          </w:p>
          <w:p w14:paraId="5DCAAE03">
            <w:pPr>
              <w:ind w:firstLine="480"/>
              <w:rPr>
                <w:rFonts w:hint="default" w:eastAsia="宋体"/>
                <w:color w:val="auto"/>
              </w:rPr>
            </w:pPr>
            <w:r>
              <w:rPr>
                <w:rFonts w:hint="default" w:eastAsia="宋体"/>
                <w:color w:val="auto"/>
              </w:rPr>
              <w:t>②储存区设置安全照明设施；</w:t>
            </w:r>
          </w:p>
          <w:p w14:paraId="50A4CB34">
            <w:pPr>
              <w:ind w:firstLine="480"/>
              <w:rPr>
                <w:rFonts w:hint="default" w:eastAsia="宋体"/>
                <w:color w:val="auto"/>
              </w:rPr>
            </w:pPr>
            <w:r>
              <w:rPr>
                <w:rFonts w:hint="default" w:eastAsia="宋体"/>
                <w:color w:val="auto"/>
              </w:rPr>
              <w:t>③危险废物暂存库设置导流渠及集液池，导流渠与集液池相连，事故情况下的废水、泄漏的废液等通过导流渠流入集液池；</w:t>
            </w:r>
          </w:p>
          <w:p w14:paraId="61411984">
            <w:pPr>
              <w:ind w:firstLine="480"/>
              <w:rPr>
                <w:rFonts w:hint="default" w:eastAsia="宋体"/>
                <w:color w:val="auto"/>
              </w:rPr>
            </w:pPr>
            <w:r>
              <w:rPr>
                <w:rFonts w:hint="default" w:eastAsia="宋体"/>
                <w:color w:val="auto"/>
              </w:rPr>
              <w:t>④危险废物暂存要求：</w:t>
            </w:r>
          </w:p>
          <w:p w14:paraId="41C618FB">
            <w:pPr>
              <w:ind w:firstLine="480"/>
              <w:rPr>
                <w:rFonts w:hint="default" w:eastAsia="宋体"/>
                <w:color w:val="auto"/>
              </w:rPr>
            </w:pPr>
            <w:r>
              <w:rPr>
                <w:rFonts w:hint="default" w:eastAsia="宋体"/>
                <w:color w:val="auto"/>
              </w:rPr>
              <w:t>盛装危险废物的容器上必须粘贴符合《危险废物贮存污染控制标准》（GB18597-2023）规定的标签，注明危废产生单位、地址、电话、联系人等，废物化学成分、危险情况、安全措施；</w:t>
            </w:r>
          </w:p>
          <w:p w14:paraId="06EF3828">
            <w:pPr>
              <w:ind w:firstLine="480"/>
              <w:rPr>
                <w:rFonts w:hint="default" w:eastAsia="宋体"/>
                <w:color w:val="auto"/>
              </w:rPr>
            </w:pPr>
            <w:r>
              <w:rPr>
                <w:rFonts w:hint="default" w:eastAsia="宋体"/>
                <w:color w:val="auto"/>
              </w:rPr>
              <w:t>⑤不相容的废物混合时会产生有毒有害气体，导致刺激眼睛、灼伤皮肤和致命，也可能引起强烈及爆炸性的反应热能，因此，不相容的危险废物必须分开存放于不同的堆存区，</w:t>
            </w:r>
            <w:r>
              <w:rPr>
                <w:rFonts w:hint="eastAsia" w:eastAsia="宋体"/>
                <w:color w:val="auto"/>
                <w:lang w:eastAsia="zh-CN"/>
              </w:rPr>
              <w:t>项目废矿物油采用密封桶暂存，废油桶、盛装“干净”矿物油的空桶加盖密封，废铅酸电池桶装加盖密封</w:t>
            </w:r>
            <w:r>
              <w:rPr>
                <w:rFonts w:hint="default" w:eastAsia="宋体"/>
                <w:color w:val="auto"/>
              </w:rPr>
              <w:t>。避免危险废物与不相容的物质或材料接触，防止挥发，容器底部需放置金属托盘防止倾倒、泄漏。</w:t>
            </w:r>
          </w:p>
          <w:p w14:paraId="0F2C1ED6">
            <w:pPr>
              <w:ind w:firstLine="482"/>
              <w:rPr>
                <w:rFonts w:hint="default" w:eastAsia="宋体"/>
                <w:b/>
                <w:color w:val="auto"/>
              </w:rPr>
            </w:pPr>
            <w:r>
              <w:rPr>
                <w:rFonts w:hint="default" w:eastAsia="宋体"/>
                <w:b/>
                <w:color w:val="auto"/>
              </w:rPr>
              <w:t>5、动力消耗</w:t>
            </w:r>
          </w:p>
          <w:p w14:paraId="00A00698">
            <w:pPr>
              <w:ind w:firstLine="480"/>
              <w:rPr>
                <w:rFonts w:hint="default" w:eastAsia="宋体"/>
                <w:color w:val="auto"/>
                <w:lang w:val="zh-CN"/>
              </w:rPr>
            </w:pPr>
            <w:r>
              <w:rPr>
                <w:rFonts w:hint="default" w:eastAsia="宋体"/>
                <w:color w:val="auto"/>
              </w:rPr>
              <w:t>本项目生产所需主要原辅材料及能源消耗情况见下表2-5。</w:t>
            </w:r>
          </w:p>
          <w:p w14:paraId="01A7AD02">
            <w:pPr>
              <w:ind w:firstLine="0" w:firstLineChars="0"/>
              <w:jc w:val="center"/>
              <w:rPr>
                <w:rFonts w:hint="default" w:eastAsia="宋体"/>
                <w:b/>
                <w:color w:val="auto"/>
                <w:lang w:val="zh-CN"/>
              </w:rPr>
            </w:pPr>
            <w:r>
              <w:rPr>
                <w:rFonts w:hint="default" w:eastAsia="宋体"/>
                <w:b/>
                <w:color w:val="auto"/>
                <w:lang w:val="zh-CN"/>
              </w:rPr>
              <w:t>表</w:t>
            </w:r>
            <w:r>
              <w:rPr>
                <w:rFonts w:hint="default" w:eastAsia="宋体"/>
                <w:b/>
                <w:color w:val="auto"/>
              </w:rPr>
              <w:t>2-5</w:t>
            </w:r>
            <w:r>
              <w:rPr>
                <w:rFonts w:hint="default" w:eastAsia="宋体"/>
                <w:b/>
                <w:color w:val="auto"/>
                <w:lang w:val="zh-CN"/>
              </w:rPr>
              <w:t>主要原辅材料消耗情况</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8"/>
              <w:gridCol w:w="2701"/>
              <w:gridCol w:w="1679"/>
              <w:gridCol w:w="2674"/>
            </w:tblGrid>
            <w:tr w14:paraId="4915F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547" w:type="pct"/>
                  <w:tcBorders>
                    <w:top w:val="single" w:color="auto" w:sz="4" w:space="0"/>
                    <w:left w:val="single" w:color="auto" w:sz="4" w:space="0"/>
                    <w:bottom w:val="single" w:color="auto" w:sz="4" w:space="0"/>
                    <w:right w:val="single" w:color="auto" w:sz="4" w:space="0"/>
                    <w:tl2br w:val="nil"/>
                    <w:tr2bl w:val="nil"/>
                  </w:tcBorders>
                  <w:vAlign w:val="center"/>
                </w:tcPr>
                <w:p w14:paraId="36D81897">
                  <w:pPr>
                    <w:spacing w:line="240" w:lineRule="auto"/>
                    <w:ind w:firstLine="0" w:firstLineChars="0"/>
                    <w:jc w:val="center"/>
                    <w:rPr>
                      <w:rFonts w:hint="default" w:eastAsia="宋体"/>
                      <w:color w:val="auto"/>
                    </w:rPr>
                  </w:pPr>
                  <w:r>
                    <w:rPr>
                      <w:rFonts w:hint="default" w:eastAsia="宋体"/>
                      <w:color w:val="auto"/>
                    </w:rPr>
                    <w:t>序号</w:t>
                  </w:r>
                </w:p>
              </w:tc>
              <w:tc>
                <w:tcPr>
                  <w:tcW w:w="1704" w:type="pct"/>
                  <w:tcBorders>
                    <w:top w:val="single" w:color="auto" w:sz="4" w:space="0"/>
                    <w:left w:val="single" w:color="auto" w:sz="4" w:space="0"/>
                    <w:bottom w:val="single" w:color="auto" w:sz="4" w:space="0"/>
                    <w:right w:val="single" w:color="auto" w:sz="4" w:space="0"/>
                    <w:tl2br w:val="nil"/>
                    <w:tr2bl w:val="nil"/>
                  </w:tcBorders>
                  <w:vAlign w:val="center"/>
                </w:tcPr>
                <w:p w14:paraId="36F1C615">
                  <w:pPr>
                    <w:spacing w:line="240" w:lineRule="auto"/>
                    <w:ind w:firstLine="0" w:firstLineChars="0"/>
                    <w:jc w:val="center"/>
                    <w:rPr>
                      <w:rFonts w:hint="default" w:eastAsia="宋体"/>
                      <w:color w:val="auto"/>
                    </w:rPr>
                  </w:pPr>
                  <w:r>
                    <w:rPr>
                      <w:rFonts w:hint="default" w:eastAsia="宋体"/>
                      <w:color w:val="auto"/>
                    </w:rPr>
                    <w:t>名称</w:t>
                  </w:r>
                </w:p>
              </w:tc>
              <w:tc>
                <w:tcPr>
                  <w:tcW w:w="1060" w:type="pct"/>
                  <w:tcBorders>
                    <w:top w:val="single" w:color="auto" w:sz="4" w:space="0"/>
                    <w:left w:val="single" w:color="auto" w:sz="4" w:space="0"/>
                    <w:bottom w:val="single" w:color="auto" w:sz="4" w:space="0"/>
                    <w:right w:val="single" w:color="auto" w:sz="4" w:space="0"/>
                    <w:tl2br w:val="nil"/>
                    <w:tr2bl w:val="nil"/>
                  </w:tcBorders>
                  <w:vAlign w:val="center"/>
                </w:tcPr>
                <w:p w14:paraId="479712D5">
                  <w:pPr>
                    <w:spacing w:line="240" w:lineRule="auto"/>
                    <w:ind w:firstLine="0" w:firstLineChars="0"/>
                    <w:jc w:val="center"/>
                    <w:rPr>
                      <w:rFonts w:hint="default" w:eastAsia="宋体"/>
                      <w:color w:val="auto"/>
                    </w:rPr>
                  </w:pPr>
                  <w:r>
                    <w:rPr>
                      <w:rFonts w:hint="default" w:eastAsia="宋体"/>
                      <w:color w:val="auto"/>
                    </w:rPr>
                    <w:t>用量</w:t>
                  </w:r>
                </w:p>
              </w:tc>
              <w:tc>
                <w:tcPr>
                  <w:tcW w:w="1687" w:type="pct"/>
                  <w:tcBorders>
                    <w:top w:val="single" w:color="auto" w:sz="4" w:space="0"/>
                    <w:left w:val="single" w:color="auto" w:sz="4" w:space="0"/>
                    <w:bottom w:val="single" w:color="auto" w:sz="4" w:space="0"/>
                    <w:right w:val="single" w:color="auto" w:sz="4" w:space="0"/>
                    <w:tl2br w:val="nil"/>
                    <w:tr2bl w:val="nil"/>
                  </w:tcBorders>
                  <w:vAlign w:val="center"/>
                </w:tcPr>
                <w:p w14:paraId="635B4AE3">
                  <w:pPr>
                    <w:spacing w:line="240" w:lineRule="auto"/>
                    <w:ind w:firstLine="0" w:firstLineChars="0"/>
                    <w:jc w:val="center"/>
                    <w:rPr>
                      <w:rFonts w:hint="default" w:eastAsia="宋体"/>
                      <w:color w:val="auto"/>
                    </w:rPr>
                  </w:pPr>
                  <w:r>
                    <w:rPr>
                      <w:rFonts w:hint="default" w:eastAsia="宋体"/>
                      <w:color w:val="auto"/>
                    </w:rPr>
                    <w:t>备注</w:t>
                  </w:r>
                </w:p>
              </w:tc>
            </w:tr>
            <w:tr w14:paraId="75C80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547" w:type="pct"/>
                  <w:tcBorders>
                    <w:top w:val="single" w:color="auto" w:sz="4" w:space="0"/>
                    <w:left w:val="single" w:color="auto" w:sz="4" w:space="0"/>
                    <w:bottom w:val="single" w:color="auto" w:sz="4" w:space="0"/>
                    <w:right w:val="single" w:color="auto" w:sz="4" w:space="0"/>
                    <w:tl2br w:val="nil"/>
                    <w:tr2bl w:val="nil"/>
                  </w:tcBorders>
                  <w:vAlign w:val="center"/>
                </w:tcPr>
                <w:p w14:paraId="7C9A5010">
                  <w:pPr>
                    <w:spacing w:line="240" w:lineRule="auto"/>
                    <w:ind w:firstLine="0" w:firstLineChars="0"/>
                    <w:jc w:val="center"/>
                    <w:rPr>
                      <w:rFonts w:hint="default" w:eastAsia="宋体"/>
                      <w:color w:val="auto"/>
                    </w:rPr>
                  </w:pPr>
                  <w:r>
                    <w:rPr>
                      <w:rFonts w:hint="default" w:eastAsia="宋体"/>
                      <w:color w:val="auto"/>
                    </w:rPr>
                    <w:t>1</w:t>
                  </w:r>
                </w:p>
              </w:tc>
              <w:tc>
                <w:tcPr>
                  <w:tcW w:w="1704" w:type="pct"/>
                  <w:tcBorders>
                    <w:top w:val="single" w:color="auto" w:sz="4" w:space="0"/>
                    <w:left w:val="single" w:color="auto" w:sz="4" w:space="0"/>
                    <w:bottom w:val="single" w:color="auto" w:sz="4" w:space="0"/>
                    <w:right w:val="single" w:color="auto" w:sz="4" w:space="0"/>
                    <w:tl2br w:val="nil"/>
                    <w:tr2bl w:val="nil"/>
                  </w:tcBorders>
                  <w:vAlign w:val="center"/>
                </w:tcPr>
                <w:p w14:paraId="45E566E8">
                  <w:pPr>
                    <w:spacing w:line="240" w:lineRule="auto"/>
                    <w:ind w:firstLine="0" w:firstLineChars="0"/>
                    <w:jc w:val="center"/>
                    <w:rPr>
                      <w:rFonts w:hint="default" w:eastAsia="宋体"/>
                      <w:color w:val="auto"/>
                    </w:rPr>
                  </w:pPr>
                  <w:r>
                    <w:rPr>
                      <w:rFonts w:hint="default" w:eastAsia="宋体"/>
                      <w:color w:val="auto"/>
                    </w:rPr>
                    <w:t>耗电量</w:t>
                  </w:r>
                </w:p>
              </w:tc>
              <w:tc>
                <w:tcPr>
                  <w:tcW w:w="1060" w:type="pct"/>
                  <w:tcBorders>
                    <w:top w:val="single" w:color="auto" w:sz="4" w:space="0"/>
                    <w:left w:val="single" w:color="auto" w:sz="4" w:space="0"/>
                    <w:bottom w:val="single" w:color="auto" w:sz="4" w:space="0"/>
                    <w:right w:val="single" w:color="auto" w:sz="4" w:space="0"/>
                    <w:tl2br w:val="nil"/>
                    <w:tr2bl w:val="nil"/>
                  </w:tcBorders>
                  <w:vAlign w:val="center"/>
                </w:tcPr>
                <w:p w14:paraId="68D4740A">
                  <w:pPr>
                    <w:spacing w:line="240" w:lineRule="auto"/>
                    <w:ind w:firstLine="0" w:firstLineChars="0"/>
                    <w:jc w:val="center"/>
                    <w:rPr>
                      <w:rFonts w:hint="default" w:eastAsia="宋体"/>
                      <w:color w:val="auto"/>
                    </w:rPr>
                  </w:pPr>
                  <w:r>
                    <w:rPr>
                      <w:rFonts w:hint="eastAsia" w:eastAsia="宋体"/>
                      <w:color w:val="auto"/>
                      <w:lang w:val="en-US" w:eastAsia="zh-CN"/>
                    </w:rPr>
                    <w:t>12</w:t>
                  </w:r>
                  <w:r>
                    <w:rPr>
                      <w:rFonts w:hint="default" w:eastAsia="宋体"/>
                      <w:color w:val="auto"/>
                    </w:rPr>
                    <w:t>0kW·h/a</w:t>
                  </w:r>
                </w:p>
              </w:tc>
              <w:tc>
                <w:tcPr>
                  <w:tcW w:w="1687" w:type="pct"/>
                  <w:tcBorders>
                    <w:top w:val="single" w:color="auto" w:sz="4" w:space="0"/>
                    <w:left w:val="single" w:color="auto" w:sz="4" w:space="0"/>
                    <w:bottom w:val="single" w:color="auto" w:sz="4" w:space="0"/>
                    <w:right w:val="single" w:color="auto" w:sz="4" w:space="0"/>
                    <w:tl2br w:val="nil"/>
                    <w:tr2bl w:val="nil"/>
                  </w:tcBorders>
                  <w:vAlign w:val="center"/>
                </w:tcPr>
                <w:p w14:paraId="45736DA0">
                  <w:pPr>
                    <w:spacing w:line="240" w:lineRule="auto"/>
                    <w:ind w:firstLine="0" w:firstLineChars="0"/>
                    <w:jc w:val="center"/>
                    <w:rPr>
                      <w:rFonts w:hint="default" w:eastAsia="宋体"/>
                      <w:color w:val="auto"/>
                    </w:rPr>
                  </w:pPr>
                  <w:r>
                    <w:rPr>
                      <w:rFonts w:hint="default" w:eastAsia="宋体"/>
                      <w:color w:val="auto"/>
                    </w:rPr>
                    <w:t>依托现有供电设施</w:t>
                  </w:r>
                </w:p>
              </w:tc>
            </w:tr>
          </w:tbl>
          <w:p w14:paraId="2C4FD1EE">
            <w:pPr>
              <w:ind w:firstLine="482"/>
              <w:rPr>
                <w:rFonts w:hint="default" w:eastAsia="宋体"/>
                <w:color w:val="auto"/>
              </w:rPr>
            </w:pPr>
            <w:r>
              <w:rPr>
                <w:rFonts w:hint="default" w:eastAsia="宋体"/>
                <w:b/>
                <w:color w:val="auto"/>
              </w:rPr>
              <w:t>6、公用工程</w:t>
            </w:r>
          </w:p>
          <w:p w14:paraId="6A3B6903">
            <w:pPr>
              <w:ind w:firstLine="480"/>
              <w:rPr>
                <w:rFonts w:hint="default" w:eastAsia="宋体"/>
                <w:color w:val="auto"/>
              </w:rPr>
            </w:pPr>
            <w:r>
              <w:rPr>
                <w:rFonts w:hint="default" w:eastAsia="宋体"/>
                <w:color w:val="auto"/>
              </w:rPr>
              <w:t>（1）给水</w:t>
            </w:r>
          </w:p>
          <w:p w14:paraId="0743CCBC">
            <w:pPr>
              <w:ind w:firstLine="480"/>
              <w:rPr>
                <w:rFonts w:hint="default" w:eastAsia="宋体"/>
                <w:color w:val="auto"/>
              </w:rPr>
            </w:pPr>
            <w:r>
              <w:rPr>
                <w:rFonts w:hint="default" w:eastAsia="宋体"/>
                <w:color w:val="auto"/>
              </w:rPr>
              <w:t>本项目无生产用水，</w:t>
            </w:r>
            <w:r>
              <w:rPr>
                <w:rFonts w:hint="eastAsia" w:eastAsia="宋体"/>
                <w:color w:val="auto"/>
                <w:lang w:val="en-US" w:eastAsia="zh-CN"/>
              </w:rPr>
              <w:t>无</w:t>
            </w:r>
            <w:r>
              <w:rPr>
                <w:rFonts w:hint="default" w:eastAsia="宋体"/>
                <w:color w:val="auto"/>
              </w:rPr>
              <w:t>新增</w:t>
            </w:r>
            <w:r>
              <w:rPr>
                <w:rFonts w:hint="eastAsia" w:eastAsia="宋体"/>
                <w:color w:val="auto"/>
                <w:lang w:val="en-US" w:eastAsia="zh-CN"/>
              </w:rPr>
              <w:t>劳动定员</w:t>
            </w:r>
            <w:r>
              <w:rPr>
                <w:rFonts w:hint="default" w:eastAsia="宋体"/>
                <w:color w:val="auto"/>
              </w:rPr>
              <w:t>，故无新增生活用水。</w:t>
            </w:r>
          </w:p>
          <w:p w14:paraId="08781835">
            <w:pPr>
              <w:ind w:firstLine="480"/>
              <w:rPr>
                <w:rFonts w:hint="default" w:eastAsia="宋体"/>
                <w:color w:val="auto"/>
              </w:rPr>
            </w:pPr>
            <w:r>
              <w:rPr>
                <w:rFonts w:hint="default" w:eastAsia="宋体"/>
                <w:color w:val="auto"/>
              </w:rPr>
              <w:t>（2）排水</w:t>
            </w:r>
          </w:p>
          <w:p w14:paraId="315B9100">
            <w:pPr>
              <w:ind w:firstLine="480"/>
              <w:rPr>
                <w:rFonts w:hint="default" w:eastAsia="宋体"/>
                <w:color w:val="auto"/>
              </w:rPr>
            </w:pPr>
            <w:r>
              <w:rPr>
                <w:rFonts w:hint="default" w:eastAsia="宋体"/>
                <w:color w:val="auto"/>
              </w:rPr>
              <w:t>本项目不新增生产废水和生活污水。</w:t>
            </w:r>
          </w:p>
          <w:p w14:paraId="148C3334">
            <w:pPr>
              <w:ind w:firstLine="480"/>
              <w:rPr>
                <w:rFonts w:hint="default" w:eastAsia="宋体"/>
                <w:color w:val="auto"/>
              </w:rPr>
            </w:pPr>
            <w:r>
              <w:rPr>
                <w:rFonts w:hint="default" w:eastAsia="宋体"/>
                <w:color w:val="auto"/>
              </w:rPr>
              <w:t>（3）供电</w:t>
            </w:r>
          </w:p>
          <w:p w14:paraId="457A8220">
            <w:pPr>
              <w:ind w:firstLine="480"/>
              <w:rPr>
                <w:rFonts w:hint="default" w:eastAsia="宋体"/>
                <w:color w:val="auto"/>
              </w:rPr>
            </w:pPr>
            <w:r>
              <w:rPr>
                <w:rFonts w:hint="default" w:eastAsia="宋体"/>
                <w:color w:val="auto"/>
              </w:rPr>
              <w:t>本项目供电依托项目区内现有供电设备。</w:t>
            </w:r>
          </w:p>
          <w:p w14:paraId="5917027B">
            <w:pPr>
              <w:ind w:firstLine="480"/>
              <w:rPr>
                <w:rFonts w:hint="default" w:eastAsia="宋体"/>
                <w:color w:val="auto"/>
              </w:rPr>
            </w:pPr>
            <w:r>
              <w:rPr>
                <w:rFonts w:hint="default" w:eastAsia="宋体"/>
                <w:color w:val="auto"/>
              </w:rPr>
              <w:t>（4）供热</w:t>
            </w:r>
          </w:p>
          <w:p w14:paraId="33C3F4FF">
            <w:pPr>
              <w:ind w:firstLine="480"/>
              <w:rPr>
                <w:rFonts w:hint="default" w:eastAsia="宋体"/>
                <w:color w:val="auto"/>
              </w:rPr>
            </w:pPr>
            <w:r>
              <w:rPr>
                <w:rFonts w:hint="default" w:eastAsia="宋体"/>
                <w:color w:val="auto"/>
              </w:rPr>
              <w:t>本项目冬季不涉及供暖。</w:t>
            </w:r>
          </w:p>
          <w:p w14:paraId="346ED8C4">
            <w:pPr>
              <w:ind w:firstLine="480"/>
              <w:rPr>
                <w:rFonts w:hint="default" w:eastAsia="宋体"/>
                <w:color w:val="auto"/>
              </w:rPr>
            </w:pPr>
            <w:r>
              <w:rPr>
                <w:rFonts w:hint="default" w:eastAsia="宋体"/>
                <w:color w:val="auto"/>
              </w:rPr>
              <w:t>（5）消防</w:t>
            </w:r>
          </w:p>
          <w:p w14:paraId="5BC1BF77">
            <w:pPr>
              <w:ind w:firstLine="480"/>
              <w:rPr>
                <w:rFonts w:hint="default" w:eastAsia="宋体"/>
                <w:color w:val="auto"/>
              </w:rPr>
            </w:pPr>
            <w:r>
              <w:rPr>
                <w:rFonts w:hint="default" w:eastAsia="宋体"/>
                <w:color w:val="auto"/>
              </w:rPr>
              <w:t>在危废暂存库设置一定数量的灭火器、消防沙等消防设施。</w:t>
            </w:r>
          </w:p>
          <w:p w14:paraId="6C99D2E8">
            <w:pPr>
              <w:ind w:firstLine="482"/>
              <w:rPr>
                <w:rFonts w:hint="default" w:eastAsia="宋体"/>
                <w:b/>
                <w:color w:val="auto"/>
              </w:rPr>
            </w:pPr>
            <w:r>
              <w:rPr>
                <w:rFonts w:hint="default" w:eastAsia="宋体"/>
                <w:b/>
                <w:color w:val="auto"/>
              </w:rPr>
              <w:t>7、劳动定员及工作制度</w:t>
            </w:r>
          </w:p>
          <w:p w14:paraId="3F8ED4BF">
            <w:pPr>
              <w:ind w:firstLine="480"/>
              <w:rPr>
                <w:rFonts w:hint="default" w:eastAsia="宋体"/>
                <w:color w:val="auto"/>
              </w:rPr>
            </w:pPr>
            <w:r>
              <w:rPr>
                <w:rFonts w:hint="default" w:eastAsia="宋体"/>
                <w:color w:val="auto"/>
              </w:rPr>
              <w:t>本项目不新增劳动定员，由现有职工调配，年工作天数365d，实行一班制，每班工作8h。</w:t>
            </w:r>
          </w:p>
          <w:p w14:paraId="04EFC164">
            <w:pPr>
              <w:ind w:firstLine="482"/>
              <w:rPr>
                <w:rFonts w:hint="default" w:eastAsia="宋体"/>
                <w:b/>
                <w:color w:val="auto"/>
              </w:rPr>
            </w:pPr>
            <w:r>
              <w:rPr>
                <w:rFonts w:hint="default" w:eastAsia="宋体"/>
                <w:b/>
                <w:color w:val="auto"/>
              </w:rPr>
              <w:t>8、厂区平面布置</w:t>
            </w:r>
          </w:p>
          <w:p w14:paraId="55C2F7FE">
            <w:pPr>
              <w:ind w:firstLine="480"/>
              <w:rPr>
                <w:rFonts w:hint="default" w:eastAsia="宋体"/>
                <w:color w:val="auto"/>
              </w:rPr>
            </w:pPr>
            <w:r>
              <w:rPr>
                <w:rFonts w:hint="default" w:eastAsia="宋体"/>
                <w:color w:val="auto"/>
              </w:rPr>
              <w:t>本项目位于</w:t>
            </w:r>
            <w:r>
              <w:rPr>
                <w:rFonts w:hint="eastAsia" w:eastAsia="宋体"/>
                <w:color w:val="auto"/>
                <w:lang w:eastAsia="zh-CN"/>
              </w:rPr>
              <w:t>内蒙古鄂尔多斯市伊金霍洛旗阿镇现代装备制造基地，在中煤张家口煤矿机械有限责任公司鄂尔多斯分公司现有工业场地内建设</w:t>
            </w:r>
            <w:r>
              <w:rPr>
                <w:rFonts w:hint="default" w:eastAsia="宋体"/>
                <w:color w:val="auto"/>
              </w:rPr>
              <w:t>。危险废物分区暂存，共设</w:t>
            </w:r>
            <w:r>
              <w:rPr>
                <w:rFonts w:hint="eastAsia" w:eastAsia="宋体"/>
                <w:color w:val="auto"/>
                <w:lang w:eastAsia="zh-CN"/>
              </w:rPr>
              <w:t>4个分区</w:t>
            </w:r>
            <w:r>
              <w:rPr>
                <w:rFonts w:hint="default" w:eastAsia="宋体"/>
                <w:color w:val="auto"/>
              </w:rPr>
              <w:t>，分区一占地面积为</w:t>
            </w:r>
            <w:r>
              <w:rPr>
                <w:rFonts w:hint="default" w:eastAsia="宋体"/>
                <w:color w:val="auto"/>
                <w:lang w:val="en-US" w:eastAsia="zh-CN"/>
              </w:rPr>
              <w:t>5</w:t>
            </w:r>
            <w:r>
              <w:rPr>
                <w:rFonts w:hint="default" w:eastAsia="宋体"/>
                <w:color w:val="auto"/>
              </w:rPr>
              <w:t>㎡，用于暂存废矿物油；分区二占地面积为</w:t>
            </w:r>
            <w:r>
              <w:rPr>
                <w:rFonts w:hint="default" w:eastAsia="宋体"/>
                <w:color w:val="auto"/>
                <w:lang w:val="en-US" w:eastAsia="zh-CN"/>
              </w:rPr>
              <w:t>5</w:t>
            </w:r>
            <w:r>
              <w:rPr>
                <w:rFonts w:hint="default" w:eastAsia="宋体"/>
                <w:color w:val="auto"/>
              </w:rPr>
              <w:t>㎡，用于暂存</w:t>
            </w:r>
            <w:r>
              <w:rPr>
                <w:rFonts w:hint="default" w:eastAsia="宋体"/>
                <w:color w:val="auto"/>
                <w:lang w:val="en-US" w:eastAsia="zh-CN"/>
              </w:rPr>
              <w:t>盛装“干净”矿物油的空桶</w:t>
            </w:r>
            <w:r>
              <w:rPr>
                <w:rFonts w:hint="default" w:eastAsia="宋体"/>
                <w:color w:val="auto"/>
                <w:lang w:eastAsia="zh-CN"/>
              </w:rPr>
              <w:t>；</w:t>
            </w:r>
            <w:r>
              <w:rPr>
                <w:rFonts w:hint="default" w:eastAsia="宋体"/>
                <w:color w:val="auto"/>
              </w:rPr>
              <w:t>分区</w:t>
            </w:r>
            <w:r>
              <w:rPr>
                <w:rFonts w:hint="default" w:eastAsia="宋体"/>
                <w:color w:val="auto"/>
                <w:lang w:val="en-US" w:eastAsia="zh-CN"/>
              </w:rPr>
              <w:t>三</w:t>
            </w:r>
            <w:r>
              <w:rPr>
                <w:rFonts w:hint="default" w:eastAsia="宋体"/>
                <w:color w:val="auto"/>
              </w:rPr>
              <w:t>占地面积为</w:t>
            </w:r>
            <w:r>
              <w:rPr>
                <w:rFonts w:hint="default" w:eastAsia="宋体"/>
                <w:color w:val="auto"/>
                <w:lang w:val="en-US" w:eastAsia="zh-CN"/>
              </w:rPr>
              <w:t>5</w:t>
            </w:r>
            <w:r>
              <w:rPr>
                <w:rFonts w:hint="default" w:eastAsia="宋体"/>
                <w:color w:val="auto"/>
              </w:rPr>
              <w:t>㎡，用于暂存</w:t>
            </w:r>
            <w:r>
              <w:rPr>
                <w:rFonts w:hint="default" w:eastAsia="宋体"/>
                <w:color w:val="auto"/>
                <w:lang w:val="en-US" w:eastAsia="zh-CN"/>
              </w:rPr>
              <w:t>废油桶</w:t>
            </w:r>
            <w:r>
              <w:rPr>
                <w:rFonts w:hint="default" w:eastAsia="宋体"/>
                <w:color w:val="auto"/>
                <w:lang w:eastAsia="zh-CN"/>
              </w:rPr>
              <w:t>；</w:t>
            </w:r>
            <w:r>
              <w:rPr>
                <w:rFonts w:hint="default" w:eastAsia="宋体"/>
                <w:color w:val="auto"/>
              </w:rPr>
              <w:t>分区</w:t>
            </w:r>
            <w:r>
              <w:rPr>
                <w:rFonts w:hint="default" w:eastAsia="宋体"/>
                <w:color w:val="auto"/>
                <w:lang w:val="en-US" w:eastAsia="zh-CN"/>
              </w:rPr>
              <w:t>四</w:t>
            </w:r>
            <w:r>
              <w:rPr>
                <w:rFonts w:hint="default" w:eastAsia="宋体"/>
                <w:color w:val="auto"/>
              </w:rPr>
              <w:t>占地面积为</w:t>
            </w:r>
            <w:r>
              <w:rPr>
                <w:rFonts w:hint="default" w:eastAsia="宋体"/>
                <w:color w:val="auto"/>
                <w:lang w:val="en-US" w:eastAsia="zh-CN"/>
              </w:rPr>
              <w:t>5</w:t>
            </w:r>
            <w:r>
              <w:rPr>
                <w:rFonts w:hint="default" w:eastAsia="宋体"/>
                <w:color w:val="auto"/>
              </w:rPr>
              <w:t>㎡，用于暂存</w:t>
            </w:r>
            <w:r>
              <w:rPr>
                <w:rFonts w:hint="default" w:eastAsia="宋体"/>
                <w:color w:val="auto"/>
                <w:lang w:val="en-US" w:eastAsia="zh-CN"/>
              </w:rPr>
              <w:t>废铅酸电池</w:t>
            </w:r>
            <w:r>
              <w:rPr>
                <w:rFonts w:hint="eastAsia" w:eastAsia="宋体"/>
                <w:color w:val="auto"/>
                <w:lang w:eastAsia="zh-CN"/>
              </w:rPr>
              <w:t>，</w:t>
            </w:r>
            <w:r>
              <w:rPr>
                <w:rFonts w:hint="default" w:eastAsia="宋体"/>
                <w:color w:val="auto"/>
              </w:rPr>
              <w:t>设1个</w:t>
            </w:r>
            <w:r>
              <w:rPr>
                <w:rFonts w:hint="eastAsia" w:eastAsia="宋体"/>
                <w:color w:val="auto"/>
                <w:lang w:val="en-US" w:eastAsia="zh-CN"/>
              </w:rPr>
              <w:t>1m³的</w:t>
            </w:r>
            <w:r>
              <w:rPr>
                <w:rFonts w:hint="default" w:eastAsia="宋体"/>
                <w:color w:val="auto"/>
              </w:rPr>
              <w:t>集液池，四周设导流渠（宽200mm，高宽200mm），通往危险废物暂存库集液池，用于将溢出废液导入集液池内。墙面四周设置300mm高的裙脚。项目平面布置图见附图3。</w:t>
            </w:r>
          </w:p>
        </w:tc>
      </w:tr>
      <w:tr w14:paraId="1B6E81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0" w:hRule="atLeast"/>
          <w:jc w:val="center"/>
        </w:trPr>
        <w:tc>
          <w:tcPr>
            <w:tcW w:w="741" w:type="dxa"/>
            <w:tcBorders>
              <w:top w:val="single" w:color="auto" w:sz="4" w:space="0"/>
              <w:left w:val="single" w:color="auto" w:sz="8" w:space="0"/>
              <w:bottom w:val="single" w:color="auto" w:sz="4" w:space="0"/>
              <w:right w:val="single" w:color="auto" w:sz="4" w:space="0"/>
              <w:tl2br w:val="nil"/>
              <w:tr2bl w:val="nil"/>
            </w:tcBorders>
            <w:vAlign w:val="center"/>
          </w:tcPr>
          <w:p w14:paraId="31FAE773">
            <w:pPr>
              <w:ind w:firstLine="0" w:firstLineChars="0"/>
              <w:rPr>
                <w:rFonts w:hint="default" w:eastAsia="宋体"/>
                <w:color w:val="auto"/>
              </w:rPr>
            </w:pPr>
            <w:r>
              <w:rPr>
                <w:rFonts w:hint="default" w:eastAsia="宋体"/>
                <w:color w:val="auto"/>
              </w:rPr>
              <w:t>工艺流程和产排污环节</w:t>
            </w:r>
          </w:p>
        </w:tc>
        <w:tc>
          <w:tcPr>
            <w:tcW w:w="8148" w:type="dxa"/>
            <w:gridSpan w:val="2"/>
            <w:tcBorders>
              <w:top w:val="single" w:color="auto" w:sz="4" w:space="0"/>
              <w:left w:val="single" w:color="auto" w:sz="4" w:space="0"/>
              <w:bottom w:val="single" w:color="auto" w:sz="4" w:space="0"/>
              <w:right w:val="single" w:color="auto" w:sz="8" w:space="0"/>
              <w:tl2br w:val="nil"/>
              <w:tr2bl w:val="nil"/>
            </w:tcBorders>
          </w:tcPr>
          <w:p w14:paraId="6F0C0C0A">
            <w:pPr>
              <w:ind w:firstLine="482"/>
              <w:rPr>
                <w:rFonts w:hint="default" w:eastAsia="宋体"/>
                <w:b/>
                <w:color w:val="auto"/>
              </w:rPr>
            </w:pPr>
            <w:r>
              <w:rPr>
                <w:rFonts w:hint="default" w:eastAsia="宋体"/>
                <w:b/>
                <w:color w:val="auto"/>
              </w:rPr>
              <w:t>二、施工期工艺流程及产排污环节</w:t>
            </w:r>
          </w:p>
          <w:p w14:paraId="698E2958">
            <w:pPr>
              <w:ind w:firstLine="482"/>
              <w:rPr>
                <w:rFonts w:hint="default"/>
                <w:b/>
                <w:color w:val="auto"/>
                <w:szCs w:val="21"/>
              </w:rPr>
            </w:pPr>
            <w:r>
              <w:rPr>
                <w:rFonts w:hint="default" w:eastAsia="宋体"/>
                <w:b/>
                <w:color w:val="auto"/>
              </w:rPr>
              <w:t>1、施工期工艺流程</w:t>
            </w:r>
          </w:p>
          <w:p w14:paraId="767D200A">
            <w:pPr>
              <w:ind w:firstLine="480"/>
              <w:rPr>
                <w:rFonts w:hint="default"/>
                <w:color w:val="auto"/>
                <w:highlight w:val="none"/>
              </w:rPr>
            </w:pPr>
            <w:r>
              <w:rPr>
                <w:rFonts w:hint="default" w:eastAsia="宋体"/>
                <w:color w:val="auto"/>
                <w:highlight w:val="none"/>
              </w:rPr>
              <w:t>工程施工期间将产生噪声、扬尘、固体废弃物、少量污水和废气等污染物。</w:t>
            </w:r>
          </w:p>
          <w:p w14:paraId="729F0317">
            <w:pPr>
              <w:ind w:firstLine="480"/>
              <w:rPr>
                <w:rFonts w:hint="default"/>
                <w:color w:val="auto"/>
              </w:rPr>
            </w:pPr>
            <w:r>
              <w:rPr>
                <w:rFonts w:hint="default" w:eastAsia="宋体"/>
                <w:color w:val="auto"/>
              </w:rPr>
              <w:t>（1）防渗工程：防渗层为至少1m厚黏土层（渗透系数</w:t>
            </w:r>
            <w:r>
              <w:rPr>
                <w:rFonts w:eastAsia="宋体"/>
                <w:color w:val="auto"/>
              </w:rPr>
              <w:t>≤</w:t>
            </w:r>
            <w:r>
              <w:rPr>
                <w:rFonts w:hint="default" w:eastAsia="宋体"/>
                <w:color w:val="auto"/>
              </w:rPr>
              <w:t>10</w:t>
            </w:r>
            <w:r>
              <w:rPr>
                <w:rFonts w:hint="default" w:eastAsia="宋体"/>
                <w:color w:val="auto"/>
                <w:vertAlign w:val="superscript"/>
              </w:rPr>
              <w:t>-7</w:t>
            </w:r>
            <w:r>
              <w:rPr>
                <w:rFonts w:hint="default" w:eastAsia="宋体"/>
                <w:color w:val="auto"/>
              </w:rPr>
              <w:t>cm/s），或至少2mm厚高密度聚乙烯膜等人工防渗材料（渗透系数</w:t>
            </w:r>
            <w:r>
              <w:rPr>
                <w:rFonts w:eastAsia="宋体"/>
                <w:color w:val="auto"/>
              </w:rPr>
              <w:t>≤</w:t>
            </w:r>
            <w:r>
              <w:rPr>
                <w:rFonts w:hint="default" w:eastAsia="宋体"/>
                <w:color w:val="auto"/>
              </w:rPr>
              <w:t>10</w:t>
            </w:r>
            <w:r>
              <w:rPr>
                <w:rFonts w:hint="default" w:eastAsia="宋体"/>
                <w:color w:val="auto"/>
                <w:vertAlign w:val="superscript"/>
              </w:rPr>
              <w:t>-10</w:t>
            </w:r>
            <w:r>
              <w:rPr>
                <w:rFonts w:hint="default" w:eastAsia="宋体"/>
                <w:color w:val="auto"/>
              </w:rPr>
              <w:t>cm/s），或其他防渗性能等效的材料，库内四周设不小于300m</w:t>
            </w:r>
            <w:r>
              <w:rPr>
                <w:rFonts w:hint="default"/>
                <w:color w:val="auto"/>
              </w:rPr>
              <w:t>m</w:t>
            </w:r>
            <w:r>
              <w:rPr>
                <w:rFonts w:hint="default" w:eastAsia="宋体"/>
                <w:color w:val="auto"/>
              </w:rPr>
              <w:t>高裙脚，裙脚防渗与地面相同，地面与裙脚自流平，保证构筑物渗透系数</w:t>
            </w:r>
            <w:r>
              <w:rPr>
                <w:rFonts w:eastAsia="宋体"/>
                <w:color w:val="auto"/>
              </w:rPr>
              <w:t>≤</w:t>
            </w:r>
            <w:r>
              <w:rPr>
                <w:rFonts w:hint="default"/>
                <w:color w:val="auto"/>
              </w:rPr>
              <w:t>1.0×10</w:t>
            </w:r>
            <w:r>
              <w:rPr>
                <w:rFonts w:hint="default"/>
                <w:color w:val="auto"/>
                <w:vertAlign w:val="superscript"/>
              </w:rPr>
              <w:t>-10</w:t>
            </w:r>
            <w:r>
              <w:rPr>
                <w:rFonts w:hint="default"/>
                <w:color w:val="auto"/>
              </w:rPr>
              <w:t>cm/s</w:t>
            </w:r>
            <w:r>
              <w:rPr>
                <w:rFonts w:hint="default" w:eastAsia="宋体"/>
                <w:color w:val="auto"/>
              </w:rPr>
              <w:t>。</w:t>
            </w:r>
          </w:p>
          <w:p w14:paraId="7FB1718C">
            <w:pPr>
              <w:ind w:firstLine="480"/>
              <w:rPr>
                <w:rFonts w:hint="default"/>
                <w:color w:val="auto"/>
              </w:rPr>
            </w:pPr>
            <w:r>
              <w:rPr>
                <w:rFonts w:hint="default" w:eastAsia="宋体"/>
                <w:color w:val="auto"/>
              </w:rPr>
              <w:t>（2）附属设施：危险废物暂存库内设置导流渠和集液池；安装安全照明设施、监控设施以及灭火器、</w:t>
            </w:r>
            <w:r>
              <w:rPr>
                <w:rFonts w:eastAsia="宋体"/>
                <w:color w:val="auto"/>
              </w:rPr>
              <w:t>消防砂</w:t>
            </w:r>
            <w:r>
              <w:rPr>
                <w:rFonts w:hint="default" w:eastAsia="宋体"/>
                <w:color w:val="auto"/>
              </w:rPr>
              <w:t>等消防设施和标识牌。</w:t>
            </w:r>
          </w:p>
          <w:p w14:paraId="4EBB89E9">
            <w:pPr>
              <w:ind w:firstLine="480"/>
              <w:rPr>
                <w:rFonts w:hint="default"/>
                <w:color w:val="auto"/>
              </w:rPr>
            </w:pPr>
            <w:r>
              <w:rPr>
                <w:rFonts w:hint="default" w:eastAsia="宋体"/>
                <w:color w:val="auto"/>
              </w:rPr>
              <w:t>（3）投入使用：危险废物暂存库建设完成后，正常投入使用。</w:t>
            </w:r>
          </w:p>
          <w:p w14:paraId="22577D5F">
            <w:pPr>
              <w:ind w:firstLine="0" w:firstLineChars="0"/>
              <w:jc w:val="center"/>
              <w:rPr>
                <w:rFonts w:hint="default"/>
                <w:color w:val="auto"/>
                <w:kern w:val="0"/>
              </w:rPr>
            </w:pPr>
            <w:r>
              <w:rPr>
                <w:rFonts w:hint="default" w:eastAsia="宋体"/>
                <w:color w:val="auto"/>
                <w:kern w:val="0"/>
              </w:rPr>
              <w:drawing>
                <wp:inline distT="0" distB="0" distL="114300" distR="114300">
                  <wp:extent cx="5052695" cy="1525905"/>
                  <wp:effectExtent l="0" t="0" r="14605" b="17145"/>
                  <wp:docPr id="30" name="图片 2" descr="$MA1}~9F43JY6$`SVLGI@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 descr="$MA1}~9F43JY6$`SVLGI@11"/>
                          <pic:cNvPicPr>
                            <a:picLocks noChangeAspect="1"/>
                          </pic:cNvPicPr>
                        </pic:nvPicPr>
                        <pic:blipFill>
                          <a:blip r:embed="rId13">
                            <a:lum bright="-12000" contrast="23999"/>
                          </a:blip>
                          <a:stretch>
                            <a:fillRect/>
                          </a:stretch>
                        </pic:blipFill>
                        <pic:spPr>
                          <a:xfrm>
                            <a:off x="0" y="0"/>
                            <a:ext cx="5052695" cy="1525905"/>
                          </a:xfrm>
                          <a:prstGeom prst="rect">
                            <a:avLst/>
                          </a:prstGeom>
                          <a:noFill/>
                          <a:ln>
                            <a:noFill/>
                          </a:ln>
                        </pic:spPr>
                      </pic:pic>
                    </a:graphicData>
                  </a:graphic>
                </wp:inline>
              </w:drawing>
            </w:r>
          </w:p>
          <w:p w14:paraId="4623DB47">
            <w:pPr>
              <w:ind w:firstLine="482"/>
              <w:jc w:val="center"/>
              <w:rPr>
                <w:rFonts w:hint="default"/>
                <w:color w:val="auto"/>
              </w:rPr>
            </w:pPr>
            <w:r>
              <w:rPr>
                <w:rFonts w:hint="default" w:eastAsia="宋体"/>
                <w:b/>
                <w:color w:val="auto"/>
                <w:szCs w:val="21"/>
                <w:lang w:val="zh-CN"/>
              </w:rPr>
              <w:t>图</w:t>
            </w:r>
            <w:r>
              <w:rPr>
                <w:rFonts w:hint="default"/>
                <w:b/>
                <w:color w:val="auto"/>
                <w:szCs w:val="21"/>
              </w:rPr>
              <w:t>2</w:t>
            </w:r>
            <w:r>
              <w:rPr>
                <w:rFonts w:hint="default" w:eastAsia="宋体"/>
                <w:b/>
                <w:color w:val="auto"/>
                <w:szCs w:val="21"/>
              </w:rPr>
              <w:t>-1本项目</w:t>
            </w:r>
            <w:r>
              <w:rPr>
                <w:rFonts w:hint="default" w:eastAsia="宋体"/>
                <w:b/>
                <w:color w:val="auto"/>
                <w:szCs w:val="21"/>
                <w:lang w:val="zh-CN"/>
              </w:rPr>
              <w:t>施工期工艺流程及产污环节图</w:t>
            </w:r>
          </w:p>
          <w:p w14:paraId="04AF9F48">
            <w:pPr>
              <w:ind w:firstLine="482"/>
              <w:rPr>
                <w:rFonts w:hint="default"/>
                <w:b/>
                <w:color w:val="auto"/>
              </w:rPr>
            </w:pPr>
            <w:r>
              <w:rPr>
                <w:rFonts w:hint="default" w:eastAsia="宋体"/>
                <w:b/>
                <w:color w:val="auto"/>
              </w:rPr>
              <w:t>2、施工期产污环节</w:t>
            </w:r>
          </w:p>
          <w:p w14:paraId="2393E128">
            <w:pPr>
              <w:ind w:firstLine="480"/>
              <w:rPr>
                <w:rFonts w:hint="default"/>
                <w:color w:val="auto"/>
              </w:rPr>
            </w:pPr>
            <w:r>
              <w:rPr>
                <w:rFonts w:hint="default"/>
                <w:color w:val="auto"/>
              </w:rPr>
              <w:t>①</w:t>
            </w:r>
            <w:r>
              <w:rPr>
                <w:rFonts w:hint="default" w:eastAsia="宋体"/>
                <w:color w:val="auto"/>
              </w:rPr>
              <w:t>废气</w:t>
            </w:r>
          </w:p>
          <w:p w14:paraId="235DD9BE">
            <w:pPr>
              <w:ind w:firstLine="480"/>
              <w:rPr>
                <w:rFonts w:hint="default"/>
                <w:color w:val="auto"/>
              </w:rPr>
            </w:pPr>
            <w:r>
              <w:rPr>
                <w:rFonts w:hint="default" w:eastAsia="宋体"/>
                <w:color w:val="auto"/>
              </w:rPr>
              <w:t>施工期大气污染源主要为施工扬尘、施工机械废气、车辆废气等。</w:t>
            </w:r>
          </w:p>
          <w:p w14:paraId="38C874BE">
            <w:pPr>
              <w:ind w:firstLine="480"/>
              <w:rPr>
                <w:rFonts w:hint="default"/>
                <w:color w:val="auto"/>
              </w:rPr>
            </w:pPr>
            <w:r>
              <w:rPr>
                <w:rFonts w:hint="default"/>
                <w:color w:val="auto"/>
              </w:rPr>
              <w:t>②</w:t>
            </w:r>
            <w:r>
              <w:rPr>
                <w:rFonts w:hint="default" w:eastAsia="宋体"/>
                <w:color w:val="auto"/>
              </w:rPr>
              <w:t>废水</w:t>
            </w:r>
          </w:p>
          <w:p w14:paraId="16ED57D2">
            <w:pPr>
              <w:ind w:firstLine="480"/>
              <w:rPr>
                <w:rFonts w:hint="default"/>
                <w:color w:val="auto"/>
              </w:rPr>
            </w:pPr>
            <w:r>
              <w:rPr>
                <w:rFonts w:hint="default" w:eastAsia="宋体"/>
                <w:color w:val="auto"/>
              </w:rPr>
              <w:t>本工程施工过程中产生的废水主要为施工人员的生活污水和施工废水。</w:t>
            </w:r>
          </w:p>
          <w:p w14:paraId="18D4A32B">
            <w:pPr>
              <w:ind w:firstLine="480"/>
              <w:rPr>
                <w:rFonts w:hint="default"/>
                <w:color w:val="auto"/>
              </w:rPr>
            </w:pPr>
            <w:r>
              <w:rPr>
                <w:rFonts w:hint="default"/>
                <w:color w:val="auto"/>
              </w:rPr>
              <w:t>③</w:t>
            </w:r>
            <w:r>
              <w:rPr>
                <w:rFonts w:hint="default" w:eastAsia="宋体"/>
                <w:color w:val="auto"/>
              </w:rPr>
              <w:t>噪声</w:t>
            </w:r>
          </w:p>
          <w:p w14:paraId="11A8675A">
            <w:pPr>
              <w:ind w:firstLine="480"/>
              <w:rPr>
                <w:rFonts w:hint="default"/>
                <w:color w:val="auto"/>
              </w:rPr>
            </w:pPr>
            <w:r>
              <w:rPr>
                <w:rFonts w:hint="default" w:eastAsia="宋体"/>
                <w:color w:val="auto"/>
              </w:rPr>
              <w:t>施工期噪声来源于施工中的机械设备运行和车辆运输噪声。</w:t>
            </w:r>
          </w:p>
          <w:p w14:paraId="14BF34FD">
            <w:pPr>
              <w:ind w:firstLine="480"/>
              <w:rPr>
                <w:rFonts w:hint="default"/>
                <w:color w:val="auto"/>
              </w:rPr>
            </w:pPr>
            <w:r>
              <w:rPr>
                <w:rFonts w:hint="default"/>
                <w:color w:val="auto"/>
              </w:rPr>
              <w:t>④</w:t>
            </w:r>
            <w:r>
              <w:rPr>
                <w:rFonts w:hint="default" w:eastAsia="宋体"/>
                <w:color w:val="auto"/>
              </w:rPr>
              <w:t>固废</w:t>
            </w:r>
          </w:p>
          <w:p w14:paraId="064208AC">
            <w:pPr>
              <w:ind w:firstLine="480"/>
              <w:rPr>
                <w:rFonts w:hint="default"/>
                <w:color w:val="auto"/>
              </w:rPr>
            </w:pPr>
            <w:r>
              <w:rPr>
                <w:rFonts w:hint="default" w:eastAsia="宋体"/>
                <w:color w:val="auto"/>
              </w:rPr>
              <w:t>本项目的固体废弃物包括施工人员的生活垃圾和施工产生的建筑垃圾。</w:t>
            </w:r>
          </w:p>
          <w:p w14:paraId="142CFE13">
            <w:pPr>
              <w:ind w:firstLine="482"/>
              <w:rPr>
                <w:rFonts w:hint="default"/>
                <w:b/>
                <w:color w:val="auto"/>
              </w:rPr>
            </w:pPr>
            <w:r>
              <w:rPr>
                <w:rFonts w:hint="default" w:eastAsia="宋体"/>
                <w:b/>
                <w:color w:val="auto"/>
              </w:rPr>
              <w:t>二、运营期工艺流程及产污环节分析</w:t>
            </w:r>
          </w:p>
          <w:p w14:paraId="500413C5">
            <w:pPr>
              <w:ind w:firstLine="482"/>
              <w:rPr>
                <w:rFonts w:hint="default" w:eastAsia="宋体"/>
                <w:b/>
                <w:color w:val="auto"/>
              </w:rPr>
            </w:pPr>
            <w:r>
              <w:rPr>
                <w:rFonts w:hint="default" w:eastAsia="宋体"/>
                <w:b/>
                <w:color w:val="auto"/>
              </w:rPr>
              <w:t>1、运营期工艺流程</w:t>
            </w:r>
          </w:p>
          <w:p w14:paraId="1FC0DA74">
            <w:pPr>
              <w:ind w:firstLine="480"/>
              <w:rPr>
                <w:rFonts w:hint="default"/>
                <w:color w:val="auto"/>
              </w:rPr>
            </w:pPr>
            <w:r>
              <w:rPr>
                <w:rFonts w:hint="default" w:eastAsia="宋体"/>
                <w:color w:val="auto"/>
              </w:rPr>
              <w:t>本项目运营期工艺流程主要为</w:t>
            </w:r>
            <w:r>
              <w:rPr>
                <w:rFonts w:hint="eastAsia" w:eastAsia="宋体"/>
                <w:color w:val="auto"/>
                <w:lang w:eastAsia="zh-CN"/>
              </w:rPr>
              <w:t>中煤张家口煤矿机械有限责任公司鄂尔多斯分公司</w:t>
            </w:r>
            <w:r>
              <w:rPr>
                <w:rFonts w:hint="default" w:eastAsia="宋体"/>
                <w:color w:val="auto"/>
              </w:rPr>
              <w:t>汽车检修保养过程中产生的</w:t>
            </w:r>
            <w:r>
              <w:rPr>
                <w:rFonts w:hint="eastAsia" w:eastAsia="宋体"/>
                <w:color w:val="auto"/>
                <w:lang w:eastAsia="zh-CN"/>
              </w:rPr>
              <w:t>废矿物油、废油桶、盛装“干净”矿物油的空桶、废铅酸电池</w:t>
            </w:r>
            <w:r>
              <w:rPr>
                <w:rFonts w:hint="default" w:eastAsia="宋体"/>
                <w:color w:val="auto"/>
              </w:rPr>
              <w:t>等危险废物收集后暂存，定期交由有资质单位进行处置，不涉及后续处置。项目运营期工艺流程见图2-2。</w:t>
            </w:r>
          </w:p>
          <w:p w14:paraId="26F8D423">
            <w:pPr>
              <w:adjustRightInd w:val="0"/>
              <w:snapToGrid w:val="0"/>
              <w:ind w:firstLine="480"/>
              <w:rPr>
                <w:rFonts w:hint="default" w:eastAsia="宋体"/>
                <w:color w:val="auto"/>
              </w:rPr>
            </w:pPr>
            <w:r>
              <w:rPr>
                <w:rFonts w:hint="default" w:eastAsia="宋体"/>
                <w:color w:val="auto"/>
              </w:rPr>
              <w:t>①入库</w:t>
            </w:r>
          </w:p>
          <w:p w14:paraId="5FF98691">
            <w:pPr>
              <w:adjustRightInd w:val="0"/>
              <w:snapToGrid w:val="0"/>
              <w:ind w:firstLine="480"/>
              <w:rPr>
                <w:rFonts w:hint="default" w:eastAsia="宋体"/>
                <w:color w:val="auto"/>
              </w:rPr>
            </w:pPr>
            <w:r>
              <w:rPr>
                <w:rFonts w:hint="eastAsia" w:eastAsia="宋体"/>
                <w:color w:val="auto"/>
                <w:lang w:eastAsia="zh-CN"/>
              </w:rPr>
              <w:t>中煤张家口煤矿机械有限责任公司鄂尔多斯分公司</w:t>
            </w:r>
            <w:r>
              <w:rPr>
                <w:rFonts w:hint="default" w:eastAsia="宋体"/>
                <w:color w:val="auto"/>
              </w:rPr>
              <w:t>产生的</w:t>
            </w:r>
            <w:r>
              <w:rPr>
                <w:rFonts w:hint="eastAsia" w:eastAsia="宋体"/>
                <w:color w:val="auto"/>
                <w:lang w:eastAsia="zh-CN"/>
              </w:rPr>
              <w:t>项目废矿物油采用密封桶暂存，废油桶、盛装“干净”矿物油的空桶加盖密封，废铅酸电池桶装加盖密封</w:t>
            </w:r>
            <w:r>
              <w:rPr>
                <w:rFonts w:hint="default" w:eastAsia="宋体"/>
                <w:color w:val="auto"/>
              </w:rPr>
              <w:t>，避免危险废物与不相容的物质或材料接触。经检查后由人工卸下，搬运至危险废物贮存库内相应分区，规则地堆放在托盘架上，同时填写好记录台账，并在相应位置粘贴好符合标准的标签，注明废物种类和编号。仓库人员定期检查是否存在泄漏情况。</w:t>
            </w:r>
          </w:p>
          <w:p w14:paraId="110CE463">
            <w:pPr>
              <w:adjustRightInd w:val="0"/>
              <w:snapToGrid w:val="0"/>
              <w:ind w:firstLine="480"/>
              <w:rPr>
                <w:rFonts w:hint="default" w:eastAsia="宋体"/>
                <w:color w:val="auto"/>
              </w:rPr>
            </w:pPr>
            <w:r>
              <w:rPr>
                <w:rFonts w:hint="default" w:eastAsia="宋体"/>
                <w:color w:val="auto"/>
              </w:rPr>
              <w:t>②出库</w:t>
            </w:r>
          </w:p>
          <w:p w14:paraId="2FA2D63D">
            <w:pPr>
              <w:adjustRightInd w:val="0"/>
              <w:snapToGrid w:val="0"/>
              <w:ind w:firstLine="480"/>
              <w:rPr>
                <w:rFonts w:hint="default" w:eastAsia="宋体"/>
                <w:color w:val="auto"/>
              </w:rPr>
            </w:pPr>
            <w:r>
              <w:rPr>
                <w:rFonts w:hint="default" w:eastAsia="宋体"/>
                <w:color w:val="auto"/>
              </w:rPr>
              <w:t>当确定危险废物的最终去向并确定外运处置后，应填写危废出库单，并由专门的危险废物转运车辆拉运至指定的有资质单位进行处置。本项目危废贮存天数不超过一年。</w:t>
            </w:r>
          </w:p>
          <w:p w14:paraId="4B793E05">
            <w:pPr>
              <w:adjustRightInd w:val="0"/>
              <w:snapToGrid w:val="0"/>
              <w:ind w:firstLine="480"/>
              <w:rPr>
                <w:rFonts w:hint="default" w:eastAsia="宋体"/>
                <w:color w:val="auto"/>
              </w:rPr>
            </w:pPr>
            <w:r>
              <w:rPr>
                <w:rFonts w:hint="default" w:eastAsia="宋体"/>
                <w:color w:val="auto"/>
              </w:rPr>
              <w:t>本项目仅对危险废物进行收集和储存，不进行处置，工艺流程较为简单。危险废物从收集、运输至储存过程中均采用密闭运输，经专用车辆运至厂区后，直接入库贮存，最终交由有资质单位进行处置。</w:t>
            </w:r>
          </w:p>
          <w:p w14:paraId="498D6CCD">
            <w:pPr>
              <w:ind w:firstLine="0" w:firstLineChars="0"/>
              <w:jc w:val="center"/>
              <w:rPr>
                <w:rStyle w:val="17"/>
                <w:rFonts w:hint="eastAsia" w:eastAsia="宋体"/>
                <w:color w:val="auto"/>
                <w:kern w:val="0"/>
              </w:rPr>
            </w:pPr>
            <w:r>
              <w:rPr>
                <w:rFonts w:hint="default" w:eastAsia="宋体"/>
                <w:color w:val="auto"/>
              </w:rPr>
              <w:drawing>
                <wp:inline distT="0" distB="0" distL="114300" distR="114300">
                  <wp:extent cx="5094605" cy="1365885"/>
                  <wp:effectExtent l="0" t="0" r="10795" b="5715"/>
                  <wp:docPr id="3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
                          <pic:cNvPicPr>
                            <a:picLocks noChangeAspect="1"/>
                          </pic:cNvPicPr>
                        </pic:nvPicPr>
                        <pic:blipFill>
                          <a:blip r:embed="rId14"/>
                          <a:stretch>
                            <a:fillRect/>
                          </a:stretch>
                        </pic:blipFill>
                        <pic:spPr>
                          <a:xfrm>
                            <a:off x="0" y="0"/>
                            <a:ext cx="5094605" cy="1365885"/>
                          </a:xfrm>
                          <a:prstGeom prst="rect">
                            <a:avLst/>
                          </a:prstGeom>
                          <a:noFill/>
                          <a:ln>
                            <a:noFill/>
                          </a:ln>
                        </pic:spPr>
                      </pic:pic>
                    </a:graphicData>
                  </a:graphic>
                </wp:inline>
              </w:drawing>
            </w:r>
            <w:r>
              <w:rPr>
                <w:rFonts w:hint="default" w:eastAsia="宋体"/>
                <w:b/>
                <w:color w:val="auto"/>
              </w:rPr>
              <w:t>图2-2运营期工艺流程及产排污节点图</w:t>
            </w:r>
          </w:p>
          <w:p w14:paraId="0E9DA8BD">
            <w:pPr>
              <w:ind w:firstLine="482"/>
              <w:rPr>
                <w:rFonts w:hint="default" w:eastAsia="宋体"/>
                <w:b/>
                <w:color w:val="auto"/>
              </w:rPr>
            </w:pPr>
            <w:r>
              <w:rPr>
                <w:rFonts w:hint="default" w:eastAsia="宋体"/>
                <w:b/>
                <w:color w:val="auto"/>
              </w:rPr>
              <w:t>2、运营期产排污环节</w:t>
            </w:r>
          </w:p>
          <w:p w14:paraId="4DB1F020">
            <w:pPr>
              <w:ind w:firstLine="480"/>
              <w:rPr>
                <w:rFonts w:hint="default" w:eastAsia="宋体"/>
                <w:color w:val="auto"/>
              </w:rPr>
            </w:pPr>
            <w:r>
              <w:rPr>
                <w:rFonts w:hint="default" w:eastAsia="宋体"/>
                <w:color w:val="auto"/>
              </w:rPr>
              <w:t>（1）废气：</w:t>
            </w:r>
            <w:r>
              <w:rPr>
                <w:rFonts w:hint="eastAsia" w:eastAsia="宋体"/>
                <w:color w:val="auto"/>
                <w:lang w:eastAsia="zh-CN"/>
              </w:rPr>
              <w:t>项目废矿物油采用密封桶暂存，废油桶、盛装“干净”矿物油的空桶加盖密封，废铅酸电池桶装加盖密封</w:t>
            </w:r>
            <w:r>
              <w:rPr>
                <w:rFonts w:hint="default" w:eastAsia="宋体"/>
                <w:color w:val="auto"/>
              </w:rPr>
              <w:t>，避免危险废物与不相容的物质或材料接触。定期带桶一并转运，转运工程中废气排放量较小，为无组织排放，以非甲烷总烃计</w:t>
            </w:r>
            <w:r>
              <w:rPr>
                <w:rFonts w:hint="eastAsia" w:eastAsia="宋体"/>
                <w:color w:val="auto"/>
                <w:lang w:val="en-US" w:eastAsia="zh-CN"/>
              </w:rPr>
              <w:t>及硫酸雾计</w:t>
            </w:r>
            <w:r>
              <w:rPr>
                <w:rFonts w:hint="default" w:eastAsia="宋体"/>
                <w:color w:val="auto"/>
              </w:rPr>
              <w:t>。</w:t>
            </w:r>
          </w:p>
          <w:p w14:paraId="431DACE7">
            <w:pPr>
              <w:ind w:firstLine="480"/>
              <w:rPr>
                <w:rFonts w:hint="default" w:eastAsia="宋体"/>
                <w:color w:val="auto"/>
              </w:rPr>
            </w:pPr>
            <w:r>
              <w:rPr>
                <w:rFonts w:hint="default" w:eastAsia="宋体"/>
                <w:color w:val="auto"/>
              </w:rPr>
              <w:t>（2）噪声：主要为车辆行驶过程中产生的交通噪声。</w:t>
            </w:r>
          </w:p>
          <w:p w14:paraId="4026F8FA">
            <w:pPr>
              <w:ind w:firstLine="480"/>
              <w:rPr>
                <w:rFonts w:hint="default" w:eastAsia="宋体"/>
                <w:color w:val="auto"/>
              </w:rPr>
            </w:pPr>
            <w:r>
              <w:rPr>
                <w:rFonts w:hint="default" w:eastAsia="宋体"/>
                <w:color w:val="auto"/>
              </w:rPr>
              <w:t>（3）废水：不产生生产废水和生活污水。</w:t>
            </w:r>
          </w:p>
          <w:p w14:paraId="7FC453AE">
            <w:pPr>
              <w:ind w:firstLine="480"/>
              <w:rPr>
                <w:rFonts w:hint="default"/>
                <w:color w:val="auto"/>
              </w:rPr>
            </w:pPr>
            <w:r>
              <w:rPr>
                <w:rFonts w:hint="default" w:eastAsia="宋体"/>
                <w:color w:val="auto"/>
              </w:rPr>
              <w:t>（4）固体废物：搬运过程中产生的沾染油污废抹布、手套等废劳保用品与厂区内的生活垃圾统一收集后交由当地环卫部门进行处理。</w:t>
            </w:r>
          </w:p>
        </w:tc>
      </w:tr>
      <w:tr w14:paraId="6807D5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2146" w:type="dxa"/>
            <w:gridSpan w:val="2"/>
            <w:tcBorders>
              <w:top w:val="single" w:color="auto" w:sz="4" w:space="0"/>
              <w:left w:val="single" w:color="auto" w:sz="8" w:space="0"/>
              <w:bottom w:val="single" w:color="auto" w:sz="8" w:space="0"/>
              <w:right w:val="single" w:color="auto" w:sz="4" w:space="0"/>
              <w:tl2br w:val="nil"/>
              <w:tr2bl w:val="nil"/>
            </w:tcBorders>
            <w:vAlign w:val="center"/>
          </w:tcPr>
          <w:p w14:paraId="1E5248EB">
            <w:pPr>
              <w:ind w:firstLine="0" w:firstLineChars="0"/>
              <w:rPr>
                <w:rFonts w:hint="default" w:eastAsia="宋体"/>
                <w:color w:val="auto"/>
              </w:rPr>
            </w:pPr>
            <w:r>
              <w:rPr>
                <w:rFonts w:hint="default" w:eastAsia="宋体"/>
                <w:color w:val="auto"/>
              </w:rPr>
              <w:t>与项目有关的原有环境污染问题</w:t>
            </w:r>
          </w:p>
        </w:tc>
        <w:tc>
          <w:tcPr>
            <w:tcW w:w="6743" w:type="dxa"/>
            <w:tcBorders>
              <w:top w:val="single" w:color="auto" w:sz="4" w:space="0"/>
              <w:left w:val="single" w:color="auto" w:sz="4" w:space="0"/>
              <w:bottom w:val="single" w:color="auto" w:sz="8" w:space="0"/>
              <w:right w:val="single" w:color="auto" w:sz="8" w:space="0"/>
              <w:tl2br w:val="nil"/>
              <w:tr2bl w:val="nil"/>
            </w:tcBorders>
            <w:vAlign w:val="center"/>
          </w:tcPr>
          <w:p w14:paraId="75A8E691">
            <w:pPr>
              <w:spacing w:line="240" w:lineRule="auto"/>
              <w:ind w:firstLine="0" w:firstLineChars="0"/>
              <w:jc w:val="center"/>
              <w:rPr>
                <w:rFonts w:hint="default" w:eastAsia="宋体"/>
                <w:color w:val="auto"/>
              </w:rPr>
            </w:pPr>
            <w:r>
              <w:rPr>
                <w:rFonts w:hint="default" w:eastAsia="宋体"/>
                <w:color w:val="auto"/>
              </w:rPr>
              <w:t>本项目无与现有项目有关的环境污染问题。</w:t>
            </w:r>
          </w:p>
        </w:tc>
      </w:tr>
    </w:tbl>
    <w:p w14:paraId="72F7E1CB">
      <w:pPr>
        <w:pStyle w:val="12"/>
        <w:jc w:val="center"/>
        <w:rPr>
          <w:rFonts w:ascii="Times New Roman" w:hAnsi="Times New Roman"/>
          <w:snapToGrid w:val="0"/>
          <w:color w:val="auto"/>
          <w:sz w:val="36"/>
          <w:szCs w:val="36"/>
        </w:rPr>
        <w:sectPr>
          <w:footerReference r:id="rId7" w:type="default"/>
          <w:pgSz w:w="11906" w:h="16838"/>
          <w:pgMar w:top="1701" w:right="1531" w:bottom="1701" w:left="1531" w:header="851" w:footer="851" w:gutter="0"/>
          <w:pgNumType w:fmt="numberInDash"/>
          <w:cols w:space="720" w:num="1"/>
          <w:docGrid w:linePitch="312" w:charSpace="0"/>
        </w:sectPr>
      </w:pPr>
    </w:p>
    <w:p w14:paraId="159A5856">
      <w:pPr>
        <w:pStyle w:val="12"/>
        <w:ind w:firstLine="0" w:firstLineChars="0"/>
        <w:jc w:val="center"/>
        <w:outlineLvl w:val="0"/>
        <w:rPr>
          <w:rFonts w:ascii="Times New Roman" w:hAnsi="Times New Roman"/>
          <w:b/>
          <w:snapToGrid w:val="0"/>
          <w:color w:val="auto"/>
          <w:sz w:val="30"/>
          <w:szCs w:val="30"/>
        </w:rPr>
      </w:pPr>
      <w:r>
        <w:rPr>
          <w:rFonts w:ascii="Times New Roman" w:hAnsi="Times New Roman"/>
          <w:b/>
          <w:snapToGrid w:val="0"/>
          <w:color w:val="auto"/>
          <w:sz w:val="30"/>
          <w:szCs w:val="30"/>
        </w:rPr>
        <w:t>三、区域环境质量现状、环境保护目标及评价标准</w:t>
      </w:r>
    </w:p>
    <w:tbl>
      <w:tblPr>
        <w:tblStyle w:val="14"/>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12"/>
        <w:gridCol w:w="8102"/>
      </w:tblGrid>
      <w:tr w14:paraId="2E340C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49" w:hRule="atLeast"/>
          <w:jc w:val="center"/>
        </w:trPr>
        <w:tc>
          <w:tcPr>
            <w:tcW w:w="812" w:type="dxa"/>
            <w:tcBorders>
              <w:top w:val="single" w:color="auto" w:sz="8" w:space="0"/>
              <w:left w:val="single" w:color="auto" w:sz="8" w:space="0"/>
              <w:bottom w:val="single" w:color="auto" w:sz="4" w:space="0"/>
              <w:right w:val="single" w:color="auto" w:sz="4" w:space="0"/>
              <w:tl2br w:val="nil"/>
              <w:tr2bl w:val="nil"/>
            </w:tcBorders>
            <w:vAlign w:val="center"/>
          </w:tcPr>
          <w:p w14:paraId="78112FBB">
            <w:pPr>
              <w:ind w:firstLine="0" w:firstLineChars="0"/>
              <w:rPr>
                <w:rFonts w:hint="default" w:eastAsia="宋体"/>
                <w:color w:val="auto"/>
              </w:rPr>
            </w:pPr>
            <w:r>
              <w:rPr>
                <w:rFonts w:hint="default" w:eastAsia="宋体"/>
                <w:color w:val="auto"/>
              </w:rPr>
              <w:t>区域</w:t>
            </w:r>
          </w:p>
          <w:p w14:paraId="0162E19F">
            <w:pPr>
              <w:ind w:firstLine="0" w:firstLineChars="0"/>
              <w:rPr>
                <w:rFonts w:hint="default" w:eastAsia="宋体"/>
                <w:color w:val="auto"/>
              </w:rPr>
            </w:pPr>
            <w:r>
              <w:rPr>
                <w:rFonts w:hint="default" w:eastAsia="宋体"/>
                <w:color w:val="auto"/>
              </w:rPr>
              <w:t>环境</w:t>
            </w:r>
          </w:p>
          <w:p w14:paraId="1FB247D8">
            <w:pPr>
              <w:ind w:firstLine="0" w:firstLineChars="0"/>
              <w:rPr>
                <w:rFonts w:hint="default" w:eastAsia="宋体"/>
                <w:color w:val="auto"/>
              </w:rPr>
            </w:pPr>
            <w:r>
              <w:rPr>
                <w:rFonts w:hint="default" w:eastAsia="宋体"/>
                <w:color w:val="auto"/>
              </w:rPr>
              <w:t>质量</w:t>
            </w:r>
          </w:p>
          <w:p w14:paraId="235E53E3">
            <w:pPr>
              <w:ind w:firstLine="0" w:firstLineChars="0"/>
              <w:rPr>
                <w:rFonts w:hint="default" w:eastAsia="宋体"/>
                <w:color w:val="auto"/>
              </w:rPr>
            </w:pPr>
            <w:r>
              <w:rPr>
                <w:rFonts w:hint="default" w:eastAsia="宋体"/>
                <w:color w:val="auto"/>
              </w:rPr>
              <w:t>现状</w:t>
            </w:r>
          </w:p>
        </w:tc>
        <w:tc>
          <w:tcPr>
            <w:tcW w:w="8102" w:type="dxa"/>
            <w:tcBorders>
              <w:top w:val="single" w:color="auto" w:sz="8" w:space="0"/>
              <w:left w:val="single" w:color="auto" w:sz="4" w:space="0"/>
              <w:bottom w:val="single" w:color="auto" w:sz="4" w:space="0"/>
              <w:right w:val="single" w:color="auto" w:sz="8" w:space="0"/>
              <w:tl2br w:val="nil"/>
              <w:tr2bl w:val="nil"/>
            </w:tcBorders>
            <w:vAlign w:val="center"/>
          </w:tcPr>
          <w:p w14:paraId="18773D61">
            <w:pPr>
              <w:ind w:firstLine="482"/>
              <w:rPr>
                <w:rFonts w:hint="default" w:eastAsia="宋体"/>
                <w:color w:val="auto"/>
              </w:rPr>
            </w:pPr>
            <w:r>
              <w:rPr>
                <w:rFonts w:hint="default" w:eastAsia="宋体"/>
                <w:b/>
                <w:color w:val="auto"/>
              </w:rPr>
              <w:t>一、环境空气质量现状</w:t>
            </w:r>
          </w:p>
          <w:p w14:paraId="2095096B">
            <w:pPr>
              <w:ind w:firstLine="482"/>
              <w:rPr>
                <w:rFonts w:hint="default" w:eastAsia="宋体"/>
                <w:b/>
                <w:color w:val="auto"/>
              </w:rPr>
            </w:pPr>
            <w:r>
              <w:rPr>
                <w:rFonts w:hint="default" w:eastAsia="宋体"/>
                <w:b/>
                <w:color w:val="auto"/>
              </w:rPr>
              <w:t>1、常规污染物环境质量现状</w:t>
            </w:r>
          </w:p>
          <w:p w14:paraId="06C84DD7">
            <w:pPr>
              <w:ind w:firstLine="480"/>
              <w:rPr>
                <w:rFonts w:hint="default" w:eastAsia="宋体"/>
                <w:color w:val="auto"/>
              </w:rPr>
            </w:pPr>
            <w:bookmarkStart w:id="3" w:name="_Toc5885"/>
            <w:bookmarkStart w:id="4" w:name="_Toc29340"/>
            <w:bookmarkStart w:id="5" w:name="_Toc4436"/>
            <w:bookmarkStart w:id="6" w:name="_Toc27749"/>
            <w:bookmarkStart w:id="7" w:name="_Toc25045"/>
            <w:bookmarkStart w:id="8" w:name="_Toc4518"/>
            <w:bookmarkStart w:id="9" w:name="_Toc5878"/>
            <w:bookmarkStart w:id="10" w:name="_Toc23098"/>
            <w:bookmarkStart w:id="11" w:name="_Toc19620"/>
            <w:r>
              <w:rPr>
                <w:rFonts w:hint="default" w:eastAsia="宋体"/>
                <w:color w:val="auto"/>
              </w:rPr>
              <w:t>根据2025年5月29日内蒙古自治区生态环境厅发布的《2024年内蒙古自治区生态环境状况公报》，2024年全区环境空气六项污染物年均浓度均达标。全区环境空气质量平均优良天数比例为89.6%，同比上升2.4个百分点；扣除异常沙尘天气等影响后，全区环境空气质量优良天数比例为90.7%，同比上升0.5个百分点，重污染天数比例为0.2%，同比持平。本项目位于</w:t>
            </w:r>
            <w:r>
              <w:rPr>
                <w:rFonts w:hint="eastAsia" w:eastAsia="宋体"/>
                <w:color w:val="auto"/>
                <w:lang w:eastAsia="zh-CN"/>
              </w:rPr>
              <w:t>伊金霍洛旗</w:t>
            </w:r>
            <w:r>
              <w:rPr>
                <w:rFonts w:hint="default" w:eastAsia="宋体"/>
                <w:color w:val="auto"/>
              </w:rPr>
              <w:t>，则项目所在区域为达标区。</w:t>
            </w:r>
          </w:p>
          <w:p w14:paraId="2FFC1755">
            <w:pPr>
              <w:ind w:firstLine="482"/>
              <w:rPr>
                <w:rFonts w:hint="default" w:eastAsia="宋体"/>
                <w:b/>
                <w:color w:val="auto"/>
              </w:rPr>
            </w:pPr>
            <w:r>
              <w:rPr>
                <w:rFonts w:hint="default" w:eastAsia="宋体"/>
                <w:b/>
                <w:color w:val="auto"/>
              </w:rPr>
              <w:t>2、其他污染物环境质量现状</w:t>
            </w:r>
          </w:p>
          <w:p w14:paraId="72F5BEBE">
            <w:pPr>
              <w:ind w:firstLine="480"/>
              <w:rPr>
                <w:rFonts w:hint="default" w:eastAsia="宋体"/>
                <w:color w:val="auto"/>
              </w:rPr>
            </w:pPr>
            <w:r>
              <w:rPr>
                <w:rFonts w:hint="default" w:eastAsia="宋体"/>
                <w:color w:val="auto"/>
              </w:rPr>
              <w:t>根据本项目的特点，确定环境空气质量现状的其他污染物为非甲烷总烃</w:t>
            </w:r>
            <w:r>
              <w:rPr>
                <w:rFonts w:hint="eastAsia" w:eastAsia="宋体"/>
                <w:color w:val="auto"/>
                <w:lang w:val="en-US" w:eastAsia="zh-CN"/>
              </w:rPr>
              <w:t>及硫酸雾</w:t>
            </w:r>
            <w:r>
              <w:rPr>
                <w:rFonts w:hint="default" w:eastAsia="宋体"/>
                <w:color w:val="auto"/>
              </w:rPr>
              <w:t>。本项目位于鄂尔多斯市</w:t>
            </w:r>
            <w:r>
              <w:rPr>
                <w:rFonts w:hint="eastAsia" w:eastAsia="宋体"/>
                <w:color w:val="auto"/>
                <w:lang w:eastAsia="zh-CN"/>
              </w:rPr>
              <w:t>伊金霍洛旗</w:t>
            </w:r>
            <w:r>
              <w:rPr>
                <w:rFonts w:hint="default" w:eastAsia="宋体"/>
                <w:color w:val="auto"/>
              </w:rPr>
              <w:t>，鄂尔多斯市行政范围内无非甲烷总烃</w:t>
            </w:r>
            <w:r>
              <w:rPr>
                <w:rFonts w:hint="eastAsia" w:eastAsia="宋体"/>
                <w:color w:val="auto"/>
                <w:lang w:val="en-US" w:eastAsia="zh-CN"/>
              </w:rPr>
              <w:t>及硫酸雾</w:t>
            </w:r>
            <w:r>
              <w:rPr>
                <w:rFonts w:hint="default" w:eastAsia="宋体"/>
                <w:color w:val="auto"/>
              </w:rPr>
              <w:t>的环境空气质量监测网数据或公开发布的环境空气质量现状数据，根据《建设项目环境影响报告表编制技术指南（污染影响类）》中“排放国家、地方环境空气质量标准中有标准限值要求的特征污染物时，引用建设工程周边5千米范围内近3年的现有监测数据，无相关数据的选择当季主导风向下风向1个点位补充不少于3天的监测数据”的要求。</w:t>
            </w:r>
            <w:bookmarkEnd w:id="3"/>
            <w:bookmarkEnd w:id="4"/>
            <w:bookmarkEnd w:id="5"/>
            <w:bookmarkEnd w:id="6"/>
            <w:bookmarkEnd w:id="7"/>
            <w:bookmarkEnd w:id="8"/>
            <w:bookmarkEnd w:id="9"/>
            <w:bookmarkEnd w:id="10"/>
            <w:bookmarkEnd w:id="11"/>
            <w:r>
              <w:rPr>
                <w:rFonts w:hint="default" w:eastAsia="宋体"/>
                <w:color w:val="auto"/>
              </w:rPr>
              <w:t>本项目引用</w:t>
            </w:r>
            <w:r>
              <w:rPr>
                <w:rFonts w:hint="default" w:eastAsia="宋体"/>
                <w:color w:val="auto"/>
                <w:lang w:val="en-US" w:eastAsia="zh-CN"/>
              </w:rPr>
              <w:t>《内蒙古鄂尔多斯蒙苏经济开发区国土空间总体规划（2021-2035年）江苏产业园环境影响评价》现状监测数据，引用监测数据由内蒙古华清环境检测有限公司于2023年11月12日至2023年11月18日连续7天在距项目厂址引用点位于厂址</w:t>
            </w:r>
            <w:r>
              <w:rPr>
                <w:rFonts w:hint="eastAsia" w:eastAsia="宋体"/>
                <w:color w:val="auto"/>
                <w:lang w:val="en-US" w:eastAsia="zh-CN"/>
              </w:rPr>
              <w:t>东北侧1881</w:t>
            </w:r>
            <w:r>
              <w:rPr>
                <w:rFonts w:hint="default" w:eastAsia="宋体"/>
                <w:color w:val="auto"/>
                <w:lang w:val="en-US" w:eastAsia="zh-CN"/>
              </w:rPr>
              <w:t>m处对非甲烷总烃</w:t>
            </w:r>
            <w:r>
              <w:rPr>
                <w:rFonts w:hint="eastAsia" w:eastAsia="宋体"/>
                <w:color w:val="auto"/>
                <w:lang w:val="en-US" w:eastAsia="zh-CN"/>
              </w:rPr>
              <w:t>、硫酸雾</w:t>
            </w:r>
            <w:r>
              <w:rPr>
                <w:rFonts w:hint="default" w:eastAsia="宋体"/>
                <w:color w:val="auto"/>
                <w:lang w:val="en-US" w:eastAsia="zh-CN"/>
              </w:rPr>
              <w:t>进行采样，基本信息见表3-1</w:t>
            </w:r>
            <w:r>
              <w:rPr>
                <w:rFonts w:hint="default" w:eastAsia="宋体"/>
                <w:color w:val="auto"/>
              </w:rPr>
              <w:t>。</w:t>
            </w:r>
          </w:p>
          <w:p w14:paraId="26DA60DC">
            <w:pPr>
              <w:ind w:firstLine="0" w:firstLineChars="0"/>
              <w:jc w:val="center"/>
              <w:rPr>
                <w:rFonts w:hint="default" w:eastAsia="宋体"/>
                <w:b/>
                <w:color w:val="auto"/>
                <w:vertAlign w:val="baseline"/>
                <w:lang w:val="en-US" w:eastAsia="zh-CN"/>
              </w:rPr>
            </w:pPr>
            <w:r>
              <w:rPr>
                <w:rFonts w:hint="default" w:eastAsia="宋体"/>
                <w:b/>
                <w:color w:val="auto"/>
              </w:rPr>
              <w:t>表3-1特征污染物</w:t>
            </w:r>
            <w:r>
              <w:rPr>
                <w:rFonts w:hint="eastAsia" w:eastAsia="宋体"/>
                <w:b/>
                <w:color w:val="auto"/>
                <w:lang w:val="en-US" w:eastAsia="zh-CN"/>
              </w:rPr>
              <w:t>补充监测点位基本信息一览表</w:t>
            </w:r>
          </w:p>
          <w:tbl>
            <w:tblPr>
              <w:tblStyle w:val="15"/>
              <w:tblW w:w="78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1"/>
              <w:gridCol w:w="1175"/>
              <w:gridCol w:w="1202"/>
              <w:gridCol w:w="1287"/>
              <w:gridCol w:w="1186"/>
              <w:gridCol w:w="978"/>
              <w:gridCol w:w="1127"/>
            </w:tblGrid>
            <w:tr w14:paraId="72161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931" w:type="dxa"/>
                  <w:vMerge w:val="restart"/>
                  <w:vAlign w:val="center"/>
                </w:tcPr>
                <w:p w14:paraId="384866B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b w:val="0"/>
                      <w:bCs/>
                      <w:color w:val="auto"/>
                      <w:sz w:val="21"/>
                      <w:szCs w:val="21"/>
                      <w:vertAlign w:val="baseline"/>
                      <w:lang w:val="en-US" w:eastAsia="zh-CN"/>
                    </w:rPr>
                  </w:pPr>
                  <w:r>
                    <w:rPr>
                      <w:rFonts w:hint="eastAsia" w:eastAsia="宋体"/>
                      <w:b w:val="0"/>
                      <w:bCs/>
                      <w:color w:val="auto"/>
                      <w:sz w:val="21"/>
                      <w:szCs w:val="21"/>
                      <w:vertAlign w:val="baseline"/>
                      <w:lang w:val="en-US" w:eastAsia="zh-CN"/>
                    </w:rPr>
                    <w:t>监测点名称</w:t>
                  </w:r>
                </w:p>
              </w:tc>
              <w:tc>
                <w:tcPr>
                  <w:tcW w:w="2377" w:type="dxa"/>
                  <w:gridSpan w:val="2"/>
                  <w:vAlign w:val="center"/>
                </w:tcPr>
                <w:p w14:paraId="56471BF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b w:val="0"/>
                      <w:bCs/>
                      <w:color w:val="auto"/>
                      <w:sz w:val="21"/>
                      <w:szCs w:val="21"/>
                      <w:vertAlign w:val="baseline"/>
                      <w:lang w:val="en-US" w:eastAsia="zh-CN"/>
                    </w:rPr>
                  </w:pPr>
                  <w:r>
                    <w:rPr>
                      <w:rFonts w:hint="eastAsia" w:eastAsia="宋体"/>
                      <w:b w:val="0"/>
                      <w:bCs/>
                      <w:color w:val="auto"/>
                      <w:sz w:val="21"/>
                      <w:szCs w:val="21"/>
                      <w:vertAlign w:val="baseline"/>
                      <w:lang w:val="en-US" w:eastAsia="zh-CN"/>
                    </w:rPr>
                    <w:t>监测点坐标</w:t>
                  </w:r>
                </w:p>
              </w:tc>
              <w:tc>
                <w:tcPr>
                  <w:tcW w:w="1287" w:type="dxa"/>
                  <w:vMerge w:val="restart"/>
                  <w:vAlign w:val="center"/>
                </w:tcPr>
                <w:p w14:paraId="7F7F240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b w:val="0"/>
                      <w:bCs/>
                      <w:color w:val="auto"/>
                      <w:sz w:val="21"/>
                      <w:szCs w:val="21"/>
                      <w:vertAlign w:val="baseline"/>
                      <w:lang w:val="en-US" w:eastAsia="zh-CN"/>
                    </w:rPr>
                  </w:pPr>
                  <w:r>
                    <w:rPr>
                      <w:rFonts w:hint="eastAsia" w:eastAsia="宋体"/>
                      <w:b w:val="0"/>
                      <w:bCs/>
                      <w:color w:val="auto"/>
                      <w:sz w:val="21"/>
                      <w:szCs w:val="21"/>
                      <w:vertAlign w:val="baseline"/>
                      <w:lang w:val="en-US" w:eastAsia="zh-CN"/>
                    </w:rPr>
                    <w:t>监测因子</w:t>
                  </w:r>
                </w:p>
              </w:tc>
              <w:tc>
                <w:tcPr>
                  <w:tcW w:w="1186" w:type="dxa"/>
                  <w:vMerge w:val="restart"/>
                  <w:vAlign w:val="center"/>
                </w:tcPr>
                <w:p w14:paraId="64487D1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b w:val="0"/>
                      <w:bCs/>
                      <w:color w:val="auto"/>
                      <w:sz w:val="21"/>
                      <w:szCs w:val="21"/>
                      <w:vertAlign w:val="baseline"/>
                      <w:lang w:val="en-US" w:eastAsia="zh-CN"/>
                    </w:rPr>
                  </w:pPr>
                  <w:r>
                    <w:rPr>
                      <w:rFonts w:hint="eastAsia" w:eastAsia="宋体"/>
                      <w:b w:val="0"/>
                      <w:bCs/>
                      <w:color w:val="auto"/>
                      <w:sz w:val="21"/>
                      <w:szCs w:val="21"/>
                      <w:vertAlign w:val="baseline"/>
                      <w:lang w:val="en-US" w:eastAsia="zh-CN"/>
                    </w:rPr>
                    <w:t>监测时段</w:t>
                  </w:r>
                </w:p>
              </w:tc>
              <w:tc>
                <w:tcPr>
                  <w:tcW w:w="978" w:type="dxa"/>
                  <w:vMerge w:val="restart"/>
                  <w:vAlign w:val="center"/>
                </w:tcPr>
                <w:p w14:paraId="6D09E1D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b w:val="0"/>
                      <w:bCs/>
                      <w:color w:val="auto"/>
                      <w:sz w:val="21"/>
                      <w:szCs w:val="21"/>
                      <w:vertAlign w:val="baseline"/>
                      <w:lang w:val="en-US" w:eastAsia="zh-CN"/>
                    </w:rPr>
                  </w:pPr>
                  <w:r>
                    <w:rPr>
                      <w:rFonts w:hint="eastAsia" w:eastAsia="宋体"/>
                      <w:b w:val="0"/>
                      <w:bCs/>
                      <w:color w:val="auto"/>
                      <w:sz w:val="21"/>
                      <w:szCs w:val="21"/>
                      <w:vertAlign w:val="baseline"/>
                      <w:lang w:val="en-US" w:eastAsia="zh-CN"/>
                    </w:rPr>
                    <w:t>相对厂址位置</w:t>
                  </w:r>
                </w:p>
              </w:tc>
              <w:tc>
                <w:tcPr>
                  <w:tcW w:w="1127" w:type="dxa"/>
                  <w:vMerge w:val="restart"/>
                  <w:vAlign w:val="center"/>
                </w:tcPr>
                <w:p w14:paraId="527E6B6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b w:val="0"/>
                      <w:bCs/>
                      <w:color w:val="auto"/>
                      <w:sz w:val="21"/>
                      <w:szCs w:val="21"/>
                      <w:vertAlign w:val="baseline"/>
                      <w:lang w:val="en-US" w:eastAsia="zh-CN"/>
                    </w:rPr>
                  </w:pPr>
                  <w:r>
                    <w:rPr>
                      <w:rFonts w:hint="eastAsia" w:eastAsia="宋体"/>
                      <w:b w:val="0"/>
                      <w:bCs/>
                      <w:color w:val="auto"/>
                      <w:sz w:val="21"/>
                      <w:szCs w:val="21"/>
                      <w:vertAlign w:val="baseline"/>
                      <w:lang w:val="en-US" w:eastAsia="zh-CN"/>
                    </w:rPr>
                    <w:t>相对厂界距离</w:t>
                  </w:r>
                </w:p>
              </w:tc>
            </w:tr>
            <w:tr w14:paraId="7A127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931" w:type="dxa"/>
                  <w:vMerge w:val="continue"/>
                  <w:vAlign w:val="center"/>
                </w:tcPr>
                <w:p w14:paraId="40C6CB7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val="0"/>
                      <w:bCs/>
                      <w:color w:val="auto"/>
                      <w:sz w:val="21"/>
                      <w:szCs w:val="21"/>
                    </w:rPr>
                  </w:pPr>
                </w:p>
              </w:tc>
              <w:tc>
                <w:tcPr>
                  <w:tcW w:w="1175" w:type="dxa"/>
                  <w:vAlign w:val="center"/>
                </w:tcPr>
                <w:p w14:paraId="575192F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b w:val="0"/>
                      <w:bCs/>
                      <w:color w:val="auto"/>
                      <w:sz w:val="21"/>
                      <w:szCs w:val="21"/>
                      <w:vertAlign w:val="baseline"/>
                      <w:lang w:val="en-US" w:eastAsia="zh-CN"/>
                    </w:rPr>
                  </w:pPr>
                  <w:r>
                    <w:rPr>
                      <w:rFonts w:hint="eastAsia" w:eastAsia="宋体"/>
                      <w:b w:val="0"/>
                      <w:bCs/>
                      <w:color w:val="auto"/>
                      <w:sz w:val="21"/>
                      <w:szCs w:val="21"/>
                      <w:vertAlign w:val="baseline"/>
                      <w:lang w:val="en-US" w:eastAsia="zh-CN"/>
                    </w:rPr>
                    <w:t>X</w:t>
                  </w:r>
                </w:p>
              </w:tc>
              <w:tc>
                <w:tcPr>
                  <w:tcW w:w="1202" w:type="dxa"/>
                  <w:vAlign w:val="center"/>
                </w:tcPr>
                <w:p w14:paraId="5F6315D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b w:val="0"/>
                      <w:bCs/>
                      <w:color w:val="auto"/>
                      <w:sz w:val="21"/>
                      <w:szCs w:val="21"/>
                      <w:vertAlign w:val="baseline"/>
                      <w:lang w:val="en-US" w:eastAsia="zh-CN"/>
                    </w:rPr>
                  </w:pPr>
                  <w:r>
                    <w:rPr>
                      <w:rFonts w:hint="eastAsia" w:eastAsia="宋体"/>
                      <w:b w:val="0"/>
                      <w:bCs/>
                      <w:color w:val="auto"/>
                      <w:sz w:val="21"/>
                      <w:szCs w:val="21"/>
                      <w:vertAlign w:val="baseline"/>
                      <w:lang w:val="en-US" w:eastAsia="zh-CN"/>
                    </w:rPr>
                    <w:t>Y</w:t>
                  </w:r>
                </w:p>
              </w:tc>
              <w:tc>
                <w:tcPr>
                  <w:tcW w:w="1287" w:type="dxa"/>
                  <w:vMerge w:val="continue"/>
                  <w:vAlign w:val="center"/>
                </w:tcPr>
                <w:p w14:paraId="6256AF3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宋体"/>
                      <w:b w:val="0"/>
                      <w:bCs/>
                      <w:color w:val="auto"/>
                      <w:sz w:val="21"/>
                      <w:szCs w:val="21"/>
                      <w:vertAlign w:val="baseline"/>
                      <w:lang w:val="en-US" w:eastAsia="zh-CN"/>
                    </w:rPr>
                  </w:pPr>
                </w:p>
              </w:tc>
              <w:tc>
                <w:tcPr>
                  <w:tcW w:w="1186" w:type="dxa"/>
                  <w:vMerge w:val="continue"/>
                  <w:vAlign w:val="center"/>
                </w:tcPr>
                <w:p w14:paraId="57C8390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宋体"/>
                      <w:b w:val="0"/>
                      <w:bCs/>
                      <w:color w:val="auto"/>
                      <w:sz w:val="21"/>
                      <w:szCs w:val="21"/>
                      <w:vertAlign w:val="baseline"/>
                      <w:lang w:val="en-US" w:eastAsia="zh-CN"/>
                    </w:rPr>
                  </w:pPr>
                </w:p>
              </w:tc>
              <w:tc>
                <w:tcPr>
                  <w:tcW w:w="978" w:type="dxa"/>
                  <w:vMerge w:val="continue"/>
                  <w:vAlign w:val="center"/>
                </w:tcPr>
                <w:p w14:paraId="6ED2EC1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宋体"/>
                      <w:b w:val="0"/>
                      <w:bCs/>
                      <w:color w:val="auto"/>
                      <w:sz w:val="21"/>
                      <w:szCs w:val="21"/>
                      <w:vertAlign w:val="baseline"/>
                      <w:lang w:val="en-US" w:eastAsia="zh-CN"/>
                    </w:rPr>
                  </w:pPr>
                </w:p>
              </w:tc>
              <w:tc>
                <w:tcPr>
                  <w:tcW w:w="1127" w:type="dxa"/>
                  <w:vMerge w:val="continue"/>
                  <w:vAlign w:val="center"/>
                </w:tcPr>
                <w:p w14:paraId="6DEF469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宋体"/>
                      <w:b w:val="0"/>
                      <w:bCs/>
                      <w:color w:val="auto"/>
                      <w:sz w:val="21"/>
                      <w:szCs w:val="21"/>
                      <w:vertAlign w:val="baseline"/>
                      <w:lang w:val="en-US" w:eastAsia="zh-CN"/>
                    </w:rPr>
                  </w:pPr>
                </w:p>
              </w:tc>
            </w:tr>
            <w:tr w14:paraId="139C6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1" w:type="dxa"/>
                  <w:vMerge w:val="restart"/>
                  <w:vAlign w:val="center"/>
                </w:tcPr>
                <w:p w14:paraId="664076A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b w:val="0"/>
                      <w:bCs/>
                      <w:color w:val="auto"/>
                      <w:sz w:val="21"/>
                      <w:szCs w:val="21"/>
                      <w:vertAlign w:val="baseline"/>
                      <w:lang w:val="en-US" w:eastAsia="zh-CN"/>
                    </w:rPr>
                  </w:pPr>
                  <w:r>
                    <w:rPr>
                      <w:rFonts w:hint="eastAsia" w:eastAsia="宋体"/>
                      <w:b w:val="0"/>
                      <w:bCs/>
                      <w:color w:val="auto"/>
                      <w:sz w:val="21"/>
                      <w:szCs w:val="21"/>
                      <w:vertAlign w:val="baseline"/>
                      <w:lang w:val="en-US" w:eastAsia="zh-CN"/>
                    </w:rPr>
                    <w:t>G1</w:t>
                  </w:r>
                </w:p>
              </w:tc>
              <w:tc>
                <w:tcPr>
                  <w:tcW w:w="1175" w:type="dxa"/>
                  <w:vMerge w:val="restart"/>
                  <w:vAlign w:val="center"/>
                </w:tcPr>
                <w:p w14:paraId="57C1585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b w:val="0"/>
                      <w:bCs/>
                      <w:color w:val="auto"/>
                      <w:sz w:val="21"/>
                      <w:szCs w:val="21"/>
                      <w:vertAlign w:val="baseline"/>
                      <w:lang w:val="en-US" w:eastAsia="zh-CN"/>
                    </w:rPr>
                  </w:pPr>
                  <w:r>
                    <w:rPr>
                      <w:rFonts w:hint="default" w:eastAsia="宋体"/>
                      <w:b w:val="0"/>
                      <w:bCs/>
                      <w:color w:val="auto"/>
                      <w:sz w:val="21"/>
                      <w:szCs w:val="21"/>
                      <w:vertAlign w:val="baseline"/>
                      <w:lang w:val="en-US" w:eastAsia="zh-CN"/>
                    </w:rPr>
                    <w:t>110.1208°</w:t>
                  </w:r>
                </w:p>
              </w:tc>
              <w:tc>
                <w:tcPr>
                  <w:tcW w:w="1202" w:type="dxa"/>
                  <w:vMerge w:val="restart"/>
                  <w:vAlign w:val="center"/>
                </w:tcPr>
                <w:p w14:paraId="5469EAE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宋体"/>
                      <w:b w:val="0"/>
                      <w:bCs/>
                      <w:color w:val="auto"/>
                      <w:sz w:val="21"/>
                      <w:szCs w:val="21"/>
                      <w:vertAlign w:val="baseline"/>
                      <w:lang w:val="en-US" w:eastAsia="zh-CN"/>
                    </w:rPr>
                  </w:pPr>
                  <w:r>
                    <w:rPr>
                      <w:rFonts w:hint="default" w:eastAsia="宋体"/>
                      <w:b w:val="0"/>
                      <w:bCs/>
                      <w:color w:val="auto"/>
                      <w:sz w:val="21"/>
                      <w:szCs w:val="21"/>
                    </w:rPr>
                    <w:t>39.7886</w:t>
                  </w:r>
                  <w:r>
                    <w:rPr>
                      <w:rFonts w:hint="eastAsia" w:eastAsia="宋体"/>
                      <w:b w:val="0"/>
                      <w:bCs/>
                      <w:color w:val="auto"/>
                      <w:sz w:val="21"/>
                      <w:szCs w:val="21"/>
                      <w:lang w:val="en-US" w:eastAsia="zh-CN"/>
                    </w:rPr>
                    <w:t>°</w:t>
                  </w:r>
                </w:p>
              </w:tc>
              <w:tc>
                <w:tcPr>
                  <w:tcW w:w="1287" w:type="dxa"/>
                  <w:vAlign w:val="center"/>
                </w:tcPr>
                <w:p w14:paraId="10EDA76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b w:val="0"/>
                      <w:bCs/>
                      <w:color w:val="auto"/>
                      <w:sz w:val="21"/>
                      <w:szCs w:val="21"/>
                      <w:vertAlign w:val="baseline"/>
                      <w:lang w:val="en-US" w:eastAsia="zh-CN"/>
                    </w:rPr>
                  </w:pPr>
                  <w:r>
                    <w:rPr>
                      <w:rFonts w:hint="eastAsia" w:eastAsia="宋体"/>
                      <w:b w:val="0"/>
                      <w:bCs/>
                      <w:color w:val="auto"/>
                      <w:sz w:val="21"/>
                      <w:szCs w:val="21"/>
                      <w:vertAlign w:val="baseline"/>
                      <w:lang w:val="en-US" w:eastAsia="zh-CN"/>
                    </w:rPr>
                    <w:t>非甲烷总烃</w:t>
                  </w:r>
                </w:p>
              </w:tc>
              <w:tc>
                <w:tcPr>
                  <w:tcW w:w="1186" w:type="dxa"/>
                  <w:vMerge w:val="restart"/>
                  <w:vAlign w:val="center"/>
                </w:tcPr>
                <w:p w14:paraId="1CF9339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b w:val="0"/>
                      <w:bCs/>
                      <w:color w:val="auto"/>
                      <w:sz w:val="21"/>
                      <w:szCs w:val="21"/>
                      <w:vertAlign w:val="baseline"/>
                      <w:lang w:val="en-US" w:eastAsia="zh-CN"/>
                    </w:rPr>
                  </w:pPr>
                  <w:r>
                    <w:rPr>
                      <w:rFonts w:hint="eastAsia" w:eastAsia="宋体"/>
                      <w:b w:val="0"/>
                      <w:bCs/>
                      <w:color w:val="auto"/>
                      <w:sz w:val="21"/>
                      <w:szCs w:val="21"/>
                      <w:vertAlign w:val="baseline"/>
                      <w:lang w:val="en-US" w:eastAsia="zh-CN"/>
                    </w:rPr>
                    <w:t>2025年4月18日-2025年4月20日</w:t>
                  </w:r>
                </w:p>
              </w:tc>
              <w:tc>
                <w:tcPr>
                  <w:tcW w:w="978" w:type="dxa"/>
                  <w:vMerge w:val="restart"/>
                  <w:vAlign w:val="center"/>
                </w:tcPr>
                <w:p w14:paraId="59775CA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b w:val="0"/>
                      <w:bCs/>
                      <w:color w:val="auto"/>
                      <w:sz w:val="21"/>
                      <w:szCs w:val="21"/>
                      <w:vertAlign w:val="baseline"/>
                      <w:lang w:val="en-US" w:eastAsia="zh-CN"/>
                    </w:rPr>
                  </w:pPr>
                  <w:r>
                    <w:rPr>
                      <w:rFonts w:hint="eastAsia" w:eastAsia="宋体"/>
                      <w:b w:val="0"/>
                      <w:bCs/>
                      <w:color w:val="auto"/>
                      <w:sz w:val="21"/>
                      <w:szCs w:val="21"/>
                      <w:vertAlign w:val="baseline"/>
                      <w:lang w:val="en-US" w:eastAsia="zh-CN"/>
                    </w:rPr>
                    <w:t>EN</w:t>
                  </w:r>
                </w:p>
              </w:tc>
              <w:tc>
                <w:tcPr>
                  <w:tcW w:w="1127" w:type="dxa"/>
                  <w:vMerge w:val="restart"/>
                  <w:vAlign w:val="center"/>
                </w:tcPr>
                <w:p w14:paraId="7AFB640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b w:val="0"/>
                      <w:bCs/>
                      <w:color w:val="auto"/>
                      <w:sz w:val="21"/>
                      <w:szCs w:val="21"/>
                      <w:vertAlign w:val="baseline"/>
                      <w:lang w:val="en-US" w:eastAsia="zh-CN"/>
                    </w:rPr>
                  </w:pPr>
                  <w:r>
                    <w:rPr>
                      <w:rFonts w:hint="eastAsia" w:eastAsia="宋体"/>
                      <w:b w:val="0"/>
                      <w:bCs/>
                      <w:color w:val="auto"/>
                      <w:sz w:val="21"/>
                      <w:szCs w:val="21"/>
                      <w:vertAlign w:val="baseline"/>
                      <w:lang w:val="en-US" w:eastAsia="zh-CN"/>
                    </w:rPr>
                    <w:t>1881m</w:t>
                  </w:r>
                </w:p>
              </w:tc>
            </w:tr>
            <w:tr w14:paraId="639D6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1" w:type="dxa"/>
                  <w:vMerge w:val="continue"/>
                  <w:vAlign w:val="center"/>
                </w:tcPr>
                <w:p w14:paraId="7D88FA2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宋体"/>
                      <w:b w:val="0"/>
                      <w:bCs/>
                      <w:color w:val="auto"/>
                      <w:sz w:val="21"/>
                      <w:szCs w:val="21"/>
                      <w:vertAlign w:val="baseline"/>
                      <w:lang w:val="en-US" w:eastAsia="zh-CN"/>
                    </w:rPr>
                  </w:pPr>
                </w:p>
              </w:tc>
              <w:tc>
                <w:tcPr>
                  <w:tcW w:w="1175" w:type="dxa"/>
                  <w:vMerge w:val="continue"/>
                  <w:vAlign w:val="center"/>
                </w:tcPr>
                <w:p w14:paraId="05474A3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b w:val="0"/>
                      <w:bCs/>
                      <w:color w:val="auto"/>
                      <w:sz w:val="21"/>
                      <w:szCs w:val="21"/>
                      <w:vertAlign w:val="baseline"/>
                      <w:lang w:val="en-US" w:eastAsia="zh-CN"/>
                    </w:rPr>
                  </w:pPr>
                </w:p>
              </w:tc>
              <w:tc>
                <w:tcPr>
                  <w:tcW w:w="1202" w:type="dxa"/>
                  <w:vMerge w:val="continue"/>
                  <w:vAlign w:val="center"/>
                </w:tcPr>
                <w:p w14:paraId="3418CCA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b w:val="0"/>
                      <w:bCs/>
                      <w:color w:val="auto"/>
                      <w:sz w:val="21"/>
                      <w:szCs w:val="21"/>
                    </w:rPr>
                  </w:pPr>
                </w:p>
              </w:tc>
              <w:tc>
                <w:tcPr>
                  <w:tcW w:w="1287" w:type="dxa"/>
                  <w:vAlign w:val="center"/>
                </w:tcPr>
                <w:p w14:paraId="5BEA749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b w:val="0"/>
                      <w:bCs/>
                      <w:color w:val="auto"/>
                      <w:sz w:val="21"/>
                      <w:szCs w:val="21"/>
                      <w:vertAlign w:val="baseline"/>
                      <w:lang w:val="en-US" w:eastAsia="zh-CN"/>
                    </w:rPr>
                  </w:pPr>
                  <w:r>
                    <w:rPr>
                      <w:rFonts w:hint="eastAsia" w:eastAsia="宋体"/>
                      <w:b w:val="0"/>
                      <w:bCs/>
                      <w:color w:val="auto"/>
                      <w:sz w:val="21"/>
                      <w:szCs w:val="21"/>
                      <w:vertAlign w:val="baseline"/>
                      <w:lang w:val="en-US" w:eastAsia="zh-CN"/>
                    </w:rPr>
                    <w:t>硫酸雾</w:t>
                  </w:r>
                </w:p>
              </w:tc>
              <w:tc>
                <w:tcPr>
                  <w:tcW w:w="1186" w:type="dxa"/>
                  <w:vMerge w:val="continue"/>
                  <w:vAlign w:val="center"/>
                </w:tcPr>
                <w:p w14:paraId="02A3D6E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宋体"/>
                      <w:b w:val="0"/>
                      <w:bCs/>
                      <w:color w:val="auto"/>
                      <w:sz w:val="21"/>
                      <w:szCs w:val="21"/>
                      <w:vertAlign w:val="baseline"/>
                      <w:lang w:val="en-US" w:eastAsia="zh-CN"/>
                    </w:rPr>
                  </w:pPr>
                </w:p>
              </w:tc>
              <w:tc>
                <w:tcPr>
                  <w:tcW w:w="978" w:type="dxa"/>
                  <w:vMerge w:val="continue"/>
                  <w:vAlign w:val="center"/>
                </w:tcPr>
                <w:p w14:paraId="18DB334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宋体"/>
                      <w:b w:val="0"/>
                      <w:bCs/>
                      <w:color w:val="auto"/>
                      <w:sz w:val="21"/>
                      <w:szCs w:val="21"/>
                      <w:vertAlign w:val="baseline"/>
                      <w:lang w:val="en-US" w:eastAsia="zh-CN"/>
                    </w:rPr>
                  </w:pPr>
                </w:p>
              </w:tc>
              <w:tc>
                <w:tcPr>
                  <w:tcW w:w="1127" w:type="dxa"/>
                  <w:vMerge w:val="continue"/>
                  <w:vAlign w:val="center"/>
                </w:tcPr>
                <w:p w14:paraId="3DE4341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宋体"/>
                      <w:b w:val="0"/>
                      <w:bCs/>
                      <w:color w:val="auto"/>
                      <w:sz w:val="21"/>
                      <w:szCs w:val="21"/>
                      <w:vertAlign w:val="baseline"/>
                      <w:lang w:val="en-US" w:eastAsia="zh-CN"/>
                    </w:rPr>
                  </w:pPr>
                </w:p>
              </w:tc>
            </w:tr>
          </w:tbl>
          <w:p w14:paraId="64B6E4B2">
            <w:pPr>
              <w:ind w:firstLine="0" w:firstLineChars="0"/>
              <w:jc w:val="center"/>
              <w:rPr>
                <w:rFonts w:hint="default" w:eastAsia="宋体"/>
                <w:b/>
                <w:color w:val="auto"/>
              </w:rPr>
            </w:pPr>
            <w:r>
              <w:rPr>
                <w:rFonts w:hint="eastAsia" w:eastAsia="宋体"/>
                <w:b/>
                <w:color w:val="auto"/>
                <w:lang w:val="en-US" w:eastAsia="zh-CN"/>
              </w:rPr>
              <w:t>表3-2其他污染物</w:t>
            </w:r>
            <w:r>
              <w:rPr>
                <w:rFonts w:hint="default" w:eastAsia="宋体"/>
                <w:b/>
                <w:color w:val="auto"/>
              </w:rPr>
              <w:t>环境质量现状（监测结果）一览表</w:t>
            </w:r>
          </w:p>
          <w:tbl>
            <w:tblPr>
              <w:tblStyle w:val="15"/>
              <w:tblW w:w="78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8"/>
              <w:gridCol w:w="788"/>
              <w:gridCol w:w="788"/>
              <w:gridCol w:w="788"/>
              <w:gridCol w:w="789"/>
              <w:gridCol w:w="789"/>
              <w:gridCol w:w="789"/>
              <w:gridCol w:w="789"/>
              <w:gridCol w:w="789"/>
              <w:gridCol w:w="789"/>
            </w:tblGrid>
            <w:tr w14:paraId="4BFD1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788" w:type="dxa"/>
                  <w:vMerge w:val="restart"/>
                  <w:vAlign w:val="center"/>
                </w:tcPr>
                <w:p w14:paraId="0BC0561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Style w:val="17"/>
                      <w:rFonts w:hint="default" w:eastAsia="宋体"/>
                      <w:color w:val="auto"/>
                      <w:kern w:val="0"/>
                      <w:vertAlign w:val="baseline"/>
                      <w:lang w:val="en-US" w:eastAsia="zh-CN"/>
                    </w:rPr>
                  </w:pPr>
                  <w:r>
                    <w:rPr>
                      <w:rStyle w:val="17"/>
                      <w:rFonts w:hint="eastAsia" w:eastAsia="宋体"/>
                      <w:color w:val="auto"/>
                      <w:kern w:val="0"/>
                      <w:vertAlign w:val="baseline"/>
                      <w:lang w:val="en-US" w:eastAsia="zh-CN"/>
                    </w:rPr>
                    <w:t>监测点位</w:t>
                  </w:r>
                </w:p>
              </w:tc>
              <w:tc>
                <w:tcPr>
                  <w:tcW w:w="1576" w:type="dxa"/>
                  <w:gridSpan w:val="2"/>
                  <w:vAlign w:val="center"/>
                </w:tcPr>
                <w:p w14:paraId="504A436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Style w:val="17"/>
                      <w:rFonts w:hint="eastAsia"/>
                      <w:color w:val="auto"/>
                      <w:kern w:val="0"/>
                      <w:vertAlign w:val="baseline"/>
                    </w:rPr>
                  </w:pPr>
                  <w:r>
                    <w:rPr>
                      <w:rStyle w:val="17"/>
                      <w:rFonts w:hint="eastAsia" w:eastAsia="宋体"/>
                      <w:color w:val="auto"/>
                      <w:kern w:val="0"/>
                      <w:vertAlign w:val="baseline"/>
                      <w:lang w:val="en-US" w:eastAsia="zh-CN"/>
                    </w:rPr>
                    <w:t>监测点坐标</w:t>
                  </w:r>
                </w:p>
              </w:tc>
              <w:tc>
                <w:tcPr>
                  <w:tcW w:w="788" w:type="dxa"/>
                  <w:vMerge w:val="restart"/>
                  <w:vAlign w:val="center"/>
                </w:tcPr>
                <w:p w14:paraId="603AD84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Style w:val="17"/>
                      <w:rFonts w:hint="eastAsia" w:eastAsia="宋体"/>
                      <w:color w:val="auto"/>
                      <w:kern w:val="0"/>
                      <w:vertAlign w:val="baseline"/>
                      <w:lang w:val="en-US" w:eastAsia="zh-CN"/>
                    </w:rPr>
                  </w:pPr>
                  <w:r>
                    <w:rPr>
                      <w:rStyle w:val="17"/>
                      <w:rFonts w:hint="eastAsia" w:eastAsia="宋体"/>
                      <w:color w:val="auto"/>
                      <w:kern w:val="0"/>
                      <w:vertAlign w:val="baseline"/>
                      <w:lang w:val="en-US" w:eastAsia="zh-CN"/>
                    </w:rPr>
                    <w:t>污染物</w:t>
                  </w:r>
                </w:p>
              </w:tc>
              <w:tc>
                <w:tcPr>
                  <w:tcW w:w="789" w:type="dxa"/>
                  <w:vMerge w:val="restart"/>
                  <w:vAlign w:val="center"/>
                </w:tcPr>
                <w:p w14:paraId="01F165A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Style w:val="17"/>
                      <w:rFonts w:hint="default" w:eastAsia="宋体"/>
                      <w:color w:val="auto"/>
                      <w:kern w:val="0"/>
                      <w:vertAlign w:val="baseline"/>
                      <w:lang w:val="en-US" w:eastAsia="zh-CN"/>
                    </w:rPr>
                  </w:pPr>
                  <w:r>
                    <w:rPr>
                      <w:rStyle w:val="17"/>
                      <w:rFonts w:hint="eastAsia" w:eastAsia="宋体"/>
                      <w:color w:val="auto"/>
                      <w:kern w:val="0"/>
                      <w:vertAlign w:val="baseline"/>
                      <w:lang w:val="en-US" w:eastAsia="zh-CN"/>
                    </w:rPr>
                    <w:t>平均时间</w:t>
                  </w:r>
                </w:p>
              </w:tc>
              <w:tc>
                <w:tcPr>
                  <w:tcW w:w="789" w:type="dxa"/>
                  <w:vMerge w:val="restart"/>
                  <w:vAlign w:val="center"/>
                </w:tcPr>
                <w:p w14:paraId="71253BA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Style w:val="17"/>
                      <w:rFonts w:hint="default" w:eastAsia="宋体"/>
                      <w:color w:val="auto"/>
                      <w:kern w:val="0"/>
                      <w:vertAlign w:val="baseline"/>
                      <w:lang w:val="en-US" w:eastAsia="zh-CN"/>
                    </w:rPr>
                  </w:pPr>
                  <w:r>
                    <w:rPr>
                      <w:rStyle w:val="17"/>
                      <w:rFonts w:hint="eastAsia" w:eastAsia="宋体"/>
                      <w:color w:val="auto"/>
                      <w:kern w:val="0"/>
                      <w:vertAlign w:val="baseline"/>
                      <w:lang w:val="en-US" w:eastAsia="zh-CN"/>
                    </w:rPr>
                    <w:t>评价标准/（mg/m³）</w:t>
                  </w:r>
                </w:p>
              </w:tc>
              <w:tc>
                <w:tcPr>
                  <w:tcW w:w="789" w:type="dxa"/>
                  <w:vMerge w:val="restart"/>
                  <w:vAlign w:val="center"/>
                </w:tcPr>
                <w:p w14:paraId="37682E0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Style w:val="17"/>
                      <w:rFonts w:hint="default" w:eastAsia="宋体"/>
                      <w:color w:val="auto"/>
                      <w:kern w:val="0"/>
                      <w:vertAlign w:val="baseline"/>
                      <w:lang w:val="en-US" w:eastAsia="zh-CN"/>
                    </w:rPr>
                  </w:pPr>
                  <w:r>
                    <w:rPr>
                      <w:rStyle w:val="17"/>
                      <w:rFonts w:hint="eastAsia" w:eastAsia="宋体"/>
                      <w:color w:val="auto"/>
                      <w:kern w:val="0"/>
                      <w:vertAlign w:val="baseline"/>
                      <w:lang w:val="en-US" w:eastAsia="zh-CN"/>
                    </w:rPr>
                    <w:t>监测浓度范围/（mg/m³）</w:t>
                  </w:r>
                </w:p>
              </w:tc>
              <w:tc>
                <w:tcPr>
                  <w:tcW w:w="789" w:type="dxa"/>
                  <w:vMerge w:val="restart"/>
                  <w:vAlign w:val="center"/>
                </w:tcPr>
                <w:p w14:paraId="25F91AA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Style w:val="17"/>
                      <w:rFonts w:hint="default" w:eastAsia="宋体"/>
                      <w:color w:val="auto"/>
                      <w:kern w:val="0"/>
                      <w:vertAlign w:val="baseline"/>
                      <w:lang w:val="en-US" w:eastAsia="zh-CN"/>
                    </w:rPr>
                  </w:pPr>
                  <w:r>
                    <w:rPr>
                      <w:rStyle w:val="17"/>
                      <w:rFonts w:hint="eastAsia" w:eastAsia="宋体"/>
                      <w:color w:val="auto"/>
                      <w:kern w:val="0"/>
                      <w:vertAlign w:val="baseline"/>
                      <w:lang w:val="en-US" w:eastAsia="zh-CN"/>
                    </w:rPr>
                    <w:t>最大浓度占标率%</w:t>
                  </w:r>
                </w:p>
              </w:tc>
              <w:tc>
                <w:tcPr>
                  <w:tcW w:w="789" w:type="dxa"/>
                  <w:vMerge w:val="restart"/>
                  <w:vAlign w:val="center"/>
                </w:tcPr>
                <w:p w14:paraId="73BE8C8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Style w:val="17"/>
                      <w:rFonts w:hint="default" w:eastAsia="宋体"/>
                      <w:color w:val="auto"/>
                      <w:kern w:val="0"/>
                      <w:vertAlign w:val="baseline"/>
                      <w:lang w:val="en-US" w:eastAsia="zh-CN"/>
                    </w:rPr>
                  </w:pPr>
                  <w:r>
                    <w:rPr>
                      <w:rStyle w:val="17"/>
                      <w:rFonts w:hint="eastAsia" w:eastAsia="宋体"/>
                      <w:color w:val="auto"/>
                      <w:kern w:val="0"/>
                      <w:vertAlign w:val="baseline"/>
                      <w:lang w:val="en-US" w:eastAsia="zh-CN"/>
                    </w:rPr>
                    <w:t>超标率</w:t>
                  </w:r>
                </w:p>
              </w:tc>
              <w:tc>
                <w:tcPr>
                  <w:tcW w:w="789" w:type="dxa"/>
                  <w:vMerge w:val="restart"/>
                  <w:vAlign w:val="center"/>
                </w:tcPr>
                <w:p w14:paraId="16782CB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Style w:val="17"/>
                      <w:rFonts w:hint="default" w:eastAsia="宋体"/>
                      <w:color w:val="auto"/>
                      <w:kern w:val="0"/>
                      <w:vertAlign w:val="baseline"/>
                      <w:lang w:val="en-US" w:eastAsia="zh-CN"/>
                    </w:rPr>
                  </w:pPr>
                  <w:r>
                    <w:rPr>
                      <w:rStyle w:val="17"/>
                      <w:rFonts w:hint="eastAsia" w:eastAsia="宋体"/>
                      <w:color w:val="auto"/>
                      <w:kern w:val="0"/>
                      <w:vertAlign w:val="baseline"/>
                      <w:lang w:val="en-US" w:eastAsia="zh-CN"/>
                    </w:rPr>
                    <w:t>达标情况</w:t>
                  </w:r>
                </w:p>
              </w:tc>
            </w:tr>
            <w:tr w14:paraId="20556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788" w:type="dxa"/>
                  <w:vMerge w:val="continue"/>
                  <w:vAlign w:val="center"/>
                </w:tcPr>
                <w:p w14:paraId="142E135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rPr>
                  </w:pPr>
                </w:p>
              </w:tc>
              <w:tc>
                <w:tcPr>
                  <w:tcW w:w="788" w:type="dxa"/>
                  <w:vAlign w:val="center"/>
                </w:tcPr>
                <w:p w14:paraId="63E0D2A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Style w:val="17"/>
                      <w:rFonts w:hint="eastAsia" w:eastAsia="宋体"/>
                      <w:color w:val="auto"/>
                      <w:kern w:val="0"/>
                      <w:vertAlign w:val="baseline"/>
                      <w:lang w:val="en-US" w:eastAsia="zh-CN"/>
                    </w:rPr>
                  </w:pPr>
                  <w:r>
                    <w:rPr>
                      <w:rFonts w:hint="eastAsia" w:eastAsia="宋体"/>
                      <w:b w:val="0"/>
                      <w:bCs/>
                      <w:color w:val="auto"/>
                      <w:sz w:val="21"/>
                      <w:szCs w:val="21"/>
                      <w:vertAlign w:val="baseline"/>
                      <w:lang w:val="en-US" w:eastAsia="zh-CN"/>
                    </w:rPr>
                    <w:t>X</w:t>
                  </w:r>
                </w:p>
              </w:tc>
              <w:tc>
                <w:tcPr>
                  <w:tcW w:w="788" w:type="dxa"/>
                  <w:vAlign w:val="center"/>
                </w:tcPr>
                <w:p w14:paraId="2BA2402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Style w:val="17"/>
                      <w:rFonts w:hint="eastAsia" w:eastAsia="宋体"/>
                      <w:color w:val="auto"/>
                      <w:kern w:val="0"/>
                      <w:vertAlign w:val="baseline"/>
                      <w:lang w:val="en-US" w:eastAsia="zh-CN"/>
                    </w:rPr>
                  </w:pPr>
                  <w:r>
                    <w:rPr>
                      <w:rFonts w:hint="eastAsia" w:eastAsia="宋体"/>
                      <w:b w:val="0"/>
                      <w:bCs/>
                      <w:color w:val="auto"/>
                      <w:sz w:val="21"/>
                      <w:szCs w:val="21"/>
                      <w:vertAlign w:val="baseline"/>
                      <w:lang w:val="en-US" w:eastAsia="zh-CN"/>
                    </w:rPr>
                    <w:t>Y</w:t>
                  </w:r>
                </w:p>
              </w:tc>
              <w:tc>
                <w:tcPr>
                  <w:tcW w:w="788" w:type="dxa"/>
                  <w:vMerge w:val="continue"/>
                  <w:vAlign w:val="center"/>
                </w:tcPr>
                <w:p w14:paraId="60859EC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Style w:val="17"/>
                      <w:rFonts w:hint="eastAsia" w:eastAsia="宋体"/>
                      <w:color w:val="auto"/>
                      <w:kern w:val="0"/>
                      <w:vertAlign w:val="baseline"/>
                      <w:lang w:val="en-US" w:eastAsia="zh-CN"/>
                    </w:rPr>
                  </w:pPr>
                </w:p>
              </w:tc>
              <w:tc>
                <w:tcPr>
                  <w:tcW w:w="789" w:type="dxa"/>
                  <w:vMerge w:val="continue"/>
                  <w:vAlign w:val="center"/>
                </w:tcPr>
                <w:p w14:paraId="11D05C0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Style w:val="17"/>
                      <w:rFonts w:hint="eastAsia" w:eastAsia="宋体"/>
                      <w:color w:val="auto"/>
                      <w:kern w:val="0"/>
                      <w:vertAlign w:val="baseline"/>
                      <w:lang w:val="en-US" w:eastAsia="zh-CN"/>
                    </w:rPr>
                  </w:pPr>
                </w:p>
              </w:tc>
              <w:tc>
                <w:tcPr>
                  <w:tcW w:w="789" w:type="dxa"/>
                  <w:vMerge w:val="continue"/>
                  <w:vAlign w:val="center"/>
                </w:tcPr>
                <w:p w14:paraId="6AC70A3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Style w:val="17"/>
                      <w:rFonts w:hint="eastAsia" w:eastAsia="宋体"/>
                      <w:color w:val="auto"/>
                      <w:kern w:val="0"/>
                      <w:vertAlign w:val="baseline"/>
                      <w:lang w:val="en-US" w:eastAsia="zh-CN"/>
                    </w:rPr>
                  </w:pPr>
                </w:p>
              </w:tc>
              <w:tc>
                <w:tcPr>
                  <w:tcW w:w="789" w:type="dxa"/>
                  <w:vMerge w:val="continue"/>
                  <w:vAlign w:val="center"/>
                </w:tcPr>
                <w:p w14:paraId="67FF945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Style w:val="17"/>
                      <w:rFonts w:hint="eastAsia" w:eastAsia="宋体"/>
                      <w:color w:val="auto"/>
                      <w:kern w:val="0"/>
                      <w:vertAlign w:val="baseline"/>
                      <w:lang w:val="en-US" w:eastAsia="zh-CN"/>
                    </w:rPr>
                  </w:pPr>
                </w:p>
              </w:tc>
              <w:tc>
                <w:tcPr>
                  <w:tcW w:w="789" w:type="dxa"/>
                  <w:vMerge w:val="continue"/>
                  <w:vAlign w:val="center"/>
                </w:tcPr>
                <w:p w14:paraId="5DE8C17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Style w:val="17"/>
                      <w:rFonts w:hint="eastAsia" w:eastAsia="宋体"/>
                      <w:color w:val="auto"/>
                      <w:kern w:val="0"/>
                      <w:vertAlign w:val="baseline"/>
                      <w:lang w:val="en-US" w:eastAsia="zh-CN"/>
                    </w:rPr>
                  </w:pPr>
                </w:p>
              </w:tc>
              <w:tc>
                <w:tcPr>
                  <w:tcW w:w="789" w:type="dxa"/>
                  <w:vMerge w:val="continue"/>
                  <w:vAlign w:val="center"/>
                </w:tcPr>
                <w:p w14:paraId="35CB108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Style w:val="17"/>
                      <w:rFonts w:hint="eastAsia" w:eastAsia="宋体"/>
                      <w:color w:val="auto"/>
                      <w:kern w:val="0"/>
                      <w:vertAlign w:val="baseline"/>
                      <w:lang w:val="en-US" w:eastAsia="zh-CN"/>
                    </w:rPr>
                  </w:pPr>
                </w:p>
              </w:tc>
              <w:tc>
                <w:tcPr>
                  <w:tcW w:w="789" w:type="dxa"/>
                  <w:vMerge w:val="continue"/>
                  <w:vAlign w:val="center"/>
                </w:tcPr>
                <w:p w14:paraId="282FBD8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Style w:val="17"/>
                      <w:rFonts w:hint="eastAsia" w:eastAsia="宋体"/>
                      <w:color w:val="auto"/>
                      <w:kern w:val="0"/>
                      <w:vertAlign w:val="baseline"/>
                      <w:lang w:val="en-US" w:eastAsia="zh-CN"/>
                    </w:rPr>
                  </w:pPr>
                </w:p>
              </w:tc>
            </w:tr>
            <w:tr w14:paraId="6411E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8" w:type="dxa"/>
                  <w:vMerge w:val="restart"/>
                  <w:vAlign w:val="center"/>
                </w:tcPr>
                <w:p w14:paraId="7ECF663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Style w:val="17"/>
                      <w:rFonts w:hint="eastAsia"/>
                      <w:color w:val="auto"/>
                      <w:kern w:val="0"/>
                      <w:vertAlign w:val="baseline"/>
                    </w:rPr>
                  </w:pPr>
                  <w:r>
                    <w:rPr>
                      <w:rFonts w:hint="eastAsia" w:eastAsia="宋体"/>
                      <w:b w:val="0"/>
                      <w:bCs/>
                      <w:color w:val="auto"/>
                      <w:sz w:val="21"/>
                      <w:szCs w:val="21"/>
                      <w:vertAlign w:val="baseline"/>
                      <w:lang w:val="en-US" w:eastAsia="zh-CN"/>
                    </w:rPr>
                    <w:t>G1</w:t>
                  </w:r>
                </w:p>
              </w:tc>
              <w:tc>
                <w:tcPr>
                  <w:tcW w:w="788" w:type="dxa"/>
                  <w:vMerge w:val="restart"/>
                  <w:vAlign w:val="center"/>
                </w:tcPr>
                <w:p w14:paraId="088D75D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Style w:val="17"/>
                      <w:rFonts w:hint="eastAsia"/>
                      <w:color w:val="auto"/>
                      <w:kern w:val="0"/>
                      <w:vertAlign w:val="baseline"/>
                    </w:rPr>
                  </w:pPr>
                  <w:r>
                    <w:rPr>
                      <w:rFonts w:hint="default" w:eastAsia="宋体"/>
                      <w:b w:val="0"/>
                      <w:bCs/>
                      <w:color w:val="auto"/>
                      <w:sz w:val="21"/>
                      <w:szCs w:val="21"/>
                      <w:vertAlign w:val="baseline"/>
                      <w:lang w:val="en-US" w:eastAsia="zh-CN"/>
                    </w:rPr>
                    <w:t>110.1208°</w:t>
                  </w:r>
                </w:p>
              </w:tc>
              <w:tc>
                <w:tcPr>
                  <w:tcW w:w="788" w:type="dxa"/>
                  <w:vMerge w:val="restart"/>
                  <w:vAlign w:val="center"/>
                </w:tcPr>
                <w:p w14:paraId="7B5267E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Style w:val="17"/>
                      <w:rFonts w:hint="eastAsia"/>
                      <w:color w:val="auto"/>
                      <w:kern w:val="0"/>
                      <w:vertAlign w:val="baseline"/>
                    </w:rPr>
                  </w:pPr>
                  <w:r>
                    <w:rPr>
                      <w:rFonts w:hint="default" w:eastAsia="宋体"/>
                      <w:b w:val="0"/>
                      <w:bCs/>
                      <w:color w:val="auto"/>
                      <w:sz w:val="21"/>
                      <w:szCs w:val="21"/>
                    </w:rPr>
                    <w:t>39.7886</w:t>
                  </w:r>
                  <w:r>
                    <w:rPr>
                      <w:rFonts w:hint="eastAsia" w:eastAsia="宋体"/>
                      <w:b w:val="0"/>
                      <w:bCs/>
                      <w:color w:val="auto"/>
                      <w:sz w:val="21"/>
                      <w:szCs w:val="21"/>
                      <w:lang w:val="en-US" w:eastAsia="zh-CN"/>
                    </w:rPr>
                    <w:t>°</w:t>
                  </w:r>
                </w:p>
              </w:tc>
              <w:tc>
                <w:tcPr>
                  <w:tcW w:w="788" w:type="dxa"/>
                  <w:vAlign w:val="center"/>
                </w:tcPr>
                <w:p w14:paraId="7CAE32C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Style w:val="17"/>
                      <w:rFonts w:hint="eastAsia"/>
                      <w:color w:val="auto"/>
                      <w:kern w:val="0"/>
                      <w:vertAlign w:val="baseline"/>
                    </w:rPr>
                  </w:pPr>
                  <w:r>
                    <w:rPr>
                      <w:rFonts w:hint="eastAsia" w:eastAsia="宋体"/>
                      <w:b w:val="0"/>
                      <w:bCs/>
                      <w:color w:val="auto"/>
                      <w:sz w:val="21"/>
                      <w:szCs w:val="21"/>
                      <w:vertAlign w:val="baseline"/>
                      <w:lang w:val="en-US" w:eastAsia="zh-CN"/>
                    </w:rPr>
                    <w:t>非甲烷总烃</w:t>
                  </w:r>
                </w:p>
              </w:tc>
              <w:tc>
                <w:tcPr>
                  <w:tcW w:w="789" w:type="dxa"/>
                  <w:vAlign w:val="center"/>
                </w:tcPr>
                <w:p w14:paraId="20D3F8B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Style w:val="17"/>
                      <w:rFonts w:hint="eastAsia"/>
                      <w:color w:val="auto"/>
                      <w:kern w:val="0"/>
                      <w:vertAlign w:val="baseline"/>
                    </w:rPr>
                  </w:pPr>
                  <w:r>
                    <w:rPr>
                      <w:rStyle w:val="17"/>
                      <w:rFonts w:hint="eastAsia" w:eastAsia="宋体"/>
                      <w:color w:val="auto"/>
                      <w:kern w:val="0"/>
                      <w:vertAlign w:val="baseline"/>
                      <w:lang w:val="en-US" w:eastAsia="zh-CN"/>
                    </w:rPr>
                    <w:t>1h平均值</w:t>
                  </w:r>
                </w:p>
              </w:tc>
              <w:tc>
                <w:tcPr>
                  <w:tcW w:w="789" w:type="dxa"/>
                  <w:vAlign w:val="center"/>
                </w:tcPr>
                <w:p w14:paraId="16131DD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Style w:val="17"/>
                      <w:rFonts w:hint="default" w:eastAsia="宋体"/>
                      <w:color w:val="auto"/>
                      <w:kern w:val="0"/>
                      <w:vertAlign w:val="baseline"/>
                      <w:lang w:val="en-US" w:eastAsia="zh-CN"/>
                    </w:rPr>
                  </w:pPr>
                  <w:r>
                    <w:rPr>
                      <w:rStyle w:val="17"/>
                      <w:rFonts w:hint="eastAsia" w:eastAsia="宋体"/>
                      <w:color w:val="auto"/>
                      <w:kern w:val="0"/>
                      <w:vertAlign w:val="baseline"/>
                      <w:lang w:val="en-US" w:eastAsia="zh-CN"/>
                    </w:rPr>
                    <w:t>4.0</w:t>
                  </w:r>
                </w:p>
              </w:tc>
              <w:tc>
                <w:tcPr>
                  <w:tcW w:w="789" w:type="dxa"/>
                  <w:vAlign w:val="center"/>
                </w:tcPr>
                <w:p w14:paraId="76B626D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Style w:val="17"/>
                      <w:rFonts w:hint="default" w:eastAsia="宋体"/>
                      <w:color w:val="auto"/>
                      <w:kern w:val="0"/>
                      <w:vertAlign w:val="baseline"/>
                      <w:lang w:val="en-US" w:eastAsia="zh-CN"/>
                    </w:rPr>
                  </w:pPr>
                  <w:r>
                    <w:rPr>
                      <w:rStyle w:val="17"/>
                      <w:rFonts w:hint="eastAsia" w:eastAsia="宋体"/>
                      <w:color w:val="auto"/>
                      <w:kern w:val="0"/>
                      <w:vertAlign w:val="baseline"/>
                      <w:lang w:val="en-US" w:eastAsia="zh-CN"/>
                    </w:rPr>
                    <w:t>0.21-0.35</w:t>
                  </w:r>
                </w:p>
              </w:tc>
              <w:tc>
                <w:tcPr>
                  <w:tcW w:w="789" w:type="dxa"/>
                  <w:vAlign w:val="center"/>
                </w:tcPr>
                <w:p w14:paraId="4E5F063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Style w:val="17"/>
                      <w:rFonts w:hint="default" w:eastAsia="宋体"/>
                      <w:color w:val="auto"/>
                      <w:kern w:val="0"/>
                      <w:vertAlign w:val="baseline"/>
                      <w:lang w:val="en-US" w:eastAsia="zh-CN"/>
                    </w:rPr>
                  </w:pPr>
                  <w:r>
                    <w:rPr>
                      <w:rStyle w:val="17"/>
                      <w:rFonts w:hint="eastAsia" w:eastAsia="宋体"/>
                      <w:color w:val="auto"/>
                      <w:kern w:val="0"/>
                      <w:vertAlign w:val="baseline"/>
                      <w:lang w:val="en-US" w:eastAsia="zh-CN"/>
                    </w:rPr>
                    <w:t>8.75</w:t>
                  </w:r>
                </w:p>
              </w:tc>
              <w:tc>
                <w:tcPr>
                  <w:tcW w:w="789" w:type="dxa"/>
                  <w:vAlign w:val="center"/>
                </w:tcPr>
                <w:p w14:paraId="1F9643B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Style w:val="17"/>
                      <w:rFonts w:hint="eastAsia" w:eastAsia="宋体"/>
                      <w:color w:val="auto"/>
                      <w:kern w:val="0"/>
                      <w:vertAlign w:val="baseline"/>
                      <w:lang w:val="en-US" w:eastAsia="zh-CN"/>
                    </w:rPr>
                  </w:pPr>
                  <w:r>
                    <w:rPr>
                      <w:rStyle w:val="17"/>
                      <w:rFonts w:hint="eastAsia" w:eastAsia="宋体"/>
                      <w:color w:val="auto"/>
                      <w:kern w:val="0"/>
                      <w:vertAlign w:val="baseline"/>
                      <w:lang w:val="en-US" w:eastAsia="zh-CN"/>
                    </w:rPr>
                    <w:t>0</w:t>
                  </w:r>
                </w:p>
              </w:tc>
              <w:tc>
                <w:tcPr>
                  <w:tcW w:w="789" w:type="dxa"/>
                  <w:vAlign w:val="center"/>
                </w:tcPr>
                <w:p w14:paraId="7274D0D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Style w:val="17"/>
                      <w:rFonts w:hint="eastAsia" w:eastAsia="宋体"/>
                      <w:color w:val="auto"/>
                      <w:kern w:val="0"/>
                      <w:vertAlign w:val="baseline"/>
                      <w:lang w:val="en-US" w:eastAsia="zh-CN"/>
                    </w:rPr>
                  </w:pPr>
                  <w:r>
                    <w:rPr>
                      <w:rStyle w:val="17"/>
                      <w:rFonts w:hint="eastAsia" w:eastAsia="宋体"/>
                      <w:color w:val="auto"/>
                      <w:kern w:val="0"/>
                      <w:vertAlign w:val="baseline"/>
                      <w:lang w:val="en-US" w:eastAsia="zh-CN"/>
                    </w:rPr>
                    <w:t>达标</w:t>
                  </w:r>
                </w:p>
              </w:tc>
            </w:tr>
            <w:tr w14:paraId="401B4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8" w:type="dxa"/>
                  <w:vMerge w:val="continue"/>
                  <w:vAlign w:val="center"/>
                </w:tcPr>
                <w:p w14:paraId="3FDEB30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宋体"/>
                      <w:b w:val="0"/>
                      <w:bCs/>
                      <w:color w:val="auto"/>
                      <w:sz w:val="21"/>
                      <w:szCs w:val="21"/>
                      <w:vertAlign w:val="baseline"/>
                      <w:lang w:val="en-US" w:eastAsia="zh-CN"/>
                    </w:rPr>
                  </w:pPr>
                </w:p>
              </w:tc>
              <w:tc>
                <w:tcPr>
                  <w:tcW w:w="788" w:type="dxa"/>
                  <w:vMerge w:val="continue"/>
                  <w:vAlign w:val="center"/>
                </w:tcPr>
                <w:p w14:paraId="47D424B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b w:val="0"/>
                      <w:bCs/>
                      <w:color w:val="auto"/>
                      <w:sz w:val="21"/>
                      <w:szCs w:val="21"/>
                      <w:vertAlign w:val="baseline"/>
                      <w:lang w:val="en-US" w:eastAsia="zh-CN"/>
                    </w:rPr>
                  </w:pPr>
                </w:p>
              </w:tc>
              <w:tc>
                <w:tcPr>
                  <w:tcW w:w="788" w:type="dxa"/>
                  <w:vMerge w:val="continue"/>
                  <w:vAlign w:val="center"/>
                </w:tcPr>
                <w:p w14:paraId="72A20D0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b w:val="0"/>
                      <w:bCs/>
                      <w:color w:val="auto"/>
                      <w:sz w:val="21"/>
                      <w:szCs w:val="21"/>
                    </w:rPr>
                  </w:pPr>
                </w:p>
              </w:tc>
              <w:tc>
                <w:tcPr>
                  <w:tcW w:w="788" w:type="dxa"/>
                  <w:vAlign w:val="center"/>
                </w:tcPr>
                <w:p w14:paraId="62C369C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b w:val="0"/>
                      <w:bCs/>
                      <w:color w:val="auto"/>
                      <w:sz w:val="21"/>
                      <w:szCs w:val="21"/>
                      <w:vertAlign w:val="baseline"/>
                      <w:lang w:val="en-US" w:eastAsia="zh-CN"/>
                    </w:rPr>
                  </w:pPr>
                  <w:r>
                    <w:rPr>
                      <w:rFonts w:hint="eastAsia" w:eastAsia="宋体"/>
                      <w:b w:val="0"/>
                      <w:bCs/>
                      <w:color w:val="auto"/>
                      <w:sz w:val="21"/>
                      <w:szCs w:val="21"/>
                      <w:vertAlign w:val="baseline"/>
                      <w:lang w:val="en-US" w:eastAsia="zh-CN"/>
                    </w:rPr>
                    <w:t>硫酸雾</w:t>
                  </w:r>
                </w:p>
              </w:tc>
              <w:tc>
                <w:tcPr>
                  <w:tcW w:w="789" w:type="dxa"/>
                  <w:vAlign w:val="center"/>
                </w:tcPr>
                <w:p w14:paraId="048B708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Style w:val="17"/>
                      <w:rFonts w:hint="eastAsia" w:eastAsia="宋体"/>
                      <w:color w:val="auto"/>
                      <w:kern w:val="0"/>
                      <w:vertAlign w:val="baseline"/>
                      <w:lang w:val="en-US" w:eastAsia="zh-CN"/>
                    </w:rPr>
                  </w:pPr>
                  <w:r>
                    <w:rPr>
                      <w:rStyle w:val="17"/>
                      <w:rFonts w:hint="eastAsia" w:eastAsia="宋体"/>
                      <w:color w:val="auto"/>
                      <w:kern w:val="0"/>
                      <w:vertAlign w:val="baseline"/>
                      <w:lang w:val="en-US" w:eastAsia="zh-CN"/>
                    </w:rPr>
                    <w:t>1h平均值</w:t>
                  </w:r>
                </w:p>
              </w:tc>
              <w:tc>
                <w:tcPr>
                  <w:tcW w:w="789" w:type="dxa"/>
                  <w:vAlign w:val="center"/>
                </w:tcPr>
                <w:p w14:paraId="63CD151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Style w:val="17"/>
                      <w:rFonts w:hint="default" w:eastAsia="宋体"/>
                      <w:color w:val="auto"/>
                      <w:kern w:val="0"/>
                      <w:vertAlign w:val="baseline"/>
                      <w:lang w:val="en-US" w:eastAsia="zh-CN"/>
                    </w:rPr>
                  </w:pPr>
                  <w:r>
                    <w:rPr>
                      <w:rStyle w:val="17"/>
                      <w:rFonts w:hint="eastAsia" w:eastAsia="宋体"/>
                      <w:color w:val="auto"/>
                      <w:kern w:val="0"/>
                      <w:vertAlign w:val="baseline"/>
                      <w:lang w:val="en-US" w:eastAsia="zh-CN"/>
                    </w:rPr>
                    <w:t>1.2</w:t>
                  </w:r>
                </w:p>
              </w:tc>
              <w:tc>
                <w:tcPr>
                  <w:tcW w:w="789" w:type="dxa"/>
                  <w:vAlign w:val="center"/>
                </w:tcPr>
                <w:p w14:paraId="1E250C3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Style w:val="17"/>
                      <w:rFonts w:hint="default" w:eastAsia="宋体"/>
                      <w:color w:val="auto"/>
                      <w:kern w:val="0"/>
                      <w:vertAlign w:val="baseline"/>
                      <w:lang w:val="en-US" w:eastAsia="zh-CN"/>
                    </w:rPr>
                  </w:pPr>
                  <w:r>
                    <w:rPr>
                      <w:rStyle w:val="17"/>
                      <w:rFonts w:hint="eastAsia" w:eastAsia="宋体"/>
                      <w:color w:val="auto"/>
                      <w:kern w:val="0"/>
                      <w:vertAlign w:val="baseline"/>
                      <w:lang w:val="en-US" w:eastAsia="zh-CN"/>
                    </w:rPr>
                    <w:t>ND</w:t>
                  </w:r>
                </w:p>
              </w:tc>
              <w:tc>
                <w:tcPr>
                  <w:tcW w:w="789" w:type="dxa"/>
                  <w:vAlign w:val="center"/>
                </w:tcPr>
                <w:p w14:paraId="24F9AC9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Style w:val="17"/>
                      <w:rFonts w:hint="default" w:eastAsia="宋体"/>
                      <w:color w:val="auto"/>
                      <w:kern w:val="0"/>
                      <w:vertAlign w:val="baseline"/>
                      <w:lang w:val="en-US" w:eastAsia="zh-CN"/>
                    </w:rPr>
                  </w:pPr>
                  <w:r>
                    <w:rPr>
                      <w:rStyle w:val="17"/>
                      <w:rFonts w:hint="eastAsia" w:eastAsia="宋体"/>
                      <w:color w:val="auto"/>
                      <w:kern w:val="0"/>
                      <w:vertAlign w:val="baseline"/>
                      <w:lang w:val="en-US" w:eastAsia="zh-CN"/>
                    </w:rPr>
                    <w:t>/</w:t>
                  </w:r>
                </w:p>
              </w:tc>
              <w:tc>
                <w:tcPr>
                  <w:tcW w:w="789" w:type="dxa"/>
                  <w:vAlign w:val="center"/>
                </w:tcPr>
                <w:p w14:paraId="50B4F93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Style w:val="17"/>
                      <w:rFonts w:hint="eastAsia" w:eastAsia="宋体"/>
                      <w:color w:val="auto"/>
                      <w:kern w:val="0"/>
                      <w:vertAlign w:val="baseline"/>
                      <w:lang w:val="en-US" w:eastAsia="zh-CN"/>
                    </w:rPr>
                  </w:pPr>
                  <w:r>
                    <w:rPr>
                      <w:rStyle w:val="17"/>
                      <w:rFonts w:hint="eastAsia" w:eastAsia="宋体"/>
                      <w:color w:val="auto"/>
                      <w:kern w:val="0"/>
                      <w:vertAlign w:val="baseline"/>
                      <w:lang w:val="en-US" w:eastAsia="zh-CN"/>
                    </w:rPr>
                    <w:t>0</w:t>
                  </w:r>
                </w:p>
              </w:tc>
              <w:tc>
                <w:tcPr>
                  <w:tcW w:w="789" w:type="dxa"/>
                  <w:vAlign w:val="center"/>
                </w:tcPr>
                <w:p w14:paraId="5E3EFAD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Style w:val="17"/>
                      <w:rFonts w:hint="eastAsia" w:eastAsia="宋体"/>
                      <w:color w:val="auto"/>
                      <w:kern w:val="0"/>
                      <w:vertAlign w:val="baseline"/>
                      <w:lang w:val="en-US" w:eastAsia="zh-CN"/>
                    </w:rPr>
                  </w:pPr>
                  <w:r>
                    <w:rPr>
                      <w:rStyle w:val="17"/>
                      <w:rFonts w:hint="eastAsia" w:eastAsia="宋体"/>
                      <w:color w:val="auto"/>
                      <w:kern w:val="0"/>
                      <w:vertAlign w:val="baseline"/>
                      <w:lang w:val="en-US" w:eastAsia="zh-CN"/>
                    </w:rPr>
                    <w:t>达标</w:t>
                  </w:r>
                </w:p>
              </w:tc>
            </w:tr>
          </w:tbl>
          <w:p w14:paraId="38A9784A">
            <w:pPr>
              <w:ind w:firstLine="480"/>
              <w:rPr>
                <w:rFonts w:hint="default" w:ascii="Times New Roman" w:hAnsi="Times New Roman" w:eastAsia="宋体" w:cs="Times New Roman"/>
                <w:color w:val="auto"/>
                <w:lang w:eastAsia="zh-CN"/>
              </w:rPr>
            </w:pPr>
            <w:r>
              <w:rPr>
                <w:rFonts w:hint="default" w:eastAsia="宋体"/>
                <w:color w:val="auto"/>
              </w:rPr>
              <w:t>检测结果显示，非甲烷总烃（1小时平均值）均满足《大气污染物综合排放标准详解》（国家环境保护局科技标准司）中的推荐值。</w:t>
            </w:r>
            <w:r>
              <w:rPr>
                <w:rFonts w:hint="default" w:ascii="Times New Roman" w:hAnsi="Times New Roman" w:cs="Times New Roman"/>
                <w:color w:val="auto"/>
              </w:rPr>
              <w:t>硫酸雾满足《环境影响评价技术导则大气环境》（HJ2.2-2018）其他污染物空气质量浓度参考限值1h平均浓度标准要求</w:t>
            </w:r>
            <w:r>
              <w:rPr>
                <w:rFonts w:hint="default" w:ascii="Times New Roman" w:hAnsi="Times New Roman" w:cs="Times New Roman"/>
                <w:color w:val="auto"/>
                <w:lang w:eastAsia="zh-CN"/>
              </w:rPr>
              <w:t>。</w:t>
            </w:r>
          </w:p>
          <w:p w14:paraId="181DFB06">
            <w:pPr>
              <w:ind w:firstLine="0" w:firstLineChars="0"/>
              <w:rPr>
                <w:rFonts w:hint="default"/>
                <w:color w:val="auto"/>
              </w:rPr>
            </w:pPr>
            <w:r>
              <w:rPr>
                <w:rFonts w:hint="default" w:eastAsia="宋体"/>
                <w:color w:val="auto"/>
              </w:rPr>
              <mc:AlternateContent>
                <mc:Choice Requires="wps">
                  <w:drawing>
                    <wp:anchor distT="0" distB="0" distL="114300" distR="114300" simplePos="0" relativeHeight="251663360" behindDoc="0" locked="0" layoutInCell="1" allowOverlap="1">
                      <wp:simplePos x="0" y="0"/>
                      <wp:positionH relativeFrom="column">
                        <wp:posOffset>3502660</wp:posOffset>
                      </wp:positionH>
                      <wp:positionV relativeFrom="paragraph">
                        <wp:posOffset>1183640</wp:posOffset>
                      </wp:positionV>
                      <wp:extent cx="1266825" cy="313690"/>
                      <wp:effectExtent l="4445" t="4445" r="5080" b="5715"/>
                      <wp:wrapNone/>
                      <wp:docPr id="5" name="文本框 10"/>
                      <wp:cNvGraphicFramePr/>
                      <a:graphic xmlns:a="http://schemas.openxmlformats.org/drawingml/2006/main">
                        <a:graphicData uri="http://schemas.microsoft.com/office/word/2010/wordprocessingShape">
                          <wps:wsp>
                            <wps:cNvSpPr txBox="1"/>
                            <wps:spPr>
                              <a:xfrm>
                                <a:off x="0" y="0"/>
                                <a:ext cx="1266825" cy="313690"/>
                              </a:xfrm>
                              <a:prstGeom prst="rect">
                                <a:avLst/>
                              </a:prstGeom>
                              <a:solidFill>
                                <a:srgbClr val="FFFFFF"/>
                              </a:solidFill>
                              <a:ln w="6350" cap="flat" cmpd="sng">
                                <a:solidFill>
                                  <a:srgbClr val="000000"/>
                                </a:solidFill>
                                <a:prstDash val="solid"/>
                                <a:round/>
                                <a:headEnd type="none" w="med" len="med"/>
                                <a:tailEnd type="none" w="med" len="med"/>
                              </a:ln>
                            </wps:spPr>
                            <wps:txbx>
                              <w:txbxContent>
                                <w:p w14:paraId="322C5434">
                                  <w:pPr>
                                    <w:ind w:firstLine="0" w:firstLineChars="0"/>
                                    <w:rPr>
                                      <w:rFonts w:hint="default"/>
                                    </w:rPr>
                                  </w:pPr>
                                  <w:r>
                                    <w:rPr>
                                      <w:rFonts w:hint="default" w:ascii="宋体" w:eastAsia="宋体"/>
                                    </w:rPr>
                                    <w:t>引用监测点位置</w:t>
                                  </w:r>
                                </w:p>
                              </w:txbxContent>
                            </wps:txbx>
                            <wps:bodyPr vert="horz" wrap="square" anchor="t" anchorCtr="0" upright="1"/>
                          </wps:wsp>
                        </a:graphicData>
                      </a:graphic>
                    </wp:anchor>
                  </w:drawing>
                </mc:Choice>
                <mc:Fallback>
                  <w:pict>
                    <v:shape id="文本框 10" o:spid="_x0000_s1026" o:spt="202" type="#_x0000_t202" style="position:absolute;left:0pt;margin-left:275.8pt;margin-top:93.2pt;height:24.7pt;width:99.75pt;z-index:251663360;mso-width-relative:page;mso-height-relative:page;" fillcolor="#FFFFFF" filled="t" stroked="t" coordsize="21600,21600" o:gfxdata="UEsDBAoAAAAAAIdO4kAAAAAAAAAAAAAAAAAEAAAAZHJzL1BLAwQUAAAACACHTuJA7+GHZdgAAAAL&#10;AQAADwAAAGRycy9kb3ducmV2LnhtbE2Py07DMBBF90j8gzWV2FHHCQlRiFMJJCTEjpINOzeeJlH9&#10;iGy3KX/PsILl6B7de6bdXa1hFwxx9k6C2GbA0A1ez26U0H++3tfAYlJOK+MdSvjGCLvu9qZVjfar&#10;+8DLPo2MSlxslIQppaXhPA4TWhW3fkFH2dEHqxKdYeQ6qJXKreF5llXcqtnRwqQWfJlwOO3PVsJb&#10;9Zy+sNfvusgLv/Z8CEcTpbzbiOwJWMJr+oPhV5/UoSOngz87HZmRUJaiIpSCunoARsRjKQSwg4S8&#10;KGvgXcv//9D9AFBLAwQUAAAACACHTuJAQfPBFyoCAABqBAAADgAAAGRycy9lMm9Eb2MueG1srVTN&#10;jtMwEL4j8Q6W72z6o62WqulKbCkXBEgLD+A6TmLJf9huk/IA8AacuHDnufocfHZKu7tw6IEckrE9&#10;/ma+b2ayuO21Ijvhg7SmpOOrESXCcFtJ05T008f1ixtKQmSmYsoaUdK9CPR2+fzZonNzMbGtVZXw&#10;BCAmzDtX0jZGNy+KwFuhWbiyThgc1tZrFrH0TVF51gFdq2IyGs2KzvrKectFCNhdDYf0iOgvAbR1&#10;LblYWb7VwsQB1QvFIiiFVrpAlznbuhY8vq/rICJRJQXTmN8IAnuT3sVyweaNZ66V/JgCuySFJ5w0&#10;kwZBT1ArFhnZevkXlJbc22DreMWtLgYiWRGwGI+eaHPfMicyF0gd3En08P9g+bvdB09kVdJrSgzT&#10;KPjh+7fDj1+Hn1/JOOvTuTCH272DY+xf2R5dk3RL+wGbiXZfe52+IERwDnX3J3VFHwlPlyaz2c0E&#10;YTjOpuPp7GWGL863nQ/xjbCaJKOkHtXLorLd2xAREa5/XFKwYJWs1lKpvPDN5k55smOo9Do/KUlc&#10;eeSmDOlKOpteI0XO0L412gamdpAgmCbHe3QjPAQe5edfwCmxFQvtkEBGGJrL262pcpu1glWvTUXi&#10;3kFmg+miKRktKkqUwDAmK3tGJtUlnmCnDEieS5Gs2G96wCRzY6s9yoZxh56t9V8QEc0Oqp+3zCM+&#10;MxzbJYUGg3kXh+nYOi+bFrdyrXMEtGAW9DguqccfrnMe51/E8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v4Ydl2AAAAAsBAAAPAAAAAAAAAAEAIAAAACIAAABkcnMvZG93bnJldi54bWxQSwECFAAU&#10;AAAACACHTuJAQfPBFyoCAABqBAAADgAAAAAAAAABACAAAAAnAQAAZHJzL2Uyb0RvYy54bWxQSwUG&#10;AAAAAAYABgBZAQAAwwUAAAAA&#10;">
                      <v:fill on="t" focussize="0,0"/>
                      <v:stroke weight="0.5pt" color="#000000" joinstyle="round"/>
                      <v:imagedata o:title=""/>
                      <o:lock v:ext="edit" aspectratio="f"/>
                      <v:textbox>
                        <w:txbxContent>
                          <w:p w14:paraId="322C5434">
                            <w:pPr>
                              <w:ind w:firstLine="0" w:firstLineChars="0"/>
                              <w:rPr>
                                <w:rFonts w:hint="default"/>
                              </w:rPr>
                            </w:pPr>
                            <w:r>
                              <w:rPr>
                                <w:rFonts w:hint="default" w:ascii="宋体" w:eastAsia="宋体"/>
                              </w:rPr>
                              <w:t>引用监测点位置</w:t>
                            </w:r>
                          </w:p>
                        </w:txbxContent>
                      </v:textbox>
                    </v:shape>
                  </w:pict>
                </mc:Fallback>
              </mc:AlternateContent>
            </w:r>
            <w:r>
              <w:rPr>
                <w:rFonts w:hint="default" w:eastAsia="宋体"/>
                <w:color w:val="auto"/>
              </w:rPr>
              <mc:AlternateContent>
                <mc:Choice Requires="wps">
                  <w:drawing>
                    <wp:anchor distT="0" distB="0" distL="114300" distR="114300" simplePos="0" relativeHeight="251662336" behindDoc="0" locked="0" layoutInCell="1" allowOverlap="1">
                      <wp:simplePos x="0" y="0"/>
                      <wp:positionH relativeFrom="column">
                        <wp:posOffset>660400</wp:posOffset>
                      </wp:positionH>
                      <wp:positionV relativeFrom="paragraph">
                        <wp:posOffset>2698750</wp:posOffset>
                      </wp:positionV>
                      <wp:extent cx="858520" cy="313690"/>
                      <wp:effectExtent l="4445" t="4445" r="13335" b="5715"/>
                      <wp:wrapNone/>
                      <wp:docPr id="4" name="文本框 9"/>
                      <wp:cNvGraphicFramePr/>
                      <a:graphic xmlns:a="http://schemas.openxmlformats.org/drawingml/2006/main">
                        <a:graphicData uri="http://schemas.microsoft.com/office/word/2010/wordprocessingShape">
                          <wps:wsp>
                            <wps:cNvSpPr txBox="1"/>
                            <wps:spPr>
                              <a:xfrm>
                                <a:off x="0" y="0"/>
                                <a:ext cx="858520" cy="313690"/>
                              </a:xfrm>
                              <a:prstGeom prst="rect">
                                <a:avLst/>
                              </a:prstGeom>
                              <a:solidFill>
                                <a:srgbClr val="FFFFFF"/>
                              </a:solidFill>
                              <a:ln w="6350" cap="flat" cmpd="sng">
                                <a:solidFill>
                                  <a:srgbClr val="000000"/>
                                </a:solidFill>
                                <a:prstDash val="solid"/>
                                <a:round/>
                                <a:headEnd type="none" w="med" len="med"/>
                                <a:tailEnd type="none" w="med" len="med"/>
                              </a:ln>
                            </wps:spPr>
                            <wps:txbx>
                              <w:txbxContent>
                                <w:p w14:paraId="2C6262C1">
                                  <w:pPr>
                                    <w:ind w:firstLine="0" w:firstLineChars="0"/>
                                    <w:rPr>
                                      <w:rFonts w:hint="default"/>
                                    </w:rPr>
                                  </w:pPr>
                                  <w:r>
                                    <w:rPr>
                                      <w:rFonts w:hint="default" w:ascii="宋体" w:eastAsia="宋体"/>
                                    </w:rPr>
                                    <w:t>项目位置</w:t>
                                  </w:r>
                                </w:p>
                              </w:txbxContent>
                            </wps:txbx>
                            <wps:bodyPr vert="horz" wrap="square" anchor="t" anchorCtr="0" upright="1"/>
                          </wps:wsp>
                        </a:graphicData>
                      </a:graphic>
                    </wp:anchor>
                  </w:drawing>
                </mc:Choice>
                <mc:Fallback>
                  <w:pict>
                    <v:shape id="文本框 9" o:spid="_x0000_s1026" o:spt="202" type="#_x0000_t202" style="position:absolute;left:0pt;margin-left:52pt;margin-top:212.5pt;height:24.7pt;width:67.6pt;z-index:251662336;mso-width-relative:page;mso-height-relative:page;" fillcolor="#FFFFFF" filled="t" stroked="t" coordsize="21600,21600" o:gfxdata="UEsDBAoAAAAAAIdO4kAAAAAAAAAAAAAAAAAEAAAAZHJzL1BLAwQUAAAACACHTuJA9AYDH9cAAAAL&#10;AQAADwAAAGRycy9kb3ducmV2LnhtbE2PQU/DMAyF70j8h8hI3FiytgwoTSeBhIS4MXrhljVeW5E4&#10;VZKt499jTnDzs5+ev9dsz96JE8Y0BdKwXikQSH2wEw0auo+Xm3sQKRuyxgVCDd+YYNteXjSmtmGh&#10;dzzt8iA4hFJtNIw5z7WUqR/Rm7QKMxLfDiF6k1nGQdpoFg73ThZKbaQ3E/GH0cz4PGL/tTt6Da+b&#10;p/yJnX2zZVGGpZN9PLik9fXVWj2CyHjOf2b4xWd0aJlpH45kk3CsVcVdsoaquOWBHUX5UIDY8+au&#10;qkC2jfzfof0BUEsDBBQAAAAIAIdO4kCIZqeHKwIAAGgEAAAOAAAAZHJzL2Uyb0RvYy54bWytVEuO&#10;EzEQ3SNxB8t70vmQKBOlMxITwgYB0sABHLc7bck/bCfpcAC4ASs27OdcOQfP7kzmA4ss6EV32S6/&#10;qveqqufXrVZkJ3yQ1pR00OtTIgy3lTSbkn75vHo1pSREZiqmrBElPYhArxcvX8z3biaGtrGqEp4A&#10;xITZ3pW0idHNiiLwRmgWetYJg8Paes0iln5TVJ7tga5VMez3J8Xe+sp5y0UI2F12h/SE6C8BtHUt&#10;uVhavtXCxA7VC8UiKIVGukAXOdu6Fjx+rOsgIlElBdOY3wgCe53exWLOZhvPXCP5KQV2SQrPOGkm&#10;DYKeoZYsMrL18i8oLbm3wdaxx60uOiJZEbAY9J9pc9swJzIXSB3cWfTw/2D5h90nT2RV0teUGKZR&#10;8OPPH8dfd8ff38lVkmfvwgxetw5+sX1jWzTN/X7AZmLd1l6nL/gQnEPcw1lc0UbCsTkdT8dDnHAc&#10;jQajyVUWv3i47HyI74TVJBkl9ahdlpTt3oeIROB675JiBatktZJK5YXfrG+UJzuGOq/yk3LElSdu&#10;ypB9SSejccqDoXlrNA1M7SBAMJsc78mN8Bi4n59/AafEliw0XQIZIbmxmbdbU2WrEax6ayoSDw4i&#10;G8wWTcloUVGiBEYxWdkzMqku8QQ7ZUAyVairRLJiu24Bk8y1rQ6oGoYdejbWf0NEtDqoft0yj/jM&#10;cGyXFBp05k3sZmPrvNw0uJVLnSOgAbOgp2FJHf54nfN4+EEs/g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0BgMf1wAAAAsBAAAPAAAAAAAAAAEAIAAAACIAAABkcnMvZG93bnJldi54bWxQSwECFAAU&#10;AAAACACHTuJAiGanhysCAABoBAAADgAAAAAAAAABACAAAAAmAQAAZHJzL2Uyb0RvYy54bWxQSwUG&#10;AAAAAAYABgBZAQAAwwUAAAAA&#10;">
                      <v:fill on="t" focussize="0,0"/>
                      <v:stroke weight="0.5pt" color="#000000" joinstyle="round"/>
                      <v:imagedata o:title=""/>
                      <o:lock v:ext="edit" aspectratio="f"/>
                      <v:textbox>
                        <w:txbxContent>
                          <w:p w14:paraId="2C6262C1">
                            <w:pPr>
                              <w:ind w:firstLine="0" w:firstLineChars="0"/>
                              <w:rPr>
                                <w:rFonts w:hint="default"/>
                              </w:rPr>
                            </w:pPr>
                            <w:r>
                              <w:rPr>
                                <w:rFonts w:hint="default" w:ascii="宋体" w:eastAsia="宋体"/>
                              </w:rPr>
                              <w:t>项目位置</w:t>
                            </w:r>
                          </w:p>
                        </w:txbxContent>
                      </v:textbox>
                    </v:shape>
                  </w:pict>
                </mc:Fallback>
              </mc:AlternateContent>
            </w:r>
            <w:r>
              <w:rPr>
                <w:rFonts w:hint="default" w:eastAsia="宋体"/>
                <w:color w:val="auto"/>
              </w:rPr>
              <mc:AlternateContent>
                <mc:Choice Requires="wps">
                  <w:drawing>
                    <wp:anchor distT="0" distB="0" distL="114300" distR="114300" simplePos="0" relativeHeight="251661312" behindDoc="0" locked="0" layoutInCell="1" allowOverlap="1">
                      <wp:simplePos x="0" y="0"/>
                      <wp:positionH relativeFrom="column">
                        <wp:posOffset>2165985</wp:posOffset>
                      </wp:positionH>
                      <wp:positionV relativeFrom="paragraph">
                        <wp:posOffset>1985645</wp:posOffset>
                      </wp:positionV>
                      <wp:extent cx="772795" cy="313690"/>
                      <wp:effectExtent l="4445" t="4445" r="22860" b="5715"/>
                      <wp:wrapNone/>
                      <wp:docPr id="3" name="文本框 7"/>
                      <wp:cNvGraphicFramePr/>
                      <a:graphic xmlns:a="http://schemas.openxmlformats.org/drawingml/2006/main">
                        <a:graphicData uri="http://schemas.microsoft.com/office/word/2010/wordprocessingShape">
                          <wps:wsp>
                            <wps:cNvSpPr txBox="1"/>
                            <wps:spPr>
                              <a:xfrm>
                                <a:off x="0" y="0"/>
                                <a:ext cx="772795" cy="313690"/>
                              </a:xfrm>
                              <a:prstGeom prst="rect">
                                <a:avLst/>
                              </a:prstGeom>
                              <a:solidFill>
                                <a:srgbClr val="FFFFFF"/>
                              </a:solidFill>
                              <a:ln w="6350" cap="flat" cmpd="sng">
                                <a:solidFill>
                                  <a:srgbClr val="000000"/>
                                </a:solidFill>
                                <a:prstDash val="solid"/>
                                <a:round/>
                                <a:headEnd type="none" w="med" len="med"/>
                                <a:tailEnd type="none" w="med" len="med"/>
                              </a:ln>
                            </wps:spPr>
                            <wps:txbx>
                              <w:txbxContent>
                                <w:p w14:paraId="102185B9">
                                  <w:pPr>
                                    <w:ind w:firstLine="0" w:firstLineChars="0"/>
                                    <w:rPr>
                                      <w:rFonts w:hint="eastAsia" w:eastAsia="宋体"/>
                                      <w:lang w:eastAsia="zh-CN"/>
                                    </w:rPr>
                                  </w:pPr>
                                  <w:r>
                                    <w:rPr>
                                      <w:rFonts w:hint="default" w:ascii="宋体" w:eastAsia="宋体"/>
                                    </w:rPr>
                                    <w:t>EN</w:t>
                                  </w:r>
                                  <w:r>
                                    <w:rPr>
                                      <w:rFonts w:hint="eastAsia" w:ascii="宋体" w:eastAsia="宋体"/>
                                      <w:lang w:eastAsia="zh-CN"/>
                                    </w:rPr>
                                    <w:t>1881m</w:t>
                                  </w:r>
                                </w:p>
                              </w:txbxContent>
                            </wps:txbx>
                            <wps:bodyPr vert="horz" wrap="square" anchor="t" anchorCtr="0" upright="1"/>
                          </wps:wsp>
                        </a:graphicData>
                      </a:graphic>
                    </wp:anchor>
                  </w:drawing>
                </mc:Choice>
                <mc:Fallback>
                  <w:pict>
                    <v:shape id="文本框 7" o:spid="_x0000_s1026" o:spt="202" type="#_x0000_t202" style="position:absolute;left:0pt;margin-left:170.55pt;margin-top:156.35pt;height:24.7pt;width:60.85pt;z-index:251661312;mso-width-relative:page;mso-height-relative:page;" fillcolor="#FFFFFF" filled="t" stroked="t" coordsize="21600,21600" o:gfxdata="UEsDBAoAAAAAAIdO4kAAAAAAAAAAAAAAAAAEAAAAZHJzL1BLAwQUAAAACACHTuJA/CHl4dcAAAAL&#10;AQAADwAAAGRycy9kb3ducmV2LnhtbE2PQU/DMAyF70j8h8hI3FiadCqoNJ0EEhLixuiFW9Z4bUXi&#10;VE22jn+POcHN9nt6/l6zuwQvzrikKZIBtSlAIPXRTTQY6D5e7h5ApGzJWR8JDXxjgl17fdXY2sWV&#10;3vG8z4PgEEq1NTDmPNdSpn7EYNMmzkisHeMSbOZ1GaRb7MrhwUtdFJUMdiL+MNoZn0fsv/anYOC1&#10;esqf2Lk3V+oyrp3sl6NPxtzeqOIRRMZL/jPDLz6jQ8tMh3gil4Q3UG6VYisPSt+DYMe20lzmwJdK&#10;K5BtI/93aH8AUEsDBBQAAAAIAIdO4kC/tzWQLAIAAGgEAAAOAAAAZHJzL2Uyb0RvYy54bWytVEuO&#10;EzEQ3SNxB8t7pvPRJEyUzkhMCBsESAMHcNzutCX/sJ10hwPADVixYT/nyjl4dmcyH1hkQS+6y3b5&#10;Vb1XVT2/7rQiO+GDtKakw4sBJcJwW0mzKemXz6tXrykJkZmKKWtESfci0OvFyxfz1s3EyDZWVcIT&#10;gJgwa11JmxjdrCgCb4Rm4cI6YXBYW69ZxNJvisqzFuhaFaPBYFK01lfOWy5CwO6yP6RHRH8OoK1r&#10;ycXS8q0WJvaoXigWQSk00gW6yNnWteDxY10HEYkqKZjG/EYQ2Ov0LhZzNtt45hrJjymwc1J4xkkz&#10;aRD0BLVkkZGtl39Bacm9DbaOF9zqoieSFQGL4eCZNrcNcyJzgdTBnUQP/w+Wf9h98kRWJR1TYphG&#10;wQ8/fxx+3R1+fyfTJE/rwgxetw5+sXtjOzTN/X7AZmLd1V6nL/gQnEPc/Ulc0UXCsTmdjqZXl5Rw&#10;HI2H48lVFr94uOx8iO+E1SQZJfWoXZaU7d6HiETgeu+SYgWrZLWSSuWF36xvlCc7hjqv8pNyxJUn&#10;bsqQtqST8SUy5AzNW6NpYGoHAYLZ5HhPboTHwIP8/As4JbZkoekTyAjJjc283ZoqW41g1VtTkbh3&#10;ENlgtmhKRouKEiUwisnKnpFJdY4n2CkDkqlCfSWSFbt1B5hkrm21R9Uw7NCzsf4bIqLVQfXrlnnE&#10;Z4Zju6TQoDdvYj8bW+flpsGtXOocAQ2YBT0OS+rwx+ucx8MPYvEH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CHl4dcAAAALAQAADwAAAAAAAAABACAAAAAiAAAAZHJzL2Rvd25yZXYueG1sUEsBAhQA&#10;FAAAAAgAh07iQL+3NZAsAgAAaAQAAA4AAAAAAAAAAQAgAAAAJgEAAGRycy9lMm9Eb2MueG1sUEsF&#10;BgAAAAAGAAYAWQEAAMQFAAAAAA==&#10;">
                      <v:fill on="t" focussize="0,0"/>
                      <v:stroke weight="0.5pt" color="#000000" joinstyle="round"/>
                      <v:imagedata o:title=""/>
                      <o:lock v:ext="edit" aspectratio="f"/>
                      <v:textbox>
                        <w:txbxContent>
                          <w:p w14:paraId="102185B9">
                            <w:pPr>
                              <w:ind w:firstLine="0" w:firstLineChars="0"/>
                              <w:rPr>
                                <w:rFonts w:hint="eastAsia" w:eastAsia="宋体"/>
                                <w:lang w:eastAsia="zh-CN"/>
                              </w:rPr>
                            </w:pPr>
                            <w:r>
                              <w:rPr>
                                <w:rFonts w:hint="default" w:ascii="宋体" w:eastAsia="宋体"/>
                              </w:rPr>
                              <w:t>EN</w:t>
                            </w:r>
                            <w:r>
                              <w:rPr>
                                <w:rFonts w:hint="eastAsia" w:ascii="宋体" w:eastAsia="宋体"/>
                                <w:lang w:eastAsia="zh-CN"/>
                              </w:rPr>
                              <w:t>1881m</w:t>
                            </w:r>
                          </w:p>
                        </w:txbxContent>
                      </v:textbox>
                    </v:shape>
                  </w:pict>
                </mc:Fallback>
              </mc:AlternateContent>
            </w:r>
            <w:r>
              <w:rPr>
                <w:rFonts w:hint="default" w:eastAsia="宋体"/>
                <w:color w:val="auto"/>
              </w:rPr>
              <w:drawing>
                <wp:anchor distT="0" distB="0" distL="114300" distR="114300" simplePos="0" relativeHeight="251668480" behindDoc="0" locked="0" layoutInCell="1" allowOverlap="1">
                  <wp:simplePos x="0" y="0"/>
                  <wp:positionH relativeFrom="column">
                    <wp:posOffset>4384675</wp:posOffset>
                  </wp:positionH>
                  <wp:positionV relativeFrom="paragraph">
                    <wp:posOffset>17145</wp:posOffset>
                  </wp:positionV>
                  <wp:extent cx="619125" cy="711200"/>
                  <wp:effectExtent l="0" t="0" r="9525" b="12700"/>
                  <wp:wrapNone/>
                  <wp:docPr id="1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4"/>
                          <pic:cNvPicPr>
                            <a:picLocks noChangeAspect="1"/>
                          </pic:cNvPicPr>
                        </pic:nvPicPr>
                        <pic:blipFill>
                          <a:blip r:embed="rId15"/>
                          <a:stretch>
                            <a:fillRect/>
                          </a:stretch>
                        </pic:blipFill>
                        <pic:spPr>
                          <a:xfrm>
                            <a:off x="0" y="0"/>
                            <a:ext cx="619125" cy="711200"/>
                          </a:xfrm>
                          <a:prstGeom prst="rect">
                            <a:avLst/>
                          </a:prstGeom>
                          <a:noFill/>
                          <a:ln>
                            <a:noFill/>
                          </a:ln>
                        </pic:spPr>
                      </pic:pic>
                    </a:graphicData>
                  </a:graphic>
                </wp:anchor>
              </w:drawing>
            </w:r>
            <w:r>
              <w:rPr>
                <w:color w:val="auto"/>
              </w:rPr>
              <w:drawing>
                <wp:inline distT="0" distB="0" distL="114300" distR="114300">
                  <wp:extent cx="5006340" cy="3910330"/>
                  <wp:effectExtent l="0" t="0" r="3810" b="13970"/>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16"/>
                          <a:stretch>
                            <a:fillRect/>
                          </a:stretch>
                        </pic:blipFill>
                        <pic:spPr>
                          <a:xfrm>
                            <a:off x="0" y="0"/>
                            <a:ext cx="5006340" cy="3910330"/>
                          </a:xfrm>
                          <a:prstGeom prst="rect">
                            <a:avLst/>
                          </a:prstGeom>
                          <a:noFill/>
                          <a:ln>
                            <a:noFill/>
                          </a:ln>
                        </pic:spPr>
                      </pic:pic>
                    </a:graphicData>
                  </a:graphic>
                </wp:inline>
              </w:drawing>
            </w:r>
          </w:p>
          <w:p w14:paraId="19452530">
            <w:pPr>
              <w:ind w:firstLine="0" w:firstLineChars="0"/>
              <w:jc w:val="center"/>
              <w:rPr>
                <w:rFonts w:hint="default"/>
                <w:b/>
                <w:color w:val="auto"/>
              </w:rPr>
            </w:pPr>
            <w:r>
              <w:rPr>
                <w:rFonts w:hint="default" w:eastAsia="宋体"/>
                <w:b/>
                <w:color w:val="auto"/>
              </w:rPr>
              <w:t>图3-1引用点监测位置与本项目位置关系图</w:t>
            </w:r>
          </w:p>
          <w:p w14:paraId="7D239AC6">
            <w:pPr>
              <w:ind w:firstLine="482"/>
              <w:rPr>
                <w:rFonts w:hint="default" w:eastAsia="宋体"/>
                <w:b/>
                <w:color w:val="auto"/>
              </w:rPr>
            </w:pPr>
            <w:r>
              <w:rPr>
                <w:rFonts w:hint="default" w:eastAsia="宋体"/>
                <w:b/>
                <w:color w:val="auto"/>
              </w:rPr>
              <w:t>二、声</w:t>
            </w:r>
            <w:r>
              <w:rPr>
                <w:rFonts w:hint="default" w:eastAsia="宋体"/>
                <w:b/>
                <w:color w:val="auto"/>
                <w:lang w:val="en-GB"/>
              </w:rPr>
              <w:t>环境质量现状</w:t>
            </w:r>
          </w:p>
          <w:p w14:paraId="7976EDED">
            <w:pPr>
              <w:adjustRightInd w:val="0"/>
              <w:snapToGrid w:val="0"/>
              <w:ind w:firstLine="480"/>
              <w:jc w:val="left"/>
              <w:rPr>
                <w:rFonts w:hint="default"/>
                <w:color w:val="auto"/>
                <w:kern w:val="0"/>
              </w:rPr>
            </w:pPr>
            <w:r>
              <w:rPr>
                <w:rFonts w:hint="default" w:eastAsia="宋体"/>
                <w:color w:val="auto"/>
                <w:kern w:val="0"/>
              </w:rPr>
              <w:t>根据《建设项目环境影响报告表编制技术指南（污染影响类）</w:t>
            </w:r>
            <w:r>
              <w:rPr>
                <w:rFonts w:hint="eastAsia" w:eastAsia="宋体"/>
                <w:color w:val="auto"/>
                <w:kern w:val="0"/>
                <w:lang w:eastAsia="zh-CN"/>
              </w:rPr>
              <w:t>（试行）》</w:t>
            </w:r>
            <w:r>
              <w:rPr>
                <w:rFonts w:hint="default" w:eastAsia="宋体"/>
                <w:color w:val="auto"/>
                <w:kern w:val="0"/>
              </w:rPr>
              <w:t>，厂界外周边50米范围内存在声环境保护目标的建设项目，应监测保护目标声环境质量现状并评价达标情况。根据现场踏勘本项目厂界范围50米范围内无声环境保护目标，因此本次不对声环境质量现状进行评价。本项目位于</w:t>
            </w:r>
            <w:r>
              <w:rPr>
                <w:rFonts w:hint="eastAsia" w:eastAsia="宋体"/>
                <w:color w:val="auto"/>
                <w:kern w:val="0"/>
                <w:lang w:eastAsia="zh-CN"/>
              </w:rPr>
              <w:t>内蒙古鄂尔多斯市伊金霍洛旗阿镇现代装备制造基地，在中煤张家口煤矿机械有限责任公司鄂尔多斯分公司现有工业场地内建设</w:t>
            </w:r>
            <w:r>
              <w:rPr>
                <w:rFonts w:hint="default" w:eastAsia="宋体"/>
                <w:color w:val="auto"/>
                <w:kern w:val="0"/>
              </w:rPr>
              <w:t>，依据鄂尔多斯市（</w:t>
            </w:r>
            <w:r>
              <w:rPr>
                <w:rFonts w:hint="eastAsia" w:eastAsia="宋体"/>
                <w:color w:val="auto"/>
                <w:kern w:val="0"/>
                <w:lang w:eastAsia="zh-CN"/>
              </w:rPr>
              <w:t>伊金霍洛旗</w:t>
            </w:r>
            <w:r>
              <w:rPr>
                <w:rFonts w:hint="default" w:eastAsia="宋体"/>
                <w:color w:val="auto"/>
                <w:kern w:val="0"/>
              </w:rPr>
              <w:t>、康巴什区）声环境功能区划图，本项目区属于</w:t>
            </w:r>
            <w:r>
              <w:rPr>
                <w:rFonts w:hint="eastAsia" w:eastAsia="宋体"/>
                <w:color w:val="auto"/>
                <w:kern w:val="0"/>
                <w:lang w:eastAsia="zh-CN"/>
              </w:rPr>
              <w:t>3类</w:t>
            </w:r>
            <w:r>
              <w:rPr>
                <w:rFonts w:hint="default" w:eastAsia="宋体"/>
                <w:color w:val="auto"/>
                <w:kern w:val="0"/>
              </w:rPr>
              <w:t>声功能区，本项目声环境质量现状执行《声环境质量标准》（GB3096-2008）</w:t>
            </w:r>
            <w:r>
              <w:rPr>
                <w:rFonts w:hint="eastAsia" w:eastAsia="宋体"/>
                <w:color w:val="auto"/>
                <w:kern w:val="0"/>
                <w:lang w:eastAsia="zh-CN"/>
              </w:rPr>
              <w:t>3类</w:t>
            </w:r>
            <w:r>
              <w:rPr>
                <w:rFonts w:hint="default" w:eastAsia="宋体"/>
                <w:color w:val="auto"/>
                <w:kern w:val="0"/>
              </w:rPr>
              <w:t>标准限值要求。</w:t>
            </w:r>
          </w:p>
          <w:p w14:paraId="0036251F">
            <w:pPr>
              <w:ind w:firstLine="482"/>
              <w:rPr>
                <w:rFonts w:hint="default"/>
                <w:b/>
                <w:color w:val="auto"/>
              </w:rPr>
            </w:pPr>
            <w:r>
              <w:rPr>
                <w:rFonts w:hint="default" w:eastAsia="宋体"/>
                <w:b/>
                <w:color w:val="auto"/>
              </w:rPr>
              <w:t>三、地下水、土壤环境质量现状</w:t>
            </w:r>
          </w:p>
          <w:p w14:paraId="62F29446">
            <w:pPr>
              <w:ind w:firstLine="480"/>
              <w:rPr>
                <w:rFonts w:hint="default" w:eastAsia="宋体"/>
                <w:color w:val="auto"/>
              </w:rPr>
            </w:pPr>
            <w:r>
              <w:rPr>
                <w:rFonts w:hint="default" w:eastAsia="宋体"/>
                <w:color w:val="auto"/>
              </w:rPr>
              <w:t>依照《建设项目环境影响报告表编制技术指南（污染影响类）</w:t>
            </w:r>
            <w:r>
              <w:rPr>
                <w:rFonts w:hint="eastAsia" w:eastAsia="宋体"/>
                <w:color w:val="auto"/>
                <w:lang w:eastAsia="zh-CN"/>
              </w:rPr>
              <w:t>（试行）》</w:t>
            </w:r>
            <w:r>
              <w:rPr>
                <w:rFonts w:hint="default" w:eastAsia="宋体"/>
                <w:color w:val="auto"/>
              </w:rPr>
              <w:t>，地下水、土壤环境原则上不开展环境质量现状调查。建设项目存在地下水、土壤污染途径的，应结合污染源、保护目标分布情况开展现状调查以留作背景值。经调查，</w:t>
            </w:r>
            <w:r>
              <w:rPr>
                <w:rFonts w:hint="eastAsia" w:eastAsia="宋体"/>
                <w:color w:val="auto"/>
                <w:lang w:eastAsia="zh-CN"/>
              </w:rPr>
              <w:t>项目废矿物油采用密封桶暂存，废油桶、盛装“干净”矿物油的空桶加盖密封，废铅酸电池桶装加盖密封</w:t>
            </w:r>
            <w:r>
              <w:rPr>
                <w:rFonts w:hint="default" w:eastAsia="宋体"/>
                <w:color w:val="auto"/>
              </w:rPr>
              <w:t>，避免危险废物与不相容的物质或材料接触。本项目地面、导流渠、集液池及裙脚采取相同防渗措施，防渗要求按照《危险废物贮存污染控制标准》（GB18597-2023）建设，防渗层为至少1m厚黏土层（渗透系数</w:t>
            </w:r>
            <w:r>
              <w:rPr>
                <w:rFonts w:eastAsia="宋体"/>
                <w:color w:val="auto"/>
              </w:rPr>
              <w:t>≤</w:t>
            </w:r>
            <w:r>
              <w:rPr>
                <w:rFonts w:hint="default" w:eastAsia="宋体"/>
                <w:color w:val="auto"/>
              </w:rPr>
              <w:t>10</w:t>
            </w:r>
            <w:r>
              <w:rPr>
                <w:rFonts w:hint="default" w:eastAsia="宋体"/>
                <w:color w:val="auto"/>
                <w:vertAlign w:val="superscript"/>
              </w:rPr>
              <w:t>-7</w:t>
            </w:r>
            <w:r>
              <w:rPr>
                <w:rFonts w:hint="default" w:eastAsia="宋体"/>
                <w:color w:val="auto"/>
              </w:rPr>
              <w:t>cm/s），或至少2mm厚高密度聚乙烯膜等人工防渗材料（渗透系数</w:t>
            </w:r>
            <w:r>
              <w:rPr>
                <w:rFonts w:eastAsia="宋体"/>
                <w:color w:val="auto"/>
              </w:rPr>
              <w:t>≤</w:t>
            </w:r>
            <w:r>
              <w:rPr>
                <w:rFonts w:hint="default" w:eastAsia="宋体"/>
                <w:color w:val="auto"/>
              </w:rPr>
              <w:t>10</w:t>
            </w:r>
            <w:r>
              <w:rPr>
                <w:rFonts w:hint="default" w:eastAsia="宋体"/>
                <w:color w:val="auto"/>
                <w:vertAlign w:val="superscript"/>
              </w:rPr>
              <w:t>-10</w:t>
            </w:r>
            <w:r>
              <w:rPr>
                <w:rFonts w:hint="default" w:eastAsia="宋体"/>
                <w:color w:val="auto"/>
              </w:rPr>
              <w:t>cm/s），或其他防渗性能等效的材料。项目厂界外500m范围内无地下水集中式饮用水水源和热水、矿泉水、温泉等特殊地下水资源，本项目无地下水环境保护目标、土壤保护目标。经采取严格的防渗措施，对区域地下水、土壤环境影响较小。综合考虑，本次评价未开展地下水及土壤环境质量现状监测。</w:t>
            </w:r>
          </w:p>
        </w:tc>
      </w:tr>
      <w:tr w14:paraId="23B7FB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812" w:type="dxa"/>
            <w:tcBorders>
              <w:top w:val="single" w:color="auto" w:sz="4" w:space="0"/>
              <w:left w:val="single" w:color="auto" w:sz="8" w:space="0"/>
              <w:bottom w:val="single" w:color="auto" w:sz="4" w:space="0"/>
              <w:right w:val="single" w:color="auto" w:sz="4" w:space="0"/>
              <w:tl2br w:val="nil"/>
              <w:tr2bl w:val="nil"/>
            </w:tcBorders>
            <w:vAlign w:val="center"/>
          </w:tcPr>
          <w:p w14:paraId="6D6D17E8">
            <w:pPr>
              <w:ind w:firstLine="0" w:firstLineChars="0"/>
              <w:rPr>
                <w:rFonts w:hint="default" w:eastAsia="宋体"/>
                <w:color w:val="auto"/>
              </w:rPr>
            </w:pPr>
            <w:r>
              <w:rPr>
                <w:rFonts w:hint="default" w:eastAsia="宋体"/>
                <w:color w:val="auto"/>
              </w:rPr>
              <w:t>环境</w:t>
            </w:r>
          </w:p>
          <w:p w14:paraId="035872BD">
            <w:pPr>
              <w:ind w:firstLine="0" w:firstLineChars="0"/>
              <w:rPr>
                <w:rFonts w:hint="default" w:eastAsia="宋体"/>
                <w:color w:val="auto"/>
              </w:rPr>
            </w:pPr>
            <w:r>
              <w:rPr>
                <w:rFonts w:hint="default" w:eastAsia="宋体"/>
                <w:color w:val="auto"/>
              </w:rPr>
              <w:t>保护</w:t>
            </w:r>
          </w:p>
          <w:p w14:paraId="71D4ACA1">
            <w:pPr>
              <w:ind w:firstLine="0" w:firstLineChars="0"/>
              <w:rPr>
                <w:rFonts w:hint="default" w:eastAsia="宋体"/>
                <w:color w:val="auto"/>
              </w:rPr>
            </w:pPr>
            <w:r>
              <w:rPr>
                <w:rFonts w:hint="default" w:eastAsia="宋体"/>
                <w:color w:val="auto"/>
              </w:rPr>
              <w:t>目标</w:t>
            </w:r>
          </w:p>
        </w:tc>
        <w:tc>
          <w:tcPr>
            <w:tcW w:w="8102" w:type="dxa"/>
            <w:tcBorders>
              <w:top w:val="single" w:color="auto" w:sz="4" w:space="0"/>
              <w:left w:val="single" w:color="auto" w:sz="4" w:space="0"/>
              <w:bottom w:val="single" w:color="auto" w:sz="4" w:space="0"/>
              <w:right w:val="single" w:color="auto" w:sz="8" w:space="0"/>
              <w:tl2br w:val="nil"/>
              <w:tr2bl w:val="nil"/>
            </w:tcBorders>
            <w:vAlign w:val="center"/>
          </w:tcPr>
          <w:p w14:paraId="2853CA89">
            <w:pPr>
              <w:bidi w:val="0"/>
              <w:rPr>
                <w:rFonts w:hint="default"/>
                <w:color w:val="auto"/>
              </w:rPr>
            </w:pPr>
            <w:r>
              <w:rPr>
                <w:rFonts w:hint="default"/>
                <w:color w:val="auto"/>
              </w:rPr>
              <w:t>本项目位于</w:t>
            </w:r>
            <w:r>
              <w:rPr>
                <w:rFonts w:hint="eastAsia"/>
                <w:color w:val="auto"/>
                <w:lang w:eastAsia="zh-CN"/>
              </w:rPr>
              <w:t>内蒙古鄂尔多斯市伊金霍洛旗阿镇现代装备制造基地，在中煤张家口煤矿机械有限责任公司鄂尔多斯分公司现有工业场地内建设</w:t>
            </w:r>
            <w:r>
              <w:rPr>
                <w:rFonts w:hint="default"/>
                <w:color w:val="auto"/>
              </w:rPr>
              <w:t>。本项目环境敏感目标详情见下表3-</w:t>
            </w:r>
            <w:r>
              <w:rPr>
                <w:rFonts w:hint="eastAsia"/>
                <w:color w:val="auto"/>
                <w:lang w:val="en-US" w:eastAsia="zh-CN"/>
              </w:rPr>
              <w:t>3</w:t>
            </w:r>
            <w:r>
              <w:rPr>
                <w:rFonts w:hint="default"/>
                <w:color w:val="auto"/>
              </w:rPr>
              <w:t>。</w:t>
            </w:r>
          </w:p>
          <w:p w14:paraId="7ACB4B08">
            <w:pPr>
              <w:ind w:firstLine="482"/>
              <w:jc w:val="center"/>
              <w:rPr>
                <w:rFonts w:hint="default"/>
                <w:b/>
                <w:color w:val="auto"/>
              </w:rPr>
            </w:pPr>
            <w:r>
              <w:rPr>
                <w:rFonts w:hint="default" w:eastAsia="宋体"/>
                <w:b/>
                <w:color w:val="auto"/>
              </w:rPr>
              <w:t>表3-</w:t>
            </w:r>
            <w:r>
              <w:rPr>
                <w:rFonts w:hint="eastAsia" w:eastAsia="宋体"/>
                <w:b/>
                <w:color w:val="auto"/>
                <w:lang w:val="en-US" w:eastAsia="zh-CN"/>
              </w:rPr>
              <w:t>3</w:t>
            </w:r>
            <w:r>
              <w:rPr>
                <w:rFonts w:hint="default" w:eastAsia="宋体"/>
                <w:b/>
                <w:color w:val="auto"/>
              </w:rPr>
              <w:t>主要环境保护目标</w:t>
            </w:r>
          </w:p>
          <w:tbl>
            <w:tblPr>
              <w:tblStyle w:val="14"/>
              <w:tblW w:w="78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766"/>
              <w:gridCol w:w="1187"/>
              <w:gridCol w:w="872"/>
              <w:gridCol w:w="1009"/>
              <w:gridCol w:w="3282"/>
            </w:tblGrid>
            <w:tr w14:paraId="17885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2" w:hRule="atLeast"/>
                <w:tblHeader/>
                <w:jc w:val="center"/>
              </w:trPr>
              <w:tc>
                <w:tcPr>
                  <w:tcW w:w="761" w:type="dxa"/>
                  <w:tcBorders>
                    <w:top w:val="single" w:color="auto" w:sz="4" w:space="0"/>
                    <w:left w:val="single" w:color="auto" w:sz="4" w:space="0"/>
                    <w:bottom w:val="single" w:color="auto" w:sz="4" w:space="0"/>
                    <w:right w:val="single" w:color="auto" w:sz="4" w:space="0"/>
                    <w:tl2br w:val="nil"/>
                    <w:tr2bl w:val="nil"/>
                  </w:tcBorders>
                  <w:vAlign w:val="center"/>
                </w:tcPr>
                <w:p w14:paraId="6D6D11FC">
                  <w:pPr>
                    <w:spacing w:line="240" w:lineRule="auto"/>
                    <w:ind w:firstLine="0" w:firstLineChars="0"/>
                    <w:jc w:val="center"/>
                    <w:rPr>
                      <w:rFonts w:hint="default"/>
                      <w:color w:val="auto"/>
                    </w:rPr>
                  </w:pPr>
                  <w:r>
                    <w:rPr>
                      <w:rFonts w:hint="default" w:eastAsia="宋体"/>
                      <w:color w:val="auto"/>
                    </w:rPr>
                    <w:t>环境要素</w:t>
                  </w:r>
                </w:p>
              </w:tc>
              <w:tc>
                <w:tcPr>
                  <w:tcW w:w="766" w:type="dxa"/>
                  <w:tcBorders>
                    <w:top w:val="single" w:color="auto" w:sz="4" w:space="0"/>
                    <w:left w:val="single" w:color="auto" w:sz="4" w:space="0"/>
                    <w:bottom w:val="single" w:color="auto" w:sz="4" w:space="0"/>
                    <w:right w:val="single" w:color="auto" w:sz="4" w:space="0"/>
                    <w:tl2br w:val="nil"/>
                    <w:tr2bl w:val="nil"/>
                  </w:tcBorders>
                  <w:vAlign w:val="center"/>
                </w:tcPr>
                <w:p w14:paraId="63BA6DA5">
                  <w:pPr>
                    <w:spacing w:line="240" w:lineRule="auto"/>
                    <w:ind w:firstLine="0" w:firstLineChars="0"/>
                    <w:jc w:val="center"/>
                    <w:rPr>
                      <w:rFonts w:hint="default"/>
                      <w:color w:val="auto"/>
                    </w:rPr>
                  </w:pPr>
                  <w:r>
                    <w:rPr>
                      <w:rFonts w:hint="default" w:eastAsia="宋体"/>
                      <w:color w:val="auto"/>
                    </w:rPr>
                    <w:t>名称</w:t>
                  </w:r>
                </w:p>
              </w:tc>
              <w:tc>
                <w:tcPr>
                  <w:tcW w:w="1187" w:type="dxa"/>
                  <w:tcBorders>
                    <w:top w:val="single" w:color="auto" w:sz="4" w:space="0"/>
                    <w:left w:val="single" w:color="auto" w:sz="4" w:space="0"/>
                    <w:bottom w:val="single" w:color="auto" w:sz="4" w:space="0"/>
                    <w:right w:val="single" w:color="auto" w:sz="4" w:space="0"/>
                    <w:tl2br w:val="nil"/>
                    <w:tr2bl w:val="nil"/>
                  </w:tcBorders>
                  <w:vAlign w:val="center"/>
                </w:tcPr>
                <w:p w14:paraId="7AE766B6">
                  <w:pPr>
                    <w:spacing w:line="240" w:lineRule="auto"/>
                    <w:ind w:firstLine="0" w:firstLineChars="0"/>
                    <w:jc w:val="center"/>
                    <w:rPr>
                      <w:rFonts w:hint="default"/>
                      <w:color w:val="auto"/>
                    </w:rPr>
                  </w:pPr>
                  <w:r>
                    <w:rPr>
                      <w:rFonts w:hint="default" w:eastAsia="宋体"/>
                      <w:color w:val="auto"/>
                    </w:rPr>
                    <w:t>相对位置</w:t>
                  </w:r>
                </w:p>
              </w:tc>
              <w:tc>
                <w:tcPr>
                  <w:tcW w:w="872" w:type="dxa"/>
                  <w:tcBorders>
                    <w:top w:val="single" w:color="auto" w:sz="4" w:space="0"/>
                    <w:left w:val="single" w:color="auto" w:sz="4" w:space="0"/>
                    <w:bottom w:val="single" w:color="auto" w:sz="4" w:space="0"/>
                    <w:right w:val="single" w:color="auto" w:sz="4" w:space="0"/>
                    <w:tl2br w:val="nil"/>
                    <w:tr2bl w:val="nil"/>
                  </w:tcBorders>
                  <w:vAlign w:val="center"/>
                </w:tcPr>
                <w:p w14:paraId="59B8A960">
                  <w:pPr>
                    <w:spacing w:line="240" w:lineRule="auto"/>
                    <w:ind w:firstLine="0" w:firstLineChars="0"/>
                    <w:jc w:val="center"/>
                    <w:rPr>
                      <w:rFonts w:hint="default"/>
                      <w:color w:val="auto"/>
                    </w:rPr>
                  </w:pPr>
                  <w:r>
                    <w:rPr>
                      <w:rFonts w:hint="default" w:eastAsia="宋体"/>
                      <w:color w:val="auto"/>
                    </w:rPr>
                    <w:t>保护对象</w:t>
                  </w:r>
                </w:p>
              </w:tc>
              <w:tc>
                <w:tcPr>
                  <w:tcW w:w="1009" w:type="dxa"/>
                  <w:tcBorders>
                    <w:top w:val="single" w:color="auto" w:sz="4" w:space="0"/>
                    <w:left w:val="single" w:color="auto" w:sz="4" w:space="0"/>
                    <w:bottom w:val="single" w:color="auto" w:sz="4" w:space="0"/>
                    <w:right w:val="single" w:color="auto" w:sz="4" w:space="0"/>
                    <w:tl2br w:val="nil"/>
                    <w:tr2bl w:val="nil"/>
                  </w:tcBorders>
                  <w:vAlign w:val="center"/>
                </w:tcPr>
                <w:p w14:paraId="0D7C486A">
                  <w:pPr>
                    <w:spacing w:line="240" w:lineRule="auto"/>
                    <w:ind w:firstLine="0" w:firstLineChars="0"/>
                    <w:jc w:val="center"/>
                    <w:rPr>
                      <w:rFonts w:hint="default"/>
                      <w:color w:val="auto"/>
                    </w:rPr>
                  </w:pPr>
                  <w:r>
                    <w:rPr>
                      <w:rFonts w:hint="default" w:eastAsia="宋体"/>
                      <w:color w:val="auto"/>
                    </w:rPr>
                    <w:t>保护内容</w:t>
                  </w:r>
                </w:p>
              </w:tc>
              <w:tc>
                <w:tcPr>
                  <w:tcW w:w="3282" w:type="dxa"/>
                  <w:tcBorders>
                    <w:top w:val="single" w:color="auto" w:sz="4" w:space="0"/>
                    <w:left w:val="single" w:color="auto" w:sz="4" w:space="0"/>
                    <w:bottom w:val="single" w:color="auto" w:sz="4" w:space="0"/>
                    <w:right w:val="single" w:color="auto" w:sz="4" w:space="0"/>
                    <w:tl2br w:val="nil"/>
                    <w:tr2bl w:val="nil"/>
                  </w:tcBorders>
                  <w:vAlign w:val="center"/>
                </w:tcPr>
                <w:p w14:paraId="69DA73EA">
                  <w:pPr>
                    <w:spacing w:line="240" w:lineRule="auto"/>
                    <w:ind w:firstLine="0" w:firstLineChars="0"/>
                    <w:jc w:val="center"/>
                    <w:rPr>
                      <w:rFonts w:hint="default"/>
                      <w:color w:val="auto"/>
                    </w:rPr>
                  </w:pPr>
                  <w:r>
                    <w:rPr>
                      <w:rFonts w:hint="default" w:eastAsia="宋体"/>
                      <w:color w:val="auto"/>
                    </w:rPr>
                    <w:t>环境功能区</w:t>
                  </w:r>
                </w:p>
              </w:tc>
            </w:tr>
            <w:tr w14:paraId="018E2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761" w:type="dxa"/>
                  <w:tcBorders>
                    <w:top w:val="single" w:color="auto" w:sz="4" w:space="0"/>
                    <w:left w:val="single" w:color="auto" w:sz="4" w:space="0"/>
                    <w:bottom w:val="single" w:color="auto" w:sz="4" w:space="0"/>
                    <w:right w:val="single" w:color="auto" w:sz="4" w:space="0"/>
                    <w:tl2br w:val="nil"/>
                    <w:tr2bl w:val="nil"/>
                  </w:tcBorders>
                  <w:vAlign w:val="center"/>
                </w:tcPr>
                <w:p w14:paraId="3EE052A0">
                  <w:pPr>
                    <w:spacing w:line="240" w:lineRule="auto"/>
                    <w:ind w:firstLine="0" w:firstLineChars="0"/>
                    <w:jc w:val="center"/>
                    <w:rPr>
                      <w:rFonts w:hint="default"/>
                      <w:color w:val="auto"/>
                    </w:rPr>
                  </w:pPr>
                  <w:r>
                    <w:rPr>
                      <w:rFonts w:hint="default" w:eastAsia="宋体"/>
                      <w:color w:val="auto"/>
                    </w:rPr>
                    <w:t>环境</w:t>
                  </w:r>
                </w:p>
                <w:p w14:paraId="14FB7988">
                  <w:pPr>
                    <w:spacing w:line="240" w:lineRule="auto"/>
                    <w:ind w:firstLine="0" w:firstLineChars="0"/>
                    <w:jc w:val="center"/>
                    <w:rPr>
                      <w:rFonts w:hint="default"/>
                      <w:color w:val="auto"/>
                    </w:rPr>
                  </w:pPr>
                  <w:r>
                    <w:rPr>
                      <w:rFonts w:hint="default" w:eastAsia="宋体"/>
                      <w:color w:val="auto"/>
                    </w:rPr>
                    <w:t>空气</w:t>
                  </w:r>
                </w:p>
              </w:tc>
              <w:tc>
                <w:tcPr>
                  <w:tcW w:w="3834" w:type="dxa"/>
                  <w:gridSpan w:val="4"/>
                  <w:tcBorders>
                    <w:top w:val="single" w:color="auto" w:sz="4" w:space="0"/>
                    <w:left w:val="single" w:color="auto" w:sz="4" w:space="0"/>
                    <w:bottom w:val="single" w:color="auto" w:sz="4" w:space="0"/>
                    <w:right w:val="single" w:color="auto" w:sz="4" w:space="0"/>
                    <w:tl2br w:val="nil"/>
                    <w:tr2bl w:val="nil"/>
                  </w:tcBorders>
                  <w:vAlign w:val="center"/>
                </w:tcPr>
                <w:p w14:paraId="57EA38D1">
                  <w:pPr>
                    <w:spacing w:line="240" w:lineRule="auto"/>
                    <w:ind w:firstLine="0" w:firstLineChars="0"/>
                    <w:jc w:val="center"/>
                    <w:rPr>
                      <w:rFonts w:hint="default" w:eastAsia="宋体"/>
                      <w:color w:val="auto"/>
                      <w:lang w:val="en-US" w:eastAsia="zh-CN"/>
                    </w:rPr>
                  </w:pPr>
                  <w:r>
                    <w:rPr>
                      <w:rFonts w:hint="eastAsia" w:eastAsia="宋体"/>
                      <w:color w:val="auto"/>
                      <w:lang w:val="en-US" w:eastAsia="zh-CN"/>
                    </w:rPr>
                    <w:t>项目厂界外500m范围内无环境空气保护目标</w:t>
                  </w:r>
                </w:p>
              </w:tc>
              <w:tc>
                <w:tcPr>
                  <w:tcW w:w="3282" w:type="dxa"/>
                  <w:tcBorders>
                    <w:top w:val="single" w:color="auto" w:sz="4" w:space="0"/>
                    <w:left w:val="single" w:color="auto" w:sz="4" w:space="0"/>
                    <w:bottom w:val="single" w:color="auto" w:sz="4" w:space="0"/>
                    <w:right w:val="single" w:color="auto" w:sz="4" w:space="0"/>
                    <w:tl2br w:val="nil"/>
                    <w:tr2bl w:val="nil"/>
                  </w:tcBorders>
                  <w:vAlign w:val="center"/>
                </w:tcPr>
                <w:p w14:paraId="785BA83B">
                  <w:pPr>
                    <w:spacing w:line="240" w:lineRule="auto"/>
                    <w:ind w:firstLine="0" w:firstLineChars="0"/>
                    <w:jc w:val="center"/>
                    <w:rPr>
                      <w:rFonts w:hint="default"/>
                      <w:color w:val="auto"/>
                    </w:rPr>
                  </w:pPr>
                  <w:r>
                    <w:rPr>
                      <w:rFonts w:hint="default" w:eastAsia="宋体"/>
                      <w:color w:val="auto"/>
                    </w:rPr>
                    <w:t>《环境空气质量标准》（GB3095-2012）二级标准及其修改单</w:t>
                  </w:r>
                </w:p>
              </w:tc>
            </w:tr>
            <w:tr w14:paraId="14AEB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761" w:type="dxa"/>
                  <w:tcBorders>
                    <w:top w:val="single" w:color="auto" w:sz="4" w:space="0"/>
                    <w:left w:val="single" w:color="auto" w:sz="4" w:space="0"/>
                    <w:bottom w:val="single" w:color="auto" w:sz="4" w:space="0"/>
                    <w:right w:val="single" w:color="auto" w:sz="4" w:space="0"/>
                    <w:tl2br w:val="nil"/>
                    <w:tr2bl w:val="nil"/>
                  </w:tcBorders>
                  <w:vAlign w:val="center"/>
                </w:tcPr>
                <w:p w14:paraId="77091547">
                  <w:pPr>
                    <w:spacing w:line="240" w:lineRule="auto"/>
                    <w:ind w:firstLine="0" w:firstLineChars="0"/>
                    <w:jc w:val="center"/>
                    <w:rPr>
                      <w:rFonts w:hint="default"/>
                      <w:color w:val="auto"/>
                    </w:rPr>
                  </w:pPr>
                  <w:r>
                    <w:rPr>
                      <w:rFonts w:hint="default" w:eastAsia="宋体"/>
                      <w:color w:val="auto"/>
                    </w:rPr>
                    <w:t>声环境</w:t>
                  </w:r>
                </w:p>
              </w:tc>
              <w:tc>
                <w:tcPr>
                  <w:tcW w:w="3834" w:type="dxa"/>
                  <w:gridSpan w:val="4"/>
                  <w:tcBorders>
                    <w:top w:val="single" w:color="auto" w:sz="4" w:space="0"/>
                    <w:left w:val="single" w:color="auto" w:sz="4" w:space="0"/>
                    <w:bottom w:val="single" w:color="auto" w:sz="4" w:space="0"/>
                    <w:right w:val="single" w:color="auto" w:sz="4" w:space="0"/>
                    <w:tl2br w:val="nil"/>
                    <w:tr2bl w:val="nil"/>
                  </w:tcBorders>
                  <w:vAlign w:val="center"/>
                </w:tcPr>
                <w:p w14:paraId="5FD67CB4">
                  <w:pPr>
                    <w:spacing w:line="240" w:lineRule="auto"/>
                    <w:ind w:firstLine="0" w:firstLineChars="0"/>
                    <w:rPr>
                      <w:rFonts w:hint="default"/>
                      <w:color w:val="auto"/>
                    </w:rPr>
                  </w:pPr>
                  <w:r>
                    <w:rPr>
                      <w:rFonts w:hint="default" w:eastAsia="宋体"/>
                      <w:color w:val="auto"/>
                    </w:rPr>
                    <w:t>项目厂界外50m范围内无声环境敏感目标</w:t>
                  </w:r>
                </w:p>
              </w:tc>
              <w:tc>
                <w:tcPr>
                  <w:tcW w:w="3282" w:type="dxa"/>
                  <w:tcBorders>
                    <w:top w:val="single" w:color="auto" w:sz="4" w:space="0"/>
                    <w:left w:val="single" w:color="auto" w:sz="4" w:space="0"/>
                    <w:bottom w:val="single" w:color="auto" w:sz="4" w:space="0"/>
                    <w:right w:val="single" w:color="auto" w:sz="4" w:space="0"/>
                    <w:tl2br w:val="nil"/>
                    <w:tr2bl w:val="nil"/>
                  </w:tcBorders>
                  <w:vAlign w:val="center"/>
                </w:tcPr>
                <w:p w14:paraId="58D4048F">
                  <w:pPr>
                    <w:spacing w:line="240" w:lineRule="auto"/>
                    <w:ind w:firstLine="0" w:firstLineChars="0"/>
                    <w:jc w:val="center"/>
                    <w:rPr>
                      <w:rFonts w:hint="default"/>
                      <w:color w:val="auto"/>
                    </w:rPr>
                  </w:pPr>
                  <w:r>
                    <w:rPr>
                      <w:rFonts w:hint="default" w:eastAsia="宋体"/>
                      <w:color w:val="auto"/>
                    </w:rPr>
                    <w:t>声环境质量标准》</w:t>
                  </w:r>
                </w:p>
                <w:p w14:paraId="58DA4034">
                  <w:pPr>
                    <w:spacing w:line="240" w:lineRule="auto"/>
                    <w:ind w:firstLine="0" w:firstLineChars="0"/>
                    <w:jc w:val="center"/>
                    <w:rPr>
                      <w:rFonts w:hint="default"/>
                      <w:color w:val="auto"/>
                    </w:rPr>
                  </w:pPr>
                  <w:r>
                    <w:rPr>
                      <w:rFonts w:hint="default" w:eastAsia="宋体"/>
                      <w:color w:val="auto"/>
                    </w:rPr>
                    <w:t>（GB3096-2008）</w:t>
                  </w:r>
                  <w:r>
                    <w:rPr>
                      <w:rFonts w:hint="eastAsia" w:eastAsia="宋体"/>
                      <w:color w:val="auto"/>
                      <w:lang w:eastAsia="zh-CN"/>
                    </w:rPr>
                    <w:t>3类</w:t>
                  </w:r>
                  <w:r>
                    <w:rPr>
                      <w:rFonts w:hint="default" w:eastAsia="宋体"/>
                      <w:color w:val="auto"/>
                    </w:rPr>
                    <w:t>标准</w:t>
                  </w:r>
                </w:p>
              </w:tc>
            </w:tr>
            <w:tr w14:paraId="1579F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761" w:type="dxa"/>
                  <w:tcBorders>
                    <w:top w:val="single" w:color="auto" w:sz="4" w:space="0"/>
                    <w:left w:val="single" w:color="auto" w:sz="4" w:space="0"/>
                    <w:bottom w:val="single" w:color="auto" w:sz="4" w:space="0"/>
                    <w:right w:val="single" w:color="auto" w:sz="4" w:space="0"/>
                    <w:tl2br w:val="nil"/>
                    <w:tr2bl w:val="nil"/>
                  </w:tcBorders>
                  <w:vAlign w:val="center"/>
                </w:tcPr>
                <w:p w14:paraId="7A23DC62">
                  <w:pPr>
                    <w:spacing w:line="240" w:lineRule="auto"/>
                    <w:ind w:firstLine="0" w:firstLineChars="0"/>
                    <w:jc w:val="center"/>
                    <w:rPr>
                      <w:rFonts w:hint="default"/>
                      <w:color w:val="auto"/>
                    </w:rPr>
                  </w:pPr>
                  <w:r>
                    <w:rPr>
                      <w:rFonts w:hint="default" w:eastAsia="宋体"/>
                      <w:color w:val="auto"/>
                    </w:rPr>
                    <w:t>地下水环境</w:t>
                  </w:r>
                </w:p>
              </w:tc>
              <w:tc>
                <w:tcPr>
                  <w:tcW w:w="3834" w:type="dxa"/>
                  <w:gridSpan w:val="4"/>
                  <w:tcBorders>
                    <w:top w:val="single" w:color="auto" w:sz="4" w:space="0"/>
                    <w:left w:val="single" w:color="auto" w:sz="4" w:space="0"/>
                    <w:bottom w:val="single" w:color="auto" w:sz="4" w:space="0"/>
                    <w:right w:val="single" w:color="auto" w:sz="4" w:space="0"/>
                    <w:tl2br w:val="nil"/>
                    <w:tr2bl w:val="nil"/>
                  </w:tcBorders>
                  <w:vAlign w:val="center"/>
                </w:tcPr>
                <w:p w14:paraId="4C916C6F">
                  <w:pPr>
                    <w:spacing w:line="240" w:lineRule="auto"/>
                    <w:ind w:firstLine="0" w:firstLineChars="0"/>
                    <w:rPr>
                      <w:rFonts w:hint="default"/>
                      <w:color w:val="auto"/>
                    </w:rPr>
                  </w:pPr>
                  <w:r>
                    <w:rPr>
                      <w:rFonts w:hint="default" w:eastAsia="宋体"/>
                      <w:color w:val="auto"/>
                    </w:rPr>
                    <w:t>厂界外500米范围内无地下水集中式饮用水水源和热水、矿泉水、温泉等特殊地下水资源</w:t>
                  </w:r>
                </w:p>
              </w:tc>
              <w:tc>
                <w:tcPr>
                  <w:tcW w:w="3282" w:type="dxa"/>
                  <w:tcBorders>
                    <w:top w:val="single" w:color="auto" w:sz="4" w:space="0"/>
                    <w:left w:val="single" w:color="auto" w:sz="4" w:space="0"/>
                    <w:bottom w:val="single" w:color="auto" w:sz="4" w:space="0"/>
                    <w:right w:val="single" w:color="auto" w:sz="4" w:space="0"/>
                    <w:tl2br w:val="nil"/>
                    <w:tr2bl w:val="nil"/>
                  </w:tcBorders>
                  <w:vAlign w:val="center"/>
                </w:tcPr>
                <w:p w14:paraId="36C95322">
                  <w:pPr>
                    <w:spacing w:line="240" w:lineRule="auto"/>
                    <w:ind w:firstLine="0" w:firstLineChars="0"/>
                    <w:jc w:val="center"/>
                    <w:rPr>
                      <w:rFonts w:hint="default"/>
                      <w:color w:val="auto"/>
                    </w:rPr>
                  </w:pPr>
                  <w:r>
                    <w:rPr>
                      <w:rFonts w:hint="default" w:eastAsia="宋体"/>
                      <w:color w:val="auto"/>
                    </w:rPr>
                    <w:t>《地下水质量标准》（GB/T14848-2017）中Ⅲ类标准</w:t>
                  </w:r>
                </w:p>
              </w:tc>
            </w:tr>
          </w:tbl>
          <w:p w14:paraId="48F37933">
            <w:pPr>
              <w:ind w:firstLine="480"/>
              <w:rPr>
                <w:rFonts w:hint="default" w:eastAsia="宋体"/>
                <w:color w:val="auto"/>
              </w:rPr>
            </w:pPr>
          </w:p>
        </w:tc>
      </w:tr>
      <w:tr w14:paraId="6DA5B8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2" w:type="dxa"/>
            <w:tcBorders>
              <w:top w:val="single" w:color="auto" w:sz="4" w:space="0"/>
              <w:left w:val="single" w:color="auto" w:sz="8" w:space="0"/>
              <w:bottom w:val="single" w:color="auto" w:sz="4" w:space="0"/>
              <w:right w:val="single" w:color="auto" w:sz="4" w:space="0"/>
              <w:tl2br w:val="nil"/>
              <w:tr2bl w:val="nil"/>
            </w:tcBorders>
            <w:tcMar>
              <w:left w:w="28" w:type="dxa"/>
              <w:right w:w="28" w:type="dxa"/>
            </w:tcMar>
            <w:vAlign w:val="center"/>
          </w:tcPr>
          <w:p w14:paraId="7750A2FC">
            <w:pPr>
              <w:ind w:firstLine="0" w:firstLineChars="0"/>
              <w:rPr>
                <w:rFonts w:hint="default" w:eastAsia="宋体"/>
                <w:color w:val="auto"/>
              </w:rPr>
            </w:pPr>
            <w:r>
              <w:rPr>
                <w:rFonts w:hint="default" w:eastAsia="宋体"/>
                <w:color w:val="auto"/>
              </w:rPr>
              <w:t>污染物排放控制标准</w:t>
            </w:r>
          </w:p>
        </w:tc>
        <w:tc>
          <w:tcPr>
            <w:tcW w:w="8102" w:type="dxa"/>
            <w:tcBorders>
              <w:top w:val="single" w:color="auto" w:sz="4" w:space="0"/>
              <w:left w:val="single" w:color="auto" w:sz="4" w:space="0"/>
              <w:bottom w:val="single" w:color="auto" w:sz="4" w:space="0"/>
              <w:right w:val="single" w:color="auto" w:sz="8" w:space="0"/>
              <w:tl2br w:val="nil"/>
              <w:tr2bl w:val="nil"/>
            </w:tcBorders>
            <w:vAlign w:val="center"/>
          </w:tcPr>
          <w:p w14:paraId="02C66498">
            <w:pPr>
              <w:ind w:firstLine="482"/>
              <w:rPr>
                <w:rFonts w:hint="default"/>
                <w:b/>
                <w:color w:val="auto"/>
              </w:rPr>
            </w:pPr>
            <w:r>
              <w:rPr>
                <w:rFonts w:hint="default" w:eastAsia="宋体"/>
                <w:b/>
                <w:color w:val="auto"/>
              </w:rPr>
              <w:t>一、废气排放标准</w:t>
            </w:r>
          </w:p>
          <w:p w14:paraId="214FD222">
            <w:pPr>
              <w:ind w:firstLine="480"/>
              <w:rPr>
                <w:rFonts w:hint="default"/>
                <w:color w:val="auto"/>
              </w:rPr>
            </w:pPr>
            <w:r>
              <w:rPr>
                <w:rFonts w:hint="default" w:eastAsia="宋体"/>
                <w:color w:val="auto"/>
              </w:rPr>
              <w:t>本项目施工期产生粉尘执行《大气污染物综合排放标准》（GB16297-1996）中的表2新污染源大气排放限值中无组织排放监控浓度限值。运营期危险废物产生的废气执行《大气污染物综合排放标准》（GB16297-1996）表2新污染源大气排放限值中无组织排放监控浓度限值要求。具体标准限值见表3-</w:t>
            </w:r>
            <w:r>
              <w:rPr>
                <w:rFonts w:hint="eastAsia" w:eastAsia="宋体"/>
                <w:color w:val="auto"/>
                <w:lang w:val="en-US" w:eastAsia="zh-CN"/>
              </w:rPr>
              <w:t>4</w:t>
            </w:r>
            <w:r>
              <w:rPr>
                <w:rFonts w:hint="default" w:eastAsia="宋体"/>
                <w:color w:val="auto"/>
              </w:rPr>
              <w:t>、3-</w:t>
            </w:r>
            <w:r>
              <w:rPr>
                <w:rFonts w:hint="eastAsia" w:eastAsia="宋体"/>
                <w:color w:val="auto"/>
                <w:lang w:val="en-US" w:eastAsia="zh-CN"/>
              </w:rPr>
              <w:t>5</w:t>
            </w:r>
            <w:r>
              <w:rPr>
                <w:rFonts w:hint="default" w:eastAsia="宋体"/>
                <w:color w:val="auto"/>
              </w:rPr>
              <w:t>。</w:t>
            </w:r>
          </w:p>
          <w:p w14:paraId="62785695">
            <w:pPr>
              <w:ind w:firstLine="0" w:firstLineChars="0"/>
              <w:jc w:val="center"/>
              <w:rPr>
                <w:rFonts w:hint="default"/>
                <w:b/>
                <w:color w:val="auto"/>
              </w:rPr>
            </w:pPr>
            <w:r>
              <w:rPr>
                <w:rFonts w:hint="default" w:eastAsia="宋体"/>
                <w:b/>
                <w:color w:val="auto"/>
              </w:rPr>
              <w:t>表3-</w:t>
            </w:r>
            <w:r>
              <w:rPr>
                <w:rFonts w:hint="eastAsia" w:eastAsia="宋体"/>
                <w:b/>
                <w:color w:val="auto"/>
                <w:lang w:val="en-US" w:eastAsia="zh-CN"/>
              </w:rPr>
              <w:t>4</w:t>
            </w:r>
            <w:r>
              <w:rPr>
                <w:rFonts w:hint="default" w:eastAsia="宋体"/>
                <w:b/>
                <w:color w:val="auto"/>
              </w:rPr>
              <w:t>施工期废气排放标准一览表</w:t>
            </w:r>
          </w:p>
          <w:tbl>
            <w:tblPr>
              <w:tblStyle w:val="14"/>
              <w:tblW w:w="78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842"/>
              <w:gridCol w:w="1320"/>
              <w:gridCol w:w="1270"/>
              <w:gridCol w:w="4406"/>
            </w:tblGrid>
            <w:tr w14:paraId="78F12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8" w:hRule="atLeast"/>
              </w:trPr>
              <w:tc>
                <w:tcPr>
                  <w:tcW w:w="842" w:type="dxa"/>
                  <w:tcBorders>
                    <w:top w:val="single" w:color="auto" w:sz="4" w:space="0"/>
                    <w:left w:val="single" w:color="auto" w:sz="4" w:space="0"/>
                    <w:bottom w:val="single" w:color="auto" w:sz="4" w:space="0"/>
                    <w:right w:val="single" w:color="auto" w:sz="4" w:space="0"/>
                    <w:tl2br w:val="nil"/>
                    <w:tr2bl w:val="nil"/>
                  </w:tcBorders>
                  <w:tcMar>
                    <w:left w:w="0" w:type="dxa"/>
                    <w:right w:w="0" w:type="dxa"/>
                  </w:tcMar>
                  <w:vAlign w:val="center"/>
                </w:tcPr>
                <w:p w14:paraId="76EA72DC">
                  <w:pPr>
                    <w:spacing w:line="240" w:lineRule="auto"/>
                    <w:ind w:firstLine="0" w:firstLineChars="0"/>
                    <w:jc w:val="center"/>
                    <w:rPr>
                      <w:rFonts w:hint="default"/>
                      <w:color w:val="auto"/>
                    </w:rPr>
                  </w:pPr>
                  <w:r>
                    <w:rPr>
                      <w:rFonts w:hint="default" w:eastAsia="宋体"/>
                      <w:color w:val="auto"/>
                    </w:rPr>
                    <w:t>时期</w:t>
                  </w:r>
                </w:p>
              </w:tc>
              <w:tc>
                <w:tcPr>
                  <w:tcW w:w="1320" w:type="dxa"/>
                  <w:tcBorders>
                    <w:top w:val="single" w:color="auto" w:sz="4" w:space="0"/>
                    <w:left w:val="single" w:color="auto" w:sz="4" w:space="0"/>
                    <w:bottom w:val="single" w:color="auto" w:sz="4" w:space="0"/>
                    <w:right w:val="single" w:color="auto" w:sz="4" w:space="0"/>
                    <w:tl2br w:val="nil"/>
                    <w:tr2bl w:val="nil"/>
                  </w:tcBorders>
                  <w:vAlign w:val="center"/>
                </w:tcPr>
                <w:p w14:paraId="501E0257">
                  <w:pPr>
                    <w:spacing w:line="240" w:lineRule="auto"/>
                    <w:ind w:firstLine="0" w:firstLineChars="0"/>
                    <w:jc w:val="center"/>
                    <w:rPr>
                      <w:rFonts w:hint="default"/>
                      <w:color w:val="auto"/>
                    </w:rPr>
                  </w:pPr>
                  <w:r>
                    <w:rPr>
                      <w:rFonts w:hint="default" w:eastAsia="宋体"/>
                      <w:color w:val="auto"/>
                    </w:rPr>
                    <w:t>污染物</w:t>
                  </w:r>
                </w:p>
              </w:tc>
              <w:tc>
                <w:tcPr>
                  <w:tcW w:w="1270" w:type="dxa"/>
                  <w:tcBorders>
                    <w:top w:val="single" w:color="auto" w:sz="4" w:space="0"/>
                    <w:left w:val="single" w:color="auto" w:sz="4" w:space="0"/>
                    <w:bottom w:val="single" w:color="auto" w:sz="4" w:space="0"/>
                    <w:right w:val="single" w:color="auto" w:sz="4" w:space="0"/>
                    <w:tl2br w:val="nil"/>
                    <w:tr2bl w:val="nil"/>
                  </w:tcBorders>
                  <w:tcMar>
                    <w:left w:w="0" w:type="dxa"/>
                    <w:right w:w="0" w:type="dxa"/>
                  </w:tcMar>
                  <w:vAlign w:val="center"/>
                </w:tcPr>
                <w:p w14:paraId="250D924D">
                  <w:pPr>
                    <w:spacing w:line="240" w:lineRule="auto"/>
                    <w:ind w:firstLine="0" w:firstLineChars="0"/>
                    <w:jc w:val="center"/>
                    <w:rPr>
                      <w:rFonts w:hint="default"/>
                      <w:color w:val="auto"/>
                    </w:rPr>
                  </w:pPr>
                  <w:r>
                    <w:rPr>
                      <w:rFonts w:hint="default" w:eastAsia="宋体"/>
                      <w:color w:val="auto"/>
                    </w:rPr>
                    <w:t>排放标准值</w:t>
                  </w:r>
                </w:p>
              </w:tc>
              <w:tc>
                <w:tcPr>
                  <w:tcW w:w="4406" w:type="dxa"/>
                  <w:tcBorders>
                    <w:top w:val="single" w:color="auto" w:sz="4" w:space="0"/>
                    <w:left w:val="single" w:color="auto" w:sz="4" w:space="0"/>
                    <w:bottom w:val="single" w:color="auto" w:sz="4" w:space="0"/>
                    <w:right w:val="single" w:color="auto" w:sz="4" w:space="0"/>
                    <w:tl2br w:val="nil"/>
                    <w:tr2bl w:val="nil"/>
                  </w:tcBorders>
                  <w:tcMar>
                    <w:left w:w="0" w:type="dxa"/>
                    <w:right w:w="0" w:type="dxa"/>
                  </w:tcMar>
                  <w:vAlign w:val="center"/>
                </w:tcPr>
                <w:p w14:paraId="0D59F67A">
                  <w:pPr>
                    <w:spacing w:line="240" w:lineRule="auto"/>
                    <w:ind w:firstLine="0" w:firstLineChars="0"/>
                    <w:jc w:val="center"/>
                    <w:rPr>
                      <w:rFonts w:hint="default"/>
                      <w:color w:val="auto"/>
                    </w:rPr>
                  </w:pPr>
                  <w:r>
                    <w:rPr>
                      <w:rFonts w:hint="default" w:eastAsia="宋体"/>
                      <w:color w:val="auto"/>
                    </w:rPr>
                    <w:t>标准来源</w:t>
                  </w:r>
                </w:p>
              </w:tc>
            </w:tr>
            <w:tr w14:paraId="2CA5F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8" w:hRule="atLeast"/>
              </w:trPr>
              <w:tc>
                <w:tcPr>
                  <w:tcW w:w="842" w:type="dxa"/>
                  <w:tcBorders>
                    <w:top w:val="single" w:color="auto" w:sz="4" w:space="0"/>
                    <w:left w:val="single" w:color="auto" w:sz="4" w:space="0"/>
                    <w:bottom w:val="single" w:color="auto" w:sz="4" w:space="0"/>
                    <w:right w:val="single" w:color="auto" w:sz="4" w:space="0"/>
                    <w:tl2br w:val="nil"/>
                    <w:tr2bl w:val="nil"/>
                  </w:tcBorders>
                  <w:tcMar>
                    <w:left w:w="0" w:type="dxa"/>
                    <w:right w:w="0" w:type="dxa"/>
                  </w:tcMar>
                  <w:vAlign w:val="center"/>
                </w:tcPr>
                <w:p w14:paraId="36EFAC49">
                  <w:pPr>
                    <w:spacing w:line="240" w:lineRule="auto"/>
                    <w:ind w:firstLine="0" w:firstLineChars="0"/>
                    <w:jc w:val="center"/>
                    <w:rPr>
                      <w:rFonts w:hint="default"/>
                      <w:color w:val="auto"/>
                    </w:rPr>
                  </w:pPr>
                  <w:r>
                    <w:rPr>
                      <w:rFonts w:hint="default" w:eastAsia="宋体"/>
                      <w:color w:val="auto"/>
                    </w:rPr>
                    <w:t>施工期</w:t>
                  </w:r>
                </w:p>
              </w:tc>
              <w:tc>
                <w:tcPr>
                  <w:tcW w:w="1320" w:type="dxa"/>
                  <w:tcBorders>
                    <w:top w:val="single" w:color="auto" w:sz="4" w:space="0"/>
                    <w:left w:val="single" w:color="auto" w:sz="4" w:space="0"/>
                    <w:bottom w:val="single" w:color="auto" w:sz="4" w:space="0"/>
                    <w:right w:val="single" w:color="auto" w:sz="4" w:space="0"/>
                    <w:tl2br w:val="nil"/>
                    <w:tr2bl w:val="nil"/>
                  </w:tcBorders>
                  <w:vAlign w:val="center"/>
                </w:tcPr>
                <w:p w14:paraId="2E58364F">
                  <w:pPr>
                    <w:spacing w:line="240" w:lineRule="auto"/>
                    <w:ind w:firstLine="0" w:firstLineChars="0"/>
                    <w:jc w:val="center"/>
                    <w:rPr>
                      <w:rFonts w:hint="default"/>
                      <w:color w:val="auto"/>
                    </w:rPr>
                  </w:pPr>
                  <w:r>
                    <w:rPr>
                      <w:rFonts w:hint="default" w:eastAsia="宋体"/>
                      <w:color w:val="auto"/>
                    </w:rPr>
                    <w:t>颗粒物</w:t>
                  </w:r>
                </w:p>
              </w:tc>
              <w:tc>
                <w:tcPr>
                  <w:tcW w:w="1270" w:type="dxa"/>
                  <w:tcBorders>
                    <w:top w:val="single" w:color="auto" w:sz="4" w:space="0"/>
                    <w:left w:val="single" w:color="auto" w:sz="4" w:space="0"/>
                    <w:bottom w:val="single" w:color="auto" w:sz="4" w:space="0"/>
                    <w:right w:val="single" w:color="auto" w:sz="4" w:space="0"/>
                    <w:tl2br w:val="nil"/>
                    <w:tr2bl w:val="nil"/>
                  </w:tcBorders>
                  <w:tcMar>
                    <w:left w:w="0" w:type="dxa"/>
                    <w:right w:w="0" w:type="dxa"/>
                  </w:tcMar>
                  <w:vAlign w:val="center"/>
                </w:tcPr>
                <w:p w14:paraId="7D740F71">
                  <w:pPr>
                    <w:spacing w:line="240" w:lineRule="auto"/>
                    <w:ind w:firstLine="0" w:firstLineChars="0"/>
                    <w:jc w:val="center"/>
                    <w:rPr>
                      <w:rFonts w:hint="default" w:eastAsia="宋体"/>
                      <w:color w:val="auto"/>
                    </w:rPr>
                  </w:pPr>
                  <w:r>
                    <w:rPr>
                      <w:rFonts w:hint="default"/>
                      <w:color w:val="auto"/>
                    </w:rPr>
                    <w:t>1.0mg/</w:t>
                  </w:r>
                  <w:r>
                    <w:rPr>
                      <w:rFonts w:hint="default" w:eastAsia="宋体"/>
                      <w:color w:val="auto"/>
                    </w:rPr>
                    <w:t>m³</w:t>
                  </w:r>
                </w:p>
              </w:tc>
              <w:tc>
                <w:tcPr>
                  <w:tcW w:w="4406" w:type="dxa"/>
                  <w:tcBorders>
                    <w:top w:val="single" w:color="auto" w:sz="4" w:space="0"/>
                    <w:left w:val="single" w:color="auto" w:sz="4" w:space="0"/>
                    <w:bottom w:val="single" w:color="auto" w:sz="4" w:space="0"/>
                    <w:right w:val="single" w:color="auto" w:sz="4" w:space="0"/>
                    <w:tl2br w:val="nil"/>
                    <w:tr2bl w:val="nil"/>
                  </w:tcBorders>
                  <w:tcMar>
                    <w:left w:w="0" w:type="dxa"/>
                    <w:right w:w="0" w:type="dxa"/>
                  </w:tcMar>
                  <w:vAlign w:val="center"/>
                </w:tcPr>
                <w:p w14:paraId="23E2F86F">
                  <w:pPr>
                    <w:spacing w:line="240" w:lineRule="auto"/>
                    <w:ind w:firstLine="0" w:firstLineChars="0"/>
                    <w:jc w:val="center"/>
                    <w:rPr>
                      <w:rFonts w:hint="default"/>
                      <w:color w:val="auto"/>
                    </w:rPr>
                  </w:pPr>
                  <w:r>
                    <w:rPr>
                      <w:rFonts w:hint="default" w:eastAsia="宋体"/>
                      <w:color w:val="auto"/>
                    </w:rPr>
                    <w:t>《大气污染物综合排放标准》（GB16297-1996）表2新污染源大气排放限值中无组织排放监控浓度限值</w:t>
                  </w:r>
                </w:p>
              </w:tc>
            </w:tr>
          </w:tbl>
          <w:p w14:paraId="1B54F758">
            <w:pPr>
              <w:ind w:firstLine="0" w:firstLineChars="0"/>
              <w:jc w:val="center"/>
              <w:rPr>
                <w:rFonts w:hint="default"/>
                <w:b/>
                <w:color w:val="auto"/>
              </w:rPr>
            </w:pPr>
            <w:r>
              <w:rPr>
                <w:rFonts w:hint="default" w:eastAsia="宋体"/>
                <w:b/>
                <w:color w:val="auto"/>
              </w:rPr>
              <w:t>表3-</w:t>
            </w:r>
            <w:r>
              <w:rPr>
                <w:rFonts w:hint="eastAsia" w:eastAsia="宋体"/>
                <w:b/>
                <w:color w:val="auto"/>
                <w:lang w:val="en-US" w:eastAsia="zh-CN"/>
              </w:rPr>
              <w:t>5</w:t>
            </w:r>
            <w:r>
              <w:rPr>
                <w:rFonts w:hint="default" w:eastAsia="宋体"/>
                <w:b/>
                <w:color w:val="auto"/>
              </w:rPr>
              <w:t>本项目运营期废气排放执行标准</w:t>
            </w:r>
          </w:p>
          <w:tbl>
            <w:tblPr>
              <w:tblStyle w:val="14"/>
              <w:tblW w:w="78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0"/>
              <w:gridCol w:w="1384"/>
              <w:gridCol w:w="1913"/>
              <w:gridCol w:w="3062"/>
            </w:tblGrid>
            <w:tr w14:paraId="702EB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1460" w:type="dxa"/>
                  <w:vMerge w:val="restart"/>
                  <w:tcBorders>
                    <w:top w:val="single" w:color="auto" w:sz="4" w:space="0"/>
                    <w:left w:val="single" w:color="auto" w:sz="4" w:space="0"/>
                    <w:bottom w:val="single" w:color="auto" w:sz="4" w:space="0"/>
                    <w:right w:val="single" w:color="auto" w:sz="4" w:space="0"/>
                    <w:tl2br w:val="nil"/>
                    <w:tr2bl w:val="nil"/>
                  </w:tcBorders>
                  <w:vAlign w:val="center"/>
                </w:tcPr>
                <w:p w14:paraId="1166A8A5">
                  <w:pPr>
                    <w:spacing w:line="240" w:lineRule="auto"/>
                    <w:ind w:firstLine="0" w:firstLineChars="0"/>
                    <w:jc w:val="center"/>
                    <w:rPr>
                      <w:rFonts w:hint="default"/>
                      <w:color w:val="auto"/>
                    </w:rPr>
                  </w:pPr>
                  <w:r>
                    <w:rPr>
                      <w:rFonts w:hint="default" w:eastAsia="宋体"/>
                      <w:color w:val="auto"/>
                    </w:rPr>
                    <w:t>污染物</w:t>
                  </w:r>
                </w:p>
              </w:tc>
              <w:tc>
                <w:tcPr>
                  <w:tcW w:w="3297"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4C8F8BF4">
                  <w:pPr>
                    <w:spacing w:line="240" w:lineRule="auto"/>
                    <w:ind w:firstLine="0" w:firstLineChars="0"/>
                    <w:jc w:val="center"/>
                    <w:rPr>
                      <w:rFonts w:hint="default"/>
                      <w:color w:val="auto"/>
                    </w:rPr>
                  </w:pPr>
                  <w:r>
                    <w:rPr>
                      <w:rFonts w:hint="default" w:eastAsia="宋体"/>
                      <w:color w:val="auto"/>
                    </w:rPr>
                    <w:t>无组织排放监控浓度限值</w:t>
                  </w:r>
                </w:p>
              </w:tc>
              <w:tc>
                <w:tcPr>
                  <w:tcW w:w="3062" w:type="dxa"/>
                  <w:vMerge w:val="restart"/>
                  <w:tcBorders>
                    <w:top w:val="single" w:color="auto" w:sz="4" w:space="0"/>
                    <w:left w:val="single" w:color="auto" w:sz="4" w:space="0"/>
                    <w:bottom w:val="single" w:color="auto" w:sz="4" w:space="0"/>
                    <w:right w:val="single" w:color="auto" w:sz="4" w:space="0"/>
                    <w:tl2br w:val="nil"/>
                    <w:tr2bl w:val="nil"/>
                  </w:tcBorders>
                  <w:vAlign w:val="center"/>
                </w:tcPr>
                <w:p w14:paraId="3E0B352E">
                  <w:pPr>
                    <w:spacing w:line="240" w:lineRule="auto"/>
                    <w:ind w:firstLine="0" w:firstLineChars="0"/>
                    <w:jc w:val="center"/>
                    <w:rPr>
                      <w:rFonts w:hint="default"/>
                      <w:color w:val="auto"/>
                    </w:rPr>
                  </w:pPr>
                  <w:r>
                    <w:rPr>
                      <w:rFonts w:hint="default" w:eastAsia="宋体"/>
                      <w:color w:val="auto"/>
                    </w:rPr>
                    <w:t>执行标准</w:t>
                  </w:r>
                </w:p>
              </w:tc>
            </w:tr>
            <w:tr w14:paraId="67A13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1460"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7EE8F0C3">
                  <w:pPr>
                    <w:spacing w:line="240" w:lineRule="auto"/>
                    <w:ind w:firstLine="0" w:firstLineChars="0"/>
                    <w:jc w:val="center"/>
                    <w:rPr>
                      <w:rFonts w:hint="default"/>
                      <w:color w:val="auto"/>
                    </w:rPr>
                  </w:pPr>
                </w:p>
              </w:tc>
              <w:tc>
                <w:tcPr>
                  <w:tcW w:w="1384" w:type="dxa"/>
                  <w:tcBorders>
                    <w:top w:val="single" w:color="auto" w:sz="4" w:space="0"/>
                    <w:left w:val="single" w:color="auto" w:sz="4" w:space="0"/>
                    <w:bottom w:val="single" w:color="auto" w:sz="4" w:space="0"/>
                    <w:right w:val="single" w:color="auto" w:sz="4" w:space="0"/>
                    <w:tl2br w:val="nil"/>
                    <w:tr2bl w:val="nil"/>
                  </w:tcBorders>
                  <w:vAlign w:val="center"/>
                </w:tcPr>
                <w:p w14:paraId="39181DCC">
                  <w:pPr>
                    <w:spacing w:line="240" w:lineRule="auto"/>
                    <w:ind w:firstLine="0" w:firstLineChars="0"/>
                    <w:jc w:val="center"/>
                    <w:rPr>
                      <w:rFonts w:hint="default"/>
                      <w:color w:val="auto"/>
                    </w:rPr>
                  </w:pPr>
                  <w:r>
                    <w:rPr>
                      <w:rFonts w:hint="default" w:eastAsia="宋体"/>
                      <w:color w:val="auto"/>
                    </w:rPr>
                    <w:t>监控点</w:t>
                  </w:r>
                </w:p>
              </w:tc>
              <w:tc>
                <w:tcPr>
                  <w:tcW w:w="1913" w:type="dxa"/>
                  <w:tcBorders>
                    <w:top w:val="single" w:color="auto" w:sz="4" w:space="0"/>
                    <w:left w:val="single" w:color="auto" w:sz="4" w:space="0"/>
                    <w:bottom w:val="single" w:color="auto" w:sz="4" w:space="0"/>
                    <w:right w:val="single" w:color="auto" w:sz="4" w:space="0"/>
                    <w:tl2br w:val="nil"/>
                    <w:tr2bl w:val="nil"/>
                  </w:tcBorders>
                  <w:vAlign w:val="center"/>
                </w:tcPr>
                <w:p w14:paraId="05AA3D2D">
                  <w:pPr>
                    <w:spacing w:line="240" w:lineRule="auto"/>
                    <w:ind w:firstLine="0" w:firstLineChars="0"/>
                    <w:jc w:val="center"/>
                    <w:rPr>
                      <w:rFonts w:hint="default"/>
                      <w:color w:val="auto"/>
                    </w:rPr>
                  </w:pPr>
                  <w:r>
                    <w:rPr>
                      <w:rFonts w:hint="default" w:eastAsia="宋体"/>
                      <w:color w:val="auto"/>
                    </w:rPr>
                    <w:t>浓度（mg/m³）</w:t>
                  </w:r>
                </w:p>
              </w:tc>
              <w:tc>
                <w:tcPr>
                  <w:tcW w:w="3062"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225DFACB">
                  <w:pPr>
                    <w:spacing w:line="240" w:lineRule="auto"/>
                    <w:ind w:firstLine="0" w:firstLineChars="0"/>
                    <w:jc w:val="center"/>
                    <w:rPr>
                      <w:rFonts w:hint="default"/>
                      <w:color w:val="auto"/>
                    </w:rPr>
                  </w:pPr>
                </w:p>
              </w:tc>
            </w:tr>
            <w:tr w14:paraId="634E5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1460" w:type="dxa"/>
                  <w:tcBorders>
                    <w:top w:val="single" w:color="auto" w:sz="4" w:space="0"/>
                    <w:left w:val="single" w:color="auto" w:sz="4" w:space="0"/>
                    <w:bottom w:val="single" w:color="auto" w:sz="4" w:space="0"/>
                    <w:right w:val="single" w:color="auto" w:sz="4" w:space="0"/>
                    <w:tl2br w:val="nil"/>
                    <w:tr2bl w:val="nil"/>
                  </w:tcBorders>
                  <w:vAlign w:val="center"/>
                </w:tcPr>
                <w:p w14:paraId="2FE9F6D9">
                  <w:pPr>
                    <w:spacing w:line="240" w:lineRule="auto"/>
                    <w:ind w:firstLine="0" w:firstLineChars="0"/>
                    <w:jc w:val="center"/>
                    <w:rPr>
                      <w:rFonts w:hint="default"/>
                      <w:color w:val="auto"/>
                    </w:rPr>
                  </w:pPr>
                  <w:r>
                    <w:rPr>
                      <w:rFonts w:hint="default" w:eastAsia="宋体"/>
                      <w:color w:val="auto"/>
                    </w:rPr>
                    <w:t>非甲烷总烃</w:t>
                  </w:r>
                </w:p>
              </w:tc>
              <w:tc>
                <w:tcPr>
                  <w:tcW w:w="1384" w:type="dxa"/>
                  <w:vMerge w:val="restart"/>
                  <w:tcBorders>
                    <w:top w:val="single" w:color="auto" w:sz="4" w:space="0"/>
                    <w:left w:val="single" w:color="auto" w:sz="4" w:space="0"/>
                    <w:right w:val="single" w:color="auto" w:sz="4" w:space="0"/>
                    <w:tl2br w:val="nil"/>
                    <w:tr2bl w:val="nil"/>
                  </w:tcBorders>
                  <w:vAlign w:val="center"/>
                </w:tcPr>
                <w:p w14:paraId="5430A9CD">
                  <w:pPr>
                    <w:spacing w:line="240" w:lineRule="auto"/>
                    <w:ind w:firstLine="0" w:firstLineChars="0"/>
                    <w:jc w:val="center"/>
                    <w:rPr>
                      <w:rFonts w:hint="default"/>
                      <w:color w:val="auto"/>
                    </w:rPr>
                  </w:pPr>
                  <w:r>
                    <w:rPr>
                      <w:rFonts w:hint="default" w:eastAsia="宋体"/>
                      <w:color w:val="auto"/>
                    </w:rPr>
                    <w:t>周界外浓度最高点</w:t>
                  </w:r>
                </w:p>
              </w:tc>
              <w:tc>
                <w:tcPr>
                  <w:tcW w:w="1913" w:type="dxa"/>
                  <w:tcBorders>
                    <w:top w:val="single" w:color="auto" w:sz="4" w:space="0"/>
                    <w:left w:val="single" w:color="auto" w:sz="4" w:space="0"/>
                    <w:bottom w:val="single" w:color="auto" w:sz="4" w:space="0"/>
                    <w:right w:val="single" w:color="auto" w:sz="4" w:space="0"/>
                    <w:tl2br w:val="nil"/>
                    <w:tr2bl w:val="nil"/>
                  </w:tcBorders>
                  <w:vAlign w:val="center"/>
                </w:tcPr>
                <w:p w14:paraId="10216422">
                  <w:pPr>
                    <w:spacing w:line="240" w:lineRule="auto"/>
                    <w:ind w:firstLine="0" w:firstLineChars="0"/>
                    <w:jc w:val="center"/>
                    <w:rPr>
                      <w:rFonts w:hint="default"/>
                      <w:color w:val="auto"/>
                    </w:rPr>
                  </w:pPr>
                  <w:r>
                    <w:rPr>
                      <w:rFonts w:hint="default"/>
                      <w:color w:val="auto"/>
                    </w:rPr>
                    <w:t>4.0</w:t>
                  </w:r>
                </w:p>
              </w:tc>
              <w:tc>
                <w:tcPr>
                  <w:tcW w:w="3062" w:type="dxa"/>
                  <w:vMerge w:val="restart"/>
                  <w:tcBorders>
                    <w:top w:val="single" w:color="auto" w:sz="4" w:space="0"/>
                    <w:left w:val="single" w:color="auto" w:sz="4" w:space="0"/>
                    <w:right w:val="single" w:color="auto" w:sz="4" w:space="0"/>
                    <w:tl2br w:val="nil"/>
                    <w:tr2bl w:val="nil"/>
                  </w:tcBorders>
                  <w:vAlign w:val="center"/>
                </w:tcPr>
                <w:p w14:paraId="0EB3EC22">
                  <w:pPr>
                    <w:spacing w:line="240" w:lineRule="auto"/>
                    <w:ind w:firstLine="0" w:firstLineChars="0"/>
                    <w:jc w:val="center"/>
                    <w:rPr>
                      <w:rFonts w:hint="default"/>
                      <w:color w:val="auto"/>
                    </w:rPr>
                  </w:pPr>
                  <w:r>
                    <w:rPr>
                      <w:rFonts w:hint="default" w:eastAsia="宋体"/>
                      <w:color w:val="auto"/>
                    </w:rPr>
                    <w:t>《大气污染物综合排放标准》（GB16297-1996）中表2新污染源大气排放限值中无组织排放监控浓度限值</w:t>
                  </w:r>
                </w:p>
              </w:tc>
            </w:tr>
            <w:tr w14:paraId="6C06A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60" w:type="dxa"/>
                  <w:tcBorders>
                    <w:top w:val="single" w:color="auto" w:sz="4" w:space="0"/>
                    <w:left w:val="single" w:color="auto" w:sz="4" w:space="0"/>
                    <w:right w:val="single" w:color="auto" w:sz="4" w:space="0"/>
                    <w:tl2br w:val="nil"/>
                    <w:tr2bl w:val="nil"/>
                  </w:tcBorders>
                  <w:vAlign w:val="center"/>
                </w:tcPr>
                <w:p w14:paraId="37C8A22A">
                  <w:pPr>
                    <w:spacing w:line="240" w:lineRule="auto"/>
                    <w:ind w:firstLine="0" w:firstLineChars="0"/>
                    <w:jc w:val="center"/>
                    <w:rPr>
                      <w:rFonts w:hint="eastAsia" w:eastAsia="宋体"/>
                      <w:color w:val="auto"/>
                      <w:lang w:val="en-US" w:eastAsia="zh-CN"/>
                    </w:rPr>
                  </w:pPr>
                  <w:r>
                    <w:rPr>
                      <w:rFonts w:hint="eastAsia" w:eastAsia="宋体"/>
                      <w:color w:val="auto"/>
                      <w:lang w:val="en-US" w:eastAsia="zh-CN"/>
                    </w:rPr>
                    <w:t>硫酸雾</w:t>
                  </w:r>
                </w:p>
              </w:tc>
              <w:tc>
                <w:tcPr>
                  <w:tcW w:w="1384" w:type="dxa"/>
                  <w:vMerge w:val="continue"/>
                  <w:tcBorders>
                    <w:left w:val="single" w:color="auto" w:sz="4" w:space="0"/>
                    <w:bottom w:val="single" w:color="auto" w:sz="4" w:space="0"/>
                    <w:right w:val="single" w:color="auto" w:sz="4" w:space="0"/>
                    <w:tl2br w:val="nil"/>
                    <w:tr2bl w:val="nil"/>
                  </w:tcBorders>
                  <w:vAlign w:val="center"/>
                </w:tcPr>
                <w:p w14:paraId="3C35AB02">
                  <w:pPr>
                    <w:spacing w:line="240" w:lineRule="auto"/>
                    <w:ind w:firstLine="0" w:firstLineChars="0"/>
                    <w:jc w:val="center"/>
                    <w:rPr>
                      <w:rFonts w:hint="default" w:eastAsia="宋体"/>
                      <w:color w:val="auto"/>
                    </w:rPr>
                  </w:pPr>
                </w:p>
              </w:tc>
              <w:tc>
                <w:tcPr>
                  <w:tcW w:w="1913" w:type="dxa"/>
                  <w:tcBorders>
                    <w:top w:val="single" w:color="auto" w:sz="4" w:space="0"/>
                    <w:left w:val="single" w:color="auto" w:sz="4" w:space="0"/>
                    <w:bottom w:val="single" w:color="auto" w:sz="4" w:space="0"/>
                    <w:right w:val="single" w:color="auto" w:sz="4" w:space="0"/>
                    <w:tl2br w:val="nil"/>
                    <w:tr2bl w:val="nil"/>
                  </w:tcBorders>
                  <w:vAlign w:val="center"/>
                </w:tcPr>
                <w:p w14:paraId="3A8FEDEB">
                  <w:pPr>
                    <w:spacing w:line="240" w:lineRule="auto"/>
                    <w:ind w:firstLine="0" w:firstLineChars="0"/>
                    <w:jc w:val="center"/>
                    <w:rPr>
                      <w:rFonts w:hint="default" w:eastAsia="宋体"/>
                      <w:color w:val="auto"/>
                      <w:lang w:val="en-US" w:eastAsia="zh-CN"/>
                    </w:rPr>
                  </w:pPr>
                  <w:r>
                    <w:rPr>
                      <w:rFonts w:hint="eastAsia" w:eastAsia="宋体"/>
                      <w:color w:val="auto"/>
                      <w:lang w:val="en-US" w:eastAsia="zh-CN"/>
                    </w:rPr>
                    <w:t>1.2</w:t>
                  </w:r>
                </w:p>
              </w:tc>
              <w:tc>
                <w:tcPr>
                  <w:tcW w:w="3062" w:type="dxa"/>
                  <w:vMerge w:val="continue"/>
                  <w:tcBorders>
                    <w:left w:val="single" w:color="auto" w:sz="4" w:space="0"/>
                    <w:bottom w:val="single" w:color="auto" w:sz="4" w:space="0"/>
                    <w:right w:val="single" w:color="auto" w:sz="4" w:space="0"/>
                    <w:tl2br w:val="nil"/>
                    <w:tr2bl w:val="nil"/>
                  </w:tcBorders>
                  <w:vAlign w:val="center"/>
                </w:tcPr>
                <w:p w14:paraId="44E12841">
                  <w:pPr>
                    <w:spacing w:line="240" w:lineRule="auto"/>
                    <w:ind w:firstLine="0" w:firstLineChars="0"/>
                    <w:jc w:val="center"/>
                    <w:rPr>
                      <w:rFonts w:hint="default" w:eastAsia="宋体"/>
                      <w:color w:val="auto"/>
                    </w:rPr>
                  </w:pPr>
                </w:p>
              </w:tc>
            </w:tr>
          </w:tbl>
          <w:p w14:paraId="337CC8F5">
            <w:pPr>
              <w:ind w:firstLine="482"/>
              <w:rPr>
                <w:rFonts w:hint="default"/>
                <w:b/>
                <w:color w:val="auto"/>
              </w:rPr>
            </w:pPr>
            <w:r>
              <w:rPr>
                <w:rFonts w:hint="default" w:eastAsia="宋体"/>
                <w:b/>
                <w:color w:val="auto"/>
              </w:rPr>
              <w:t>二、噪声排放标准</w:t>
            </w:r>
          </w:p>
          <w:p w14:paraId="3208A651">
            <w:pPr>
              <w:ind w:firstLine="480"/>
              <w:rPr>
                <w:rFonts w:hint="default"/>
                <w:color w:val="auto"/>
              </w:rPr>
            </w:pPr>
            <w:r>
              <w:rPr>
                <w:rFonts w:hint="default" w:eastAsia="宋体"/>
                <w:color w:val="auto"/>
              </w:rPr>
              <w:t>施工噪声执行《</w:t>
            </w:r>
            <w:r>
              <w:rPr>
                <w:rFonts w:hint="eastAsia" w:eastAsia="宋体"/>
                <w:color w:val="auto"/>
                <w:lang w:eastAsia="zh-CN"/>
              </w:rPr>
              <w:t>建筑施工噪声排放标准</w:t>
            </w:r>
            <w:r>
              <w:rPr>
                <w:rFonts w:hint="default" w:eastAsia="宋体"/>
                <w:color w:val="auto"/>
              </w:rPr>
              <w:t>》（</w:t>
            </w:r>
            <w:r>
              <w:rPr>
                <w:rFonts w:hint="eastAsia" w:eastAsia="宋体"/>
                <w:color w:val="auto"/>
                <w:lang w:eastAsia="zh-CN"/>
              </w:rPr>
              <w:t>GB12523-2025</w:t>
            </w:r>
            <w:r>
              <w:rPr>
                <w:rFonts w:hint="default" w:eastAsia="宋体"/>
                <w:color w:val="auto"/>
              </w:rPr>
              <w:t>）的标准限值；运营期边界噪声执行《工业企业厂界环境噪声排放标准》（GB12348-2008）中</w:t>
            </w:r>
            <w:r>
              <w:rPr>
                <w:rFonts w:hint="eastAsia" w:eastAsia="宋体"/>
                <w:color w:val="auto"/>
                <w:lang w:eastAsia="zh-CN"/>
              </w:rPr>
              <w:t>3类</w:t>
            </w:r>
            <w:r>
              <w:rPr>
                <w:rFonts w:hint="default" w:eastAsia="宋体"/>
                <w:color w:val="auto"/>
              </w:rPr>
              <w:t>标准限值，具体指标见表3-</w:t>
            </w:r>
            <w:r>
              <w:rPr>
                <w:rFonts w:hint="eastAsia" w:eastAsia="宋体"/>
                <w:color w:val="auto"/>
                <w:lang w:val="en-US" w:eastAsia="zh-CN"/>
              </w:rPr>
              <w:t>6</w:t>
            </w:r>
            <w:r>
              <w:rPr>
                <w:rFonts w:hint="default" w:eastAsia="宋体"/>
                <w:color w:val="auto"/>
              </w:rPr>
              <w:t>。</w:t>
            </w:r>
          </w:p>
          <w:p w14:paraId="1E86798D">
            <w:pPr>
              <w:ind w:firstLine="0" w:firstLineChars="0"/>
              <w:jc w:val="center"/>
              <w:rPr>
                <w:rFonts w:hint="default"/>
                <w:b/>
                <w:color w:val="auto"/>
              </w:rPr>
            </w:pPr>
            <w:r>
              <w:rPr>
                <w:rFonts w:hint="default" w:eastAsia="宋体"/>
                <w:b/>
                <w:color w:val="auto"/>
              </w:rPr>
              <w:t>表3-</w:t>
            </w:r>
            <w:r>
              <w:rPr>
                <w:rFonts w:hint="eastAsia" w:eastAsia="宋体"/>
                <w:b/>
                <w:color w:val="auto"/>
                <w:lang w:val="en-US" w:eastAsia="zh-CN"/>
              </w:rPr>
              <w:t>6</w:t>
            </w:r>
            <w:r>
              <w:rPr>
                <w:rFonts w:hint="default" w:eastAsia="宋体"/>
                <w:b/>
                <w:color w:val="auto"/>
              </w:rPr>
              <w:t>噪声排放标准一览表</w:t>
            </w:r>
          </w:p>
          <w:tbl>
            <w:tblPr>
              <w:tblStyle w:val="14"/>
              <w:tblW w:w="78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9"/>
              <w:gridCol w:w="1316"/>
              <w:gridCol w:w="1500"/>
              <w:gridCol w:w="4003"/>
            </w:tblGrid>
            <w:tr w14:paraId="57E32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1059" w:type="dxa"/>
                  <w:vMerge w:val="restart"/>
                  <w:tcBorders>
                    <w:top w:val="single" w:color="auto" w:sz="4" w:space="0"/>
                    <w:left w:val="single" w:color="auto" w:sz="4" w:space="0"/>
                    <w:bottom w:val="single" w:color="auto" w:sz="4" w:space="0"/>
                    <w:right w:val="single" w:color="auto" w:sz="4" w:space="0"/>
                    <w:tl2br w:val="nil"/>
                    <w:tr2bl w:val="nil"/>
                  </w:tcBorders>
                  <w:vAlign w:val="center"/>
                </w:tcPr>
                <w:p w14:paraId="7297AC03">
                  <w:pPr>
                    <w:spacing w:line="240" w:lineRule="auto"/>
                    <w:ind w:firstLine="0" w:firstLineChars="0"/>
                    <w:jc w:val="center"/>
                    <w:rPr>
                      <w:rFonts w:hint="default"/>
                      <w:color w:val="auto"/>
                    </w:rPr>
                  </w:pPr>
                  <w:r>
                    <w:rPr>
                      <w:rFonts w:hint="default" w:eastAsia="宋体"/>
                      <w:color w:val="auto"/>
                    </w:rPr>
                    <w:t>时期</w:t>
                  </w:r>
                </w:p>
              </w:tc>
              <w:tc>
                <w:tcPr>
                  <w:tcW w:w="2816"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542D82EB">
                  <w:pPr>
                    <w:spacing w:line="240" w:lineRule="auto"/>
                    <w:ind w:firstLine="0" w:firstLineChars="0"/>
                    <w:jc w:val="center"/>
                    <w:rPr>
                      <w:rFonts w:hint="default"/>
                      <w:color w:val="auto"/>
                    </w:rPr>
                  </w:pPr>
                  <w:r>
                    <w:rPr>
                      <w:rFonts w:hint="default" w:eastAsia="宋体"/>
                      <w:color w:val="auto"/>
                    </w:rPr>
                    <w:t>噪声限值Leq[dB（A）]</w:t>
                  </w:r>
                </w:p>
              </w:tc>
              <w:tc>
                <w:tcPr>
                  <w:tcW w:w="4003" w:type="dxa"/>
                  <w:vMerge w:val="restart"/>
                  <w:tcBorders>
                    <w:top w:val="single" w:color="auto" w:sz="4" w:space="0"/>
                    <w:left w:val="single" w:color="auto" w:sz="4" w:space="0"/>
                    <w:bottom w:val="single" w:color="auto" w:sz="4" w:space="0"/>
                    <w:right w:val="single" w:color="auto" w:sz="4" w:space="0"/>
                    <w:tl2br w:val="nil"/>
                    <w:tr2bl w:val="nil"/>
                  </w:tcBorders>
                  <w:vAlign w:val="center"/>
                </w:tcPr>
                <w:p w14:paraId="6E6AE3B4">
                  <w:pPr>
                    <w:spacing w:line="240" w:lineRule="auto"/>
                    <w:ind w:firstLine="0" w:firstLineChars="0"/>
                    <w:jc w:val="center"/>
                    <w:rPr>
                      <w:rFonts w:hint="default"/>
                      <w:color w:val="auto"/>
                    </w:rPr>
                  </w:pPr>
                  <w:r>
                    <w:rPr>
                      <w:rFonts w:hint="default" w:eastAsia="宋体"/>
                      <w:color w:val="auto"/>
                    </w:rPr>
                    <w:t>排放标准</w:t>
                  </w:r>
                </w:p>
              </w:tc>
            </w:tr>
            <w:tr w14:paraId="58DCB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1059"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2A9CE745">
                  <w:pPr>
                    <w:spacing w:line="240" w:lineRule="auto"/>
                    <w:ind w:firstLine="0" w:firstLineChars="0"/>
                    <w:jc w:val="center"/>
                    <w:rPr>
                      <w:rFonts w:hint="default"/>
                      <w:color w:val="auto"/>
                    </w:rPr>
                  </w:pPr>
                </w:p>
              </w:tc>
              <w:tc>
                <w:tcPr>
                  <w:tcW w:w="1316" w:type="dxa"/>
                  <w:tcBorders>
                    <w:top w:val="single" w:color="auto" w:sz="4" w:space="0"/>
                    <w:left w:val="single" w:color="auto" w:sz="4" w:space="0"/>
                    <w:bottom w:val="single" w:color="auto" w:sz="4" w:space="0"/>
                    <w:right w:val="single" w:color="auto" w:sz="4" w:space="0"/>
                    <w:tl2br w:val="nil"/>
                    <w:tr2bl w:val="nil"/>
                  </w:tcBorders>
                  <w:vAlign w:val="center"/>
                </w:tcPr>
                <w:p w14:paraId="4E2BF07F">
                  <w:pPr>
                    <w:spacing w:line="240" w:lineRule="auto"/>
                    <w:ind w:firstLine="0" w:firstLineChars="0"/>
                    <w:jc w:val="center"/>
                    <w:rPr>
                      <w:rFonts w:hint="default"/>
                      <w:color w:val="auto"/>
                    </w:rPr>
                  </w:pPr>
                  <w:r>
                    <w:rPr>
                      <w:rFonts w:hint="default" w:eastAsia="宋体"/>
                      <w:color w:val="auto"/>
                    </w:rPr>
                    <w:t>昼间</w:t>
                  </w:r>
                </w:p>
              </w:tc>
              <w:tc>
                <w:tcPr>
                  <w:tcW w:w="1500" w:type="dxa"/>
                  <w:tcBorders>
                    <w:top w:val="single" w:color="auto" w:sz="4" w:space="0"/>
                    <w:left w:val="single" w:color="auto" w:sz="4" w:space="0"/>
                    <w:bottom w:val="single" w:color="auto" w:sz="4" w:space="0"/>
                    <w:right w:val="single" w:color="auto" w:sz="4" w:space="0"/>
                    <w:tl2br w:val="nil"/>
                    <w:tr2bl w:val="nil"/>
                  </w:tcBorders>
                  <w:vAlign w:val="center"/>
                </w:tcPr>
                <w:p w14:paraId="2E3ACF36">
                  <w:pPr>
                    <w:spacing w:line="240" w:lineRule="auto"/>
                    <w:ind w:firstLine="0" w:firstLineChars="0"/>
                    <w:jc w:val="center"/>
                    <w:rPr>
                      <w:rFonts w:hint="default"/>
                      <w:color w:val="auto"/>
                    </w:rPr>
                  </w:pPr>
                  <w:r>
                    <w:rPr>
                      <w:rFonts w:hint="default" w:eastAsia="宋体"/>
                      <w:color w:val="auto"/>
                    </w:rPr>
                    <w:t>夜间</w:t>
                  </w:r>
                </w:p>
              </w:tc>
              <w:tc>
                <w:tcPr>
                  <w:tcW w:w="4003"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29C5DA68">
                  <w:pPr>
                    <w:spacing w:line="240" w:lineRule="auto"/>
                    <w:ind w:firstLine="0" w:firstLineChars="0"/>
                    <w:jc w:val="center"/>
                    <w:rPr>
                      <w:rFonts w:hint="default"/>
                      <w:color w:val="auto"/>
                    </w:rPr>
                  </w:pPr>
                </w:p>
              </w:tc>
            </w:tr>
            <w:tr w14:paraId="0BB71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59" w:type="dxa"/>
                  <w:tcBorders>
                    <w:top w:val="single" w:color="auto" w:sz="4" w:space="0"/>
                    <w:left w:val="single" w:color="auto" w:sz="4" w:space="0"/>
                    <w:bottom w:val="single" w:color="auto" w:sz="4" w:space="0"/>
                    <w:right w:val="single" w:color="auto" w:sz="4" w:space="0"/>
                    <w:tl2br w:val="nil"/>
                    <w:tr2bl w:val="nil"/>
                  </w:tcBorders>
                  <w:vAlign w:val="center"/>
                </w:tcPr>
                <w:p w14:paraId="7492A2C7">
                  <w:pPr>
                    <w:spacing w:line="240" w:lineRule="auto"/>
                    <w:ind w:firstLine="0" w:firstLineChars="0"/>
                    <w:jc w:val="center"/>
                    <w:rPr>
                      <w:rFonts w:hint="default"/>
                      <w:color w:val="auto"/>
                    </w:rPr>
                  </w:pPr>
                  <w:r>
                    <w:rPr>
                      <w:rFonts w:hint="default" w:eastAsia="宋体"/>
                      <w:color w:val="auto"/>
                    </w:rPr>
                    <w:t>施工期</w:t>
                  </w:r>
                </w:p>
              </w:tc>
              <w:tc>
                <w:tcPr>
                  <w:tcW w:w="1316" w:type="dxa"/>
                  <w:tcBorders>
                    <w:top w:val="single" w:color="auto" w:sz="4" w:space="0"/>
                    <w:left w:val="single" w:color="auto" w:sz="4" w:space="0"/>
                    <w:bottom w:val="single" w:color="auto" w:sz="4" w:space="0"/>
                    <w:right w:val="single" w:color="auto" w:sz="4" w:space="0"/>
                    <w:tl2br w:val="nil"/>
                    <w:tr2bl w:val="nil"/>
                  </w:tcBorders>
                  <w:vAlign w:val="center"/>
                </w:tcPr>
                <w:p w14:paraId="0F6BC88E">
                  <w:pPr>
                    <w:spacing w:line="240" w:lineRule="auto"/>
                    <w:ind w:firstLine="0" w:firstLineChars="0"/>
                    <w:jc w:val="center"/>
                    <w:rPr>
                      <w:rFonts w:hint="default"/>
                      <w:color w:val="auto"/>
                    </w:rPr>
                  </w:pPr>
                  <w:r>
                    <w:rPr>
                      <w:rFonts w:hint="default"/>
                      <w:color w:val="auto"/>
                    </w:rPr>
                    <w:t>70</w:t>
                  </w:r>
                </w:p>
              </w:tc>
              <w:tc>
                <w:tcPr>
                  <w:tcW w:w="1500" w:type="dxa"/>
                  <w:tcBorders>
                    <w:top w:val="single" w:color="auto" w:sz="4" w:space="0"/>
                    <w:left w:val="single" w:color="auto" w:sz="4" w:space="0"/>
                    <w:bottom w:val="single" w:color="auto" w:sz="4" w:space="0"/>
                    <w:right w:val="single" w:color="auto" w:sz="4" w:space="0"/>
                    <w:tl2br w:val="nil"/>
                    <w:tr2bl w:val="nil"/>
                  </w:tcBorders>
                  <w:vAlign w:val="center"/>
                </w:tcPr>
                <w:p w14:paraId="34D48456">
                  <w:pPr>
                    <w:spacing w:line="240" w:lineRule="auto"/>
                    <w:ind w:firstLine="0" w:firstLineChars="0"/>
                    <w:jc w:val="center"/>
                    <w:rPr>
                      <w:rFonts w:hint="default"/>
                      <w:color w:val="auto"/>
                    </w:rPr>
                  </w:pPr>
                  <w:r>
                    <w:rPr>
                      <w:rFonts w:hint="default"/>
                      <w:color w:val="auto"/>
                    </w:rPr>
                    <w:t>55</w:t>
                  </w:r>
                </w:p>
              </w:tc>
              <w:tc>
                <w:tcPr>
                  <w:tcW w:w="4003" w:type="dxa"/>
                  <w:tcBorders>
                    <w:top w:val="single" w:color="auto" w:sz="4" w:space="0"/>
                    <w:left w:val="single" w:color="auto" w:sz="4" w:space="0"/>
                    <w:bottom w:val="single" w:color="auto" w:sz="4" w:space="0"/>
                    <w:right w:val="single" w:color="auto" w:sz="4" w:space="0"/>
                    <w:tl2br w:val="nil"/>
                    <w:tr2bl w:val="nil"/>
                  </w:tcBorders>
                  <w:vAlign w:val="center"/>
                </w:tcPr>
                <w:p w14:paraId="466F0E24">
                  <w:pPr>
                    <w:spacing w:line="240" w:lineRule="auto"/>
                    <w:ind w:firstLine="0" w:firstLineChars="0"/>
                    <w:jc w:val="center"/>
                    <w:rPr>
                      <w:rFonts w:hint="default"/>
                      <w:color w:val="auto"/>
                    </w:rPr>
                  </w:pPr>
                  <w:r>
                    <w:rPr>
                      <w:rFonts w:hint="default" w:eastAsia="宋体"/>
                      <w:color w:val="auto"/>
                    </w:rPr>
                    <w:t>《</w:t>
                  </w:r>
                  <w:r>
                    <w:rPr>
                      <w:rFonts w:hint="eastAsia" w:eastAsia="宋体"/>
                      <w:color w:val="auto"/>
                      <w:lang w:eastAsia="zh-CN"/>
                    </w:rPr>
                    <w:t>建筑施工噪声排放标准</w:t>
                  </w:r>
                  <w:r>
                    <w:rPr>
                      <w:rFonts w:hint="default" w:eastAsia="宋体"/>
                      <w:color w:val="auto"/>
                    </w:rPr>
                    <w:t>》（</w:t>
                  </w:r>
                  <w:r>
                    <w:rPr>
                      <w:rFonts w:hint="eastAsia" w:eastAsia="宋体"/>
                      <w:color w:val="auto"/>
                      <w:lang w:eastAsia="zh-CN"/>
                    </w:rPr>
                    <w:t>GB12523-2025</w:t>
                  </w:r>
                  <w:r>
                    <w:rPr>
                      <w:rFonts w:hint="default" w:eastAsia="宋体"/>
                      <w:color w:val="auto"/>
                    </w:rPr>
                    <w:t>）</w:t>
                  </w:r>
                </w:p>
              </w:tc>
            </w:tr>
            <w:tr w14:paraId="0D4AD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59" w:type="dxa"/>
                  <w:tcBorders>
                    <w:top w:val="single" w:color="auto" w:sz="4" w:space="0"/>
                    <w:left w:val="single" w:color="auto" w:sz="4" w:space="0"/>
                    <w:bottom w:val="single" w:color="auto" w:sz="4" w:space="0"/>
                    <w:right w:val="single" w:color="auto" w:sz="4" w:space="0"/>
                    <w:tl2br w:val="nil"/>
                    <w:tr2bl w:val="nil"/>
                  </w:tcBorders>
                  <w:vAlign w:val="center"/>
                </w:tcPr>
                <w:p w14:paraId="684AFEE8">
                  <w:pPr>
                    <w:spacing w:line="240" w:lineRule="auto"/>
                    <w:ind w:firstLine="0" w:firstLineChars="0"/>
                    <w:jc w:val="center"/>
                    <w:rPr>
                      <w:rFonts w:hint="default"/>
                      <w:color w:val="auto"/>
                    </w:rPr>
                  </w:pPr>
                  <w:r>
                    <w:rPr>
                      <w:rFonts w:hint="default" w:eastAsia="宋体"/>
                      <w:color w:val="auto"/>
                    </w:rPr>
                    <w:t>运营期</w:t>
                  </w:r>
                </w:p>
              </w:tc>
              <w:tc>
                <w:tcPr>
                  <w:tcW w:w="1316" w:type="dxa"/>
                  <w:tcBorders>
                    <w:top w:val="single" w:color="auto" w:sz="4" w:space="0"/>
                    <w:left w:val="single" w:color="auto" w:sz="4" w:space="0"/>
                    <w:bottom w:val="single" w:color="auto" w:sz="4" w:space="0"/>
                    <w:right w:val="single" w:color="auto" w:sz="4" w:space="0"/>
                    <w:tl2br w:val="nil"/>
                    <w:tr2bl w:val="nil"/>
                  </w:tcBorders>
                  <w:vAlign w:val="center"/>
                </w:tcPr>
                <w:p w14:paraId="3E2D34F3">
                  <w:pPr>
                    <w:spacing w:line="240" w:lineRule="auto"/>
                    <w:ind w:firstLine="0" w:firstLineChars="0"/>
                    <w:jc w:val="center"/>
                    <w:rPr>
                      <w:rFonts w:hint="eastAsia" w:eastAsia="宋体"/>
                      <w:color w:val="auto"/>
                      <w:lang w:eastAsia="zh-CN"/>
                    </w:rPr>
                  </w:pPr>
                  <w:r>
                    <w:rPr>
                      <w:rFonts w:hint="default"/>
                      <w:color w:val="auto"/>
                    </w:rPr>
                    <w:t>6</w:t>
                  </w:r>
                  <w:r>
                    <w:rPr>
                      <w:rFonts w:hint="eastAsia" w:eastAsia="宋体"/>
                      <w:color w:val="auto"/>
                      <w:lang w:val="en-US" w:eastAsia="zh-CN"/>
                    </w:rPr>
                    <w:t>5</w:t>
                  </w:r>
                </w:p>
              </w:tc>
              <w:tc>
                <w:tcPr>
                  <w:tcW w:w="1500" w:type="dxa"/>
                  <w:tcBorders>
                    <w:top w:val="single" w:color="auto" w:sz="4" w:space="0"/>
                    <w:left w:val="single" w:color="auto" w:sz="4" w:space="0"/>
                    <w:bottom w:val="single" w:color="auto" w:sz="4" w:space="0"/>
                    <w:right w:val="single" w:color="auto" w:sz="4" w:space="0"/>
                    <w:tl2br w:val="nil"/>
                    <w:tr2bl w:val="nil"/>
                  </w:tcBorders>
                  <w:vAlign w:val="center"/>
                </w:tcPr>
                <w:p w14:paraId="56977FAD">
                  <w:pPr>
                    <w:spacing w:line="240" w:lineRule="auto"/>
                    <w:ind w:firstLine="0" w:firstLineChars="0"/>
                    <w:jc w:val="center"/>
                    <w:rPr>
                      <w:rFonts w:hint="eastAsia" w:eastAsia="宋体"/>
                      <w:color w:val="auto"/>
                      <w:lang w:eastAsia="zh-CN"/>
                    </w:rPr>
                  </w:pPr>
                  <w:r>
                    <w:rPr>
                      <w:rFonts w:hint="default"/>
                      <w:color w:val="auto"/>
                    </w:rPr>
                    <w:t>5</w:t>
                  </w:r>
                  <w:r>
                    <w:rPr>
                      <w:rFonts w:hint="eastAsia" w:eastAsia="宋体"/>
                      <w:color w:val="auto"/>
                      <w:lang w:val="en-US" w:eastAsia="zh-CN"/>
                    </w:rPr>
                    <w:t>5</w:t>
                  </w:r>
                </w:p>
              </w:tc>
              <w:tc>
                <w:tcPr>
                  <w:tcW w:w="4003" w:type="dxa"/>
                  <w:tcBorders>
                    <w:top w:val="single" w:color="auto" w:sz="4" w:space="0"/>
                    <w:left w:val="single" w:color="auto" w:sz="4" w:space="0"/>
                    <w:bottom w:val="single" w:color="auto" w:sz="4" w:space="0"/>
                    <w:right w:val="single" w:color="auto" w:sz="4" w:space="0"/>
                    <w:tl2br w:val="nil"/>
                    <w:tr2bl w:val="nil"/>
                  </w:tcBorders>
                  <w:vAlign w:val="center"/>
                </w:tcPr>
                <w:p w14:paraId="65E11347">
                  <w:pPr>
                    <w:spacing w:line="240" w:lineRule="auto"/>
                    <w:ind w:firstLine="0" w:firstLineChars="0"/>
                    <w:jc w:val="center"/>
                    <w:rPr>
                      <w:rFonts w:hint="default"/>
                      <w:color w:val="auto"/>
                    </w:rPr>
                  </w:pPr>
                  <w:r>
                    <w:rPr>
                      <w:rFonts w:hint="default" w:eastAsia="宋体"/>
                      <w:color w:val="auto"/>
                    </w:rPr>
                    <w:t>《工业企业厂界环境噪声排放标准》（GB12348-2008）中</w:t>
                  </w:r>
                  <w:r>
                    <w:rPr>
                      <w:rFonts w:hint="eastAsia" w:eastAsia="宋体"/>
                      <w:color w:val="auto"/>
                      <w:lang w:eastAsia="zh-CN"/>
                    </w:rPr>
                    <w:t>3类</w:t>
                  </w:r>
                  <w:r>
                    <w:rPr>
                      <w:rFonts w:hint="default" w:eastAsia="宋体"/>
                      <w:color w:val="auto"/>
                    </w:rPr>
                    <w:t>标准限值</w:t>
                  </w:r>
                </w:p>
              </w:tc>
            </w:tr>
          </w:tbl>
          <w:p w14:paraId="64229B29">
            <w:pPr>
              <w:ind w:firstLine="482"/>
              <w:rPr>
                <w:rFonts w:hint="default"/>
                <w:b/>
                <w:color w:val="auto"/>
              </w:rPr>
            </w:pPr>
            <w:r>
              <w:rPr>
                <w:rFonts w:hint="default" w:eastAsia="宋体"/>
                <w:b/>
                <w:color w:val="auto"/>
              </w:rPr>
              <w:t>三、固体废物</w:t>
            </w:r>
          </w:p>
          <w:p w14:paraId="20D9FE4F">
            <w:pPr>
              <w:ind w:firstLine="480"/>
              <w:rPr>
                <w:rFonts w:hint="default" w:eastAsia="宋体"/>
                <w:color w:val="auto"/>
              </w:rPr>
            </w:pPr>
            <w:r>
              <w:rPr>
                <w:rFonts w:hint="default" w:eastAsia="宋体"/>
                <w:color w:val="auto"/>
              </w:rPr>
              <w:t>危险废物执行《危险废物贮存污染控制标准》（GB18597-2023）的相关规定，《危险废物转移管理办法》（生态环境部令第23号）。</w:t>
            </w:r>
          </w:p>
        </w:tc>
      </w:tr>
      <w:tr w14:paraId="06D54C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812" w:type="dxa"/>
            <w:tcBorders>
              <w:top w:val="single" w:color="auto" w:sz="4" w:space="0"/>
              <w:left w:val="single" w:color="auto" w:sz="8" w:space="0"/>
              <w:bottom w:val="single" w:color="auto" w:sz="8" w:space="0"/>
              <w:right w:val="single" w:color="auto" w:sz="4" w:space="0"/>
              <w:tl2br w:val="nil"/>
              <w:tr2bl w:val="nil"/>
            </w:tcBorders>
            <w:vAlign w:val="center"/>
          </w:tcPr>
          <w:p w14:paraId="5927CCE5">
            <w:pPr>
              <w:ind w:firstLine="0" w:firstLineChars="0"/>
              <w:rPr>
                <w:rFonts w:hint="default" w:eastAsia="宋体"/>
                <w:color w:val="auto"/>
              </w:rPr>
            </w:pPr>
            <w:r>
              <w:rPr>
                <w:rFonts w:hint="default" w:eastAsia="宋体"/>
                <w:color w:val="auto"/>
              </w:rPr>
              <w:t>总量控制指标</w:t>
            </w:r>
          </w:p>
        </w:tc>
        <w:tc>
          <w:tcPr>
            <w:tcW w:w="8102" w:type="dxa"/>
            <w:tcBorders>
              <w:top w:val="single" w:color="auto" w:sz="4" w:space="0"/>
              <w:left w:val="single" w:color="auto" w:sz="4" w:space="0"/>
              <w:bottom w:val="single" w:color="auto" w:sz="8" w:space="0"/>
              <w:right w:val="single" w:color="auto" w:sz="8" w:space="0"/>
              <w:tl2br w:val="nil"/>
              <w:tr2bl w:val="nil"/>
            </w:tcBorders>
            <w:vAlign w:val="center"/>
          </w:tcPr>
          <w:p w14:paraId="65282C9B">
            <w:pPr>
              <w:ind w:firstLine="480"/>
              <w:rPr>
                <w:rFonts w:hint="default"/>
                <w:color w:val="auto"/>
              </w:rPr>
            </w:pPr>
            <w:r>
              <w:rPr>
                <w:rFonts w:hint="default" w:eastAsia="宋体"/>
                <w:color w:val="auto"/>
              </w:rPr>
              <w:t>纳入总量控制的污染物为挥发性有机污染物、氮氧化物、化学需氧量、氨氮。</w:t>
            </w:r>
          </w:p>
          <w:p w14:paraId="748BCE60">
            <w:pPr>
              <w:ind w:firstLine="480"/>
              <w:rPr>
                <w:rFonts w:hint="default" w:eastAsia="宋体"/>
                <w:color w:val="auto"/>
                <w:lang w:val="en-US"/>
              </w:rPr>
            </w:pPr>
            <w:r>
              <w:rPr>
                <w:rFonts w:hint="default" w:eastAsia="宋体"/>
                <w:color w:val="auto"/>
              </w:rPr>
              <w:t>运营期本项目无新增劳动定员，无新增生活污水，本项目无生产废水使用及排放。</w:t>
            </w:r>
            <w:r>
              <w:rPr>
                <w:rFonts w:hint="eastAsia" w:eastAsia="宋体"/>
                <w:color w:val="auto"/>
                <w:lang w:val="en-US" w:eastAsia="zh-CN"/>
              </w:rPr>
              <w:t>根据《生态环境部门进一步促进民营经济发展的若干措施》优化总量指标管理。健全总量指标配置机制，优化新改扩建建设项目总量指标监督管理。在严格实施各项污染防治措施基础上，对氮氧化物、化学需氧量、挥发性有机污染物的单项新增年排放量小于0.1吨，氨氮小于0.01吨的建设项目，免予</w:t>
            </w:r>
            <w:r>
              <w:rPr>
                <w:rFonts w:hint="eastAsia" w:ascii="Times New Roman" w:hAnsi="Times New Roman" w:eastAsia="宋体" w:cs="Times New Roman"/>
                <w:color w:val="auto"/>
                <w:lang w:val="en-US" w:eastAsia="zh-CN"/>
              </w:rPr>
              <w:t>提交总量指标来源说明，由地方生态环境部门统筹总量指标替代来源，并纳入台账管理。</w:t>
            </w:r>
            <w:r>
              <w:rPr>
                <w:rFonts w:hint="default" w:ascii="Times New Roman" w:hAnsi="Times New Roman" w:eastAsia="宋体" w:cs="Times New Roman"/>
                <w:color w:val="auto"/>
                <w:lang w:val="en-US" w:eastAsia="zh-CN"/>
              </w:rPr>
              <w:t>本项目涉及的总量控制污染物为非甲烷总烃，非甲烷总烃的排放量为</w:t>
            </w:r>
            <w:r>
              <w:rPr>
                <w:rFonts w:hint="eastAsia" w:ascii="Times New Roman" w:hAnsi="Times New Roman" w:eastAsia="宋体" w:cs="Times New Roman"/>
                <w:color w:val="auto"/>
                <w:lang w:val="en-US" w:eastAsia="zh-CN"/>
              </w:rPr>
              <w:t>0.07kg/a，小于0.1吨，</w:t>
            </w:r>
            <w:r>
              <w:rPr>
                <w:rFonts w:hint="eastAsia" w:eastAsia="宋体" w:cs="Times New Roman"/>
                <w:color w:val="auto"/>
                <w:lang w:val="en-US" w:eastAsia="zh-CN"/>
              </w:rPr>
              <w:t>在当地生态环境局进行备案</w:t>
            </w:r>
            <w:r>
              <w:rPr>
                <w:rFonts w:hint="eastAsia" w:ascii="Times New Roman" w:hAnsi="Times New Roman" w:eastAsia="宋体" w:cs="Times New Roman"/>
                <w:color w:val="auto"/>
                <w:lang w:val="en-US" w:eastAsia="zh-CN"/>
              </w:rPr>
              <w:t>。</w:t>
            </w:r>
          </w:p>
        </w:tc>
      </w:tr>
    </w:tbl>
    <w:p w14:paraId="611B9460">
      <w:pPr>
        <w:pStyle w:val="12"/>
        <w:ind w:firstLine="0" w:firstLineChars="0"/>
        <w:jc w:val="center"/>
        <w:outlineLvl w:val="0"/>
        <w:rPr>
          <w:rFonts w:ascii="Times New Roman" w:hAnsi="Times New Roman"/>
          <w:b/>
          <w:snapToGrid w:val="0"/>
          <w:color w:val="auto"/>
          <w:sz w:val="30"/>
          <w:szCs w:val="30"/>
        </w:rPr>
      </w:pPr>
      <w:r>
        <w:rPr>
          <w:rFonts w:ascii="Times New Roman" w:hAnsi="Times New Roman"/>
          <w:snapToGrid w:val="0"/>
          <w:color w:val="auto"/>
          <w:sz w:val="36"/>
          <w:szCs w:val="36"/>
        </w:rPr>
        <w:br w:type="page"/>
      </w:r>
      <w:r>
        <w:rPr>
          <w:rFonts w:ascii="Times New Roman" w:hAnsi="Times New Roman"/>
          <w:b/>
          <w:snapToGrid w:val="0"/>
          <w:color w:val="auto"/>
          <w:sz w:val="30"/>
          <w:szCs w:val="30"/>
        </w:rPr>
        <w:t>四、主要环境影响和保护措施</w:t>
      </w:r>
    </w:p>
    <w:tbl>
      <w:tblPr>
        <w:tblStyle w:val="14"/>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46"/>
        <w:gridCol w:w="8162"/>
      </w:tblGrid>
      <w:tr w14:paraId="0D4A89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190" w:hRule="atLeast"/>
          <w:jc w:val="center"/>
        </w:trPr>
        <w:tc>
          <w:tcPr>
            <w:tcW w:w="746" w:type="dxa"/>
            <w:tcBorders>
              <w:top w:val="single" w:color="auto" w:sz="8" w:space="0"/>
              <w:left w:val="single" w:color="auto" w:sz="8" w:space="0"/>
              <w:bottom w:val="single" w:color="auto" w:sz="4" w:space="0"/>
              <w:right w:val="single" w:color="auto" w:sz="4" w:space="0"/>
              <w:tl2br w:val="nil"/>
              <w:tr2bl w:val="nil"/>
            </w:tcBorders>
            <w:tcMar>
              <w:left w:w="28" w:type="dxa"/>
              <w:right w:w="28" w:type="dxa"/>
            </w:tcMar>
            <w:vAlign w:val="center"/>
          </w:tcPr>
          <w:p w14:paraId="404C7E5C">
            <w:pPr>
              <w:ind w:firstLine="0" w:firstLineChars="0"/>
              <w:rPr>
                <w:rFonts w:hint="default" w:eastAsia="宋体"/>
                <w:color w:val="auto"/>
              </w:rPr>
            </w:pPr>
            <w:r>
              <w:rPr>
                <w:rFonts w:hint="default" w:eastAsia="宋体"/>
                <w:color w:val="auto"/>
              </w:rPr>
              <w:t>施工期环境保护措施</w:t>
            </w:r>
          </w:p>
        </w:tc>
        <w:tc>
          <w:tcPr>
            <w:tcW w:w="8162" w:type="dxa"/>
            <w:tcBorders>
              <w:top w:val="single" w:color="auto" w:sz="8" w:space="0"/>
              <w:left w:val="single" w:color="auto" w:sz="4" w:space="0"/>
              <w:bottom w:val="single" w:color="auto" w:sz="4" w:space="0"/>
              <w:right w:val="single" w:color="auto" w:sz="8" w:space="0"/>
              <w:tl2br w:val="nil"/>
              <w:tr2bl w:val="nil"/>
            </w:tcBorders>
            <w:vAlign w:val="center"/>
          </w:tcPr>
          <w:p w14:paraId="0842378E">
            <w:pPr>
              <w:ind w:firstLine="482"/>
              <w:rPr>
                <w:rFonts w:hint="default" w:eastAsia="宋体"/>
                <w:b/>
                <w:color w:val="auto"/>
              </w:rPr>
            </w:pPr>
            <w:r>
              <w:rPr>
                <w:rFonts w:hint="default" w:eastAsia="宋体"/>
                <w:b/>
                <w:color w:val="auto"/>
              </w:rPr>
              <w:t>一、大气环境影响</w:t>
            </w:r>
          </w:p>
          <w:p w14:paraId="6E9AF0E2">
            <w:pPr>
              <w:ind w:firstLine="480"/>
              <w:rPr>
                <w:rFonts w:hint="default" w:eastAsia="宋体"/>
                <w:color w:val="auto"/>
              </w:rPr>
            </w:pPr>
            <w:r>
              <w:rPr>
                <w:rFonts w:eastAsia="宋体"/>
                <w:color w:val="auto"/>
              </w:rPr>
              <w:t>本项目施工期主要工程为对现有厂房进行改造建设，</w:t>
            </w:r>
            <w:r>
              <w:rPr>
                <w:rFonts w:hint="default" w:eastAsia="宋体"/>
                <w:color w:val="auto"/>
              </w:rPr>
              <w:t>该项目施工粉尘主要为运输车辆道路扬尘、装卸材料等施工作业扬尘以及建筑垃圾堆放和清运过</w:t>
            </w:r>
            <w:r>
              <w:rPr>
                <w:rFonts w:hint="eastAsia" w:eastAsia="宋体"/>
                <w:color w:val="auto"/>
                <w:lang w:eastAsia="zh-CN"/>
              </w:rPr>
              <w:t>程中</w:t>
            </w:r>
            <w:r>
              <w:rPr>
                <w:rFonts w:hint="default" w:eastAsia="宋体"/>
                <w:color w:val="auto"/>
              </w:rPr>
              <w:t>产生的粉尘。其中，车辆行驶产生的扬尘占总扬尘的60%以上，尤其在干燥及风速较大时更为明显。通过类比调查可知，施工粉尘源强为0.211-0.35lmg/Nm³。在工程施工期间，施工机械及运输车辆的发动机排放的尾气中含有NO</w:t>
            </w:r>
            <w:r>
              <w:rPr>
                <w:rFonts w:hint="default" w:eastAsia="宋体"/>
                <w:color w:val="auto"/>
                <w:vertAlign w:val="subscript"/>
              </w:rPr>
              <w:t>2</w:t>
            </w:r>
            <w:r>
              <w:rPr>
                <w:rFonts w:hint="default" w:eastAsia="宋体"/>
                <w:color w:val="auto"/>
              </w:rPr>
              <w:t>、CO、THC等污染物，一般情况下，该类污染物的排放量不大且容易扩散，对周围环境的影响较小；在防渗防腐过程铺设过程中会产生有机废气，铺设时间仅需24-48h即可干燥固化，对环境影响较小。基于上述分析，本次环评提出以下措施：</w:t>
            </w:r>
          </w:p>
          <w:p w14:paraId="764E7E54">
            <w:pPr>
              <w:ind w:firstLine="480"/>
              <w:rPr>
                <w:rFonts w:hint="default" w:eastAsia="宋体"/>
                <w:color w:val="auto"/>
              </w:rPr>
            </w:pPr>
            <w:r>
              <w:rPr>
                <w:rFonts w:hint="default" w:eastAsia="宋体"/>
                <w:color w:val="auto"/>
              </w:rPr>
              <w:t>①项目建设过程中通过采取在作业区边界设置围挡，合理安排施工现场。谨防运输车辆装载过满，不得超出车厢板高度，并采取遮盖、密闭措施减少沿途</w:t>
            </w:r>
            <w:r>
              <w:rPr>
                <w:rFonts w:hint="eastAsia" w:eastAsia="宋体"/>
                <w:color w:val="auto"/>
                <w:lang w:eastAsia="zh-CN"/>
              </w:rPr>
              <w:t>抛撒</w:t>
            </w:r>
            <w:r>
              <w:rPr>
                <w:rFonts w:hint="default" w:eastAsia="宋体"/>
                <w:color w:val="auto"/>
              </w:rPr>
              <w:t>、散落，及时</w:t>
            </w:r>
            <w:r>
              <w:rPr>
                <w:rFonts w:eastAsia="宋体"/>
                <w:color w:val="auto"/>
              </w:rPr>
              <w:t>清扫</w:t>
            </w:r>
            <w:r>
              <w:rPr>
                <w:rFonts w:hint="default" w:eastAsia="宋体"/>
                <w:color w:val="auto"/>
              </w:rPr>
              <w:t>散落在路上的泥土和建筑材料，施工过程中采用环保设施机械，对附近的运输道路定期喷水，使其保持一定的湿度，防止道路扬尘；施工现场、运输道路应当适当的洒水或喷水，保持潮湿；</w:t>
            </w:r>
          </w:p>
          <w:p w14:paraId="1F5E7347">
            <w:pPr>
              <w:ind w:firstLine="480"/>
              <w:rPr>
                <w:rFonts w:hint="default" w:eastAsia="宋体"/>
                <w:color w:val="auto"/>
              </w:rPr>
            </w:pPr>
            <w:r>
              <w:rPr>
                <w:rFonts w:hint="default" w:eastAsia="宋体"/>
                <w:color w:val="auto"/>
              </w:rPr>
              <w:t>②对施工现场实行合理化管理，使沙石统一堆放，少量水泥应设专门库房或者依托现有库房存放，尽量减少搬运环节；</w:t>
            </w:r>
          </w:p>
          <w:p w14:paraId="63010C52">
            <w:pPr>
              <w:ind w:firstLine="480"/>
              <w:rPr>
                <w:rFonts w:hint="default" w:eastAsia="宋体"/>
                <w:color w:val="auto"/>
              </w:rPr>
            </w:pPr>
            <w:r>
              <w:rPr>
                <w:rFonts w:hint="default" w:eastAsia="宋体"/>
                <w:color w:val="auto"/>
              </w:rPr>
              <w:t>③合理安排工期，尽可能地加快施工速度，减少施工时间；</w:t>
            </w:r>
          </w:p>
          <w:p w14:paraId="7B5878C1">
            <w:pPr>
              <w:ind w:firstLine="480"/>
              <w:rPr>
                <w:rFonts w:hint="default" w:eastAsia="宋体"/>
                <w:color w:val="auto"/>
              </w:rPr>
            </w:pPr>
            <w:r>
              <w:rPr>
                <w:rFonts w:hint="default" w:eastAsia="宋体"/>
                <w:color w:val="auto"/>
              </w:rPr>
              <w:t>④施工阶段结束后应当及时清理弃土、杂物及建筑垃圾等。</w:t>
            </w:r>
          </w:p>
          <w:p w14:paraId="1075507C">
            <w:pPr>
              <w:ind w:firstLine="480"/>
              <w:rPr>
                <w:rFonts w:hint="default" w:eastAsia="宋体"/>
                <w:color w:val="auto"/>
              </w:rPr>
            </w:pPr>
            <w:r>
              <w:rPr>
                <w:rFonts w:hint="default" w:eastAsia="宋体"/>
                <w:color w:val="auto"/>
              </w:rPr>
              <w:t>在采取以上措施后，施工期扬尘产生量较小，对环境空气质量影响较小，本项目施工期影响只是暂时的，且位于现有厂区范围内，随着施工期的结束，施工期影响也随之消失。</w:t>
            </w:r>
          </w:p>
          <w:p w14:paraId="0B086346">
            <w:pPr>
              <w:ind w:firstLine="482"/>
              <w:rPr>
                <w:rFonts w:hint="default" w:eastAsia="宋体"/>
                <w:b/>
                <w:color w:val="auto"/>
              </w:rPr>
            </w:pPr>
            <w:r>
              <w:rPr>
                <w:rFonts w:hint="default" w:eastAsia="宋体"/>
                <w:b/>
                <w:color w:val="auto"/>
              </w:rPr>
              <w:t>二、水环境影响分析</w:t>
            </w:r>
          </w:p>
          <w:p w14:paraId="069AAF86">
            <w:pPr>
              <w:ind w:firstLine="480"/>
              <w:rPr>
                <w:rFonts w:hint="default" w:eastAsia="宋体"/>
                <w:color w:val="auto"/>
              </w:rPr>
            </w:pPr>
            <w:r>
              <w:rPr>
                <w:rFonts w:hint="default" w:eastAsia="宋体"/>
                <w:color w:val="auto"/>
              </w:rPr>
              <w:t>施工期生活污水：施工人员为当地施工队伍，项目工程量较小，施工期生活污水依托现有处理设施进行处理。在项目区内利用现有化粪池，生活污水经化粪池收集后排入市政污水管网。施工生产废水：施工生产废水主要是含泥浆或</w:t>
            </w:r>
            <w:r>
              <w:rPr>
                <w:rFonts w:eastAsia="宋体"/>
                <w:color w:val="auto"/>
              </w:rPr>
              <w:t>砂石</w:t>
            </w:r>
            <w:r>
              <w:rPr>
                <w:rFonts w:hint="default" w:eastAsia="宋体"/>
                <w:color w:val="auto"/>
              </w:rPr>
              <w:t>的工程废水，该部分废水中的主要污染物为SS。根据废水特征，在施工场地内可设置临时防渗沉淀池，对收集的施工生产废水进行简单沉淀处理，处理后的水首先回用于施工生产，其余用于施工现场、临时堆场的洒水降尘，不外排。采取上述措施后对周围水环境影响较小。</w:t>
            </w:r>
          </w:p>
          <w:p w14:paraId="7270D49D">
            <w:pPr>
              <w:ind w:firstLine="482"/>
              <w:rPr>
                <w:rFonts w:hint="default" w:eastAsia="宋体"/>
                <w:b/>
                <w:color w:val="auto"/>
              </w:rPr>
            </w:pPr>
            <w:r>
              <w:rPr>
                <w:rFonts w:hint="default" w:eastAsia="宋体"/>
                <w:b/>
                <w:color w:val="auto"/>
              </w:rPr>
              <w:t>三、声环境影响分析</w:t>
            </w:r>
          </w:p>
          <w:p w14:paraId="0CD665D9">
            <w:pPr>
              <w:ind w:firstLine="480"/>
              <w:rPr>
                <w:rFonts w:hint="default" w:eastAsia="宋体"/>
                <w:color w:val="auto"/>
              </w:rPr>
            </w:pPr>
            <w:r>
              <w:rPr>
                <w:rFonts w:hint="default" w:eastAsia="宋体"/>
                <w:color w:val="auto"/>
              </w:rPr>
              <w:t>根据工程分析，施工过程中使用的施工机械较少，施工期的噪声来自小型施工机械和运输车辆，噪声源强在75-95dB，特点为暂时的短期间歇性行为，无规律性，在施工场地界线处，一般情况下噪声强度将超过《</w:t>
            </w:r>
            <w:r>
              <w:rPr>
                <w:rFonts w:hint="eastAsia" w:eastAsia="宋体"/>
                <w:color w:val="auto"/>
                <w:lang w:eastAsia="zh-CN"/>
              </w:rPr>
              <w:t>建筑施工噪声排放标准</w:t>
            </w:r>
            <w:r>
              <w:rPr>
                <w:rFonts w:hint="default" w:eastAsia="宋体"/>
                <w:color w:val="auto"/>
              </w:rPr>
              <w:t>》（</w:t>
            </w:r>
            <w:r>
              <w:rPr>
                <w:rFonts w:hint="eastAsia" w:eastAsia="宋体"/>
                <w:color w:val="auto"/>
                <w:lang w:eastAsia="zh-CN"/>
              </w:rPr>
              <w:t>GB12523-2025</w:t>
            </w:r>
            <w:r>
              <w:rPr>
                <w:rFonts w:hint="default" w:eastAsia="宋体"/>
                <w:color w:val="auto"/>
              </w:rPr>
              <w:t>）。为减少施工噪声对周围企业的影响，施工单位及建设单位应采取以下减缓措施：</w:t>
            </w:r>
          </w:p>
          <w:p w14:paraId="730A2FB2">
            <w:pPr>
              <w:ind w:firstLine="480"/>
              <w:rPr>
                <w:rFonts w:hint="default" w:eastAsia="宋体"/>
                <w:color w:val="auto"/>
              </w:rPr>
            </w:pPr>
            <w:r>
              <w:rPr>
                <w:rFonts w:hint="default" w:eastAsia="宋体"/>
                <w:color w:val="auto"/>
              </w:rPr>
              <w:t>1、选用低噪声设备，同时在施工过程中施工单位设专人对设备进行定期保养和维护，严格按操作规范使用各类机械。</w:t>
            </w:r>
          </w:p>
          <w:p w14:paraId="041E7BCE">
            <w:pPr>
              <w:ind w:firstLine="480"/>
              <w:rPr>
                <w:rFonts w:hint="default" w:eastAsia="宋体"/>
                <w:color w:val="auto"/>
              </w:rPr>
            </w:pPr>
            <w:r>
              <w:rPr>
                <w:rFonts w:hint="default" w:eastAsia="宋体"/>
                <w:color w:val="auto"/>
              </w:rPr>
              <w:t>2、合理安排施工时间，不得在22:00-06:00期间施工。</w:t>
            </w:r>
          </w:p>
          <w:p w14:paraId="5A1438DC">
            <w:pPr>
              <w:ind w:firstLine="480"/>
              <w:rPr>
                <w:rFonts w:hint="default" w:eastAsia="宋体"/>
                <w:color w:val="auto"/>
              </w:rPr>
            </w:pPr>
            <w:r>
              <w:rPr>
                <w:rFonts w:hint="default" w:eastAsia="宋体"/>
                <w:color w:val="auto"/>
              </w:rPr>
              <w:t>3、合理进行施工场地布置。</w:t>
            </w:r>
          </w:p>
          <w:p w14:paraId="74BFBD56">
            <w:pPr>
              <w:ind w:firstLine="480"/>
              <w:rPr>
                <w:rFonts w:hint="default" w:eastAsia="宋体"/>
                <w:color w:val="auto"/>
              </w:rPr>
            </w:pPr>
            <w:r>
              <w:rPr>
                <w:rFonts w:hint="default" w:eastAsia="宋体"/>
                <w:color w:val="auto"/>
              </w:rPr>
              <w:t>4、使用商品混凝土，避免混凝土搅拌机等噪声的影响。</w:t>
            </w:r>
          </w:p>
          <w:p w14:paraId="042C1C91">
            <w:pPr>
              <w:ind w:firstLine="480"/>
              <w:rPr>
                <w:rFonts w:hint="default" w:eastAsia="宋体"/>
                <w:color w:val="auto"/>
              </w:rPr>
            </w:pPr>
            <w:r>
              <w:rPr>
                <w:rFonts w:hint="default" w:eastAsia="宋体"/>
                <w:color w:val="auto"/>
              </w:rPr>
              <w:t>综上所述，施工期间通过选用低噪声设备、合理布局施工场地、合理安排施工时间及其他相应降噪措施后，施工厂界噪声满足《</w:t>
            </w:r>
            <w:r>
              <w:rPr>
                <w:rFonts w:hint="eastAsia" w:eastAsia="宋体"/>
                <w:color w:val="auto"/>
                <w:lang w:eastAsia="zh-CN"/>
              </w:rPr>
              <w:t>建筑施工噪声排放标准</w:t>
            </w:r>
            <w:r>
              <w:rPr>
                <w:rFonts w:hint="default" w:eastAsia="宋体"/>
                <w:color w:val="auto"/>
              </w:rPr>
              <w:t>》（</w:t>
            </w:r>
            <w:r>
              <w:rPr>
                <w:rFonts w:hint="eastAsia" w:eastAsia="宋体"/>
                <w:color w:val="auto"/>
                <w:lang w:eastAsia="zh-CN"/>
              </w:rPr>
              <w:t>GB12523-2025</w:t>
            </w:r>
            <w:r>
              <w:rPr>
                <w:rFonts w:hint="default" w:eastAsia="宋体"/>
                <w:color w:val="auto"/>
              </w:rPr>
              <w:t>）所规定的噪声标准的要求。</w:t>
            </w:r>
          </w:p>
          <w:p w14:paraId="0647FC75">
            <w:pPr>
              <w:ind w:firstLine="482"/>
              <w:rPr>
                <w:rFonts w:hint="default" w:eastAsia="宋体"/>
                <w:b/>
                <w:color w:val="auto"/>
              </w:rPr>
            </w:pPr>
            <w:r>
              <w:rPr>
                <w:rFonts w:hint="default" w:eastAsia="宋体"/>
                <w:b/>
                <w:color w:val="auto"/>
              </w:rPr>
              <w:t>四、固体废物影响分析</w:t>
            </w:r>
          </w:p>
          <w:p w14:paraId="5ECFBDBD">
            <w:pPr>
              <w:ind w:firstLine="480"/>
              <w:rPr>
                <w:rFonts w:hint="default" w:eastAsia="宋体"/>
                <w:color w:val="auto"/>
              </w:rPr>
            </w:pPr>
            <w:r>
              <w:rPr>
                <w:rFonts w:hint="default" w:eastAsia="宋体"/>
                <w:color w:val="auto"/>
              </w:rPr>
              <w:t>施工期产生的固体废物主要为施工产生的剩余废物料等建筑垃圾，生活垃圾主要为施工人员日常生活产生。施工过程中产生的建筑及装修垃圾按每100㎡建筑面积0.2t计，项目总建筑面积为</w:t>
            </w:r>
            <w:r>
              <w:rPr>
                <w:rFonts w:hint="eastAsia" w:eastAsia="宋体"/>
                <w:color w:val="auto"/>
                <w:lang w:eastAsia="zh-CN"/>
              </w:rPr>
              <w:t>21.6</w:t>
            </w:r>
            <w:r>
              <w:rPr>
                <w:rFonts w:hint="default" w:eastAsia="宋体"/>
                <w:color w:val="auto"/>
              </w:rPr>
              <w:t>㎡，则建筑垃圾产生量极少。建筑垃圾按有关管理要求及时清运，拉运至当地指定的建筑垃圾回收中心进行处置。施工过程中施工人员约5人，施工期1个月，以每人0.5kg/d计，施工期生活垃圾共计0.075t，统一收集后由环卫部门处理。施工期固体废物合理处置，对周围环境影响较小。</w:t>
            </w:r>
          </w:p>
        </w:tc>
      </w:tr>
      <w:tr w14:paraId="26FA29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6" w:type="dxa"/>
            <w:tcBorders>
              <w:top w:val="single" w:color="auto" w:sz="4" w:space="0"/>
              <w:left w:val="single" w:color="auto" w:sz="8" w:space="0"/>
              <w:bottom w:val="single" w:color="auto" w:sz="8" w:space="0"/>
              <w:right w:val="single" w:color="auto" w:sz="4" w:space="0"/>
              <w:tl2br w:val="nil"/>
              <w:tr2bl w:val="nil"/>
            </w:tcBorders>
            <w:tcMar>
              <w:left w:w="28" w:type="dxa"/>
              <w:right w:w="28" w:type="dxa"/>
            </w:tcMar>
            <w:vAlign w:val="center"/>
          </w:tcPr>
          <w:p w14:paraId="3F2B6524">
            <w:pPr>
              <w:ind w:firstLine="0" w:firstLineChars="0"/>
              <w:rPr>
                <w:rFonts w:hint="default" w:eastAsia="宋体"/>
                <w:color w:val="auto"/>
              </w:rPr>
            </w:pPr>
            <w:r>
              <w:rPr>
                <w:rFonts w:hint="default" w:eastAsia="宋体"/>
                <w:color w:val="auto"/>
              </w:rPr>
              <w:t>运营期环境影响和保护措施</w:t>
            </w:r>
          </w:p>
        </w:tc>
        <w:tc>
          <w:tcPr>
            <w:tcW w:w="8162" w:type="dxa"/>
            <w:tcBorders>
              <w:top w:val="single" w:color="auto" w:sz="4" w:space="0"/>
              <w:left w:val="single" w:color="auto" w:sz="4" w:space="0"/>
              <w:bottom w:val="single" w:color="auto" w:sz="8" w:space="0"/>
              <w:right w:val="single" w:color="auto" w:sz="8" w:space="0"/>
              <w:tl2br w:val="nil"/>
              <w:tr2bl w:val="nil"/>
            </w:tcBorders>
            <w:vAlign w:val="center"/>
          </w:tcPr>
          <w:p w14:paraId="042E4894">
            <w:pPr>
              <w:ind w:firstLine="482"/>
              <w:rPr>
                <w:rFonts w:hint="default"/>
                <w:b/>
                <w:color w:val="auto"/>
                <w:szCs w:val="32"/>
              </w:rPr>
            </w:pPr>
            <w:r>
              <w:rPr>
                <w:rFonts w:hint="default" w:eastAsia="宋体"/>
                <w:b/>
                <w:color w:val="auto"/>
                <w:szCs w:val="32"/>
              </w:rPr>
              <w:t>一、废气</w:t>
            </w:r>
          </w:p>
          <w:p w14:paraId="6471E250">
            <w:pPr>
              <w:ind w:firstLine="482"/>
              <w:rPr>
                <w:rFonts w:hint="default"/>
                <w:b/>
                <w:color w:val="auto"/>
              </w:rPr>
            </w:pPr>
            <w:r>
              <w:rPr>
                <w:rFonts w:hint="default" w:eastAsia="宋体"/>
                <w:b/>
                <w:color w:val="auto"/>
              </w:rPr>
              <w:t>1、源强分析</w:t>
            </w:r>
          </w:p>
          <w:p w14:paraId="64CD14C1">
            <w:pPr>
              <w:ind w:firstLine="480"/>
              <w:rPr>
                <w:rFonts w:hint="default"/>
                <w:color w:val="auto"/>
              </w:rPr>
            </w:pPr>
            <w:r>
              <w:rPr>
                <w:rFonts w:hint="default" w:eastAsia="宋体"/>
                <w:color w:val="auto"/>
              </w:rPr>
              <w:t>本项目运营废气主要包括：暂存危险废物包括：</w:t>
            </w:r>
            <w:r>
              <w:rPr>
                <w:rFonts w:hint="eastAsia" w:eastAsia="宋体"/>
                <w:color w:val="auto"/>
                <w:lang w:eastAsia="zh-CN"/>
              </w:rPr>
              <w:t>废矿物油、废油桶、盛装“干净”矿物油的空桶、废铅酸电池</w:t>
            </w:r>
            <w:r>
              <w:rPr>
                <w:rFonts w:hint="default" w:eastAsia="宋体"/>
                <w:color w:val="auto"/>
              </w:rPr>
              <w:t>等危险废物，</w:t>
            </w:r>
            <w:r>
              <w:rPr>
                <w:rFonts w:hint="eastAsia" w:eastAsia="宋体"/>
                <w:color w:val="auto"/>
                <w:lang w:eastAsia="zh-CN"/>
              </w:rPr>
              <w:t>项目废矿物油采用密封桶暂存，废油桶、盛装“干净”矿物油的空桶加盖密封，废铅酸电池桶装加盖密封</w:t>
            </w:r>
            <w:r>
              <w:rPr>
                <w:rFonts w:hint="default" w:eastAsia="宋体"/>
                <w:color w:val="auto"/>
              </w:rPr>
              <w:t>，避免危险废物与不相容的物质或材料接触。本项目HW08、HW49在贮存过程中会产生非甲烷总烃，HW31在贮存过程中废铅蓄电池破损后流出的电解液产生的硫酸雾。本项目仅对危险废物进行收集、暂存，不涉及任何处置工序，收集暂存后交由有资质单位处置。本项目仅对危险废物进行收集、暂存，不涉及任何处置工序，收集暂存后交由有资质单位处置。</w:t>
            </w:r>
          </w:p>
          <w:p w14:paraId="5483D2EE">
            <w:pPr>
              <w:ind w:firstLine="482"/>
              <w:rPr>
                <w:rFonts w:hint="default" w:eastAsia="宋体"/>
                <w:b/>
                <w:color w:val="auto"/>
              </w:rPr>
            </w:pPr>
            <w:r>
              <w:rPr>
                <w:rFonts w:hint="default" w:eastAsia="宋体"/>
                <w:b/>
                <w:color w:val="auto"/>
              </w:rPr>
              <w:t>（1）非甲烷总烃</w:t>
            </w:r>
          </w:p>
          <w:p w14:paraId="4B133945">
            <w:pPr>
              <w:ind w:firstLine="480"/>
              <w:rPr>
                <w:rFonts w:hint="default"/>
                <w:color w:val="auto"/>
              </w:rPr>
            </w:pPr>
            <w:r>
              <w:rPr>
                <w:rFonts w:hint="default" w:eastAsia="宋体"/>
                <w:color w:val="auto"/>
              </w:rPr>
              <w:t>目前暂无专门针对危险废物暂存库发布的污染源源强核算技术指南或污染物普查核算规范，根据《散装液态石油产品损耗》（GB11085-1989），本项目位于内蒙古自治区，属于C类，除汽油外其他油品在贮存转运过程中的损耗率为0.01%，建设地点海拔为1300m左右，按照1001～2000m增加损耗21%，最终损耗率为0.0121%，本项目年周转HW08、HW49危险废物的量共计为</w:t>
            </w:r>
            <w:r>
              <w:rPr>
                <w:rFonts w:hint="eastAsia" w:eastAsia="宋体"/>
                <w:color w:val="auto"/>
                <w:lang w:val="en-US" w:eastAsia="zh-CN"/>
              </w:rPr>
              <w:t>0.6</w:t>
            </w:r>
            <w:r>
              <w:rPr>
                <w:rFonts w:hint="default" w:eastAsia="宋体"/>
                <w:color w:val="auto"/>
              </w:rPr>
              <w:t>t/a，因此非甲烷总烃产生量为</w:t>
            </w:r>
            <w:r>
              <w:rPr>
                <w:rFonts w:hint="eastAsia" w:eastAsia="宋体"/>
                <w:color w:val="auto"/>
                <w:lang w:val="en-US" w:eastAsia="zh-CN"/>
              </w:rPr>
              <w:t>0.07</w:t>
            </w:r>
            <w:r>
              <w:rPr>
                <w:rFonts w:hint="default" w:eastAsia="宋体"/>
                <w:color w:val="auto"/>
              </w:rPr>
              <w:t>kg/a，产生量很小，通过加强危险废物暂存库通风，设置一个轴流风机，同时密闭存储废矿物油，及时转运，本项目的污染物可实现达标排放，对周围环境影响较小。</w:t>
            </w:r>
          </w:p>
          <w:p w14:paraId="69A678C1">
            <w:pPr>
              <w:ind w:firstLine="482"/>
              <w:rPr>
                <w:rFonts w:hint="default" w:eastAsia="宋体"/>
                <w:b/>
                <w:color w:val="auto"/>
              </w:rPr>
            </w:pPr>
            <w:r>
              <w:rPr>
                <w:rFonts w:hint="default" w:eastAsia="宋体"/>
                <w:b/>
                <w:color w:val="auto"/>
              </w:rPr>
              <w:t>（2）硫酸雾</w:t>
            </w:r>
          </w:p>
          <w:p w14:paraId="37F1D213">
            <w:pPr>
              <w:ind w:firstLine="480"/>
              <w:rPr>
                <w:rFonts w:hint="default" w:eastAsia="宋体"/>
                <w:color w:val="auto"/>
              </w:rPr>
            </w:pPr>
            <w:r>
              <w:rPr>
                <w:rFonts w:hint="default" w:eastAsia="宋体"/>
                <w:color w:val="auto"/>
              </w:rPr>
              <w:t>①收集转运过程中产生的硫酸雾</w:t>
            </w:r>
          </w:p>
          <w:p w14:paraId="0B51BF89">
            <w:pPr>
              <w:ind w:firstLine="480"/>
              <w:rPr>
                <w:rFonts w:hint="default" w:eastAsia="宋体"/>
                <w:color w:val="auto"/>
              </w:rPr>
            </w:pPr>
            <w:r>
              <w:rPr>
                <w:rFonts w:hint="default" w:eastAsia="宋体"/>
                <w:color w:val="auto"/>
              </w:rPr>
              <w:t>项目收集电池时，主要将废铅蓄电池装入密闭铅酸蓄电池容器中，仅在出现破损铅酸蓄电池时进行电解液转移这一短暂过程中产生少量硫酸雾。废电池的运输车辆需配备相应的应急设备，包括：消防设施、急救设备、防护装备、去污净化器具、通讯工具及检修工具等，危险废物运输</w:t>
            </w:r>
            <w:r>
              <w:rPr>
                <w:rFonts w:hint="eastAsia" w:eastAsia="宋体"/>
                <w:color w:val="auto"/>
                <w:lang w:eastAsia="zh-CN"/>
              </w:rPr>
              <w:t>车辆</w:t>
            </w:r>
            <w:r>
              <w:rPr>
                <w:rFonts w:hint="default" w:eastAsia="宋体"/>
                <w:color w:val="auto"/>
              </w:rPr>
              <w:t>应有明确的标准化警示标志。由于各网点废铅蓄电池存量较小，且废铅蓄电池质量不一，因此，本项目不对其进行定量分析。根据查阅相关资料及类比同类项目，进行收集转运过程中破损废铅蓄电池存放在密闭铅酸蓄电池容器，破损废铅蓄电池电解液转移过程硫酸雾产生量较小，经大气扩散稀释后，对周围环境影响较小。</w:t>
            </w:r>
          </w:p>
          <w:p w14:paraId="29765A9E">
            <w:pPr>
              <w:ind w:firstLine="480"/>
              <w:rPr>
                <w:rFonts w:hint="default" w:eastAsia="宋体"/>
                <w:color w:val="auto"/>
              </w:rPr>
            </w:pPr>
            <w:r>
              <w:rPr>
                <w:rFonts w:hint="default" w:eastAsia="宋体"/>
                <w:color w:val="auto"/>
              </w:rPr>
              <w:t>②贮存过程中产生的硫酸雾</w:t>
            </w:r>
          </w:p>
          <w:p w14:paraId="240F9ABB">
            <w:pPr>
              <w:ind w:firstLine="480"/>
              <w:rPr>
                <w:rFonts w:hint="default" w:eastAsia="宋体"/>
                <w:color w:val="auto"/>
              </w:rPr>
            </w:pPr>
            <w:r>
              <w:rPr>
                <w:rFonts w:hint="default" w:eastAsia="宋体"/>
                <w:color w:val="auto"/>
              </w:rPr>
              <w:t>完整电池暂存区正常工</w:t>
            </w:r>
            <w:r>
              <w:rPr>
                <w:rFonts w:eastAsia="宋体"/>
                <w:color w:val="auto"/>
              </w:rPr>
              <w:t>况</w:t>
            </w:r>
            <w:r>
              <w:rPr>
                <w:rFonts w:hint="default" w:eastAsia="宋体"/>
                <w:color w:val="auto"/>
              </w:rPr>
              <w:t>下废铅酸蓄电池均由塑料外壳包裹，不会产生电解液和硫酸雾废气。本项目只进行废铅酸蓄电池收集暂存，不进行废铅酸蓄电池的拆解、处置等加工环节。根据铅酸蓄电池的工作基本原理，正常贮存条件下，不会导致废铅酸蓄电池电解液的泄漏，因此正常工况下不会产生废铅酸蓄电池电解液，因此也不会产生硫酸雾。</w:t>
            </w:r>
          </w:p>
          <w:p w14:paraId="12358582">
            <w:pPr>
              <w:ind w:firstLine="480"/>
              <w:rPr>
                <w:rFonts w:hint="default" w:eastAsia="宋体"/>
                <w:color w:val="auto"/>
              </w:rPr>
            </w:pPr>
            <w:r>
              <w:rPr>
                <w:rFonts w:hint="default" w:eastAsia="宋体"/>
                <w:color w:val="auto"/>
              </w:rPr>
              <w:t>非正常工况（电池破损，电解液</w:t>
            </w:r>
            <w:r>
              <w:rPr>
                <w:rFonts w:eastAsia="宋体"/>
                <w:color w:val="auto"/>
              </w:rPr>
              <w:t>泄漏</w:t>
            </w:r>
            <w:r>
              <w:rPr>
                <w:rFonts w:hint="default" w:eastAsia="宋体"/>
                <w:color w:val="auto"/>
              </w:rPr>
              <w:t>）的情况下会产生硫酸雾废气。根据《环境统计手册》（方品贤、江欣、奚元福编）中“二、液体（除水以外）蒸发量的计算”章节中理论计算公式，具体公式如下：</w:t>
            </w:r>
          </w:p>
          <w:p w14:paraId="1C669D50">
            <w:pPr>
              <w:ind w:firstLine="480"/>
              <w:jc w:val="center"/>
              <w:rPr>
                <w:rFonts w:hint="default" w:eastAsia="宋体"/>
                <w:color w:val="auto"/>
              </w:rPr>
            </w:pPr>
            <w:r>
              <w:rPr>
                <w:rFonts w:hint="default" w:eastAsia="宋体"/>
                <w:color w:val="auto"/>
              </w:rPr>
              <w:t>Gz=M×（0.000352+0.000786×V）×P×F</w:t>
            </w:r>
          </w:p>
          <w:p w14:paraId="694D5608">
            <w:pPr>
              <w:ind w:firstLine="480"/>
              <w:rPr>
                <w:rFonts w:hint="default" w:eastAsia="宋体"/>
                <w:color w:val="auto"/>
              </w:rPr>
            </w:pPr>
            <w:r>
              <w:rPr>
                <w:rFonts w:hint="default" w:eastAsia="宋体"/>
                <w:color w:val="auto"/>
              </w:rPr>
              <w:t>式中：Gz--液体的蒸发量，kg/h；</w:t>
            </w:r>
          </w:p>
          <w:p w14:paraId="028F0BB8">
            <w:pPr>
              <w:ind w:firstLine="480"/>
              <w:rPr>
                <w:rFonts w:hint="default" w:eastAsia="宋体"/>
                <w:color w:val="auto"/>
              </w:rPr>
            </w:pPr>
            <w:r>
              <w:rPr>
                <w:rFonts w:hint="default" w:eastAsia="宋体"/>
                <w:color w:val="auto"/>
              </w:rPr>
              <w:t>M--液体的分子量，（H</w:t>
            </w:r>
            <w:r>
              <w:rPr>
                <w:rFonts w:hint="default" w:eastAsia="宋体"/>
                <w:color w:val="auto"/>
                <w:vertAlign w:val="subscript"/>
              </w:rPr>
              <w:t>2</w:t>
            </w:r>
            <w:r>
              <w:rPr>
                <w:rFonts w:hint="default" w:eastAsia="宋体"/>
                <w:color w:val="auto"/>
              </w:rPr>
              <w:t>SO</w:t>
            </w:r>
            <w:r>
              <w:rPr>
                <w:rFonts w:hint="default" w:eastAsia="宋体"/>
                <w:color w:val="auto"/>
                <w:vertAlign w:val="subscript"/>
              </w:rPr>
              <w:t>4</w:t>
            </w:r>
            <w:r>
              <w:rPr>
                <w:rFonts w:hint="default" w:eastAsia="宋体"/>
                <w:color w:val="auto"/>
              </w:rPr>
              <w:t>为98.08）；</w:t>
            </w:r>
          </w:p>
          <w:p w14:paraId="6F1F9A93">
            <w:pPr>
              <w:ind w:firstLine="480"/>
              <w:rPr>
                <w:rFonts w:hint="default" w:eastAsia="宋体"/>
                <w:color w:val="auto"/>
              </w:rPr>
            </w:pPr>
            <w:r>
              <w:rPr>
                <w:rFonts w:hint="default" w:eastAsia="宋体"/>
                <w:color w:val="auto"/>
              </w:rPr>
              <w:t>V--蒸发液体表面上的空气流速，m/s，以实测数据为准，无条件实测时，一般可取0.2~0.5，贮存库设置为封闭空间，因此本次取0.3；</w:t>
            </w:r>
          </w:p>
          <w:p w14:paraId="14F12D60">
            <w:pPr>
              <w:ind w:firstLine="480"/>
              <w:rPr>
                <w:rFonts w:hint="default" w:eastAsia="宋体"/>
                <w:color w:val="auto"/>
              </w:rPr>
            </w:pPr>
            <w:r>
              <w:rPr>
                <w:rFonts w:hint="default" w:eastAsia="宋体"/>
                <w:color w:val="auto"/>
              </w:rPr>
              <w:t>P--相应于液体温度下的空气中的蒸汽分压力，mmHg；当液体浓度（重量）低于10%时，可用水溶液的</w:t>
            </w:r>
            <w:r>
              <w:rPr>
                <w:rFonts w:eastAsia="宋体"/>
                <w:color w:val="auto"/>
              </w:rPr>
              <w:t>饱和蒸气</w:t>
            </w:r>
            <w:r>
              <w:rPr>
                <w:rFonts w:hint="default" w:eastAsia="宋体"/>
                <w:color w:val="auto"/>
              </w:rPr>
              <w:t>压代替；当液体重量浓度高于10%时，查询《环境统计手册》P776中4-11集液池硫酸溶液蒸汽分压相关数据。参照《铅酸蓄电池用电解液》（GB/T42391-2023），废铅酸蓄电池浓度范围</w:t>
            </w:r>
            <w:r>
              <w:rPr>
                <w:rFonts w:eastAsia="宋体"/>
                <w:color w:val="auto"/>
              </w:rPr>
              <w:t>15%～40%</w:t>
            </w:r>
            <w:r>
              <w:rPr>
                <w:rFonts w:hint="default" w:eastAsia="宋体"/>
                <w:color w:val="auto"/>
              </w:rPr>
              <w:t>，本项目取25%。25%硫酸对应的蒸汽分压为14.45mmHg；</w:t>
            </w:r>
          </w:p>
          <w:p w14:paraId="7FCFFBCE">
            <w:pPr>
              <w:ind w:firstLine="480"/>
              <w:rPr>
                <w:rFonts w:hint="default" w:eastAsia="宋体"/>
                <w:color w:val="auto"/>
              </w:rPr>
            </w:pPr>
            <w:r>
              <w:rPr>
                <w:rFonts w:hint="default" w:eastAsia="宋体"/>
                <w:color w:val="auto"/>
              </w:rPr>
              <w:t>F--液体蒸发面的表面积，㎡。</w:t>
            </w:r>
          </w:p>
          <w:p w14:paraId="650040D7">
            <w:pPr>
              <w:ind w:firstLine="480"/>
              <w:rPr>
                <w:rFonts w:hint="default" w:eastAsia="宋体"/>
                <w:color w:val="auto"/>
              </w:rPr>
            </w:pPr>
            <w:r>
              <w:rPr>
                <w:rFonts w:hint="default" w:eastAsia="宋体"/>
                <w:color w:val="auto"/>
              </w:rPr>
              <w:t>废铅酸蓄电池在人工转移过</w:t>
            </w:r>
            <w:r>
              <w:rPr>
                <w:rFonts w:hint="eastAsia" w:eastAsia="宋体"/>
                <w:color w:val="auto"/>
                <w:lang w:eastAsia="zh-CN"/>
              </w:rPr>
              <w:t>程中</w:t>
            </w:r>
            <w:r>
              <w:rPr>
                <w:rFonts w:hint="default" w:eastAsia="宋体"/>
                <w:color w:val="auto"/>
              </w:rPr>
              <w:t>操作高度较低，高空坠落可能性低。由于铅酸蓄电池内部结构紧凑，由汇流排将正负极板焊接固定成组，外部塑料壳做保护，即使因</w:t>
            </w:r>
            <w:r>
              <w:rPr>
                <w:rFonts w:eastAsia="宋体"/>
                <w:color w:val="auto"/>
              </w:rPr>
              <w:t>机械故障</w:t>
            </w:r>
            <w:r>
              <w:rPr>
                <w:rFonts w:hint="default" w:eastAsia="宋体"/>
                <w:color w:val="auto"/>
              </w:rPr>
              <w:t>或操作不当导致铅酸蓄电池坠地或受外部温度等影响，一般情况下不会导致电池完全破碎。</w:t>
            </w:r>
          </w:p>
          <w:p w14:paraId="1471A356">
            <w:pPr>
              <w:ind w:firstLine="480"/>
              <w:rPr>
                <w:rFonts w:hint="default" w:eastAsia="宋体"/>
                <w:color w:val="auto"/>
              </w:rPr>
            </w:pPr>
            <w:r>
              <w:rPr>
                <w:rFonts w:hint="default" w:eastAsia="宋体"/>
                <w:color w:val="auto"/>
              </w:rPr>
              <w:t>在事故工况下（内部搬运及分类堆放过程中）可能出现电池电解液的泄漏，泄漏时采用导流渠和集液池对其进行收集。导流渠及集液池与空气接触的表面积为</w:t>
            </w:r>
            <w:r>
              <w:rPr>
                <w:rFonts w:hint="eastAsia" w:eastAsia="宋体"/>
                <w:color w:val="auto"/>
                <w:lang w:val="en-US" w:eastAsia="zh-CN"/>
              </w:rPr>
              <w:t>5.04</w:t>
            </w:r>
            <w:r>
              <w:rPr>
                <w:rFonts w:hint="default" w:eastAsia="宋体"/>
                <w:color w:val="auto"/>
              </w:rPr>
              <w:t>㎡。本次评价考虑最不利情况，电池区暂存期间非正常工况条件下导流沟及电解液收集池充满电解液。根据上述计算公式进行计算，挥发电解液的量为5.598kg/h（考虑最不利情况，挥发的电解液全部为硫酸雾）。假设1个月发生一次事故工况，每次事故工况时间为1h，即年事故工况总时长为12h，经计算，完整电池暂存区非正常</w:t>
            </w:r>
            <w:r>
              <w:rPr>
                <w:rFonts w:eastAsia="宋体"/>
                <w:color w:val="auto"/>
              </w:rPr>
              <w:t>工况下</w:t>
            </w:r>
            <w:r>
              <w:rPr>
                <w:rFonts w:hint="default" w:eastAsia="宋体"/>
                <w:color w:val="auto"/>
              </w:rPr>
              <w:t>硫酸雾产生量为5.598kg/h，硫酸雾产生量为0.067t/a。</w:t>
            </w:r>
          </w:p>
          <w:p w14:paraId="7CBB710D">
            <w:pPr>
              <w:pStyle w:val="23"/>
              <w:ind w:firstLine="482"/>
              <w:rPr>
                <w:rFonts w:hint="default"/>
                <w:b/>
                <w:color w:val="auto"/>
              </w:rPr>
            </w:pPr>
            <w:r>
              <w:rPr>
                <w:rFonts w:hint="default" w:eastAsia="宋体"/>
                <w:b/>
                <w:color w:val="auto"/>
              </w:rPr>
              <w:t>2、监测计划</w:t>
            </w:r>
          </w:p>
          <w:p w14:paraId="23B3B172">
            <w:pPr>
              <w:pStyle w:val="23"/>
              <w:ind w:firstLine="480"/>
              <w:rPr>
                <w:rFonts w:hint="default"/>
                <w:color w:val="auto"/>
              </w:rPr>
            </w:pPr>
            <w:r>
              <w:rPr>
                <w:rFonts w:hint="default" w:eastAsia="宋体"/>
                <w:color w:val="auto"/>
              </w:rPr>
              <w:t>根据《排污单位自行监测技术指南总则》（HJ819-2017），本项目大气监测点位、监测因子和频次见下表。</w:t>
            </w:r>
          </w:p>
          <w:p w14:paraId="7E5B3D50">
            <w:pPr>
              <w:ind w:firstLine="0" w:firstLineChars="0"/>
              <w:jc w:val="center"/>
              <w:rPr>
                <w:rFonts w:hint="default"/>
                <w:b/>
                <w:color w:val="auto"/>
              </w:rPr>
            </w:pPr>
            <w:r>
              <w:rPr>
                <w:rFonts w:hint="default" w:eastAsia="宋体"/>
                <w:b/>
                <w:color w:val="auto"/>
              </w:rPr>
              <w:t>表4-1环境监测内容一览表</w:t>
            </w:r>
          </w:p>
          <w:tbl>
            <w:tblPr>
              <w:tblStyle w:val="14"/>
              <w:tblW w:w="79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3"/>
              <w:gridCol w:w="1346"/>
              <w:gridCol w:w="1473"/>
              <w:gridCol w:w="1690"/>
              <w:gridCol w:w="2681"/>
            </w:tblGrid>
            <w:tr w14:paraId="2C7C2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exact"/>
                <w:tblHeader/>
                <w:jc w:val="center"/>
              </w:trPr>
              <w:tc>
                <w:tcPr>
                  <w:tcW w:w="753" w:type="dxa"/>
                  <w:tcBorders>
                    <w:top w:val="single" w:color="auto" w:sz="4" w:space="0"/>
                    <w:left w:val="single" w:color="auto" w:sz="4" w:space="0"/>
                    <w:bottom w:val="single" w:color="auto" w:sz="4" w:space="0"/>
                    <w:right w:val="single" w:color="auto" w:sz="4" w:space="0"/>
                    <w:tl2br w:val="nil"/>
                    <w:tr2bl w:val="nil"/>
                  </w:tcBorders>
                  <w:vAlign w:val="center"/>
                </w:tcPr>
                <w:p w14:paraId="2854D1A4">
                  <w:pPr>
                    <w:spacing w:line="240" w:lineRule="auto"/>
                    <w:ind w:firstLine="0" w:firstLineChars="0"/>
                    <w:jc w:val="center"/>
                    <w:rPr>
                      <w:rFonts w:hint="default"/>
                      <w:color w:val="auto"/>
                    </w:rPr>
                  </w:pPr>
                  <w:r>
                    <w:rPr>
                      <w:rFonts w:hint="default" w:eastAsia="宋体"/>
                      <w:color w:val="auto"/>
                    </w:rPr>
                    <w:t>监测项目</w:t>
                  </w:r>
                </w:p>
              </w:tc>
              <w:tc>
                <w:tcPr>
                  <w:tcW w:w="1346" w:type="dxa"/>
                  <w:tcBorders>
                    <w:top w:val="single" w:color="auto" w:sz="4" w:space="0"/>
                    <w:left w:val="single" w:color="auto" w:sz="4" w:space="0"/>
                    <w:bottom w:val="single" w:color="auto" w:sz="4" w:space="0"/>
                    <w:right w:val="single" w:color="auto" w:sz="4" w:space="0"/>
                    <w:tl2br w:val="nil"/>
                    <w:tr2bl w:val="nil"/>
                  </w:tcBorders>
                  <w:vAlign w:val="center"/>
                </w:tcPr>
                <w:p w14:paraId="6C6540CD">
                  <w:pPr>
                    <w:spacing w:line="240" w:lineRule="auto"/>
                    <w:ind w:firstLine="0" w:firstLineChars="0"/>
                    <w:jc w:val="center"/>
                    <w:rPr>
                      <w:rFonts w:hint="default"/>
                      <w:color w:val="auto"/>
                    </w:rPr>
                  </w:pPr>
                  <w:r>
                    <w:rPr>
                      <w:rFonts w:hint="default" w:eastAsia="宋体"/>
                      <w:color w:val="auto"/>
                    </w:rPr>
                    <w:t>监测点位</w:t>
                  </w:r>
                </w:p>
              </w:tc>
              <w:tc>
                <w:tcPr>
                  <w:tcW w:w="1473" w:type="dxa"/>
                  <w:tcBorders>
                    <w:top w:val="single" w:color="auto" w:sz="4" w:space="0"/>
                    <w:left w:val="single" w:color="auto" w:sz="4" w:space="0"/>
                    <w:bottom w:val="single" w:color="auto" w:sz="4" w:space="0"/>
                    <w:right w:val="single" w:color="auto" w:sz="4" w:space="0"/>
                    <w:tl2br w:val="nil"/>
                    <w:tr2bl w:val="nil"/>
                  </w:tcBorders>
                  <w:vAlign w:val="center"/>
                </w:tcPr>
                <w:p w14:paraId="48B18731">
                  <w:pPr>
                    <w:spacing w:line="240" w:lineRule="auto"/>
                    <w:ind w:firstLine="0" w:firstLineChars="0"/>
                    <w:jc w:val="center"/>
                    <w:rPr>
                      <w:rFonts w:hint="default"/>
                      <w:color w:val="auto"/>
                    </w:rPr>
                  </w:pPr>
                  <w:r>
                    <w:rPr>
                      <w:rFonts w:hint="default" w:eastAsia="宋体"/>
                      <w:color w:val="auto"/>
                    </w:rPr>
                    <w:t>监测因子</w:t>
                  </w:r>
                </w:p>
              </w:tc>
              <w:tc>
                <w:tcPr>
                  <w:tcW w:w="1690" w:type="dxa"/>
                  <w:tcBorders>
                    <w:top w:val="single" w:color="auto" w:sz="4" w:space="0"/>
                    <w:left w:val="single" w:color="auto" w:sz="4" w:space="0"/>
                    <w:bottom w:val="single" w:color="auto" w:sz="4" w:space="0"/>
                    <w:right w:val="single" w:color="auto" w:sz="4" w:space="0"/>
                    <w:tl2br w:val="nil"/>
                    <w:tr2bl w:val="nil"/>
                  </w:tcBorders>
                  <w:vAlign w:val="center"/>
                </w:tcPr>
                <w:p w14:paraId="5F6E95A3">
                  <w:pPr>
                    <w:spacing w:line="240" w:lineRule="auto"/>
                    <w:ind w:firstLine="0" w:firstLineChars="0"/>
                    <w:jc w:val="center"/>
                    <w:rPr>
                      <w:rFonts w:hint="default"/>
                      <w:color w:val="auto"/>
                    </w:rPr>
                  </w:pPr>
                  <w:r>
                    <w:rPr>
                      <w:rFonts w:hint="default" w:eastAsia="宋体"/>
                      <w:color w:val="auto"/>
                    </w:rPr>
                    <w:t>监测频次</w:t>
                  </w:r>
                </w:p>
              </w:tc>
              <w:tc>
                <w:tcPr>
                  <w:tcW w:w="2681" w:type="dxa"/>
                  <w:tcBorders>
                    <w:top w:val="single" w:color="auto" w:sz="4" w:space="0"/>
                    <w:left w:val="single" w:color="auto" w:sz="4" w:space="0"/>
                    <w:bottom w:val="single" w:color="auto" w:sz="4" w:space="0"/>
                    <w:right w:val="single" w:color="auto" w:sz="4" w:space="0"/>
                    <w:tl2br w:val="nil"/>
                    <w:tr2bl w:val="nil"/>
                  </w:tcBorders>
                  <w:vAlign w:val="center"/>
                </w:tcPr>
                <w:p w14:paraId="7BCD324F">
                  <w:pPr>
                    <w:spacing w:line="240" w:lineRule="auto"/>
                    <w:ind w:firstLine="0" w:firstLineChars="0"/>
                    <w:jc w:val="center"/>
                    <w:rPr>
                      <w:rFonts w:hint="default"/>
                      <w:color w:val="auto"/>
                    </w:rPr>
                  </w:pPr>
                  <w:r>
                    <w:rPr>
                      <w:rFonts w:hint="default" w:eastAsia="宋体"/>
                      <w:color w:val="auto"/>
                    </w:rPr>
                    <w:t>控制指标</w:t>
                  </w:r>
                </w:p>
              </w:tc>
            </w:tr>
            <w:tr w14:paraId="74A9E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jc w:val="center"/>
              </w:trPr>
              <w:tc>
                <w:tcPr>
                  <w:tcW w:w="753" w:type="dxa"/>
                  <w:tcBorders>
                    <w:top w:val="single" w:color="auto" w:sz="4" w:space="0"/>
                    <w:left w:val="single" w:color="auto" w:sz="4" w:space="0"/>
                    <w:bottom w:val="single" w:color="auto" w:sz="4" w:space="0"/>
                    <w:right w:val="single" w:color="auto" w:sz="4" w:space="0"/>
                    <w:tl2br w:val="nil"/>
                    <w:tr2bl w:val="nil"/>
                  </w:tcBorders>
                  <w:vAlign w:val="center"/>
                </w:tcPr>
                <w:p w14:paraId="0E6A6167">
                  <w:pPr>
                    <w:spacing w:line="240" w:lineRule="auto"/>
                    <w:ind w:firstLine="0" w:firstLineChars="0"/>
                    <w:jc w:val="center"/>
                    <w:rPr>
                      <w:rFonts w:hint="default"/>
                      <w:color w:val="auto"/>
                    </w:rPr>
                  </w:pPr>
                  <w:r>
                    <w:rPr>
                      <w:rFonts w:hint="default" w:eastAsia="宋体"/>
                      <w:color w:val="auto"/>
                    </w:rPr>
                    <w:t>废气</w:t>
                  </w:r>
                </w:p>
              </w:tc>
              <w:tc>
                <w:tcPr>
                  <w:tcW w:w="1346" w:type="dxa"/>
                  <w:tcBorders>
                    <w:top w:val="single" w:color="auto" w:sz="4" w:space="0"/>
                    <w:left w:val="single" w:color="auto" w:sz="4" w:space="0"/>
                    <w:bottom w:val="single" w:color="auto" w:sz="4" w:space="0"/>
                    <w:right w:val="single" w:color="auto" w:sz="4" w:space="0"/>
                    <w:tl2br w:val="nil"/>
                    <w:tr2bl w:val="nil"/>
                  </w:tcBorders>
                  <w:vAlign w:val="center"/>
                </w:tcPr>
                <w:p w14:paraId="6FD6D62E">
                  <w:pPr>
                    <w:spacing w:line="240" w:lineRule="auto"/>
                    <w:ind w:firstLine="0" w:firstLineChars="0"/>
                    <w:jc w:val="center"/>
                    <w:rPr>
                      <w:rFonts w:hint="default"/>
                      <w:color w:val="auto"/>
                    </w:rPr>
                  </w:pPr>
                  <w:r>
                    <w:rPr>
                      <w:rFonts w:hint="default" w:eastAsia="宋体"/>
                      <w:color w:val="auto"/>
                    </w:rPr>
                    <w:t>危险废物暂存库房</w:t>
                  </w:r>
                  <w:r>
                    <w:rPr>
                      <w:rFonts w:hint="eastAsia" w:eastAsia="宋体"/>
                      <w:color w:val="auto"/>
                      <w:lang w:val="en-US" w:eastAsia="zh-CN"/>
                    </w:rPr>
                    <w:t>外边界</w:t>
                  </w:r>
                  <w:r>
                    <w:rPr>
                      <w:rFonts w:hint="default" w:eastAsia="宋体"/>
                      <w:color w:val="auto"/>
                    </w:rPr>
                    <w:t>下风向1m</w:t>
                  </w:r>
                </w:p>
              </w:tc>
              <w:tc>
                <w:tcPr>
                  <w:tcW w:w="1473" w:type="dxa"/>
                  <w:tcBorders>
                    <w:top w:val="single" w:color="auto" w:sz="4" w:space="0"/>
                    <w:left w:val="single" w:color="auto" w:sz="4" w:space="0"/>
                    <w:bottom w:val="single" w:color="auto" w:sz="4" w:space="0"/>
                    <w:right w:val="single" w:color="auto" w:sz="4" w:space="0"/>
                    <w:tl2br w:val="nil"/>
                    <w:tr2bl w:val="nil"/>
                  </w:tcBorders>
                  <w:vAlign w:val="center"/>
                </w:tcPr>
                <w:p w14:paraId="7AD3EDFC">
                  <w:pPr>
                    <w:spacing w:line="240" w:lineRule="auto"/>
                    <w:ind w:firstLine="0" w:firstLineChars="0"/>
                    <w:jc w:val="center"/>
                    <w:rPr>
                      <w:rFonts w:hint="default" w:eastAsia="宋体"/>
                      <w:color w:val="auto"/>
                      <w:lang w:val="en-US" w:eastAsia="zh-CN"/>
                    </w:rPr>
                  </w:pPr>
                  <w:r>
                    <w:rPr>
                      <w:rFonts w:hint="default" w:eastAsia="宋体"/>
                      <w:color w:val="auto"/>
                    </w:rPr>
                    <w:t>非甲烷总烃</w:t>
                  </w:r>
                  <w:r>
                    <w:rPr>
                      <w:rFonts w:hint="eastAsia" w:eastAsia="宋体"/>
                      <w:color w:val="auto"/>
                      <w:lang w:eastAsia="zh-CN"/>
                    </w:rPr>
                    <w:t>、</w:t>
                  </w:r>
                  <w:r>
                    <w:rPr>
                      <w:rFonts w:hint="eastAsia" w:eastAsia="宋体"/>
                      <w:color w:val="auto"/>
                      <w:lang w:val="en-US" w:eastAsia="zh-CN"/>
                    </w:rPr>
                    <w:t>硫酸雾</w:t>
                  </w:r>
                </w:p>
              </w:tc>
              <w:tc>
                <w:tcPr>
                  <w:tcW w:w="1690" w:type="dxa"/>
                  <w:tcBorders>
                    <w:top w:val="single" w:color="auto" w:sz="4" w:space="0"/>
                    <w:left w:val="single" w:color="auto" w:sz="4" w:space="0"/>
                    <w:bottom w:val="single" w:color="auto" w:sz="4" w:space="0"/>
                    <w:right w:val="single" w:color="auto" w:sz="4" w:space="0"/>
                    <w:tl2br w:val="nil"/>
                    <w:tr2bl w:val="nil"/>
                  </w:tcBorders>
                  <w:vAlign w:val="center"/>
                </w:tcPr>
                <w:p w14:paraId="042FCD3E">
                  <w:pPr>
                    <w:spacing w:line="240" w:lineRule="auto"/>
                    <w:ind w:firstLine="0" w:firstLineChars="0"/>
                    <w:jc w:val="center"/>
                    <w:rPr>
                      <w:rFonts w:hint="default"/>
                      <w:color w:val="auto"/>
                    </w:rPr>
                  </w:pPr>
                  <w:r>
                    <w:rPr>
                      <w:rFonts w:hint="default"/>
                      <w:color w:val="auto"/>
                    </w:rPr>
                    <w:t>1</w:t>
                  </w:r>
                  <w:r>
                    <w:rPr>
                      <w:rFonts w:hint="default" w:eastAsia="宋体"/>
                      <w:color w:val="auto"/>
                    </w:rPr>
                    <w:t>次/年，必要时增加频次</w:t>
                  </w:r>
                </w:p>
              </w:tc>
              <w:tc>
                <w:tcPr>
                  <w:tcW w:w="2681" w:type="dxa"/>
                  <w:tcBorders>
                    <w:top w:val="single" w:color="auto" w:sz="4" w:space="0"/>
                    <w:left w:val="single" w:color="auto" w:sz="4" w:space="0"/>
                    <w:bottom w:val="single" w:color="auto" w:sz="4" w:space="0"/>
                    <w:right w:val="single" w:color="auto" w:sz="4" w:space="0"/>
                    <w:tl2br w:val="nil"/>
                    <w:tr2bl w:val="nil"/>
                  </w:tcBorders>
                  <w:vAlign w:val="center"/>
                </w:tcPr>
                <w:p w14:paraId="17B74EC0">
                  <w:pPr>
                    <w:spacing w:line="240" w:lineRule="auto"/>
                    <w:ind w:firstLine="0" w:firstLineChars="0"/>
                    <w:rPr>
                      <w:rFonts w:hint="default"/>
                      <w:color w:val="auto"/>
                    </w:rPr>
                  </w:pPr>
                  <w:r>
                    <w:rPr>
                      <w:rFonts w:hint="default" w:eastAsia="宋体"/>
                      <w:color w:val="auto"/>
                    </w:rPr>
                    <w:t>《大气污染物综合排放标准》（GB16297-1996）表2新污染源大气排放限值中无组织排放监控浓度限值</w:t>
                  </w:r>
                </w:p>
              </w:tc>
            </w:tr>
          </w:tbl>
          <w:p w14:paraId="66D385A3">
            <w:pPr>
              <w:ind w:firstLine="482"/>
              <w:rPr>
                <w:rFonts w:hint="default"/>
                <w:b/>
                <w:color w:val="auto"/>
              </w:rPr>
            </w:pPr>
            <w:r>
              <w:rPr>
                <w:rFonts w:hint="default" w:eastAsia="宋体"/>
                <w:b/>
                <w:color w:val="auto"/>
              </w:rPr>
              <w:t>二、废水</w:t>
            </w:r>
          </w:p>
          <w:p w14:paraId="263D9541">
            <w:pPr>
              <w:ind w:firstLine="480"/>
              <w:rPr>
                <w:rFonts w:hint="default"/>
                <w:color w:val="auto"/>
              </w:rPr>
            </w:pPr>
            <w:r>
              <w:rPr>
                <w:rFonts w:hint="default" w:eastAsia="宋体"/>
                <w:color w:val="auto"/>
              </w:rPr>
              <w:t>本项目不新增劳动定员，无新增生活污水量，本项目无生产废水产生及排放。</w:t>
            </w:r>
          </w:p>
          <w:p w14:paraId="6C3964BB">
            <w:pPr>
              <w:ind w:firstLine="482"/>
              <w:rPr>
                <w:rFonts w:hint="default"/>
                <w:b/>
                <w:color w:val="auto"/>
              </w:rPr>
            </w:pPr>
            <w:r>
              <w:rPr>
                <w:rFonts w:hint="default" w:eastAsia="宋体"/>
                <w:b/>
                <w:color w:val="auto"/>
              </w:rPr>
              <w:t>三、噪声</w:t>
            </w:r>
          </w:p>
          <w:p w14:paraId="2578FF9C">
            <w:pPr>
              <w:ind w:firstLine="482"/>
              <w:rPr>
                <w:rFonts w:hint="default"/>
                <w:b/>
                <w:color w:val="auto"/>
              </w:rPr>
            </w:pPr>
            <w:r>
              <w:rPr>
                <w:rFonts w:hint="default" w:eastAsia="宋体"/>
                <w:b/>
                <w:color w:val="auto"/>
              </w:rPr>
              <w:t>1、本项目产生的噪声源强</w:t>
            </w:r>
          </w:p>
          <w:p w14:paraId="6D004178">
            <w:pPr>
              <w:ind w:firstLine="480"/>
              <w:rPr>
                <w:rFonts w:hint="default" w:eastAsia="宋体"/>
                <w:color w:val="auto"/>
              </w:rPr>
            </w:pPr>
            <w:r>
              <w:rPr>
                <w:rFonts w:hint="default" w:eastAsia="宋体"/>
                <w:color w:val="auto"/>
              </w:rPr>
              <w:t>项目主要噪声主要为</w:t>
            </w:r>
            <w:r>
              <w:rPr>
                <w:rFonts w:hint="eastAsia" w:eastAsia="宋体"/>
                <w:color w:val="auto"/>
                <w:lang w:val="en-US" w:eastAsia="zh-CN"/>
              </w:rPr>
              <w:t>轴流风机</w:t>
            </w:r>
            <w:r>
              <w:rPr>
                <w:rFonts w:hint="default" w:eastAsia="宋体"/>
                <w:color w:val="auto"/>
              </w:rPr>
              <w:t>，噪声值在50-70dB（A）之间，采取</w:t>
            </w:r>
            <w:r>
              <w:rPr>
                <w:rFonts w:hint="eastAsia" w:eastAsia="宋体"/>
                <w:color w:val="auto"/>
                <w:lang w:val="en-US" w:eastAsia="zh-CN"/>
              </w:rPr>
              <w:t>低噪声设备、隔声降噪</w:t>
            </w:r>
            <w:r>
              <w:rPr>
                <w:rFonts w:hint="default" w:eastAsia="宋体"/>
                <w:color w:val="auto"/>
              </w:rPr>
              <w:t>，对厂区的噪声贡献较小，项目区厂界噪声可满足《工业企业厂界环境噪声排放标准》（GB12348-2008）</w:t>
            </w:r>
            <w:r>
              <w:rPr>
                <w:rFonts w:hint="eastAsia" w:eastAsia="宋体"/>
                <w:color w:val="auto"/>
                <w:lang w:eastAsia="zh-CN"/>
              </w:rPr>
              <w:t>3类</w:t>
            </w:r>
            <w:r>
              <w:rPr>
                <w:rFonts w:hint="default" w:eastAsia="宋体"/>
                <w:color w:val="auto"/>
              </w:rPr>
              <w:t>标准要求，对环境影响较小。</w:t>
            </w:r>
          </w:p>
          <w:p w14:paraId="56D99EA6">
            <w:pPr>
              <w:ind w:firstLine="480"/>
              <w:rPr>
                <w:rFonts w:hint="default" w:eastAsia="宋体"/>
                <w:color w:val="auto"/>
                <w:lang w:val="en-US"/>
              </w:rPr>
            </w:pPr>
            <w:r>
              <w:rPr>
                <w:rFonts w:hint="default" w:eastAsia="宋体"/>
                <w:color w:val="auto"/>
                <w:lang w:val="en-US"/>
              </w:rPr>
              <w:t>根据《环境影响评价技术导则声环境》（HJ2.4-2021）中的要求，本次评价采取导则推荐模式。</w:t>
            </w:r>
          </w:p>
          <w:p w14:paraId="572B5680">
            <w:pPr>
              <w:ind w:firstLine="480"/>
              <w:rPr>
                <w:rFonts w:hint="default" w:eastAsia="宋体"/>
                <w:color w:val="auto"/>
              </w:rPr>
            </w:pPr>
            <w:r>
              <w:rPr>
                <w:rFonts w:hint="default" w:eastAsia="宋体"/>
                <w:color w:val="auto"/>
              </w:rPr>
              <w:t>按室外声源预测方法计算预测点处的A声级，预测点的预测等效声级(Leq)计算公式：</w:t>
            </w:r>
          </w:p>
          <w:p w14:paraId="090AEF8A">
            <w:pPr>
              <w:ind w:firstLine="480"/>
              <w:rPr>
                <w:rFonts w:hint="default" w:eastAsia="宋体"/>
                <w:color w:val="auto"/>
              </w:rPr>
            </w:pPr>
            <w:r>
              <w:rPr>
                <w:rFonts w:hint="default" w:eastAsia="宋体"/>
                <w:color w:val="auto"/>
              </w:rPr>
              <w:t>无指向性点声源的几何发散衰减公式：</w:t>
            </w:r>
          </w:p>
          <w:p w14:paraId="0F617724">
            <w:pPr>
              <w:ind w:firstLine="480"/>
              <w:jc w:val="center"/>
              <w:rPr>
                <w:rFonts w:hint="default" w:eastAsia="宋体"/>
                <w:color w:val="auto"/>
              </w:rPr>
            </w:pPr>
            <w:r>
              <w:rPr>
                <w:rFonts w:hint="default" w:eastAsia="宋体"/>
                <w:color w:val="auto"/>
              </w:rPr>
              <w:drawing>
                <wp:inline distT="0" distB="0" distL="114300" distR="114300">
                  <wp:extent cx="2324100" cy="447675"/>
                  <wp:effectExtent l="0" t="0" r="0" b="9525"/>
                  <wp:docPr id="76" name="图片 3" descr="微信截图_20241227163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3" descr="微信截图_20241227163807"/>
                          <pic:cNvPicPr>
                            <a:picLocks noChangeAspect="1"/>
                          </pic:cNvPicPr>
                        </pic:nvPicPr>
                        <pic:blipFill>
                          <a:blip r:embed="rId17"/>
                          <a:stretch>
                            <a:fillRect/>
                          </a:stretch>
                        </pic:blipFill>
                        <pic:spPr>
                          <a:xfrm>
                            <a:off x="0" y="0"/>
                            <a:ext cx="2324100" cy="447675"/>
                          </a:xfrm>
                          <a:prstGeom prst="rect">
                            <a:avLst/>
                          </a:prstGeom>
                          <a:noFill/>
                          <a:ln>
                            <a:noFill/>
                          </a:ln>
                        </pic:spPr>
                      </pic:pic>
                    </a:graphicData>
                  </a:graphic>
                </wp:inline>
              </w:drawing>
            </w:r>
          </w:p>
          <w:p w14:paraId="60F4F8B2">
            <w:pPr>
              <w:ind w:firstLine="480"/>
              <w:rPr>
                <w:rFonts w:hint="default" w:eastAsia="宋体"/>
                <w:color w:val="auto"/>
              </w:rPr>
            </w:pPr>
            <w:r>
              <w:rPr>
                <w:rFonts w:hint="default" w:eastAsia="宋体"/>
                <w:color w:val="auto"/>
              </w:rPr>
              <w:t>式中：LP(r)——距离噪声源r处的等效A声级值，dB(A)；</w:t>
            </w:r>
          </w:p>
          <w:p w14:paraId="7869F891">
            <w:pPr>
              <w:ind w:firstLine="480"/>
              <w:rPr>
                <w:rFonts w:hint="default" w:eastAsia="宋体"/>
                <w:color w:val="auto"/>
              </w:rPr>
            </w:pPr>
            <w:r>
              <w:rPr>
                <w:rFonts w:hint="default" w:eastAsia="宋体"/>
                <w:color w:val="auto"/>
              </w:rPr>
              <w:t>LP(r0)——距离噪声源r0处的等效A声级值，dB(A)；</w:t>
            </w:r>
          </w:p>
          <w:p w14:paraId="4D8DF474">
            <w:pPr>
              <w:ind w:firstLine="480"/>
              <w:rPr>
                <w:rFonts w:hint="default" w:eastAsia="宋体"/>
                <w:color w:val="auto"/>
              </w:rPr>
            </w:pPr>
            <w:r>
              <w:rPr>
                <w:rFonts w:hint="default" w:eastAsia="宋体"/>
                <w:color w:val="auto"/>
              </w:rPr>
              <w:t>r——预测点距噪声源距离，（m）；</w:t>
            </w:r>
          </w:p>
          <w:p w14:paraId="37DF6861">
            <w:pPr>
              <w:ind w:firstLine="480"/>
              <w:rPr>
                <w:rFonts w:hint="default" w:eastAsia="宋体"/>
                <w:color w:val="auto"/>
              </w:rPr>
            </w:pPr>
            <w:r>
              <w:rPr>
                <w:rFonts w:hint="default" w:eastAsia="宋体"/>
                <w:color w:val="auto"/>
              </w:rPr>
              <w:t>r0——源强外1m处。</w:t>
            </w:r>
          </w:p>
          <w:p w14:paraId="62B3F55F">
            <w:pPr>
              <w:ind w:firstLine="480"/>
              <w:rPr>
                <w:rFonts w:hint="default" w:eastAsia="宋体"/>
                <w:color w:val="auto"/>
              </w:rPr>
            </w:pPr>
            <w:r>
              <w:rPr>
                <w:rFonts w:hint="default" w:eastAsia="宋体"/>
                <w:color w:val="auto"/>
              </w:rPr>
              <w:t>建设项目声源在预测点产生的等效声级贡献值（Leqg）计算公式：</w:t>
            </w:r>
          </w:p>
          <w:p w14:paraId="2DE65185">
            <w:pPr>
              <w:ind w:firstLine="480"/>
              <w:jc w:val="center"/>
              <w:rPr>
                <w:rFonts w:hint="default" w:eastAsia="宋体"/>
                <w:color w:val="auto"/>
              </w:rPr>
            </w:pPr>
            <w:r>
              <w:rPr>
                <w:rFonts w:hint="default" w:eastAsia="宋体"/>
                <w:color w:val="auto"/>
              </w:rPr>
              <w:drawing>
                <wp:inline distT="0" distB="0" distL="114300" distR="114300">
                  <wp:extent cx="2238375" cy="476250"/>
                  <wp:effectExtent l="0" t="0" r="9525" b="0"/>
                  <wp:docPr id="77" name="图片 4" descr="微信截图_20241227163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4" descr="微信截图_20241227163943"/>
                          <pic:cNvPicPr>
                            <a:picLocks noChangeAspect="1"/>
                          </pic:cNvPicPr>
                        </pic:nvPicPr>
                        <pic:blipFill>
                          <a:blip r:embed="rId18"/>
                          <a:stretch>
                            <a:fillRect/>
                          </a:stretch>
                        </pic:blipFill>
                        <pic:spPr>
                          <a:xfrm>
                            <a:off x="0" y="0"/>
                            <a:ext cx="2238375" cy="476250"/>
                          </a:xfrm>
                          <a:prstGeom prst="rect">
                            <a:avLst/>
                          </a:prstGeom>
                          <a:noFill/>
                          <a:ln>
                            <a:noFill/>
                          </a:ln>
                        </pic:spPr>
                      </pic:pic>
                    </a:graphicData>
                  </a:graphic>
                </wp:inline>
              </w:drawing>
            </w:r>
          </w:p>
          <w:p w14:paraId="1E103330">
            <w:pPr>
              <w:ind w:firstLine="480"/>
              <w:rPr>
                <w:rFonts w:hint="default" w:eastAsia="宋体"/>
                <w:color w:val="auto"/>
              </w:rPr>
            </w:pPr>
            <w:r>
              <w:rPr>
                <w:rFonts w:hint="default" w:eastAsia="宋体"/>
                <w:color w:val="auto"/>
              </w:rPr>
              <w:t>式中：Leqg——建设项目声源在预测点的等效声级贡献值，dB(A)；</w:t>
            </w:r>
          </w:p>
          <w:p w14:paraId="0AD21383">
            <w:pPr>
              <w:ind w:firstLine="480"/>
              <w:rPr>
                <w:rFonts w:hint="default" w:eastAsia="宋体"/>
                <w:color w:val="auto"/>
              </w:rPr>
            </w:pPr>
            <w:r>
              <w:rPr>
                <w:rFonts w:hint="default" w:eastAsia="宋体"/>
                <w:color w:val="auto"/>
              </w:rPr>
              <w:t>LAi——i声源在预测点产生的A声级，dB(A)；</w:t>
            </w:r>
          </w:p>
          <w:p w14:paraId="0AD6F12D">
            <w:pPr>
              <w:ind w:firstLine="480"/>
              <w:rPr>
                <w:rFonts w:hint="default" w:eastAsia="宋体"/>
                <w:color w:val="auto"/>
              </w:rPr>
            </w:pPr>
            <w:r>
              <w:rPr>
                <w:rFonts w:hint="default" w:eastAsia="宋体"/>
                <w:color w:val="auto"/>
              </w:rPr>
              <w:t>T——预测计算的时间段，s；</w:t>
            </w:r>
          </w:p>
          <w:p w14:paraId="4C7785D1">
            <w:pPr>
              <w:ind w:firstLine="480"/>
              <w:rPr>
                <w:rFonts w:hint="default" w:eastAsia="宋体"/>
                <w:color w:val="auto"/>
              </w:rPr>
            </w:pPr>
            <w:r>
              <w:rPr>
                <w:rFonts w:hint="default" w:eastAsia="宋体"/>
                <w:color w:val="auto"/>
              </w:rPr>
              <w:t>ti——i声源在T时段内的运行时间，s。</w:t>
            </w:r>
          </w:p>
          <w:p w14:paraId="712DB26D">
            <w:pPr>
              <w:ind w:firstLine="480"/>
              <w:rPr>
                <w:rFonts w:hint="default" w:eastAsia="宋体"/>
                <w:color w:val="auto"/>
              </w:rPr>
            </w:pPr>
            <w:r>
              <w:rPr>
                <w:rFonts w:hint="default" w:eastAsia="宋体"/>
                <w:color w:val="auto"/>
              </w:rPr>
              <w:t>Leq=10lg(100.1Leqg)</w:t>
            </w:r>
          </w:p>
          <w:p w14:paraId="0A1D6860">
            <w:pPr>
              <w:ind w:firstLine="480"/>
              <w:rPr>
                <w:rFonts w:hint="default" w:eastAsia="宋体"/>
                <w:color w:val="auto"/>
              </w:rPr>
            </w:pPr>
            <w:r>
              <w:rPr>
                <w:rFonts w:hint="default" w:eastAsia="宋体"/>
                <w:color w:val="auto"/>
              </w:rPr>
              <w:t>式中：Leqg—建设项目声源在预测点的等效声级贡献值，dB(A)；</w:t>
            </w:r>
          </w:p>
          <w:p w14:paraId="0240D445">
            <w:pPr>
              <w:ind w:firstLine="480"/>
              <w:rPr>
                <w:rFonts w:hint="default" w:eastAsia="宋体"/>
                <w:color w:val="auto"/>
                <w:lang w:val="en-US"/>
              </w:rPr>
            </w:pPr>
            <w:r>
              <w:rPr>
                <w:rFonts w:hint="default" w:eastAsia="宋体"/>
                <w:color w:val="auto"/>
                <w:lang w:val="en-US"/>
              </w:rPr>
              <w:t>（2）预测结果及评价</w:t>
            </w:r>
          </w:p>
          <w:p w14:paraId="3A51C16D">
            <w:pPr>
              <w:ind w:firstLine="480"/>
              <w:rPr>
                <w:rFonts w:hint="default" w:eastAsia="宋体"/>
                <w:color w:val="auto"/>
                <w:lang w:val="en-US"/>
              </w:rPr>
            </w:pPr>
            <w:r>
              <w:rPr>
                <w:rFonts w:hint="default" w:eastAsia="宋体"/>
                <w:color w:val="auto"/>
                <w:lang w:val="en-US"/>
              </w:rPr>
              <w:t>根据项目的机械设备声级、所在位置，利用噪声预测模式和方法，对厂界噪声进行预测计算，得到项目建成后各预测点的昼夜噪声级。</w:t>
            </w:r>
          </w:p>
          <w:p w14:paraId="4C943DFA">
            <w:pPr>
              <w:ind w:firstLine="480"/>
              <w:rPr>
                <w:rFonts w:hint="default" w:eastAsia="宋体"/>
                <w:color w:val="auto"/>
                <w:lang w:val="en-US"/>
              </w:rPr>
            </w:pPr>
            <w:r>
              <w:rPr>
                <w:rFonts w:hint="default" w:eastAsia="宋体"/>
                <w:color w:val="auto"/>
                <w:lang w:val="en-US"/>
              </w:rPr>
              <w:t>噪声影响预测结果见表4-</w:t>
            </w:r>
            <w:r>
              <w:rPr>
                <w:rFonts w:hint="default" w:eastAsia="宋体"/>
                <w:color w:val="auto"/>
                <w:lang w:val="en-US" w:eastAsia="zh-CN"/>
              </w:rPr>
              <w:t>2</w:t>
            </w:r>
            <w:r>
              <w:rPr>
                <w:rFonts w:hint="default" w:eastAsia="宋体"/>
                <w:color w:val="auto"/>
                <w:lang w:val="en-US"/>
              </w:rPr>
              <w:t>。</w:t>
            </w:r>
          </w:p>
          <w:p w14:paraId="456F0AE0">
            <w:pPr>
              <w:ind w:firstLine="480"/>
              <w:jc w:val="center"/>
              <w:rPr>
                <w:rFonts w:hint="default" w:eastAsia="宋体"/>
                <w:b/>
                <w:bCs/>
                <w:color w:val="auto"/>
                <w:lang w:val="en-US"/>
              </w:rPr>
            </w:pPr>
            <w:r>
              <w:rPr>
                <w:rFonts w:hint="default" w:eastAsia="宋体"/>
                <w:b/>
                <w:bCs/>
                <w:color w:val="auto"/>
                <w:lang w:val="en-US"/>
              </w:rPr>
              <w:t>表4-</w:t>
            </w:r>
            <w:r>
              <w:rPr>
                <w:rFonts w:hint="default" w:eastAsia="宋体"/>
                <w:b/>
                <w:bCs/>
                <w:color w:val="auto"/>
                <w:lang w:val="en-US" w:eastAsia="zh-CN"/>
              </w:rPr>
              <w:t>2</w:t>
            </w:r>
            <w:r>
              <w:rPr>
                <w:rFonts w:hint="default" w:eastAsia="宋体"/>
                <w:b/>
                <w:bCs/>
                <w:color w:val="auto"/>
                <w:lang w:val="en-US"/>
              </w:rPr>
              <w:t>厂界噪声影响预测结果表单位：dB(A)</w:t>
            </w:r>
          </w:p>
          <w:tbl>
            <w:tblPr>
              <w:tblStyle w:val="14"/>
              <w:tblW w:w="77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9"/>
              <w:gridCol w:w="1147"/>
              <w:gridCol w:w="1009"/>
              <w:gridCol w:w="1077"/>
              <w:gridCol w:w="973"/>
              <w:gridCol w:w="733"/>
              <w:gridCol w:w="736"/>
              <w:gridCol w:w="732"/>
            </w:tblGrid>
            <w:tr w14:paraId="7E7FE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1329" w:type="dxa"/>
                  <w:vMerge w:val="restart"/>
                  <w:noWrap w:val="0"/>
                  <w:vAlign w:val="center"/>
                </w:tcPr>
                <w:p w14:paraId="5A53BD7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lang w:val="en-US" w:eastAsia="zh-CN"/>
                    </w:rPr>
                  </w:pPr>
                  <w:r>
                    <w:rPr>
                      <w:rFonts w:hint="eastAsia" w:eastAsia="宋体"/>
                      <w:color w:val="auto"/>
                      <w:lang w:val="en-US" w:eastAsia="zh-CN"/>
                    </w:rPr>
                    <w:t>预测位置</w:t>
                  </w:r>
                </w:p>
              </w:tc>
              <w:tc>
                <w:tcPr>
                  <w:tcW w:w="1147" w:type="dxa"/>
                  <w:vMerge w:val="restart"/>
                  <w:noWrap w:val="0"/>
                  <w:vAlign w:val="center"/>
                </w:tcPr>
                <w:p w14:paraId="2C16D51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lang w:val="zh-CN"/>
                    </w:rPr>
                  </w:pPr>
                  <w:r>
                    <w:rPr>
                      <w:rFonts w:hint="default" w:eastAsia="宋体"/>
                      <w:color w:val="auto"/>
                      <w:lang w:val="zh-CN"/>
                    </w:rPr>
                    <w:t>贡献值</w:t>
                  </w:r>
                </w:p>
              </w:tc>
              <w:tc>
                <w:tcPr>
                  <w:tcW w:w="2086" w:type="dxa"/>
                  <w:gridSpan w:val="2"/>
                  <w:noWrap w:val="0"/>
                  <w:vAlign w:val="center"/>
                </w:tcPr>
                <w:p w14:paraId="4C31ACA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lang w:val="zh-CN"/>
                    </w:rPr>
                  </w:pPr>
                  <w:r>
                    <w:rPr>
                      <w:rFonts w:hint="default" w:eastAsia="宋体"/>
                      <w:color w:val="auto"/>
                      <w:lang w:val="zh-CN"/>
                    </w:rPr>
                    <w:t>预测值</w:t>
                  </w:r>
                </w:p>
              </w:tc>
              <w:tc>
                <w:tcPr>
                  <w:tcW w:w="1706" w:type="dxa"/>
                  <w:gridSpan w:val="2"/>
                  <w:noWrap w:val="0"/>
                  <w:vAlign w:val="center"/>
                </w:tcPr>
                <w:p w14:paraId="6AC1CB1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lang w:val="zh-CN"/>
                    </w:rPr>
                  </w:pPr>
                  <w:r>
                    <w:rPr>
                      <w:rFonts w:hint="default" w:eastAsia="宋体"/>
                      <w:color w:val="auto"/>
                      <w:lang w:val="zh-CN"/>
                    </w:rPr>
                    <w:t>标准值</w:t>
                  </w:r>
                </w:p>
              </w:tc>
              <w:tc>
                <w:tcPr>
                  <w:tcW w:w="1468" w:type="dxa"/>
                  <w:gridSpan w:val="2"/>
                  <w:noWrap w:val="0"/>
                  <w:vAlign w:val="center"/>
                </w:tcPr>
                <w:p w14:paraId="187EBF2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lang w:val="zh-CN"/>
                    </w:rPr>
                  </w:pPr>
                  <w:r>
                    <w:rPr>
                      <w:rFonts w:hint="default" w:eastAsia="宋体"/>
                      <w:color w:val="auto"/>
                      <w:lang w:val="zh-CN"/>
                    </w:rPr>
                    <w:t>达标情况</w:t>
                  </w:r>
                </w:p>
              </w:tc>
            </w:tr>
            <w:tr w14:paraId="220BC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1329" w:type="dxa"/>
                  <w:vMerge w:val="continue"/>
                  <w:noWrap w:val="0"/>
                  <w:vAlign w:val="center"/>
                </w:tcPr>
                <w:p w14:paraId="17D14D0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lang w:val="zh-CN"/>
                    </w:rPr>
                  </w:pPr>
                </w:p>
              </w:tc>
              <w:tc>
                <w:tcPr>
                  <w:tcW w:w="1147" w:type="dxa"/>
                  <w:vMerge w:val="continue"/>
                  <w:noWrap w:val="0"/>
                  <w:vAlign w:val="center"/>
                </w:tcPr>
                <w:p w14:paraId="3AB7865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lang w:val="zh-CN"/>
                    </w:rPr>
                  </w:pPr>
                </w:p>
              </w:tc>
              <w:tc>
                <w:tcPr>
                  <w:tcW w:w="1009" w:type="dxa"/>
                  <w:noWrap w:val="0"/>
                  <w:vAlign w:val="center"/>
                </w:tcPr>
                <w:p w14:paraId="3376B12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lang w:val="zh-CN"/>
                    </w:rPr>
                  </w:pPr>
                  <w:r>
                    <w:rPr>
                      <w:rFonts w:hint="default" w:eastAsia="宋体"/>
                      <w:color w:val="auto"/>
                      <w:lang w:val="zh-CN"/>
                    </w:rPr>
                    <w:t>昼间</w:t>
                  </w:r>
                </w:p>
              </w:tc>
              <w:tc>
                <w:tcPr>
                  <w:tcW w:w="1077" w:type="dxa"/>
                  <w:noWrap w:val="0"/>
                  <w:vAlign w:val="center"/>
                </w:tcPr>
                <w:p w14:paraId="4F8576A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lang w:val="zh-CN"/>
                    </w:rPr>
                  </w:pPr>
                  <w:r>
                    <w:rPr>
                      <w:rFonts w:hint="default" w:eastAsia="宋体"/>
                      <w:color w:val="auto"/>
                      <w:lang w:val="zh-CN"/>
                    </w:rPr>
                    <w:t>夜间</w:t>
                  </w:r>
                </w:p>
              </w:tc>
              <w:tc>
                <w:tcPr>
                  <w:tcW w:w="973" w:type="dxa"/>
                  <w:noWrap w:val="0"/>
                  <w:vAlign w:val="center"/>
                </w:tcPr>
                <w:p w14:paraId="004BFFB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lang w:val="zh-CN"/>
                    </w:rPr>
                  </w:pPr>
                  <w:r>
                    <w:rPr>
                      <w:rFonts w:hint="default" w:eastAsia="宋体"/>
                      <w:color w:val="auto"/>
                      <w:lang w:val="zh-CN"/>
                    </w:rPr>
                    <w:t>昼间</w:t>
                  </w:r>
                </w:p>
              </w:tc>
              <w:tc>
                <w:tcPr>
                  <w:tcW w:w="733" w:type="dxa"/>
                  <w:noWrap w:val="0"/>
                  <w:vAlign w:val="center"/>
                </w:tcPr>
                <w:p w14:paraId="5A8BD9D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lang w:val="zh-CN"/>
                    </w:rPr>
                  </w:pPr>
                  <w:r>
                    <w:rPr>
                      <w:rFonts w:hint="default" w:eastAsia="宋体"/>
                      <w:color w:val="auto"/>
                      <w:lang w:val="zh-CN"/>
                    </w:rPr>
                    <w:t>夜间</w:t>
                  </w:r>
                </w:p>
              </w:tc>
              <w:tc>
                <w:tcPr>
                  <w:tcW w:w="736" w:type="dxa"/>
                  <w:noWrap w:val="0"/>
                  <w:vAlign w:val="center"/>
                </w:tcPr>
                <w:p w14:paraId="389B698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lang w:val="zh-CN"/>
                    </w:rPr>
                  </w:pPr>
                  <w:r>
                    <w:rPr>
                      <w:rFonts w:hint="default" w:eastAsia="宋体"/>
                      <w:color w:val="auto"/>
                      <w:lang w:val="zh-CN"/>
                    </w:rPr>
                    <w:t>昼间</w:t>
                  </w:r>
                </w:p>
              </w:tc>
              <w:tc>
                <w:tcPr>
                  <w:tcW w:w="732" w:type="dxa"/>
                  <w:noWrap w:val="0"/>
                  <w:vAlign w:val="center"/>
                </w:tcPr>
                <w:p w14:paraId="6EDB425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lang w:val="zh-CN"/>
                    </w:rPr>
                  </w:pPr>
                  <w:r>
                    <w:rPr>
                      <w:rFonts w:hint="default" w:eastAsia="宋体"/>
                      <w:color w:val="auto"/>
                      <w:lang w:val="zh-CN"/>
                    </w:rPr>
                    <w:t>夜间</w:t>
                  </w:r>
                </w:p>
              </w:tc>
            </w:tr>
            <w:tr w14:paraId="2ABEE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1329" w:type="dxa"/>
                  <w:noWrap w:val="0"/>
                  <w:vAlign w:val="center"/>
                </w:tcPr>
                <w:p w14:paraId="63F771E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lang w:val="en-US" w:eastAsia="zh-CN"/>
                    </w:rPr>
                  </w:pPr>
                  <w:r>
                    <w:rPr>
                      <w:rFonts w:hint="default" w:eastAsia="宋体"/>
                      <w:color w:val="auto"/>
                      <w:lang w:val="en-US" w:eastAsia="zh-CN"/>
                    </w:rPr>
                    <w:t>东侧边界外1m处</w:t>
                  </w:r>
                </w:p>
              </w:tc>
              <w:tc>
                <w:tcPr>
                  <w:tcW w:w="1147" w:type="dxa"/>
                  <w:noWrap w:val="0"/>
                  <w:vAlign w:val="center"/>
                </w:tcPr>
                <w:p w14:paraId="3286C9E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lang w:val="en-US" w:eastAsia="zh-CN"/>
                    </w:rPr>
                  </w:pPr>
                  <w:r>
                    <w:rPr>
                      <w:rFonts w:hint="eastAsia" w:eastAsia="宋体"/>
                      <w:color w:val="auto"/>
                      <w:lang w:val="en-US" w:eastAsia="zh-CN"/>
                    </w:rPr>
                    <w:t>47</w:t>
                  </w:r>
                </w:p>
              </w:tc>
              <w:tc>
                <w:tcPr>
                  <w:tcW w:w="1009" w:type="dxa"/>
                  <w:noWrap w:val="0"/>
                  <w:vAlign w:val="center"/>
                </w:tcPr>
                <w:p w14:paraId="6705973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宋体"/>
                      <w:color w:val="auto"/>
                      <w:lang w:val="en-US" w:eastAsia="zh-CN"/>
                    </w:rPr>
                  </w:pPr>
                  <w:r>
                    <w:rPr>
                      <w:rFonts w:hint="eastAsia" w:eastAsia="宋体"/>
                      <w:color w:val="auto"/>
                      <w:lang w:val="en-US" w:eastAsia="zh-CN"/>
                    </w:rPr>
                    <w:t>47</w:t>
                  </w:r>
                </w:p>
              </w:tc>
              <w:tc>
                <w:tcPr>
                  <w:tcW w:w="1077" w:type="dxa"/>
                  <w:noWrap w:val="0"/>
                  <w:vAlign w:val="center"/>
                </w:tcPr>
                <w:p w14:paraId="5ADF42D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宋体"/>
                      <w:color w:val="auto"/>
                      <w:lang w:val="en-US" w:eastAsia="zh-CN"/>
                    </w:rPr>
                  </w:pPr>
                  <w:r>
                    <w:rPr>
                      <w:rFonts w:hint="eastAsia" w:eastAsia="宋体"/>
                      <w:color w:val="auto"/>
                      <w:lang w:val="en-US" w:eastAsia="zh-CN"/>
                    </w:rPr>
                    <w:t>47</w:t>
                  </w:r>
                </w:p>
              </w:tc>
              <w:tc>
                <w:tcPr>
                  <w:tcW w:w="973" w:type="dxa"/>
                  <w:noWrap w:val="0"/>
                  <w:vAlign w:val="center"/>
                </w:tcPr>
                <w:p w14:paraId="7A51323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lang w:val="en-US"/>
                    </w:rPr>
                  </w:pPr>
                  <w:r>
                    <w:rPr>
                      <w:rFonts w:hint="default" w:eastAsia="宋体"/>
                      <w:color w:val="auto"/>
                      <w:lang w:val="en-US"/>
                    </w:rPr>
                    <w:t>60</w:t>
                  </w:r>
                </w:p>
              </w:tc>
              <w:tc>
                <w:tcPr>
                  <w:tcW w:w="733" w:type="dxa"/>
                  <w:noWrap w:val="0"/>
                  <w:vAlign w:val="center"/>
                </w:tcPr>
                <w:p w14:paraId="264FF70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lang w:val="en-US"/>
                    </w:rPr>
                  </w:pPr>
                  <w:r>
                    <w:rPr>
                      <w:rFonts w:hint="default" w:eastAsia="宋体"/>
                      <w:color w:val="auto"/>
                      <w:lang w:val="en-US"/>
                    </w:rPr>
                    <w:t>50</w:t>
                  </w:r>
                </w:p>
              </w:tc>
              <w:tc>
                <w:tcPr>
                  <w:tcW w:w="736" w:type="dxa"/>
                  <w:noWrap w:val="0"/>
                  <w:vAlign w:val="center"/>
                </w:tcPr>
                <w:p w14:paraId="26B1FE9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lang w:val="zh-CN"/>
                    </w:rPr>
                  </w:pPr>
                  <w:r>
                    <w:rPr>
                      <w:rFonts w:hint="default" w:eastAsia="宋体"/>
                      <w:color w:val="auto"/>
                      <w:lang w:val="zh-CN"/>
                    </w:rPr>
                    <w:t>达标</w:t>
                  </w:r>
                </w:p>
              </w:tc>
              <w:tc>
                <w:tcPr>
                  <w:tcW w:w="732" w:type="dxa"/>
                  <w:noWrap w:val="0"/>
                  <w:vAlign w:val="center"/>
                </w:tcPr>
                <w:p w14:paraId="3DBEFAB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lang w:val="zh-CN"/>
                    </w:rPr>
                  </w:pPr>
                  <w:r>
                    <w:rPr>
                      <w:rFonts w:hint="default" w:eastAsia="宋体"/>
                      <w:color w:val="auto"/>
                      <w:lang w:val="zh-CN"/>
                    </w:rPr>
                    <w:t>达标</w:t>
                  </w:r>
                </w:p>
              </w:tc>
            </w:tr>
            <w:tr w14:paraId="60BBE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1329" w:type="dxa"/>
                  <w:noWrap w:val="0"/>
                  <w:vAlign w:val="center"/>
                </w:tcPr>
                <w:p w14:paraId="26AF67C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lang w:val="zh-CN"/>
                    </w:rPr>
                  </w:pPr>
                  <w:r>
                    <w:rPr>
                      <w:rFonts w:hint="default" w:eastAsia="宋体"/>
                      <w:color w:val="auto"/>
                      <w:lang w:val="zh-CN"/>
                    </w:rPr>
                    <w:t>南</w:t>
                  </w:r>
                  <w:r>
                    <w:rPr>
                      <w:rFonts w:hint="default" w:eastAsia="宋体"/>
                      <w:color w:val="auto"/>
                      <w:lang w:val="en-US" w:eastAsia="zh-CN"/>
                    </w:rPr>
                    <w:t>侧边界外1m处</w:t>
                  </w:r>
                </w:p>
              </w:tc>
              <w:tc>
                <w:tcPr>
                  <w:tcW w:w="1147" w:type="dxa"/>
                  <w:noWrap w:val="0"/>
                  <w:vAlign w:val="center"/>
                </w:tcPr>
                <w:p w14:paraId="7CE961E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lang w:val="en-US" w:eastAsia="zh-CN"/>
                    </w:rPr>
                  </w:pPr>
                  <w:r>
                    <w:rPr>
                      <w:rFonts w:hint="eastAsia" w:eastAsia="宋体"/>
                      <w:color w:val="auto"/>
                      <w:lang w:val="en-US" w:eastAsia="zh-CN"/>
                    </w:rPr>
                    <w:t>45</w:t>
                  </w:r>
                </w:p>
              </w:tc>
              <w:tc>
                <w:tcPr>
                  <w:tcW w:w="1009" w:type="dxa"/>
                  <w:noWrap w:val="0"/>
                  <w:vAlign w:val="center"/>
                </w:tcPr>
                <w:p w14:paraId="24DCE0F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lang w:val="en-US" w:eastAsia="zh-CN"/>
                    </w:rPr>
                  </w:pPr>
                  <w:r>
                    <w:rPr>
                      <w:rFonts w:hint="eastAsia" w:eastAsia="宋体"/>
                      <w:color w:val="auto"/>
                      <w:lang w:val="en-US" w:eastAsia="zh-CN"/>
                    </w:rPr>
                    <w:t>45</w:t>
                  </w:r>
                </w:p>
              </w:tc>
              <w:tc>
                <w:tcPr>
                  <w:tcW w:w="1077" w:type="dxa"/>
                  <w:noWrap w:val="0"/>
                  <w:vAlign w:val="center"/>
                </w:tcPr>
                <w:p w14:paraId="6BD6AB3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lang w:val="en-US" w:eastAsia="zh-CN"/>
                    </w:rPr>
                  </w:pPr>
                  <w:r>
                    <w:rPr>
                      <w:rFonts w:hint="eastAsia" w:eastAsia="宋体"/>
                      <w:color w:val="auto"/>
                      <w:lang w:val="en-US" w:eastAsia="zh-CN"/>
                    </w:rPr>
                    <w:t>45</w:t>
                  </w:r>
                </w:p>
              </w:tc>
              <w:tc>
                <w:tcPr>
                  <w:tcW w:w="973" w:type="dxa"/>
                  <w:noWrap w:val="0"/>
                  <w:vAlign w:val="center"/>
                </w:tcPr>
                <w:p w14:paraId="17C0715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lang w:val="en-US"/>
                    </w:rPr>
                  </w:pPr>
                  <w:r>
                    <w:rPr>
                      <w:rFonts w:hint="default" w:eastAsia="宋体"/>
                      <w:color w:val="auto"/>
                      <w:lang w:val="en-US"/>
                    </w:rPr>
                    <w:t>60</w:t>
                  </w:r>
                </w:p>
              </w:tc>
              <w:tc>
                <w:tcPr>
                  <w:tcW w:w="733" w:type="dxa"/>
                  <w:noWrap w:val="0"/>
                  <w:vAlign w:val="center"/>
                </w:tcPr>
                <w:p w14:paraId="32A284D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lang w:val="en-US"/>
                    </w:rPr>
                  </w:pPr>
                  <w:r>
                    <w:rPr>
                      <w:rFonts w:hint="default" w:eastAsia="宋体"/>
                      <w:color w:val="auto"/>
                      <w:lang w:val="en-US"/>
                    </w:rPr>
                    <w:t>50</w:t>
                  </w:r>
                </w:p>
              </w:tc>
              <w:tc>
                <w:tcPr>
                  <w:tcW w:w="736" w:type="dxa"/>
                  <w:noWrap w:val="0"/>
                  <w:vAlign w:val="center"/>
                </w:tcPr>
                <w:p w14:paraId="286CB0B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lang w:val="zh-CN"/>
                    </w:rPr>
                  </w:pPr>
                  <w:r>
                    <w:rPr>
                      <w:rFonts w:hint="default" w:eastAsia="宋体"/>
                      <w:color w:val="auto"/>
                      <w:lang w:val="zh-CN"/>
                    </w:rPr>
                    <w:t>达标</w:t>
                  </w:r>
                </w:p>
              </w:tc>
              <w:tc>
                <w:tcPr>
                  <w:tcW w:w="732" w:type="dxa"/>
                  <w:noWrap w:val="0"/>
                  <w:vAlign w:val="center"/>
                </w:tcPr>
                <w:p w14:paraId="63E8F02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lang w:val="zh-CN"/>
                    </w:rPr>
                  </w:pPr>
                  <w:r>
                    <w:rPr>
                      <w:rFonts w:hint="default" w:eastAsia="宋体"/>
                      <w:color w:val="auto"/>
                      <w:lang w:val="zh-CN"/>
                    </w:rPr>
                    <w:t>达标</w:t>
                  </w:r>
                </w:p>
              </w:tc>
            </w:tr>
            <w:tr w14:paraId="341B1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1329" w:type="dxa"/>
                  <w:noWrap w:val="0"/>
                  <w:vAlign w:val="center"/>
                </w:tcPr>
                <w:p w14:paraId="466E8BE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lang w:val="zh-CN"/>
                    </w:rPr>
                  </w:pPr>
                  <w:r>
                    <w:rPr>
                      <w:rFonts w:hint="default" w:eastAsia="宋体"/>
                      <w:color w:val="auto"/>
                      <w:lang w:val="zh-CN"/>
                    </w:rPr>
                    <w:t>西</w:t>
                  </w:r>
                  <w:r>
                    <w:rPr>
                      <w:rFonts w:hint="default" w:eastAsia="宋体"/>
                      <w:color w:val="auto"/>
                      <w:lang w:val="en-US" w:eastAsia="zh-CN"/>
                    </w:rPr>
                    <w:t>侧边界外1m处</w:t>
                  </w:r>
                </w:p>
              </w:tc>
              <w:tc>
                <w:tcPr>
                  <w:tcW w:w="1147" w:type="dxa"/>
                  <w:noWrap w:val="0"/>
                  <w:vAlign w:val="center"/>
                </w:tcPr>
                <w:p w14:paraId="60250CF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宋体"/>
                      <w:color w:val="auto"/>
                      <w:lang w:val="zh-CN" w:eastAsia="zh-CN"/>
                    </w:rPr>
                  </w:pPr>
                  <w:r>
                    <w:rPr>
                      <w:rFonts w:hint="eastAsia" w:eastAsia="宋体"/>
                      <w:color w:val="auto"/>
                      <w:lang w:val="en-US" w:eastAsia="zh-CN"/>
                    </w:rPr>
                    <w:t>47</w:t>
                  </w:r>
                </w:p>
              </w:tc>
              <w:tc>
                <w:tcPr>
                  <w:tcW w:w="1009" w:type="dxa"/>
                  <w:noWrap w:val="0"/>
                  <w:vAlign w:val="center"/>
                </w:tcPr>
                <w:p w14:paraId="7951EFB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宋体"/>
                      <w:color w:val="auto"/>
                      <w:lang w:val="en-US" w:eastAsia="zh-CN"/>
                    </w:rPr>
                  </w:pPr>
                  <w:r>
                    <w:rPr>
                      <w:rFonts w:hint="eastAsia" w:eastAsia="宋体"/>
                      <w:color w:val="auto"/>
                      <w:lang w:val="en-US" w:eastAsia="zh-CN"/>
                    </w:rPr>
                    <w:t>47</w:t>
                  </w:r>
                </w:p>
              </w:tc>
              <w:tc>
                <w:tcPr>
                  <w:tcW w:w="1077" w:type="dxa"/>
                  <w:noWrap w:val="0"/>
                  <w:vAlign w:val="center"/>
                </w:tcPr>
                <w:p w14:paraId="41B5F87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宋体"/>
                      <w:color w:val="auto"/>
                      <w:lang w:val="en-US" w:eastAsia="zh-CN"/>
                    </w:rPr>
                  </w:pPr>
                  <w:r>
                    <w:rPr>
                      <w:rFonts w:hint="eastAsia" w:eastAsia="宋体"/>
                      <w:color w:val="auto"/>
                      <w:lang w:val="en-US" w:eastAsia="zh-CN"/>
                    </w:rPr>
                    <w:t>47</w:t>
                  </w:r>
                </w:p>
              </w:tc>
              <w:tc>
                <w:tcPr>
                  <w:tcW w:w="973" w:type="dxa"/>
                  <w:noWrap w:val="0"/>
                  <w:vAlign w:val="center"/>
                </w:tcPr>
                <w:p w14:paraId="16C0B36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lang w:val="en-US"/>
                    </w:rPr>
                  </w:pPr>
                  <w:r>
                    <w:rPr>
                      <w:rFonts w:hint="default" w:eastAsia="宋体"/>
                      <w:color w:val="auto"/>
                      <w:lang w:val="en-US"/>
                    </w:rPr>
                    <w:t>60</w:t>
                  </w:r>
                </w:p>
              </w:tc>
              <w:tc>
                <w:tcPr>
                  <w:tcW w:w="733" w:type="dxa"/>
                  <w:noWrap w:val="0"/>
                  <w:vAlign w:val="center"/>
                </w:tcPr>
                <w:p w14:paraId="16F59D2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lang w:val="en-US"/>
                    </w:rPr>
                  </w:pPr>
                  <w:r>
                    <w:rPr>
                      <w:rFonts w:hint="default" w:eastAsia="宋体"/>
                      <w:color w:val="auto"/>
                      <w:lang w:val="en-US"/>
                    </w:rPr>
                    <w:t>50</w:t>
                  </w:r>
                </w:p>
              </w:tc>
              <w:tc>
                <w:tcPr>
                  <w:tcW w:w="736" w:type="dxa"/>
                  <w:noWrap w:val="0"/>
                  <w:vAlign w:val="center"/>
                </w:tcPr>
                <w:p w14:paraId="0EAD8B7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lang w:val="zh-CN"/>
                    </w:rPr>
                  </w:pPr>
                  <w:r>
                    <w:rPr>
                      <w:rFonts w:hint="default" w:eastAsia="宋体"/>
                      <w:color w:val="auto"/>
                      <w:lang w:val="zh-CN"/>
                    </w:rPr>
                    <w:t>达标</w:t>
                  </w:r>
                </w:p>
              </w:tc>
              <w:tc>
                <w:tcPr>
                  <w:tcW w:w="732" w:type="dxa"/>
                  <w:noWrap w:val="0"/>
                  <w:vAlign w:val="center"/>
                </w:tcPr>
                <w:p w14:paraId="3E3A3E7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lang w:val="zh-CN"/>
                    </w:rPr>
                  </w:pPr>
                  <w:r>
                    <w:rPr>
                      <w:rFonts w:hint="default" w:eastAsia="宋体"/>
                      <w:color w:val="auto"/>
                      <w:lang w:val="zh-CN"/>
                    </w:rPr>
                    <w:t>达标</w:t>
                  </w:r>
                </w:p>
              </w:tc>
            </w:tr>
            <w:tr w14:paraId="561DD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1329" w:type="dxa"/>
                  <w:noWrap w:val="0"/>
                  <w:vAlign w:val="center"/>
                </w:tcPr>
                <w:p w14:paraId="04E954E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lang w:val="zh-CN"/>
                    </w:rPr>
                  </w:pPr>
                  <w:r>
                    <w:rPr>
                      <w:rFonts w:hint="default" w:eastAsia="宋体"/>
                      <w:color w:val="auto"/>
                      <w:lang w:val="zh-CN"/>
                    </w:rPr>
                    <w:t>北</w:t>
                  </w:r>
                  <w:r>
                    <w:rPr>
                      <w:rFonts w:hint="default" w:eastAsia="宋体"/>
                      <w:color w:val="auto"/>
                      <w:lang w:val="en-US" w:eastAsia="zh-CN"/>
                    </w:rPr>
                    <w:t>侧边界外1m处</w:t>
                  </w:r>
                </w:p>
              </w:tc>
              <w:tc>
                <w:tcPr>
                  <w:tcW w:w="1147" w:type="dxa"/>
                  <w:noWrap w:val="0"/>
                  <w:vAlign w:val="center"/>
                </w:tcPr>
                <w:p w14:paraId="11703AC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lang w:val="en-US" w:eastAsia="zh-CN"/>
                    </w:rPr>
                  </w:pPr>
                  <w:r>
                    <w:rPr>
                      <w:rFonts w:hint="eastAsia" w:eastAsia="宋体"/>
                      <w:color w:val="auto"/>
                      <w:lang w:val="en-US" w:eastAsia="zh-CN"/>
                    </w:rPr>
                    <w:t>49</w:t>
                  </w:r>
                </w:p>
              </w:tc>
              <w:tc>
                <w:tcPr>
                  <w:tcW w:w="1009" w:type="dxa"/>
                  <w:noWrap w:val="0"/>
                  <w:vAlign w:val="center"/>
                </w:tcPr>
                <w:p w14:paraId="0CD205A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lang w:val="en-US" w:eastAsia="zh-CN"/>
                    </w:rPr>
                  </w:pPr>
                  <w:r>
                    <w:rPr>
                      <w:rFonts w:hint="eastAsia" w:eastAsia="宋体"/>
                      <w:color w:val="auto"/>
                      <w:lang w:val="en-US" w:eastAsia="zh-CN"/>
                    </w:rPr>
                    <w:t>49</w:t>
                  </w:r>
                </w:p>
              </w:tc>
              <w:tc>
                <w:tcPr>
                  <w:tcW w:w="1077" w:type="dxa"/>
                  <w:noWrap w:val="0"/>
                  <w:vAlign w:val="center"/>
                </w:tcPr>
                <w:p w14:paraId="0321AC4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lang w:val="en-US" w:eastAsia="zh-CN"/>
                    </w:rPr>
                  </w:pPr>
                  <w:r>
                    <w:rPr>
                      <w:rFonts w:hint="eastAsia" w:eastAsia="宋体"/>
                      <w:color w:val="auto"/>
                      <w:lang w:val="en-US" w:eastAsia="zh-CN"/>
                    </w:rPr>
                    <w:t>49</w:t>
                  </w:r>
                </w:p>
              </w:tc>
              <w:tc>
                <w:tcPr>
                  <w:tcW w:w="973" w:type="dxa"/>
                  <w:noWrap w:val="0"/>
                  <w:vAlign w:val="center"/>
                </w:tcPr>
                <w:p w14:paraId="3793D58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lang w:val="en-US"/>
                    </w:rPr>
                  </w:pPr>
                  <w:r>
                    <w:rPr>
                      <w:rFonts w:hint="default" w:eastAsia="宋体"/>
                      <w:color w:val="auto"/>
                      <w:lang w:val="en-US"/>
                    </w:rPr>
                    <w:t>60</w:t>
                  </w:r>
                </w:p>
              </w:tc>
              <w:tc>
                <w:tcPr>
                  <w:tcW w:w="733" w:type="dxa"/>
                  <w:noWrap w:val="0"/>
                  <w:vAlign w:val="center"/>
                </w:tcPr>
                <w:p w14:paraId="570DD3C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lang w:val="en-US"/>
                    </w:rPr>
                  </w:pPr>
                  <w:r>
                    <w:rPr>
                      <w:rFonts w:hint="default" w:eastAsia="宋体"/>
                      <w:color w:val="auto"/>
                      <w:lang w:val="en-US"/>
                    </w:rPr>
                    <w:t>50</w:t>
                  </w:r>
                </w:p>
              </w:tc>
              <w:tc>
                <w:tcPr>
                  <w:tcW w:w="736" w:type="dxa"/>
                  <w:noWrap w:val="0"/>
                  <w:vAlign w:val="center"/>
                </w:tcPr>
                <w:p w14:paraId="60CAAA0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lang w:val="zh-CN"/>
                    </w:rPr>
                  </w:pPr>
                  <w:r>
                    <w:rPr>
                      <w:rFonts w:hint="default" w:eastAsia="宋体"/>
                      <w:color w:val="auto"/>
                      <w:lang w:val="zh-CN"/>
                    </w:rPr>
                    <w:t>达标</w:t>
                  </w:r>
                </w:p>
              </w:tc>
              <w:tc>
                <w:tcPr>
                  <w:tcW w:w="732" w:type="dxa"/>
                  <w:noWrap w:val="0"/>
                  <w:vAlign w:val="center"/>
                </w:tcPr>
                <w:p w14:paraId="57ECAF2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lang w:val="zh-CN"/>
                    </w:rPr>
                  </w:pPr>
                  <w:r>
                    <w:rPr>
                      <w:rFonts w:hint="default" w:eastAsia="宋体"/>
                      <w:color w:val="auto"/>
                      <w:lang w:val="zh-CN"/>
                    </w:rPr>
                    <w:t>达标</w:t>
                  </w:r>
                </w:p>
              </w:tc>
            </w:tr>
          </w:tbl>
          <w:p w14:paraId="44799E01">
            <w:pPr>
              <w:ind w:firstLine="480"/>
              <w:rPr>
                <w:rFonts w:hint="default" w:eastAsia="宋体"/>
                <w:color w:val="auto"/>
                <w:lang w:val="en-US"/>
              </w:rPr>
            </w:pPr>
            <w:r>
              <w:rPr>
                <w:rFonts w:hint="default" w:eastAsia="宋体"/>
                <w:color w:val="auto"/>
              </w:rPr>
              <w:t>经预测，项目厂界噪声的预测值可满足《工业企业厂界环境噪声排放标准》（GB12348-2008）</w:t>
            </w:r>
            <w:r>
              <w:rPr>
                <w:rFonts w:hint="eastAsia" w:eastAsia="宋体"/>
                <w:color w:val="auto"/>
                <w:lang w:val="en-US" w:eastAsia="zh-CN"/>
              </w:rPr>
              <w:t>3类</w:t>
            </w:r>
            <w:r>
              <w:rPr>
                <w:rFonts w:hint="default" w:eastAsia="宋体"/>
                <w:color w:val="auto"/>
              </w:rPr>
              <w:t>标准要求。</w:t>
            </w:r>
          </w:p>
          <w:p w14:paraId="025C472C">
            <w:pPr>
              <w:ind w:firstLine="482"/>
              <w:rPr>
                <w:rFonts w:hint="default"/>
                <w:b/>
                <w:color w:val="auto"/>
              </w:rPr>
            </w:pPr>
            <w:r>
              <w:rPr>
                <w:rFonts w:hint="default" w:eastAsia="宋体"/>
                <w:b/>
                <w:color w:val="auto"/>
              </w:rPr>
              <w:t>2、环境监测计划</w:t>
            </w:r>
          </w:p>
          <w:p w14:paraId="5E4A0C12">
            <w:pPr>
              <w:ind w:firstLine="480"/>
              <w:rPr>
                <w:rFonts w:hint="default"/>
                <w:color w:val="auto"/>
              </w:rPr>
            </w:pPr>
            <w:r>
              <w:rPr>
                <w:rFonts w:hint="default" w:eastAsia="宋体"/>
                <w:color w:val="auto"/>
              </w:rPr>
              <w:t>根据《排污单位自行监测技术指南总则》（HJ819-2017），本项目噪声监测计划见表4-3。</w:t>
            </w:r>
          </w:p>
          <w:p w14:paraId="79532F2B">
            <w:pPr>
              <w:tabs>
                <w:tab w:val="center" w:pos="4175"/>
              </w:tabs>
              <w:ind w:firstLine="482"/>
              <w:jc w:val="center"/>
              <w:outlineLvl w:val="0"/>
              <w:rPr>
                <w:rFonts w:hint="default"/>
                <w:b/>
                <w:color w:val="auto"/>
                <w:kern w:val="0"/>
              </w:rPr>
            </w:pPr>
            <w:r>
              <w:rPr>
                <w:rFonts w:hint="default" w:eastAsia="宋体"/>
                <w:b/>
                <w:color w:val="auto"/>
                <w:kern w:val="0"/>
              </w:rPr>
              <w:t>表4-3本项目运营期监测计划一览表</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5"/>
              <w:gridCol w:w="1267"/>
              <w:gridCol w:w="1449"/>
              <w:gridCol w:w="1214"/>
              <w:gridCol w:w="3173"/>
            </w:tblGrid>
            <w:tr w14:paraId="22BAC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755" w:type="dxa"/>
                  <w:tcBorders>
                    <w:top w:val="single" w:color="auto" w:sz="4" w:space="0"/>
                    <w:left w:val="single" w:color="auto" w:sz="4" w:space="0"/>
                    <w:bottom w:val="single" w:color="auto" w:sz="4" w:space="0"/>
                    <w:right w:val="single" w:color="auto" w:sz="4" w:space="0"/>
                    <w:tl2br w:val="nil"/>
                    <w:tr2bl w:val="nil"/>
                  </w:tcBorders>
                  <w:vAlign w:val="center"/>
                </w:tcPr>
                <w:p w14:paraId="0E07324D">
                  <w:pPr>
                    <w:spacing w:line="240" w:lineRule="auto"/>
                    <w:ind w:firstLine="0" w:firstLineChars="0"/>
                    <w:jc w:val="center"/>
                    <w:rPr>
                      <w:rFonts w:hint="default"/>
                      <w:color w:val="auto"/>
                    </w:rPr>
                  </w:pPr>
                  <w:r>
                    <w:rPr>
                      <w:rFonts w:hint="default" w:eastAsia="宋体"/>
                      <w:color w:val="auto"/>
                    </w:rPr>
                    <w:t>监测项目</w:t>
                  </w:r>
                </w:p>
              </w:tc>
              <w:tc>
                <w:tcPr>
                  <w:tcW w:w="1267" w:type="dxa"/>
                  <w:tcBorders>
                    <w:top w:val="single" w:color="auto" w:sz="4" w:space="0"/>
                    <w:left w:val="single" w:color="auto" w:sz="4" w:space="0"/>
                    <w:bottom w:val="single" w:color="auto" w:sz="4" w:space="0"/>
                    <w:right w:val="single" w:color="auto" w:sz="4" w:space="0"/>
                    <w:tl2br w:val="nil"/>
                    <w:tr2bl w:val="nil"/>
                  </w:tcBorders>
                  <w:vAlign w:val="center"/>
                </w:tcPr>
                <w:p w14:paraId="7D101809">
                  <w:pPr>
                    <w:spacing w:line="240" w:lineRule="auto"/>
                    <w:ind w:firstLine="0" w:firstLineChars="0"/>
                    <w:jc w:val="center"/>
                    <w:rPr>
                      <w:rFonts w:hint="default"/>
                      <w:color w:val="auto"/>
                    </w:rPr>
                  </w:pPr>
                  <w:r>
                    <w:rPr>
                      <w:rFonts w:hint="default" w:eastAsia="宋体"/>
                      <w:color w:val="auto"/>
                    </w:rPr>
                    <w:t>监测因子</w:t>
                  </w:r>
                </w:p>
              </w:tc>
              <w:tc>
                <w:tcPr>
                  <w:tcW w:w="1449" w:type="dxa"/>
                  <w:tcBorders>
                    <w:top w:val="single" w:color="auto" w:sz="4" w:space="0"/>
                    <w:left w:val="single" w:color="auto" w:sz="4" w:space="0"/>
                    <w:bottom w:val="single" w:color="auto" w:sz="4" w:space="0"/>
                    <w:right w:val="single" w:color="auto" w:sz="4" w:space="0"/>
                    <w:tl2br w:val="nil"/>
                    <w:tr2bl w:val="nil"/>
                  </w:tcBorders>
                  <w:vAlign w:val="center"/>
                </w:tcPr>
                <w:p w14:paraId="02D94E84">
                  <w:pPr>
                    <w:spacing w:line="240" w:lineRule="auto"/>
                    <w:ind w:firstLine="0" w:firstLineChars="0"/>
                    <w:jc w:val="center"/>
                    <w:rPr>
                      <w:rFonts w:hint="default"/>
                      <w:color w:val="auto"/>
                    </w:rPr>
                  </w:pPr>
                  <w:r>
                    <w:rPr>
                      <w:rFonts w:hint="default" w:eastAsia="宋体"/>
                      <w:color w:val="auto"/>
                    </w:rPr>
                    <w:t>监测点位置</w:t>
                  </w:r>
                </w:p>
              </w:tc>
              <w:tc>
                <w:tcPr>
                  <w:tcW w:w="1214" w:type="dxa"/>
                  <w:tcBorders>
                    <w:top w:val="single" w:color="auto" w:sz="4" w:space="0"/>
                    <w:left w:val="single" w:color="auto" w:sz="4" w:space="0"/>
                    <w:bottom w:val="single" w:color="auto" w:sz="4" w:space="0"/>
                    <w:right w:val="single" w:color="auto" w:sz="4" w:space="0"/>
                    <w:tl2br w:val="nil"/>
                    <w:tr2bl w:val="nil"/>
                  </w:tcBorders>
                  <w:vAlign w:val="center"/>
                </w:tcPr>
                <w:p w14:paraId="49062BCB">
                  <w:pPr>
                    <w:spacing w:line="240" w:lineRule="auto"/>
                    <w:ind w:firstLine="0" w:firstLineChars="0"/>
                    <w:jc w:val="center"/>
                    <w:rPr>
                      <w:rFonts w:hint="default"/>
                      <w:color w:val="auto"/>
                    </w:rPr>
                  </w:pPr>
                  <w:r>
                    <w:rPr>
                      <w:rFonts w:hint="default" w:eastAsia="宋体"/>
                      <w:color w:val="auto"/>
                    </w:rPr>
                    <w:t>监测频次</w:t>
                  </w:r>
                </w:p>
              </w:tc>
              <w:tc>
                <w:tcPr>
                  <w:tcW w:w="3173" w:type="dxa"/>
                  <w:tcBorders>
                    <w:top w:val="single" w:color="auto" w:sz="4" w:space="0"/>
                    <w:left w:val="single" w:color="auto" w:sz="4" w:space="0"/>
                    <w:bottom w:val="single" w:color="auto" w:sz="4" w:space="0"/>
                    <w:right w:val="single" w:color="auto" w:sz="4" w:space="0"/>
                    <w:tl2br w:val="nil"/>
                    <w:tr2bl w:val="nil"/>
                  </w:tcBorders>
                  <w:vAlign w:val="center"/>
                </w:tcPr>
                <w:p w14:paraId="2C0E4D91">
                  <w:pPr>
                    <w:spacing w:line="240" w:lineRule="auto"/>
                    <w:ind w:firstLine="0" w:firstLineChars="0"/>
                    <w:jc w:val="center"/>
                    <w:rPr>
                      <w:rFonts w:hint="default"/>
                      <w:color w:val="auto"/>
                    </w:rPr>
                  </w:pPr>
                  <w:r>
                    <w:rPr>
                      <w:rFonts w:hint="default" w:eastAsia="宋体"/>
                      <w:color w:val="auto"/>
                    </w:rPr>
                    <w:t>标准</w:t>
                  </w:r>
                </w:p>
              </w:tc>
            </w:tr>
            <w:tr w14:paraId="4F6D0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755" w:type="dxa"/>
                  <w:tcBorders>
                    <w:top w:val="single" w:color="auto" w:sz="4" w:space="0"/>
                    <w:left w:val="single" w:color="auto" w:sz="4" w:space="0"/>
                    <w:bottom w:val="single" w:color="auto" w:sz="4" w:space="0"/>
                    <w:right w:val="single" w:color="auto" w:sz="4" w:space="0"/>
                    <w:tl2br w:val="nil"/>
                    <w:tr2bl w:val="nil"/>
                  </w:tcBorders>
                  <w:vAlign w:val="center"/>
                </w:tcPr>
                <w:p w14:paraId="31E2DFF5">
                  <w:pPr>
                    <w:spacing w:line="240" w:lineRule="auto"/>
                    <w:ind w:firstLine="0" w:firstLineChars="0"/>
                    <w:jc w:val="center"/>
                    <w:rPr>
                      <w:rFonts w:hint="default"/>
                      <w:color w:val="auto"/>
                    </w:rPr>
                  </w:pPr>
                  <w:r>
                    <w:rPr>
                      <w:rFonts w:hint="default" w:eastAsia="宋体"/>
                      <w:color w:val="auto"/>
                    </w:rPr>
                    <w:t>噪声</w:t>
                  </w:r>
                </w:p>
              </w:tc>
              <w:tc>
                <w:tcPr>
                  <w:tcW w:w="1267" w:type="dxa"/>
                  <w:tcBorders>
                    <w:top w:val="single" w:color="auto" w:sz="4" w:space="0"/>
                    <w:left w:val="single" w:color="auto" w:sz="4" w:space="0"/>
                    <w:bottom w:val="single" w:color="auto" w:sz="4" w:space="0"/>
                    <w:right w:val="single" w:color="auto" w:sz="4" w:space="0"/>
                    <w:tl2br w:val="nil"/>
                    <w:tr2bl w:val="nil"/>
                  </w:tcBorders>
                  <w:vAlign w:val="center"/>
                </w:tcPr>
                <w:p w14:paraId="438451FE">
                  <w:pPr>
                    <w:spacing w:line="240" w:lineRule="auto"/>
                    <w:ind w:firstLine="0" w:firstLineChars="0"/>
                    <w:jc w:val="center"/>
                    <w:rPr>
                      <w:rFonts w:hint="default"/>
                      <w:color w:val="auto"/>
                    </w:rPr>
                  </w:pPr>
                  <w:r>
                    <w:rPr>
                      <w:rFonts w:hint="default" w:eastAsia="宋体"/>
                      <w:color w:val="auto"/>
                    </w:rPr>
                    <w:t>等效连续A声级</w:t>
                  </w:r>
                </w:p>
              </w:tc>
              <w:tc>
                <w:tcPr>
                  <w:tcW w:w="1449" w:type="dxa"/>
                  <w:tcBorders>
                    <w:top w:val="single" w:color="auto" w:sz="4" w:space="0"/>
                    <w:left w:val="single" w:color="auto" w:sz="4" w:space="0"/>
                    <w:bottom w:val="single" w:color="auto" w:sz="4" w:space="0"/>
                    <w:right w:val="single" w:color="auto" w:sz="4" w:space="0"/>
                    <w:tl2br w:val="nil"/>
                    <w:tr2bl w:val="nil"/>
                  </w:tcBorders>
                  <w:vAlign w:val="center"/>
                </w:tcPr>
                <w:p w14:paraId="73B3D4BD">
                  <w:pPr>
                    <w:spacing w:line="240" w:lineRule="auto"/>
                    <w:ind w:firstLine="0" w:firstLineChars="0"/>
                    <w:jc w:val="center"/>
                    <w:rPr>
                      <w:rFonts w:hint="default"/>
                      <w:color w:val="auto"/>
                    </w:rPr>
                  </w:pPr>
                  <w:r>
                    <w:rPr>
                      <w:rFonts w:hint="default" w:eastAsia="宋体"/>
                      <w:color w:val="auto"/>
                    </w:rPr>
                    <w:t>厂界四周</w:t>
                  </w:r>
                </w:p>
              </w:tc>
              <w:tc>
                <w:tcPr>
                  <w:tcW w:w="1214" w:type="dxa"/>
                  <w:tcBorders>
                    <w:top w:val="single" w:color="auto" w:sz="4" w:space="0"/>
                    <w:left w:val="single" w:color="auto" w:sz="4" w:space="0"/>
                    <w:bottom w:val="single" w:color="auto" w:sz="4" w:space="0"/>
                    <w:right w:val="single" w:color="auto" w:sz="4" w:space="0"/>
                    <w:tl2br w:val="nil"/>
                    <w:tr2bl w:val="nil"/>
                  </w:tcBorders>
                  <w:vAlign w:val="center"/>
                </w:tcPr>
                <w:p w14:paraId="10D9C3D9">
                  <w:pPr>
                    <w:spacing w:line="240" w:lineRule="auto"/>
                    <w:ind w:firstLine="0" w:firstLineChars="0"/>
                    <w:jc w:val="center"/>
                    <w:rPr>
                      <w:rFonts w:hint="default"/>
                      <w:color w:val="auto"/>
                    </w:rPr>
                  </w:pPr>
                  <w:r>
                    <w:rPr>
                      <w:rFonts w:hint="default" w:eastAsia="宋体"/>
                      <w:color w:val="auto"/>
                    </w:rPr>
                    <w:t>1次/季度</w:t>
                  </w:r>
                </w:p>
              </w:tc>
              <w:tc>
                <w:tcPr>
                  <w:tcW w:w="3173" w:type="dxa"/>
                  <w:tcBorders>
                    <w:top w:val="single" w:color="auto" w:sz="4" w:space="0"/>
                    <w:left w:val="single" w:color="auto" w:sz="4" w:space="0"/>
                    <w:bottom w:val="single" w:color="auto" w:sz="4" w:space="0"/>
                    <w:right w:val="single" w:color="auto" w:sz="4" w:space="0"/>
                    <w:tl2br w:val="nil"/>
                    <w:tr2bl w:val="nil"/>
                  </w:tcBorders>
                  <w:vAlign w:val="center"/>
                </w:tcPr>
                <w:p w14:paraId="585C8040">
                  <w:pPr>
                    <w:spacing w:line="240" w:lineRule="auto"/>
                    <w:ind w:firstLine="0" w:firstLineChars="0"/>
                    <w:jc w:val="center"/>
                    <w:rPr>
                      <w:rFonts w:hint="default"/>
                      <w:color w:val="auto"/>
                    </w:rPr>
                  </w:pPr>
                  <w:r>
                    <w:rPr>
                      <w:rFonts w:hint="default" w:eastAsia="宋体"/>
                      <w:color w:val="auto"/>
                    </w:rPr>
                    <w:t>《工业企业场界环境噪声排放标准》（GB12348-2008）中</w:t>
                  </w:r>
                  <w:r>
                    <w:rPr>
                      <w:rFonts w:hint="eastAsia" w:eastAsia="宋体"/>
                      <w:color w:val="auto"/>
                      <w:lang w:eastAsia="zh-CN"/>
                    </w:rPr>
                    <w:t>3类</w:t>
                  </w:r>
                  <w:r>
                    <w:rPr>
                      <w:rFonts w:hint="default" w:eastAsia="宋体"/>
                      <w:color w:val="auto"/>
                    </w:rPr>
                    <w:t>标准</w:t>
                  </w:r>
                </w:p>
              </w:tc>
            </w:tr>
          </w:tbl>
          <w:p w14:paraId="4FB7AC1F">
            <w:pPr>
              <w:ind w:firstLine="482"/>
              <w:rPr>
                <w:rFonts w:hint="default"/>
                <w:b/>
                <w:color w:val="auto"/>
              </w:rPr>
            </w:pPr>
            <w:r>
              <w:rPr>
                <w:rFonts w:hint="default" w:eastAsia="宋体"/>
                <w:b/>
                <w:color w:val="auto"/>
              </w:rPr>
              <w:t>四、固体废物</w:t>
            </w:r>
          </w:p>
          <w:p w14:paraId="3EC7EC9C">
            <w:pPr>
              <w:ind w:firstLine="480"/>
              <w:rPr>
                <w:rFonts w:hint="eastAsia" w:eastAsia="宋体"/>
                <w:b/>
                <w:bCs/>
                <w:color w:val="auto"/>
                <w:lang w:val="en-US" w:eastAsia="zh-CN"/>
              </w:rPr>
            </w:pPr>
            <w:r>
              <w:rPr>
                <w:rFonts w:hint="eastAsia" w:eastAsia="宋体"/>
                <w:b/>
                <w:bCs/>
                <w:color w:val="auto"/>
                <w:lang w:val="en-US" w:eastAsia="zh-CN"/>
              </w:rPr>
              <w:t>1、固体废弃物产生情况及处置措施</w:t>
            </w:r>
          </w:p>
          <w:p w14:paraId="2698CDC1">
            <w:pPr>
              <w:ind w:firstLine="480"/>
              <w:rPr>
                <w:rFonts w:hint="default"/>
                <w:color w:val="auto"/>
              </w:rPr>
            </w:pPr>
            <w:r>
              <w:rPr>
                <w:rFonts w:hint="default" w:eastAsia="宋体"/>
                <w:color w:val="auto"/>
              </w:rPr>
              <w:t>本项目为主体工程配套建设的危险废物暂存库项目，主要进行危险废物的贮存，本身不产生固体废弃物，项目运营期产生的固体废物主要为沾染油污废抹布、手套。</w:t>
            </w:r>
          </w:p>
          <w:p w14:paraId="2136F9C3">
            <w:pPr>
              <w:ind w:firstLine="480"/>
              <w:rPr>
                <w:rFonts w:hint="default"/>
                <w:color w:val="auto"/>
              </w:rPr>
            </w:pPr>
            <w:r>
              <w:rPr>
                <w:rFonts w:hint="default" w:eastAsia="宋体"/>
                <w:color w:val="auto"/>
              </w:rPr>
              <w:t>（1）生活垃圾</w:t>
            </w:r>
          </w:p>
          <w:p w14:paraId="5DBF8ADC">
            <w:pPr>
              <w:ind w:firstLine="480"/>
              <w:rPr>
                <w:rFonts w:hint="default"/>
                <w:color w:val="auto"/>
              </w:rPr>
            </w:pPr>
            <w:r>
              <w:rPr>
                <w:rFonts w:hint="default" w:eastAsia="宋体"/>
                <w:color w:val="auto"/>
              </w:rPr>
              <w:t>本项目不新增劳动定员，故不新增生活垃圾。</w:t>
            </w:r>
          </w:p>
          <w:p w14:paraId="21886F3F">
            <w:pPr>
              <w:ind w:firstLine="480"/>
              <w:rPr>
                <w:rFonts w:hint="default" w:eastAsia="宋体"/>
                <w:color w:val="auto"/>
              </w:rPr>
            </w:pPr>
            <w:r>
              <w:rPr>
                <w:rFonts w:hint="default" w:eastAsia="宋体"/>
                <w:color w:val="auto"/>
              </w:rPr>
              <w:t>（2）</w:t>
            </w:r>
            <w:r>
              <w:rPr>
                <w:rFonts w:eastAsia="宋体"/>
                <w:color w:val="auto"/>
              </w:rPr>
              <w:t>一般固废</w:t>
            </w:r>
          </w:p>
          <w:p w14:paraId="66061C85">
            <w:pPr>
              <w:ind w:firstLine="480"/>
              <w:rPr>
                <w:rFonts w:hint="default"/>
                <w:color w:val="auto"/>
              </w:rPr>
            </w:pPr>
            <w:r>
              <w:rPr>
                <w:rFonts w:hint="default" w:eastAsia="宋体"/>
                <w:color w:val="auto"/>
              </w:rPr>
              <w:t>本项目在生产运营过程中产生少量的沾染油污废抹布、手套等劳保用品，产生量约为0.1t/a，</w:t>
            </w:r>
            <w:r>
              <w:rPr>
                <w:rFonts w:hint="eastAsia" w:eastAsia="宋体"/>
                <w:color w:val="auto"/>
                <w:lang w:val="en-US" w:eastAsia="zh-CN"/>
              </w:rPr>
              <w:t>根据《国家危险废物名录》（2025年版），产生的</w:t>
            </w:r>
            <w:r>
              <w:rPr>
                <w:rFonts w:hint="default" w:eastAsia="宋体"/>
                <w:color w:val="auto"/>
              </w:rPr>
              <w:t>沾染油污废抹布、手套等劳保用品与厂区内的生活垃圾统一收集后交由当地环卫部门进行处理。经上述措施处理后，本项目的固体废物均不会对项目周边环境造成明显影响。</w:t>
            </w:r>
          </w:p>
          <w:p w14:paraId="019BE22F">
            <w:pPr>
              <w:bidi w:val="0"/>
              <w:rPr>
                <w:rFonts w:hint="eastAsia" w:eastAsia="宋体"/>
                <w:b/>
                <w:bCs/>
                <w:color w:val="auto"/>
                <w:lang w:val="en-US" w:eastAsia="zh-CN"/>
              </w:rPr>
            </w:pPr>
            <w:r>
              <w:rPr>
                <w:rFonts w:hint="eastAsia" w:eastAsia="宋体"/>
                <w:b/>
                <w:bCs/>
                <w:color w:val="auto"/>
                <w:lang w:val="en-US" w:eastAsia="zh-CN"/>
              </w:rPr>
              <w:t>2、固体废物环境管理要求</w:t>
            </w:r>
          </w:p>
          <w:p w14:paraId="1547543F">
            <w:pPr>
              <w:bidi w:val="0"/>
              <w:rPr>
                <w:b/>
                <w:bCs/>
                <w:color w:val="auto"/>
              </w:rPr>
            </w:pPr>
            <w:r>
              <w:rPr>
                <w:b/>
                <w:bCs/>
                <w:color w:val="auto"/>
              </w:rPr>
              <w:t>危险废物收集、包装、储存、处置要求</w:t>
            </w:r>
          </w:p>
          <w:p w14:paraId="337E814A">
            <w:pPr>
              <w:bidi w:val="0"/>
              <w:rPr>
                <w:color w:val="auto"/>
              </w:rPr>
            </w:pPr>
            <w:r>
              <w:rPr>
                <w:color w:val="auto"/>
              </w:rPr>
              <w:t>①危险废物包装要求</w:t>
            </w:r>
          </w:p>
          <w:p w14:paraId="7F59121B">
            <w:pPr>
              <w:bidi w:val="0"/>
              <w:rPr>
                <w:color w:val="auto"/>
              </w:rPr>
            </w:pPr>
            <w:r>
              <w:rPr>
                <w:color w:val="auto"/>
              </w:rPr>
              <w:t>危险废物收集时应根据危险废物的种类、数量、危险特性、物理形态、运输要求等因素确定包装形式，具体包装应符合如下要求：</w:t>
            </w:r>
          </w:p>
          <w:p w14:paraId="4AD3EE29">
            <w:pPr>
              <w:bidi w:val="0"/>
              <w:rPr>
                <w:color w:val="auto"/>
              </w:rPr>
            </w:pPr>
            <w:r>
              <w:rPr>
                <w:color w:val="auto"/>
              </w:rPr>
              <w:t>A、包装材质要与危险废物相容，可根据废物特性选择钢、铝、塑料等材质。</w:t>
            </w:r>
          </w:p>
          <w:p w14:paraId="6DDC7CA5">
            <w:pPr>
              <w:bidi w:val="0"/>
              <w:rPr>
                <w:color w:val="auto"/>
              </w:rPr>
            </w:pPr>
            <w:r>
              <w:rPr>
                <w:color w:val="auto"/>
              </w:rPr>
              <w:t>B、性质类似的废物可收集到同一容器中，性质不相容的危险废物不应混合包装。</w:t>
            </w:r>
          </w:p>
          <w:p w14:paraId="5A55B409">
            <w:pPr>
              <w:bidi w:val="0"/>
              <w:rPr>
                <w:color w:val="auto"/>
              </w:rPr>
            </w:pPr>
            <w:r>
              <w:rPr>
                <w:color w:val="auto"/>
              </w:rPr>
              <w:t>C、危险废物包装应能有效隔断危险废物迁移扩散途径，并达到防渗、防漏要求。</w:t>
            </w:r>
          </w:p>
          <w:p w14:paraId="624A6A71">
            <w:pPr>
              <w:bidi w:val="0"/>
              <w:rPr>
                <w:color w:val="auto"/>
              </w:rPr>
            </w:pPr>
            <w:r>
              <w:rPr>
                <w:color w:val="auto"/>
              </w:rPr>
              <w:t>D、包装好的危险废物应设置相应的标签，标签信息应填写完整翔实。</w:t>
            </w:r>
          </w:p>
          <w:p w14:paraId="36E9B972">
            <w:pPr>
              <w:bidi w:val="0"/>
              <w:rPr>
                <w:color w:val="auto"/>
              </w:rPr>
            </w:pPr>
            <w:r>
              <w:rPr>
                <w:color w:val="auto"/>
              </w:rPr>
              <w:t>E、盛装过危险废物的包装袋或包装容器破损后应按危险废物进行管理和处置。</w:t>
            </w:r>
          </w:p>
          <w:p w14:paraId="22DD9192">
            <w:pPr>
              <w:bidi w:val="0"/>
              <w:rPr>
                <w:color w:val="auto"/>
              </w:rPr>
            </w:pPr>
            <w:r>
              <w:rPr>
                <w:color w:val="auto"/>
              </w:rPr>
              <w:t>F、危险废物还应根据GB12463的有关要求进行运输包装。</w:t>
            </w:r>
          </w:p>
          <w:p w14:paraId="0D81F7AF">
            <w:pPr>
              <w:bidi w:val="0"/>
              <w:rPr>
                <w:color w:val="auto"/>
              </w:rPr>
            </w:pPr>
            <w:r>
              <w:rPr>
                <w:color w:val="auto"/>
              </w:rPr>
              <w:t>根据本项目危废产生情况及特点，环评要求废油等的收集应使用符合国家标准的专用容器，容器壁应贴有标签，详细标明危险废物的名称、成分、特性、重量及发生泄漏、扩散污染事故时的应急措施和补救方法。</w:t>
            </w:r>
          </w:p>
          <w:p w14:paraId="5978608C">
            <w:pPr>
              <w:bidi w:val="0"/>
              <w:rPr>
                <w:color w:val="auto"/>
              </w:rPr>
            </w:pPr>
            <w:r>
              <w:rPr>
                <w:color w:val="auto"/>
              </w:rPr>
              <w:t>②危险废物收集、运输过程环境保护要求</w:t>
            </w:r>
          </w:p>
          <w:p w14:paraId="4F9FD74F">
            <w:pPr>
              <w:bidi w:val="0"/>
              <w:rPr>
                <w:color w:val="auto"/>
              </w:rPr>
            </w:pPr>
            <w:r>
              <w:rPr>
                <w:color w:val="auto"/>
              </w:rPr>
              <w:t>危险废物内部转运作业应满足如下要求：</w:t>
            </w:r>
          </w:p>
          <w:p w14:paraId="12362E65">
            <w:pPr>
              <w:bidi w:val="0"/>
              <w:rPr>
                <w:color w:val="auto"/>
              </w:rPr>
            </w:pPr>
            <w:r>
              <w:rPr>
                <w:color w:val="auto"/>
              </w:rPr>
              <w:t>A、危险废物必须妥善分类，并采用专用包装袋和周转箱、专用运输车运送到处置中心，装卸完成后对运输车辆进行消毒。</w:t>
            </w:r>
          </w:p>
          <w:p w14:paraId="33EC30C5">
            <w:pPr>
              <w:bidi w:val="0"/>
              <w:rPr>
                <w:color w:val="auto"/>
              </w:rPr>
            </w:pPr>
            <w:r>
              <w:rPr>
                <w:color w:val="auto"/>
              </w:rPr>
              <w:t>B、运输车上配置橡胶手套、工作手套、口罩、消毒水、急救药箱、灭火器和紧急应变手册。</w:t>
            </w:r>
          </w:p>
          <w:p w14:paraId="1A43D34D">
            <w:pPr>
              <w:bidi w:val="0"/>
              <w:rPr>
                <w:color w:val="auto"/>
              </w:rPr>
            </w:pPr>
            <w:r>
              <w:rPr>
                <w:color w:val="auto"/>
              </w:rPr>
              <w:t>C、在运输过程中，采取专车专用的方式，禁止将危险废物与旅客及</w:t>
            </w:r>
            <w:r>
              <w:rPr>
                <w:rFonts w:hint="eastAsia" w:eastAsia="宋体"/>
                <w:color w:val="auto"/>
                <w:lang w:eastAsia="zh-CN"/>
              </w:rPr>
              <w:t>其他</w:t>
            </w:r>
            <w:r>
              <w:rPr>
                <w:color w:val="auto"/>
              </w:rPr>
              <w:t>货物同车运输。</w:t>
            </w:r>
          </w:p>
          <w:p w14:paraId="53F9AE93">
            <w:pPr>
              <w:bidi w:val="0"/>
              <w:rPr>
                <w:color w:val="auto"/>
              </w:rPr>
            </w:pPr>
            <w:r>
              <w:rPr>
                <w:color w:val="auto"/>
              </w:rPr>
              <w:t>D、危险废物运输车辆通过饮用水源保护区或水库的水源地时，应减速行驶，尽量避免各类交通事故的发生。如有必要应尽量避免雨天运输。</w:t>
            </w:r>
          </w:p>
          <w:p w14:paraId="5606F354">
            <w:pPr>
              <w:bidi w:val="0"/>
              <w:rPr>
                <w:color w:val="auto"/>
              </w:rPr>
            </w:pPr>
            <w:r>
              <w:rPr>
                <w:color w:val="auto"/>
              </w:rPr>
              <w:t>E、危险废物运输途经城市时，应尽量绕城行驶，不得穿越城区。</w:t>
            </w:r>
          </w:p>
          <w:p w14:paraId="2F61B1B4">
            <w:pPr>
              <w:bidi w:val="0"/>
              <w:rPr>
                <w:color w:val="auto"/>
              </w:rPr>
            </w:pPr>
            <w:r>
              <w:rPr>
                <w:color w:val="auto"/>
              </w:rPr>
              <w:t>F、严格按照规划路线运输，但尽量避免上下班高峰时运输。</w:t>
            </w:r>
          </w:p>
          <w:p w14:paraId="27199196">
            <w:pPr>
              <w:bidi w:val="0"/>
              <w:rPr>
                <w:color w:val="auto"/>
              </w:rPr>
            </w:pPr>
            <w:r>
              <w:rPr>
                <w:color w:val="auto"/>
              </w:rPr>
              <w:t>G、对运输</w:t>
            </w:r>
            <w:r>
              <w:rPr>
                <w:rFonts w:hint="eastAsia" w:eastAsia="宋体"/>
                <w:color w:val="auto"/>
                <w:lang w:eastAsia="zh-CN"/>
              </w:rPr>
              <w:t>车辆</w:t>
            </w:r>
            <w:r>
              <w:rPr>
                <w:color w:val="auto"/>
              </w:rPr>
              <w:t>进行严格管理，须备有车辆里程登记表并做好每日登记，做好车辆日常的维护。</w:t>
            </w:r>
          </w:p>
          <w:p w14:paraId="47222FE7">
            <w:pPr>
              <w:bidi w:val="0"/>
              <w:rPr>
                <w:color w:val="auto"/>
              </w:rPr>
            </w:pPr>
            <w:r>
              <w:rPr>
                <w:color w:val="auto"/>
              </w:rPr>
              <w:t>H、从事危险废物运输的人员（包括司机），应当接受专业培训，经考核合格，方可从事该项工作；运输车辆须有特殊标志，以引起关注；危险废物运输车辆需持危险废物运输通行证。</w:t>
            </w:r>
          </w:p>
          <w:p w14:paraId="373B9296">
            <w:pPr>
              <w:bidi w:val="0"/>
              <w:rPr>
                <w:color w:val="auto"/>
              </w:rPr>
            </w:pPr>
            <w:r>
              <w:rPr>
                <w:color w:val="auto"/>
              </w:rPr>
              <w:t>I、为了保证危险废物运输的安全无误，必须遵守国家和地方制定的危险废物转移联单管理办法中的有关规定。</w:t>
            </w:r>
          </w:p>
          <w:p w14:paraId="5CBACA12">
            <w:pPr>
              <w:bidi w:val="0"/>
              <w:rPr>
                <w:color w:val="auto"/>
              </w:rPr>
            </w:pPr>
            <w:r>
              <w:rPr>
                <w:color w:val="auto"/>
              </w:rPr>
              <w:t>③危险固体废物暂存库的管理要求</w:t>
            </w:r>
          </w:p>
          <w:p w14:paraId="0052534F">
            <w:pPr>
              <w:bidi w:val="0"/>
              <w:rPr>
                <w:color w:val="auto"/>
              </w:rPr>
            </w:pPr>
            <w:r>
              <w:rPr>
                <w:color w:val="auto"/>
              </w:rPr>
              <w:t>对于危险废物暂存库，按照《危险废物贮存污染控制标准》（GB18597-2023）进行污染控制和管理。</w:t>
            </w:r>
          </w:p>
          <w:p w14:paraId="5F089092">
            <w:pPr>
              <w:bidi w:val="0"/>
              <w:rPr>
                <w:color w:val="auto"/>
              </w:rPr>
            </w:pPr>
            <w:r>
              <w:rPr>
                <w:color w:val="auto"/>
              </w:rPr>
              <w:t>A、危险废物暂存间应满足“防风、防晒、防雨、防漏、防渗、防腐”的“六防”要求，</w:t>
            </w:r>
            <w:r>
              <w:rPr>
                <w:rFonts w:hint="default" w:eastAsia="宋体"/>
                <w:color w:val="auto"/>
              </w:rPr>
              <w:t>防渗层为至少1m厚黏土层（渗透系数</w:t>
            </w:r>
            <w:r>
              <w:rPr>
                <w:rFonts w:eastAsia="宋体"/>
                <w:color w:val="auto"/>
              </w:rPr>
              <w:t>≤</w:t>
            </w:r>
            <w:r>
              <w:rPr>
                <w:rFonts w:hint="default" w:eastAsia="宋体"/>
                <w:color w:val="auto"/>
              </w:rPr>
              <w:t>10</w:t>
            </w:r>
            <w:r>
              <w:rPr>
                <w:rFonts w:hint="default" w:eastAsia="宋体"/>
                <w:color w:val="auto"/>
                <w:vertAlign w:val="superscript"/>
              </w:rPr>
              <w:t>-7</w:t>
            </w:r>
            <w:r>
              <w:rPr>
                <w:rFonts w:hint="default" w:eastAsia="宋体"/>
                <w:color w:val="auto"/>
              </w:rPr>
              <w:t>cm/s），或至少2mm厚高密度聚乙烯膜等人工防渗材料（渗透系数</w:t>
            </w:r>
            <w:r>
              <w:rPr>
                <w:rFonts w:eastAsia="宋体"/>
                <w:color w:val="auto"/>
              </w:rPr>
              <w:t>≤</w:t>
            </w:r>
            <w:r>
              <w:rPr>
                <w:rFonts w:hint="default" w:eastAsia="宋体"/>
                <w:color w:val="auto"/>
              </w:rPr>
              <w:t>10</w:t>
            </w:r>
            <w:r>
              <w:rPr>
                <w:rFonts w:hint="default" w:eastAsia="宋体"/>
                <w:color w:val="auto"/>
                <w:vertAlign w:val="superscript"/>
              </w:rPr>
              <w:t>-10</w:t>
            </w:r>
            <w:r>
              <w:rPr>
                <w:rFonts w:hint="default" w:eastAsia="宋体"/>
                <w:color w:val="auto"/>
              </w:rPr>
              <w:t>cm/s），或其他防渗性能等效的材料。</w:t>
            </w:r>
          </w:p>
          <w:p w14:paraId="0ED83FF2">
            <w:pPr>
              <w:bidi w:val="0"/>
              <w:rPr>
                <w:color w:val="auto"/>
              </w:rPr>
            </w:pPr>
            <w:r>
              <w:rPr>
                <w:color w:val="auto"/>
              </w:rPr>
              <w:t>B、暂存库内的危险废物采取分类堆放，并设有隔离间隔。每个部分都应有防漏裙脚，防漏裙脚的材料与危险废物相容。每个堆间应留有搬运通道。</w:t>
            </w:r>
          </w:p>
          <w:p w14:paraId="0A9D5F17">
            <w:pPr>
              <w:bidi w:val="0"/>
              <w:rPr>
                <w:color w:val="auto"/>
              </w:rPr>
            </w:pPr>
            <w:r>
              <w:rPr>
                <w:color w:val="auto"/>
              </w:rPr>
              <w:t>C、危险废物分类装入容器，容器及材质要满足相应的强度要求，装载危险废物的容器必须完好无损；盛装危险废物的容器上必须粘贴清晰</w:t>
            </w:r>
            <w:r>
              <w:rPr>
                <w:rFonts w:hint="eastAsia" w:eastAsia="宋体"/>
                <w:color w:val="auto"/>
                <w:lang w:eastAsia="zh-CN"/>
              </w:rPr>
              <w:t>标明</w:t>
            </w:r>
            <w:r>
              <w:rPr>
                <w:color w:val="auto"/>
              </w:rPr>
              <w:t>危险废物名称、种类、数量等的标签。对于在常温常压下不水解、不挥发的固体危险废物可在暂贮库分别堆放，无法装入常用容器的危险废物可用防漏胶袋等盛装。</w:t>
            </w:r>
          </w:p>
          <w:p w14:paraId="1D381F47">
            <w:pPr>
              <w:bidi w:val="0"/>
              <w:rPr>
                <w:color w:val="auto"/>
              </w:rPr>
            </w:pPr>
            <w:r>
              <w:rPr>
                <w:color w:val="auto"/>
              </w:rPr>
              <w:t>依据《危险废物贮存污染控制标准》中对危险废物贮存容器的规定，采用专用桶存放液态危废，保证盛装废液的容器满足相应的强度要求，并且与废液不互相反应。</w:t>
            </w:r>
          </w:p>
          <w:p w14:paraId="7519C7AA">
            <w:pPr>
              <w:bidi w:val="0"/>
              <w:rPr>
                <w:color w:val="auto"/>
              </w:rPr>
            </w:pPr>
            <w:r>
              <w:rPr>
                <w:color w:val="auto"/>
              </w:rPr>
              <w:t>D、禁止将不兼容（相互反应）的危险废物在同一容器内混装。危险废物暂存库内清理出来的泄漏物，一律按危险废物处理。在</w:t>
            </w:r>
            <w:r>
              <w:rPr>
                <w:rFonts w:hint="eastAsia"/>
                <w:color w:val="auto"/>
                <w:lang w:eastAsia="zh-CN"/>
              </w:rPr>
              <w:t>危废库</w:t>
            </w:r>
            <w:r>
              <w:rPr>
                <w:color w:val="auto"/>
              </w:rPr>
              <w:t>设置地沟，一旦发生泄漏，废液将进入地沟，并设置有专用工具，把废液收集后暂存于完好的容器内作为危险废物处置。</w:t>
            </w:r>
          </w:p>
          <w:p w14:paraId="7FC709F6">
            <w:pPr>
              <w:bidi w:val="0"/>
              <w:rPr>
                <w:color w:val="auto"/>
              </w:rPr>
            </w:pPr>
            <w:r>
              <w:rPr>
                <w:color w:val="auto"/>
              </w:rPr>
              <w:t>E、危险废物暂存库管理员须</w:t>
            </w:r>
            <w:r>
              <w:rPr>
                <w:rFonts w:hint="eastAsia" w:eastAsia="宋体"/>
                <w:color w:val="auto"/>
                <w:lang w:eastAsia="zh-CN"/>
              </w:rPr>
              <w:t>做好</w:t>
            </w:r>
            <w:r>
              <w:rPr>
                <w:color w:val="auto"/>
              </w:rPr>
              <w:t>危险废物情况的记录，记录上须注明危险废物的名称、来源、数量、特性和包装容器的类别、入库日期、存放库位、废物出库日期及委托处置接收单位名称。</w:t>
            </w:r>
          </w:p>
          <w:p w14:paraId="31EC010F">
            <w:pPr>
              <w:bidi w:val="0"/>
              <w:rPr>
                <w:color w:val="auto"/>
              </w:rPr>
            </w:pPr>
            <w:r>
              <w:rPr>
                <w:color w:val="auto"/>
              </w:rPr>
              <w:t>危险废物的记录和货单在危险废物回取后应继续保留</w:t>
            </w:r>
            <w:r>
              <w:rPr>
                <w:rFonts w:hint="eastAsia" w:eastAsia="宋体"/>
                <w:color w:val="auto"/>
                <w:lang w:val="en-US" w:eastAsia="zh-CN"/>
              </w:rPr>
              <w:t>十</w:t>
            </w:r>
            <w:r>
              <w:rPr>
                <w:color w:val="auto"/>
              </w:rPr>
              <w:t>年。</w:t>
            </w:r>
          </w:p>
          <w:p w14:paraId="60E3C2C5">
            <w:pPr>
              <w:ind w:firstLine="482"/>
              <w:rPr>
                <w:rFonts w:hint="default"/>
                <w:b/>
                <w:color w:val="auto"/>
              </w:rPr>
            </w:pPr>
            <w:r>
              <w:rPr>
                <w:rFonts w:hint="default" w:eastAsia="宋体"/>
                <w:b/>
                <w:color w:val="auto"/>
              </w:rPr>
              <w:t>五、地下水、土壤分析</w:t>
            </w:r>
          </w:p>
          <w:p w14:paraId="5F928947">
            <w:pPr>
              <w:ind w:firstLine="482"/>
              <w:rPr>
                <w:rFonts w:hint="default"/>
                <w:b/>
                <w:color w:val="auto"/>
              </w:rPr>
            </w:pPr>
            <w:r>
              <w:rPr>
                <w:rFonts w:hint="default" w:eastAsia="宋体"/>
                <w:b/>
                <w:color w:val="auto"/>
              </w:rPr>
              <w:t>1、污染途径</w:t>
            </w:r>
          </w:p>
          <w:p w14:paraId="6B02F9AA">
            <w:pPr>
              <w:ind w:firstLine="480"/>
              <w:rPr>
                <w:rFonts w:hint="default"/>
                <w:color w:val="auto"/>
              </w:rPr>
            </w:pPr>
            <w:r>
              <w:rPr>
                <w:rFonts w:hint="default" w:eastAsia="宋体"/>
                <w:color w:val="auto"/>
              </w:rPr>
              <w:t>本项目正常状况下无生产废水产生，不新增员工，因此不新增生活污水。所以不会对地下水环境和土壤环境产生影响。</w:t>
            </w:r>
          </w:p>
          <w:p w14:paraId="010C347E">
            <w:pPr>
              <w:ind w:firstLine="480"/>
              <w:rPr>
                <w:rFonts w:hint="default"/>
                <w:color w:val="auto"/>
              </w:rPr>
            </w:pPr>
            <w:r>
              <w:rPr>
                <w:rFonts w:hint="default" w:eastAsia="宋体"/>
                <w:color w:val="auto"/>
              </w:rPr>
              <w:t>非正常工况下，发生泄漏，泄漏的油</w:t>
            </w:r>
            <w:r>
              <w:rPr>
                <w:rFonts w:hint="eastAsia" w:eastAsia="宋体"/>
                <w:color w:val="auto"/>
                <w:lang w:eastAsia="zh-CN"/>
              </w:rPr>
              <w:t>、</w:t>
            </w:r>
            <w:r>
              <w:rPr>
                <w:rFonts w:hint="eastAsia" w:eastAsia="宋体"/>
                <w:color w:val="auto"/>
                <w:lang w:val="en-US" w:eastAsia="zh-CN"/>
              </w:rPr>
              <w:t>废酸</w:t>
            </w:r>
            <w:r>
              <w:rPr>
                <w:rFonts w:hint="default" w:eastAsia="宋体"/>
                <w:color w:val="auto"/>
              </w:rPr>
              <w:t>通过导流渠收集到集液池中，此时如果集液池底部防渗系统发生破损，事故废液可能会渗入土壤，在包气带中垂直向下迁移，并</w:t>
            </w:r>
            <w:r>
              <w:rPr>
                <w:rFonts w:eastAsia="宋体"/>
                <w:color w:val="auto"/>
              </w:rPr>
              <w:t>进入</w:t>
            </w:r>
            <w:r>
              <w:rPr>
                <w:rFonts w:hint="default" w:eastAsia="宋体"/>
                <w:color w:val="auto"/>
              </w:rPr>
              <w:t>含水层中。污染物进入地下水后，以对流作用和弥散作用为主对地下水产生污染。按照分区防控的要求，本项目属于重点防渗区，本次按照《危险废物贮存污染控制标准》（GB18597-2023）中的相关规定采取相应的防渗措施。</w:t>
            </w:r>
          </w:p>
          <w:p w14:paraId="77630B6B">
            <w:pPr>
              <w:ind w:firstLine="482"/>
              <w:rPr>
                <w:rFonts w:hint="default"/>
                <w:b/>
                <w:color w:val="auto"/>
              </w:rPr>
            </w:pPr>
            <w:r>
              <w:rPr>
                <w:rFonts w:hint="default" w:eastAsia="宋体"/>
                <w:b/>
                <w:color w:val="auto"/>
              </w:rPr>
              <w:t>2、分区防治措施</w:t>
            </w:r>
          </w:p>
          <w:p w14:paraId="73F63858">
            <w:pPr>
              <w:ind w:firstLine="480"/>
              <w:rPr>
                <w:rFonts w:hint="default"/>
                <w:color w:val="auto"/>
              </w:rPr>
            </w:pPr>
            <w:r>
              <w:rPr>
                <w:rFonts w:hint="default" w:eastAsia="宋体"/>
                <w:color w:val="auto"/>
              </w:rPr>
              <w:t>结合本项目特点，本项目危险废物暂存库地面全部采取重点防渗区要求防渗。</w:t>
            </w:r>
          </w:p>
          <w:p w14:paraId="471F5BE6">
            <w:pPr>
              <w:ind w:firstLine="480"/>
              <w:rPr>
                <w:rFonts w:hint="default" w:eastAsia="宋体"/>
                <w:color w:val="auto"/>
              </w:rPr>
            </w:pPr>
            <w:r>
              <w:rPr>
                <w:rFonts w:hint="default" w:eastAsia="宋体"/>
                <w:color w:val="auto"/>
              </w:rPr>
              <w:t>本项目暂存</w:t>
            </w:r>
            <w:r>
              <w:rPr>
                <w:rFonts w:hint="eastAsia" w:eastAsia="宋体"/>
                <w:color w:val="auto"/>
                <w:lang w:eastAsia="zh-CN"/>
              </w:rPr>
              <w:t>中煤张家口煤矿机械有限责任公司鄂尔多斯分公司</w:t>
            </w:r>
            <w:r>
              <w:rPr>
                <w:rFonts w:hint="default" w:eastAsia="宋体"/>
                <w:color w:val="auto"/>
              </w:rPr>
              <w:t>运行过程中产生的危险废物，主要包括</w:t>
            </w:r>
            <w:r>
              <w:rPr>
                <w:rFonts w:hint="eastAsia" w:eastAsia="宋体"/>
                <w:color w:val="auto"/>
                <w:lang w:eastAsia="zh-CN"/>
              </w:rPr>
              <w:t>废矿物油、废油桶、盛装“干净”矿物油的空桶、废铅酸电池</w:t>
            </w:r>
            <w:r>
              <w:rPr>
                <w:rFonts w:hint="default" w:eastAsia="宋体"/>
                <w:color w:val="auto"/>
              </w:rPr>
              <w:t>等均属于危险废物，根据《环境影响评价技术导则地下水环境》（HJ610-2016）中地下水环境保护措施及对策的要求，危险废物暂存库及集液池防渗性能应满足《危险废物贮存污染控制标准》（GB18597-2023）中的相关规定。采取的防渗措施如下表4-5。</w:t>
            </w:r>
          </w:p>
          <w:p w14:paraId="536E14AF">
            <w:pPr>
              <w:ind w:firstLine="482"/>
              <w:jc w:val="center"/>
              <w:rPr>
                <w:rFonts w:hint="default"/>
                <w:b/>
                <w:color w:val="auto"/>
                <w:kern w:val="0"/>
                <w:szCs w:val="20"/>
              </w:rPr>
            </w:pPr>
            <w:r>
              <w:rPr>
                <w:rFonts w:hint="default" w:eastAsia="宋体"/>
                <w:b/>
                <w:color w:val="auto"/>
                <w:kern w:val="0"/>
                <w:szCs w:val="21"/>
              </w:rPr>
              <w:t>表4-5本项目地下水、土壤污染防渗措施</w:t>
            </w:r>
          </w:p>
          <w:tbl>
            <w:tblPr>
              <w:tblStyle w:val="14"/>
              <w:tblW w:w="7958"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
              <w:gridCol w:w="1744"/>
              <w:gridCol w:w="5278"/>
            </w:tblGrid>
            <w:tr w14:paraId="20000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936" w:type="dxa"/>
                  <w:tcBorders>
                    <w:top w:val="single" w:color="auto" w:sz="4" w:space="0"/>
                    <w:left w:val="single" w:color="auto" w:sz="4" w:space="0"/>
                    <w:bottom w:val="single" w:color="auto" w:sz="4" w:space="0"/>
                    <w:right w:val="single" w:color="auto" w:sz="4" w:space="0"/>
                    <w:tl2br w:val="nil"/>
                    <w:tr2bl w:val="nil"/>
                  </w:tcBorders>
                  <w:vAlign w:val="center"/>
                </w:tcPr>
                <w:p w14:paraId="75958A0C">
                  <w:pPr>
                    <w:spacing w:line="240" w:lineRule="auto"/>
                    <w:ind w:firstLine="0" w:firstLineChars="0"/>
                    <w:jc w:val="center"/>
                    <w:rPr>
                      <w:rFonts w:hint="default"/>
                      <w:color w:val="auto"/>
                    </w:rPr>
                  </w:pPr>
                  <w:r>
                    <w:rPr>
                      <w:rFonts w:hint="default" w:eastAsia="宋体"/>
                      <w:color w:val="auto"/>
                    </w:rPr>
                    <w:t>防渗分区</w:t>
                  </w:r>
                </w:p>
              </w:tc>
              <w:tc>
                <w:tcPr>
                  <w:tcW w:w="1744" w:type="dxa"/>
                  <w:tcBorders>
                    <w:top w:val="single" w:color="auto" w:sz="4" w:space="0"/>
                    <w:left w:val="single" w:color="auto" w:sz="4" w:space="0"/>
                    <w:bottom w:val="single" w:color="auto" w:sz="4" w:space="0"/>
                    <w:right w:val="single" w:color="auto" w:sz="4" w:space="0"/>
                    <w:tl2br w:val="nil"/>
                    <w:tr2bl w:val="nil"/>
                  </w:tcBorders>
                  <w:vAlign w:val="center"/>
                </w:tcPr>
                <w:p w14:paraId="1FF36F81">
                  <w:pPr>
                    <w:spacing w:line="240" w:lineRule="auto"/>
                    <w:ind w:firstLine="0" w:firstLineChars="0"/>
                    <w:jc w:val="center"/>
                    <w:rPr>
                      <w:rFonts w:hint="default"/>
                      <w:color w:val="auto"/>
                    </w:rPr>
                  </w:pPr>
                  <w:r>
                    <w:rPr>
                      <w:rFonts w:hint="default" w:eastAsia="宋体"/>
                      <w:color w:val="auto"/>
                    </w:rPr>
                    <w:t>防渗单元</w:t>
                  </w:r>
                </w:p>
              </w:tc>
              <w:tc>
                <w:tcPr>
                  <w:tcW w:w="5278" w:type="dxa"/>
                  <w:tcBorders>
                    <w:top w:val="single" w:color="auto" w:sz="4" w:space="0"/>
                    <w:left w:val="single" w:color="auto" w:sz="4" w:space="0"/>
                    <w:bottom w:val="single" w:color="auto" w:sz="4" w:space="0"/>
                    <w:right w:val="single" w:color="auto" w:sz="4" w:space="0"/>
                    <w:tl2br w:val="nil"/>
                    <w:tr2bl w:val="nil"/>
                  </w:tcBorders>
                  <w:vAlign w:val="center"/>
                </w:tcPr>
                <w:p w14:paraId="2FD784DD">
                  <w:pPr>
                    <w:spacing w:line="240" w:lineRule="auto"/>
                    <w:ind w:firstLine="0" w:firstLineChars="0"/>
                    <w:rPr>
                      <w:rFonts w:hint="default"/>
                      <w:color w:val="auto"/>
                    </w:rPr>
                  </w:pPr>
                  <w:r>
                    <w:rPr>
                      <w:rFonts w:hint="default" w:eastAsia="宋体"/>
                      <w:color w:val="auto"/>
                    </w:rPr>
                    <w:t>防渗要求</w:t>
                  </w:r>
                </w:p>
              </w:tc>
            </w:tr>
            <w:tr w14:paraId="3ADEB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7" w:hRule="atLeast"/>
              </w:trPr>
              <w:tc>
                <w:tcPr>
                  <w:tcW w:w="936" w:type="dxa"/>
                  <w:tcBorders>
                    <w:top w:val="single" w:color="auto" w:sz="4" w:space="0"/>
                    <w:left w:val="single" w:color="auto" w:sz="4" w:space="0"/>
                    <w:bottom w:val="single" w:color="auto" w:sz="4" w:space="0"/>
                    <w:right w:val="single" w:color="auto" w:sz="4" w:space="0"/>
                    <w:tl2br w:val="nil"/>
                    <w:tr2bl w:val="nil"/>
                  </w:tcBorders>
                  <w:vAlign w:val="center"/>
                </w:tcPr>
                <w:p w14:paraId="04B8DF35">
                  <w:pPr>
                    <w:spacing w:line="240" w:lineRule="auto"/>
                    <w:ind w:firstLine="0" w:firstLineChars="0"/>
                    <w:jc w:val="center"/>
                    <w:rPr>
                      <w:rFonts w:hint="default"/>
                      <w:color w:val="auto"/>
                    </w:rPr>
                  </w:pPr>
                  <w:r>
                    <w:rPr>
                      <w:rFonts w:hint="default" w:eastAsia="宋体"/>
                      <w:color w:val="auto"/>
                    </w:rPr>
                    <w:t>重点防渗区</w:t>
                  </w:r>
                </w:p>
              </w:tc>
              <w:tc>
                <w:tcPr>
                  <w:tcW w:w="1744" w:type="dxa"/>
                  <w:tcBorders>
                    <w:top w:val="single" w:color="auto" w:sz="4" w:space="0"/>
                    <w:left w:val="single" w:color="auto" w:sz="4" w:space="0"/>
                    <w:bottom w:val="single" w:color="auto" w:sz="4" w:space="0"/>
                    <w:right w:val="single" w:color="auto" w:sz="4" w:space="0"/>
                    <w:tl2br w:val="nil"/>
                    <w:tr2bl w:val="nil"/>
                  </w:tcBorders>
                  <w:vAlign w:val="center"/>
                </w:tcPr>
                <w:p w14:paraId="4CA0F1A4">
                  <w:pPr>
                    <w:spacing w:line="240" w:lineRule="auto"/>
                    <w:ind w:firstLine="0" w:firstLineChars="0"/>
                    <w:jc w:val="center"/>
                    <w:rPr>
                      <w:rFonts w:hint="default" w:eastAsia="宋体"/>
                      <w:color w:val="auto"/>
                    </w:rPr>
                  </w:pPr>
                  <w:r>
                    <w:rPr>
                      <w:rFonts w:hint="default" w:eastAsia="宋体"/>
                      <w:color w:val="auto"/>
                    </w:rPr>
                    <w:t>危废暂存库</w:t>
                  </w:r>
                  <w:r>
                    <w:rPr>
                      <w:rFonts w:eastAsia="宋体"/>
                      <w:color w:val="auto"/>
                    </w:rPr>
                    <w:t>地面、裙脚、导流渠、围堰、集液池</w:t>
                  </w:r>
                </w:p>
              </w:tc>
              <w:tc>
                <w:tcPr>
                  <w:tcW w:w="5278" w:type="dxa"/>
                  <w:tcBorders>
                    <w:top w:val="single" w:color="auto" w:sz="4" w:space="0"/>
                    <w:left w:val="single" w:color="auto" w:sz="4" w:space="0"/>
                    <w:bottom w:val="single" w:color="auto" w:sz="4" w:space="0"/>
                    <w:right w:val="single" w:color="auto" w:sz="4" w:space="0"/>
                    <w:tl2br w:val="nil"/>
                    <w:tr2bl w:val="nil"/>
                  </w:tcBorders>
                  <w:vAlign w:val="center"/>
                </w:tcPr>
                <w:p w14:paraId="1168DE2B">
                  <w:pPr>
                    <w:spacing w:line="240" w:lineRule="auto"/>
                    <w:ind w:firstLine="0" w:firstLineChars="0"/>
                    <w:rPr>
                      <w:rFonts w:hint="default"/>
                      <w:color w:val="auto"/>
                    </w:rPr>
                  </w:pPr>
                  <w:r>
                    <w:rPr>
                      <w:rFonts w:hint="default" w:eastAsia="宋体"/>
                      <w:color w:val="auto"/>
                    </w:rPr>
                    <w:t>按照《危险废物贮存污染控制标准》（GB18597-2023）的要求进行，防渗层为防渗措施为防渗层为至少1m厚黏土层（渗透系数</w:t>
                  </w:r>
                  <w:r>
                    <w:rPr>
                      <w:rFonts w:eastAsia="宋体"/>
                      <w:color w:val="auto"/>
                    </w:rPr>
                    <w:t>≤</w:t>
                  </w:r>
                  <w:r>
                    <w:rPr>
                      <w:rFonts w:hint="default" w:eastAsia="宋体"/>
                      <w:color w:val="auto"/>
                    </w:rPr>
                    <w:t>10</w:t>
                  </w:r>
                  <w:r>
                    <w:rPr>
                      <w:rFonts w:hint="default" w:eastAsia="宋体"/>
                      <w:color w:val="auto"/>
                      <w:vertAlign w:val="superscript"/>
                    </w:rPr>
                    <w:t>-7</w:t>
                  </w:r>
                  <w:r>
                    <w:rPr>
                      <w:rFonts w:hint="default" w:eastAsia="宋体"/>
                      <w:color w:val="auto"/>
                    </w:rPr>
                    <w:t>cm/s），或至少2mm厚高密度聚乙烯膜等人工防渗材料（渗透系数</w:t>
                  </w:r>
                  <w:r>
                    <w:rPr>
                      <w:rFonts w:eastAsia="宋体"/>
                      <w:color w:val="auto"/>
                    </w:rPr>
                    <w:t>≤</w:t>
                  </w:r>
                  <w:r>
                    <w:rPr>
                      <w:rFonts w:hint="default" w:eastAsia="宋体"/>
                      <w:color w:val="auto"/>
                    </w:rPr>
                    <w:t>10</w:t>
                  </w:r>
                  <w:r>
                    <w:rPr>
                      <w:rFonts w:hint="default" w:eastAsia="宋体"/>
                      <w:color w:val="auto"/>
                      <w:vertAlign w:val="superscript"/>
                    </w:rPr>
                    <w:t>-10</w:t>
                  </w:r>
                  <w:r>
                    <w:rPr>
                      <w:rFonts w:hint="default" w:eastAsia="宋体"/>
                      <w:color w:val="auto"/>
                    </w:rPr>
                    <w:t>cm/s），或其他防渗性能等效的材料。</w:t>
                  </w:r>
                </w:p>
              </w:tc>
            </w:tr>
          </w:tbl>
          <w:p w14:paraId="6FB8CD7F">
            <w:pPr>
              <w:ind w:firstLine="482"/>
              <w:rPr>
                <w:rFonts w:hint="default"/>
                <w:b/>
                <w:color w:val="auto"/>
              </w:rPr>
            </w:pPr>
            <w:r>
              <w:rPr>
                <w:rFonts w:hint="default" w:eastAsia="宋体"/>
                <w:b/>
                <w:color w:val="auto"/>
              </w:rPr>
              <w:t>六、环境风险分析</w:t>
            </w:r>
          </w:p>
          <w:p w14:paraId="6D73E4FC">
            <w:pPr>
              <w:ind w:firstLine="482"/>
              <w:rPr>
                <w:rFonts w:hint="default"/>
                <w:b/>
                <w:color w:val="auto"/>
              </w:rPr>
            </w:pPr>
            <w:r>
              <w:rPr>
                <w:rFonts w:hint="default" w:eastAsia="宋体"/>
                <w:b/>
                <w:color w:val="auto"/>
              </w:rPr>
              <w:t>1、风险调查</w:t>
            </w:r>
          </w:p>
          <w:p w14:paraId="4BDF56C7">
            <w:pPr>
              <w:ind w:firstLine="480"/>
              <w:rPr>
                <w:rFonts w:hint="eastAsia" w:eastAsia="宋体"/>
                <w:color w:val="auto"/>
                <w:lang w:eastAsia="zh-CN"/>
              </w:rPr>
            </w:pPr>
            <w:r>
              <w:rPr>
                <w:rFonts w:hint="default" w:eastAsia="宋体"/>
                <w:color w:val="auto"/>
              </w:rPr>
              <w:t>本项目不存在生产区域，只对储存场所进行危险物质数量与临界量比值计算。根据《建设项目环境风险评价技术导则》（HJ169-2018）、《企业突发环境事件风险分级方法》（HJ941-2018），项目涉及的环境风险物质为废矿物油和硫酸，因此本项目涉及的重点关注的危险物质仅为废矿物油。废矿物油最大存储量为</w:t>
            </w:r>
            <w:r>
              <w:rPr>
                <w:rFonts w:hint="eastAsia" w:eastAsia="宋体"/>
                <w:color w:val="auto"/>
                <w:lang w:val="en-US" w:eastAsia="zh-CN"/>
              </w:rPr>
              <w:t>0.5</w:t>
            </w:r>
            <w:r>
              <w:rPr>
                <w:rFonts w:hint="default" w:eastAsia="宋体"/>
                <w:color w:val="auto"/>
              </w:rPr>
              <w:t>t</w:t>
            </w:r>
            <w:r>
              <w:rPr>
                <w:rFonts w:hint="eastAsia" w:eastAsia="宋体"/>
                <w:color w:val="auto"/>
                <w:lang w:eastAsia="zh-CN"/>
              </w:rPr>
              <w:t>。废铅酸蓄电池最大贮存量为0.</w:t>
            </w:r>
            <w:r>
              <w:rPr>
                <w:rFonts w:hint="eastAsia" w:eastAsia="宋体"/>
                <w:color w:val="auto"/>
                <w:lang w:val="en-US" w:eastAsia="zh-CN"/>
              </w:rPr>
              <w:t>5</w:t>
            </w:r>
            <w:r>
              <w:rPr>
                <w:rFonts w:hint="eastAsia" w:eastAsia="宋体"/>
                <w:color w:val="auto"/>
                <w:lang w:eastAsia="zh-CN"/>
              </w:rPr>
              <w:t>t，根据查询资料及类比同类项目，典型废铅酸蓄电池组成中电解液占比约为15%（电解液重量=0.</w:t>
            </w:r>
            <w:r>
              <w:rPr>
                <w:rFonts w:hint="eastAsia" w:eastAsia="宋体"/>
                <w:color w:val="auto"/>
                <w:lang w:val="en-US" w:eastAsia="zh-CN"/>
              </w:rPr>
              <w:t>5</w:t>
            </w:r>
            <w:r>
              <w:rPr>
                <w:rFonts w:hint="eastAsia" w:eastAsia="宋体"/>
                <w:color w:val="auto"/>
                <w:lang w:eastAsia="zh-CN"/>
              </w:rPr>
              <w:t>×15%=0.0</w:t>
            </w:r>
            <w:r>
              <w:rPr>
                <w:rFonts w:hint="eastAsia" w:eastAsia="宋体"/>
                <w:color w:val="auto"/>
                <w:lang w:val="en-US" w:eastAsia="zh-CN"/>
              </w:rPr>
              <w:t>75</w:t>
            </w:r>
            <w:r>
              <w:rPr>
                <w:rFonts w:hint="eastAsia" w:eastAsia="宋体"/>
                <w:color w:val="auto"/>
                <w:lang w:eastAsia="zh-CN"/>
              </w:rPr>
              <w:t>t）（电解液主要成分为25%的硫酸，纯硫酸重量为0.</w:t>
            </w:r>
            <w:r>
              <w:rPr>
                <w:rFonts w:hint="eastAsia" w:eastAsia="宋体"/>
                <w:color w:val="auto"/>
                <w:lang w:val="en-US" w:eastAsia="zh-CN"/>
              </w:rPr>
              <w:t>75</w:t>
            </w:r>
            <w:r>
              <w:rPr>
                <w:rFonts w:hint="eastAsia" w:eastAsia="宋体"/>
                <w:color w:val="auto"/>
                <w:lang w:eastAsia="zh-CN"/>
              </w:rPr>
              <w:t>×0.25=0.</w:t>
            </w:r>
            <w:r>
              <w:rPr>
                <w:rFonts w:hint="eastAsia" w:eastAsia="宋体"/>
                <w:color w:val="auto"/>
                <w:lang w:val="en-US" w:eastAsia="zh-CN"/>
              </w:rPr>
              <w:t>02</w:t>
            </w:r>
            <w:r>
              <w:rPr>
                <w:rFonts w:hint="eastAsia" w:eastAsia="宋体"/>
                <w:color w:val="auto"/>
                <w:lang w:eastAsia="zh-CN"/>
              </w:rPr>
              <w:t>t，折纯为98%的硫酸量为0.</w:t>
            </w:r>
            <w:r>
              <w:rPr>
                <w:rFonts w:hint="eastAsia" w:eastAsia="宋体"/>
                <w:color w:val="auto"/>
                <w:lang w:val="en-US" w:eastAsia="zh-CN"/>
              </w:rPr>
              <w:t>02</w:t>
            </w:r>
            <w:r>
              <w:rPr>
                <w:rFonts w:hint="eastAsia" w:eastAsia="宋体"/>
                <w:color w:val="auto"/>
                <w:lang w:eastAsia="zh-CN"/>
              </w:rPr>
              <w:t>/98%=</w:t>
            </w:r>
            <w:r>
              <w:rPr>
                <w:rFonts w:hint="eastAsia" w:eastAsia="宋体"/>
                <w:color w:val="auto"/>
                <w:lang w:val="en-US" w:eastAsia="zh-CN"/>
              </w:rPr>
              <w:t>0.02t</w:t>
            </w:r>
            <w:r>
              <w:rPr>
                <w:rFonts w:hint="eastAsia" w:eastAsia="宋体"/>
                <w:color w:val="auto"/>
                <w:lang w:eastAsia="zh-CN"/>
              </w:rPr>
              <w:t>）。</w:t>
            </w:r>
          </w:p>
          <w:p w14:paraId="7B666C46">
            <w:pPr>
              <w:ind w:firstLine="480"/>
              <w:rPr>
                <w:rFonts w:hint="eastAsia" w:eastAsia="宋体"/>
                <w:color w:val="auto"/>
                <w:lang w:eastAsia="zh-CN"/>
              </w:rPr>
            </w:pPr>
            <w:r>
              <w:rPr>
                <w:rFonts w:hint="eastAsia" w:eastAsia="宋体"/>
                <w:color w:val="auto"/>
                <w:lang w:eastAsia="zh-CN"/>
              </w:rPr>
              <w:t>对照表B.1“突发环境事件风险物质及临界量表”，废矿物油的临界量为2500t，硫酸的临界量为10t。</w:t>
            </w:r>
          </w:p>
          <w:p w14:paraId="6CE72A53">
            <w:pPr>
              <w:ind w:firstLine="482"/>
              <w:rPr>
                <w:rFonts w:hint="default"/>
                <w:b/>
                <w:color w:val="auto"/>
              </w:rPr>
            </w:pPr>
            <w:r>
              <w:rPr>
                <w:rFonts w:hint="default" w:eastAsia="宋体"/>
                <w:b/>
                <w:color w:val="auto"/>
              </w:rPr>
              <w:t>2、风险潜势初判</w:t>
            </w:r>
          </w:p>
          <w:p w14:paraId="0888299C">
            <w:pPr>
              <w:ind w:firstLine="480"/>
              <w:rPr>
                <w:rFonts w:hint="default"/>
                <w:color w:val="auto"/>
              </w:rPr>
            </w:pPr>
            <w:r>
              <w:rPr>
                <w:rFonts w:hint="default" w:eastAsia="宋体"/>
                <w:color w:val="auto"/>
              </w:rPr>
              <w:t>根据《建设项目环境风险评价技术导则》（HJ169-2018）附录B和附录C，项目涉及</w:t>
            </w:r>
            <w:r>
              <w:rPr>
                <w:rFonts w:hint="default" w:eastAsia="宋体"/>
                <w:b w:val="0"/>
                <w:bCs w:val="0"/>
                <w:color w:val="auto"/>
              </w:rPr>
              <w:t>的危险物质</w:t>
            </w:r>
            <w:r>
              <w:rPr>
                <w:rFonts w:hint="default" w:ascii="Times New Roman" w:hAnsi="Times New Roman" w:eastAsia="Times New Roman" w:cs="Times New Roman"/>
                <w:b w:val="0"/>
                <w:bCs w:val="0"/>
                <w:color w:val="auto"/>
              </w:rPr>
              <w:t>为废矿物油</w:t>
            </w:r>
            <w:r>
              <w:rPr>
                <w:rFonts w:hint="eastAsia" w:ascii="Times New Roman" w:hAnsi="Times New Roman" w:eastAsia="Times New Roman" w:cs="Times New Roman"/>
                <w:b w:val="0"/>
                <w:bCs w:val="0"/>
                <w:color w:val="auto"/>
                <w:lang w:eastAsia="zh-CN"/>
              </w:rPr>
              <w:t>、</w:t>
            </w:r>
            <w:r>
              <w:rPr>
                <w:rFonts w:hint="eastAsia" w:ascii="Times New Roman" w:hAnsi="Times New Roman" w:eastAsia="Times New Roman" w:cs="Times New Roman"/>
                <w:b w:val="0"/>
                <w:bCs w:val="0"/>
                <w:color w:val="auto"/>
                <w:lang w:val="en-US" w:eastAsia="zh-CN"/>
              </w:rPr>
              <w:t>硫酸、铅</w:t>
            </w:r>
            <w:r>
              <w:rPr>
                <w:rFonts w:hint="default" w:ascii="Times New Roman" w:hAnsi="Times New Roman" w:eastAsia="Times New Roman" w:cs="Times New Roman"/>
                <w:b w:val="0"/>
                <w:bCs w:val="0"/>
                <w:color w:val="auto"/>
              </w:rPr>
              <w:t>。</w:t>
            </w:r>
            <w:r>
              <w:rPr>
                <w:rFonts w:hint="default" w:eastAsia="宋体"/>
                <w:b w:val="0"/>
                <w:bCs w:val="0"/>
                <w:color w:val="auto"/>
              </w:rPr>
              <w:t>各</w:t>
            </w:r>
            <w:r>
              <w:rPr>
                <w:rFonts w:hint="default" w:eastAsia="宋体"/>
                <w:color w:val="auto"/>
              </w:rPr>
              <w:t>物质的总量与其临界量比值，即为Q。</w:t>
            </w:r>
          </w:p>
          <w:p w14:paraId="48629284">
            <w:pPr>
              <w:ind w:firstLine="482"/>
              <w:jc w:val="center"/>
              <w:rPr>
                <w:rFonts w:hint="default"/>
                <w:b/>
                <w:color w:val="auto"/>
                <w:kern w:val="0"/>
                <w:szCs w:val="16"/>
              </w:rPr>
            </w:pPr>
            <w:r>
              <w:rPr>
                <w:rFonts w:hint="default" w:eastAsia="宋体"/>
                <w:b/>
                <w:color w:val="auto"/>
                <w:kern w:val="0"/>
                <w:szCs w:val="16"/>
              </w:rPr>
              <w:t>表4-6本项目涉及风险物质Q值计算</w:t>
            </w:r>
          </w:p>
          <w:tbl>
            <w:tblPr>
              <w:tblStyle w:val="14"/>
              <w:tblW w:w="79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43"/>
              <w:gridCol w:w="1493"/>
              <w:gridCol w:w="1966"/>
              <w:gridCol w:w="2317"/>
            </w:tblGrid>
            <w:tr w14:paraId="34D26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2143" w:type="dxa"/>
                  <w:vMerge w:val="restart"/>
                  <w:tcBorders>
                    <w:top w:val="single" w:color="auto" w:sz="4" w:space="0"/>
                    <w:left w:val="single" w:color="auto" w:sz="4" w:space="0"/>
                    <w:bottom w:val="single" w:color="auto" w:sz="4" w:space="0"/>
                    <w:right w:val="single" w:color="auto" w:sz="4" w:space="0"/>
                    <w:tl2br w:val="nil"/>
                    <w:tr2bl w:val="nil"/>
                  </w:tcBorders>
                  <w:vAlign w:val="center"/>
                </w:tcPr>
                <w:p w14:paraId="78CDEDD2">
                  <w:pPr>
                    <w:adjustRightInd w:val="0"/>
                    <w:snapToGrid w:val="0"/>
                    <w:spacing w:line="240" w:lineRule="auto"/>
                    <w:ind w:firstLine="0" w:firstLineChars="0"/>
                    <w:jc w:val="center"/>
                    <w:rPr>
                      <w:rFonts w:hint="default"/>
                      <w:b/>
                      <w:color w:val="auto"/>
                    </w:rPr>
                  </w:pPr>
                  <w:r>
                    <w:rPr>
                      <w:rFonts w:hint="default" w:eastAsia="宋体"/>
                      <w:color w:val="auto"/>
                      <w:szCs w:val="21"/>
                    </w:rPr>
                    <w:t>危险物质</w:t>
                  </w:r>
                </w:p>
              </w:tc>
              <w:tc>
                <w:tcPr>
                  <w:tcW w:w="3459"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59D6B7DF">
                  <w:pPr>
                    <w:adjustRightInd w:val="0"/>
                    <w:snapToGrid w:val="0"/>
                    <w:spacing w:line="240" w:lineRule="auto"/>
                    <w:ind w:firstLine="0" w:firstLineChars="0"/>
                    <w:jc w:val="center"/>
                    <w:rPr>
                      <w:rFonts w:hint="default"/>
                      <w:b/>
                      <w:color w:val="auto"/>
                    </w:rPr>
                  </w:pPr>
                  <w:r>
                    <w:rPr>
                      <w:rFonts w:hint="default" w:eastAsia="宋体"/>
                      <w:color w:val="auto"/>
                      <w:szCs w:val="21"/>
                    </w:rPr>
                    <w:t>生产场所危险物质量</w:t>
                  </w:r>
                </w:p>
              </w:tc>
              <w:tc>
                <w:tcPr>
                  <w:tcW w:w="2317" w:type="dxa"/>
                  <w:vMerge w:val="restart"/>
                  <w:tcBorders>
                    <w:top w:val="single" w:color="auto" w:sz="4" w:space="0"/>
                    <w:left w:val="single" w:color="auto" w:sz="4" w:space="0"/>
                    <w:bottom w:val="single" w:color="auto" w:sz="4" w:space="0"/>
                    <w:right w:val="single" w:color="auto" w:sz="4" w:space="0"/>
                    <w:tl2br w:val="nil"/>
                    <w:tr2bl w:val="nil"/>
                  </w:tcBorders>
                  <w:vAlign w:val="center"/>
                </w:tcPr>
                <w:p w14:paraId="0C570478">
                  <w:pPr>
                    <w:adjustRightInd w:val="0"/>
                    <w:snapToGrid w:val="0"/>
                    <w:spacing w:line="240" w:lineRule="auto"/>
                    <w:ind w:firstLine="0" w:firstLineChars="0"/>
                    <w:jc w:val="center"/>
                    <w:rPr>
                      <w:rFonts w:hint="default"/>
                      <w:b/>
                      <w:color w:val="auto"/>
                    </w:rPr>
                  </w:pPr>
                  <w:r>
                    <w:rPr>
                      <w:rFonts w:hint="default"/>
                      <w:color w:val="auto"/>
                      <w:szCs w:val="21"/>
                    </w:rPr>
                    <w:t>Q</w:t>
                  </w:r>
                  <w:r>
                    <w:rPr>
                      <w:rFonts w:hint="default" w:eastAsia="宋体"/>
                      <w:color w:val="auto"/>
                      <w:szCs w:val="21"/>
                    </w:rPr>
                    <w:t>值</w:t>
                  </w:r>
                </w:p>
              </w:tc>
            </w:tr>
            <w:tr w14:paraId="14987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2143"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5296E4F4">
                  <w:pPr>
                    <w:adjustRightInd w:val="0"/>
                    <w:snapToGrid w:val="0"/>
                    <w:spacing w:line="240" w:lineRule="auto"/>
                    <w:ind w:firstLine="0" w:firstLineChars="0"/>
                    <w:jc w:val="center"/>
                    <w:rPr>
                      <w:rFonts w:hint="default"/>
                      <w:b/>
                      <w:color w:val="auto"/>
                    </w:rPr>
                  </w:pPr>
                </w:p>
              </w:tc>
              <w:tc>
                <w:tcPr>
                  <w:tcW w:w="1493" w:type="dxa"/>
                  <w:tcBorders>
                    <w:top w:val="single" w:color="auto" w:sz="4" w:space="0"/>
                    <w:left w:val="single" w:color="auto" w:sz="4" w:space="0"/>
                    <w:bottom w:val="single" w:color="auto" w:sz="4" w:space="0"/>
                    <w:right w:val="single" w:color="auto" w:sz="4" w:space="0"/>
                    <w:tl2br w:val="nil"/>
                    <w:tr2bl w:val="nil"/>
                  </w:tcBorders>
                  <w:vAlign w:val="center"/>
                </w:tcPr>
                <w:p w14:paraId="706FF80A">
                  <w:pPr>
                    <w:adjustRightInd w:val="0"/>
                    <w:snapToGrid w:val="0"/>
                    <w:spacing w:line="240" w:lineRule="auto"/>
                    <w:ind w:firstLine="0" w:firstLineChars="0"/>
                    <w:jc w:val="center"/>
                    <w:rPr>
                      <w:rFonts w:hint="default"/>
                      <w:b/>
                      <w:color w:val="auto"/>
                    </w:rPr>
                  </w:pPr>
                  <w:r>
                    <w:rPr>
                      <w:rFonts w:hint="default" w:eastAsia="宋体"/>
                      <w:color w:val="auto"/>
                      <w:szCs w:val="21"/>
                    </w:rPr>
                    <w:t>存在量（t）</w:t>
                  </w:r>
                </w:p>
              </w:tc>
              <w:tc>
                <w:tcPr>
                  <w:tcW w:w="1966" w:type="dxa"/>
                  <w:tcBorders>
                    <w:top w:val="single" w:color="auto" w:sz="4" w:space="0"/>
                    <w:left w:val="single" w:color="auto" w:sz="4" w:space="0"/>
                    <w:bottom w:val="single" w:color="auto" w:sz="4" w:space="0"/>
                    <w:right w:val="single" w:color="auto" w:sz="4" w:space="0"/>
                    <w:tl2br w:val="nil"/>
                    <w:tr2bl w:val="nil"/>
                  </w:tcBorders>
                  <w:vAlign w:val="center"/>
                </w:tcPr>
                <w:p w14:paraId="08C64E78">
                  <w:pPr>
                    <w:adjustRightInd w:val="0"/>
                    <w:snapToGrid w:val="0"/>
                    <w:spacing w:line="240" w:lineRule="auto"/>
                    <w:ind w:firstLine="0" w:firstLineChars="0"/>
                    <w:jc w:val="center"/>
                    <w:rPr>
                      <w:rFonts w:hint="default"/>
                      <w:color w:val="auto"/>
                      <w:szCs w:val="20"/>
                    </w:rPr>
                  </w:pPr>
                  <w:r>
                    <w:rPr>
                      <w:rFonts w:hint="default" w:eastAsia="宋体"/>
                      <w:color w:val="auto"/>
                      <w:szCs w:val="21"/>
                    </w:rPr>
                    <w:t>临界量（t）</w:t>
                  </w:r>
                </w:p>
              </w:tc>
              <w:tc>
                <w:tcPr>
                  <w:tcW w:w="2317"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11F6CF1F">
                  <w:pPr>
                    <w:adjustRightInd w:val="0"/>
                    <w:snapToGrid w:val="0"/>
                    <w:spacing w:line="240" w:lineRule="auto"/>
                    <w:ind w:firstLine="0" w:firstLineChars="0"/>
                    <w:jc w:val="center"/>
                    <w:rPr>
                      <w:rFonts w:hint="default"/>
                      <w:b/>
                      <w:color w:val="auto"/>
                    </w:rPr>
                  </w:pPr>
                </w:p>
              </w:tc>
            </w:tr>
            <w:tr w14:paraId="6B3EC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2143" w:type="dxa"/>
                  <w:tcBorders>
                    <w:top w:val="single" w:color="auto" w:sz="4" w:space="0"/>
                    <w:left w:val="single" w:color="auto" w:sz="4" w:space="0"/>
                    <w:bottom w:val="single" w:color="auto" w:sz="4" w:space="0"/>
                    <w:right w:val="single" w:color="auto" w:sz="4" w:space="0"/>
                    <w:tl2br w:val="nil"/>
                    <w:tr2bl w:val="nil"/>
                  </w:tcBorders>
                  <w:vAlign w:val="center"/>
                </w:tcPr>
                <w:p w14:paraId="3EBD4618">
                  <w:pPr>
                    <w:adjustRightInd w:val="0"/>
                    <w:snapToGrid w:val="0"/>
                    <w:spacing w:line="240" w:lineRule="auto"/>
                    <w:ind w:firstLine="0" w:firstLineChars="0"/>
                    <w:jc w:val="center"/>
                    <w:rPr>
                      <w:rFonts w:hint="default" w:eastAsia="宋体"/>
                      <w:color w:val="auto"/>
                      <w:szCs w:val="21"/>
                    </w:rPr>
                  </w:pPr>
                  <w:r>
                    <w:rPr>
                      <w:rFonts w:hint="default" w:eastAsia="宋体"/>
                      <w:color w:val="auto"/>
                      <w:szCs w:val="21"/>
                    </w:rPr>
                    <w:t>废矿物油</w:t>
                  </w:r>
                </w:p>
              </w:tc>
              <w:tc>
                <w:tcPr>
                  <w:tcW w:w="1493" w:type="dxa"/>
                  <w:tcBorders>
                    <w:top w:val="single" w:color="auto" w:sz="4" w:space="0"/>
                    <w:left w:val="single" w:color="auto" w:sz="4" w:space="0"/>
                    <w:bottom w:val="single" w:color="auto" w:sz="4" w:space="0"/>
                    <w:right w:val="single" w:color="auto" w:sz="4" w:space="0"/>
                    <w:tl2br w:val="nil"/>
                    <w:tr2bl w:val="nil"/>
                  </w:tcBorders>
                  <w:vAlign w:val="center"/>
                </w:tcPr>
                <w:p w14:paraId="30893B68">
                  <w:pPr>
                    <w:adjustRightInd w:val="0"/>
                    <w:snapToGrid w:val="0"/>
                    <w:spacing w:line="240" w:lineRule="auto"/>
                    <w:ind w:firstLine="0" w:firstLineChars="0"/>
                    <w:jc w:val="center"/>
                    <w:rPr>
                      <w:rFonts w:hint="eastAsia" w:eastAsia="宋体"/>
                      <w:color w:val="auto"/>
                      <w:szCs w:val="21"/>
                      <w:lang w:eastAsia="zh-CN"/>
                    </w:rPr>
                  </w:pPr>
                  <w:r>
                    <w:rPr>
                      <w:rFonts w:hint="eastAsia" w:eastAsia="宋体"/>
                      <w:color w:val="auto"/>
                      <w:szCs w:val="21"/>
                      <w:lang w:val="en-US" w:eastAsia="zh-CN"/>
                    </w:rPr>
                    <w:t>0.5</w:t>
                  </w:r>
                </w:p>
              </w:tc>
              <w:tc>
                <w:tcPr>
                  <w:tcW w:w="1966" w:type="dxa"/>
                  <w:tcBorders>
                    <w:top w:val="single" w:color="auto" w:sz="4" w:space="0"/>
                    <w:left w:val="single" w:color="auto" w:sz="4" w:space="0"/>
                    <w:bottom w:val="single" w:color="auto" w:sz="4" w:space="0"/>
                    <w:right w:val="single" w:color="auto" w:sz="4" w:space="0"/>
                    <w:tl2br w:val="nil"/>
                    <w:tr2bl w:val="nil"/>
                  </w:tcBorders>
                  <w:vAlign w:val="center"/>
                </w:tcPr>
                <w:p w14:paraId="5D3BD92B">
                  <w:pPr>
                    <w:adjustRightInd w:val="0"/>
                    <w:snapToGrid w:val="0"/>
                    <w:spacing w:line="240" w:lineRule="auto"/>
                    <w:ind w:firstLine="0" w:firstLineChars="0"/>
                    <w:jc w:val="center"/>
                    <w:rPr>
                      <w:rFonts w:hint="default"/>
                      <w:color w:val="auto"/>
                      <w:szCs w:val="21"/>
                    </w:rPr>
                  </w:pPr>
                  <w:r>
                    <w:rPr>
                      <w:rFonts w:hint="default"/>
                      <w:color w:val="auto"/>
                      <w:szCs w:val="21"/>
                    </w:rPr>
                    <w:t>2500</w:t>
                  </w:r>
                </w:p>
              </w:tc>
              <w:tc>
                <w:tcPr>
                  <w:tcW w:w="2317" w:type="dxa"/>
                  <w:tcBorders>
                    <w:top w:val="single" w:color="auto" w:sz="4" w:space="0"/>
                    <w:left w:val="single" w:color="auto" w:sz="4" w:space="0"/>
                    <w:bottom w:val="single" w:color="auto" w:sz="4" w:space="0"/>
                    <w:right w:val="single" w:color="auto" w:sz="4" w:space="0"/>
                    <w:tl2br w:val="nil"/>
                    <w:tr2bl w:val="nil"/>
                  </w:tcBorders>
                  <w:vAlign w:val="center"/>
                </w:tcPr>
                <w:p w14:paraId="7714F4DA">
                  <w:pPr>
                    <w:adjustRightInd w:val="0"/>
                    <w:snapToGrid w:val="0"/>
                    <w:spacing w:line="240" w:lineRule="auto"/>
                    <w:ind w:firstLine="0" w:firstLineChars="0"/>
                    <w:jc w:val="center"/>
                    <w:rPr>
                      <w:rFonts w:hint="eastAsia" w:eastAsia="宋体"/>
                      <w:color w:val="auto"/>
                      <w:szCs w:val="21"/>
                      <w:lang w:eastAsia="zh-CN"/>
                    </w:rPr>
                  </w:pPr>
                  <w:r>
                    <w:rPr>
                      <w:rFonts w:hint="default" w:eastAsia="宋体"/>
                      <w:color w:val="auto"/>
                      <w:szCs w:val="21"/>
                    </w:rPr>
                    <w:t>0.00</w:t>
                  </w:r>
                  <w:r>
                    <w:rPr>
                      <w:rFonts w:hint="eastAsia" w:eastAsia="宋体"/>
                      <w:color w:val="auto"/>
                      <w:szCs w:val="21"/>
                      <w:lang w:val="en-US" w:eastAsia="zh-CN"/>
                    </w:rPr>
                    <w:t>02</w:t>
                  </w:r>
                </w:p>
              </w:tc>
            </w:tr>
            <w:tr w14:paraId="60911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2143" w:type="dxa"/>
                  <w:tcBorders>
                    <w:top w:val="single" w:color="auto" w:sz="4" w:space="0"/>
                    <w:left w:val="single" w:color="auto" w:sz="4" w:space="0"/>
                    <w:bottom w:val="single" w:color="auto" w:sz="4" w:space="0"/>
                    <w:right w:val="single" w:color="auto" w:sz="4" w:space="0"/>
                    <w:tl2br w:val="nil"/>
                    <w:tr2bl w:val="nil"/>
                  </w:tcBorders>
                  <w:vAlign w:val="center"/>
                </w:tcPr>
                <w:p w14:paraId="12A60ED6">
                  <w:pPr>
                    <w:adjustRightInd w:val="0"/>
                    <w:snapToGrid w:val="0"/>
                    <w:spacing w:line="240" w:lineRule="auto"/>
                    <w:ind w:firstLine="0" w:firstLineChars="0"/>
                    <w:jc w:val="center"/>
                    <w:rPr>
                      <w:rFonts w:hint="default" w:eastAsia="宋体"/>
                      <w:color w:val="auto"/>
                      <w:szCs w:val="21"/>
                    </w:rPr>
                  </w:pPr>
                  <w:r>
                    <w:rPr>
                      <w:rFonts w:hint="eastAsia" w:eastAsia="宋体"/>
                      <w:color w:val="auto"/>
                      <w:lang w:eastAsia="zh-CN"/>
                    </w:rPr>
                    <w:t>硫酸</w:t>
                  </w:r>
                </w:p>
              </w:tc>
              <w:tc>
                <w:tcPr>
                  <w:tcW w:w="1493" w:type="dxa"/>
                  <w:tcBorders>
                    <w:top w:val="single" w:color="auto" w:sz="4" w:space="0"/>
                    <w:left w:val="single" w:color="auto" w:sz="4" w:space="0"/>
                    <w:bottom w:val="single" w:color="auto" w:sz="4" w:space="0"/>
                    <w:right w:val="single" w:color="auto" w:sz="4" w:space="0"/>
                    <w:tl2br w:val="nil"/>
                    <w:tr2bl w:val="nil"/>
                  </w:tcBorders>
                  <w:vAlign w:val="center"/>
                </w:tcPr>
                <w:p w14:paraId="562E5B13">
                  <w:pPr>
                    <w:adjustRightInd w:val="0"/>
                    <w:snapToGrid w:val="0"/>
                    <w:spacing w:line="240" w:lineRule="auto"/>
                    <w:ind w:firstLine="0" w:firstLineChars="0"/>
                    <w:jc w:val="center"/>
                    <w:rPr>
                      <w:rFonts w:hint="default" w:eastAsia="宋体"/>
                      <w:color w:val="auto"/>
                      <w:szCs w:val="21"/>
                      <w:lang w:val="en-US" w:eastAsia="zh-CN"/>
                    </w:rPr>
                  </w:pPr>
                  <w:r>
                    <w:rPr>
                      <w:rFonts w:hint="eastAsia" w:eastAsia="宋体"/>
                      <w:color w:val="auto"/>
                      <w:szCs w:val="21"/>
                      <w:lang w:val="en-US" w:eastAsia="zh-CN"/>
                    </w:rPr>
                    <w:t>0.5</w:t>
                  </w:r>
                </w:p>
              </w:tc>
              <w:tc>
                <w:tcPr>
                  <w:tcW w:w="1966" w:type="dxa"/>
                  <w:tcBorders>
                    <w:top w:val="single" w:color="auto" w:sz="4" w:space="0"/>
                    <w:left w:val="single" w:color="auto" w:sz="4" w:space="0"/>
                    <w:bottom w:val="single" w:color="auto" w:sz="4" w:space="0"/>
                    <w:right w:val="single" w:color="auto" w:sz="4" w:space="0"/>
                    <w:tl2br w:val="nil"/>
                    <w:tr2bl w:val="nil"/>
                  </w:tcBorders>
                  <w:vAlign w:val="center"/>
                </w:tcPr>
                <w:p w14:paraId="2736821D">
                  <w:pPr>
                    <w:adjustRightInd w:val="0"/>
                    <w:snapToGrid w:val="0"/>
                    <w:spacing w:line="240" w:lineRule="auto"/>
                    <w:ind w:firstLine="0" w:firstLineChars="0"/>
                    <w:jc w:val="center"/>
                    <w:rPr>
                      <w:rFonts w:hint="default" w:eastAsia="宋体"/>
                      <w:color w:val="auto"/>
                      <w:szCs w:val="21"/>
                      <w:lang w:val="en-US" w:eastAsia="zh-CN"/>
                    </w:rPr>
                  </w:pPr>
                  <w:r>
                    <w:rPr>
                      <w:rFonts w:hint="eastAsia" w:eastAsia="宋体"/>
                      <w:color w:val="auto"/>
                      <w:szCs w:val="21"/>
                      <w:lang w:val="en-US" w:eastAsia="zh-CN"/>
                    </w:rPr>
                    <w:t>10</w:t>
                  </w:r>
                </w:p>
              </w:tc>
              <w:tc>
                <w:tcPr>
                  <w:tcW w:w="2317" w:type="dxa"/>
                  <w:tcBorders>
                    <w:top w:val="single" w:color="auto" w:sz="4" w:space="0"/>
                    <w:left w:val="single" w:color="auto" w:sz="4" w:space="0"/>
                    <w:bottom w:val="single" w:color="auto" w:sz="4" w:space="0"/>
                    <w:right w:val="single" w:color="auto" w:sz="4" w:space="0"/>
                    <w:tl2br w:val="nil"/>
                    <w:tr2bl w:val="nil"/>
                  </w:tcBorders>
                  <w:vAlign w:val="center"/>
                </w:tcPr>
                <w:p w14:paraId="755C712C">
                  <w:pPr>
                    <w:adjustRightInd w:val="0"/>
                    <w:snapToGrid w:val="0"/>
                    <w:spacing w:line="240" w:lineRule="auto"/>
                    <w:ind w:firstLine="0" w:firstLineChars="0"/>
                    <w:jc w:val="center"/>
                    <w:rPr>
                      <w:rFonts w:hint="default" w:eastAsia="宋体"/>
                      <w:color w:val="auto"/>
                      <w:szCs w:val="21"/>
                      <w:lang w:val="en-US" w:eastAsia="zh-CN"/>
                    </w:rPr>
                  </w:pPr>
                  <w:r>
                    <w:rPr>
                      <w:rFonts w:hint="eastAsia" w:eastAsia="宋体"/>
                      <w:color w:val="auto"/>
                      <w:szCs w:val="21"/>
                      <w:lang w:val="en-US" w:eastAsia="zh-CN"/>
                    </w:rPr>
                    <w:t>0.05</w:t>
                  </w:r>
                </w:p>
              </w:tc>
            </w:tr>
            <w:tr w14:paraId="65279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5602" w:type="dxa"/>
                  <w:gridSpan w:val="3"/>
                  <w:tcBorders>
                    <w:top w:val="single" w:color="auto" w:sz="4" w:space="0"/>
                    <w:left w:val="single" w:color="auto" w:sz="4" w:space="0"/>
                    <w:bottom w:val="single" w:color="auto" w:sz="4" w:space="0"/>
                    <w:right w:val="single" w:color="auto" w:sz="4" w:space="0"/>
                    <w:tl2br w:val="nil"/>
                    <w:tr2bl w:val="nil"/>
                  </w:tcBorders>
                  <w:vAlign w:val="center"/>
                </w:tcPr>
                <w:p w14:paraId="271338F9">
                  <w:pPr>
                    <w:adjustRightInd w:val="0"/>
                    <w:snapToGrid w:val="0"/>
                    <w:spacing w:line="240" w:lineRule="auto"/>
                    <w:ind w:firstLine="0" w:firstLineChars="0"/>
                    <w:jc w:val="center"/>
                    <w:rPr>
                      <w:rFonts w:hint="default"/>
                      <w:color w:val="auto"/>
                      <w:szCs w:val="21"/>
                    </w:rPr>
                  </w:pPr>
                  <w:r>
                    <w:rPr>
                      <w:rFonts w:hint="default" w:eastAsia="宋体"/>
                      <w:color w:val="auto"/>
                      <w:szCs w:val="21"/>
                    </w:rPr>
                    <w:t>总计</w:t>
                  </w:r>
                </w:p>
              </w:tc>
              <w:tc>
                <w:tcPr>
                  <w:tcW w:w="2317" w:type="dxa"/>
                  <w:tcBorders>
                    <w:top w:val="single" w:color="auto" w:sz="4" w:space="0"/>
                    <w:left w:val="single" w:color="auto" w:sz="4" w:space="0"/>
                    <w:bottom w:val="single" w:color="auto" w:sz="4" w:space="0"/>
                    <w:right w:val="single" w:color="auto" w:sz="4" w:space="0"/>
                    <w:tl2br w:val="nil"/>
                    <w:tr2bl w:val="nil"/>
                  </w:tcBorders>
                  <w:vAlign w:val="center"/>
                </w:tcPr>
                <w:p w14:paraId="3C1CAC09">
                  <w:pPr>
                    <w:adjustRightInd w:val="0"/>
                    <w:snapToGrid w:val="0"/>
                    <w:spacing w:line="240" w:lineRule="auto"/>
                    <w:ind w:firstLine="0" w:firstLineChars="0"/>
                    <w:jc w:val="center"/>
                    <w:rPr>
                      <w:rFonts w:hint="eastAsia" w:eastAsia="宋体"/>
                      <w:color w:val="auto"/>
                      <w:szCs w:val="21"/>
                      <w:lang w:val="en-US" w:eastAsia="zh-CN"/>
                    </w:rPr>
                  </w:pPr>
                  <w:r>
                    <w:rPr>
                      <w:rFonts w:hint="default" w:eastAsia="宋体"/>
                      <w:color w:val="auto"/>
                      <w:szCs w:val="21"/>
                    </w:rPr>
                    <w:fldChar w:fldCharType="begin"/>
                  </w:r>
                  <w:r>
                    <w:rPr>
                      <w:rFonts w:hint="default" w:eastAsia="宋体"/>
                      <w:color w:val="auto"/>
                      <w:szCs w:val="21"/>
                    </w:rPr>
                    <w:instrText xml:space="preserve"> = sum(D3:D5) \* MERGEFORMAT </w:instrText>
                  </w:r>
                  <w:r>
                    <w:rPr>
                      <w:rFonts w:hint="default" w:eastAsia="宋体"/>
                      <w:color w:val="auto"/>
                      <w:szCs w:val="21"/>
                    </w:rPr>
                    <w:fldChar w:fldCharType="separate"/>
                  </w:r>
                  <w:r>
                    <w:rPr>
                      <w:rFonts w:hint="default" w:eastAsia="宋体"/>
                      <w:color w:val="auto"/>
                      <w:szCs w:val="21"/>
                    </w:rPr>
                    <w:t>0.0</w:t>
                  </w:r>
                  <w:r>
                    <w:rPr>
                      <w:rFonts w:hint="eastAsia" w:eastAsia="宋体"/>
                      <w:color w:val="auto"/>
                      <w:szCs w:val="21"/>
                      <w:lang w:val="en-US" w:eastAsia="zh-CN"/>
                    </w:rPr>
                    <w:t>5</w:t>
                  </w:r>
                  <w:r>
                    <w:rPr>
                      <w:rFonts w:hint="default" w:eastAsia="宋体"/>
                      <w:color w:val="auto"/>
                      <w:szCs w:val="21"/>
                    </w:rPr>
                    <w:fldChar w:fldCharType="end"/>
                  </w:r>
                  <w:r>
                    <w:rPr>
                      <w:rFonts w:hint="eastAsia" w:eastAsia="宋体"/>
                      <w:color w:val="auto"/>
                      <w:szCs w:val="21"/>
                      <w:lang w:val="en-US" w:eastAsia="zh-CN"/>
                    </w:rPr>
                    <w:t>02</w:t>
                  </w:r>
                </w:p>
              </w:tc>
            </w:tr>
          </w:tbl>
          <w:p w14:paraId="5AA9BDCC">
            <w:pPr>
              <w:ind w:firstLine="480"/>
              <w:rPr>
                <w:rFonts w:hint="default"/>
                <w:color w:val="auto"/>
              </w:rPr>
            </w:pPr>
            <w:r>
              <w:rPr>
                <w:rFonts w:hint="default" w:eastAsia="宋体"/>
                <w:color w:val="auto"/>
              </w:rPr>
              <w:t>根据《建设项目环境风险评价技术导则》（HJ169-2018）附录B中C.1.1，项目风险物质总计Q=0.0</w:t>
            </w:r>
            <w:r>
              <w:rPr>
                <w:rFonts w:hint="eastAsia" w:eastAsia="宋体"/>
                <w:color w:val="auto"/>
                <w:lang w:val="en-US" w:eastAsia="zh-CN"/>
              </w:rPr>
              <w:t>50</w:t>
            </w:r>
            <w:r>
              <w:rPr>
                <w:rFonts w:hint="default" w:eastAsia="宋体"/>
                <w:color w:val="auto"/>
              </w:rPr>
              <w:t>2＜1，所以该项目环境风险潜势为Ⅰ。</w:t>
            </w:r>
          </w:p>
          <w:p w14:paraId="1EC6FDDB">
            <w:pPr>
              <w:ind w:firstLine="0" w:firstLineChars="0"/>
              <w:jc w:val="center"/>
              <w:rPr>
                <w:rFonts w:hint="default"/>
                <w:b/>
                <w:color w:val="auto"/>
              </w:rPr>
            </w:pPr>
            <w:r>
              <w:rPr>
                <w:rFonts w:hint="default" w:eastAsia="宋体"/>
                <w:b/>
                <w:color w:val="auto"/>
              </w:rPr>
              <w:t>表4-7主要风险物质的理化性质及危险特性表</w:t>
            </w:r>
          </w:p>
          <w:tbl>
            <w:tblPr>
              <w:tblStyle w:val="14"/>
              <w:tblW w:w="7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1"/>
              <w:gridCol w:w="2582"/>
              <w:gridCol w:w="4593"/>
            </w:tblGrid>
            <w:tr w14:paraId="0E1C3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71" w:type="dxa"/>
                  <w:tcBorders>
                    <w:top w:val="single" w:color="auto" w:sz="4" w:space="0"/>
                    <w:left w:val="single" w:color="auto" w:sz="4" w:space="0"/>
                    <w:bottom w:val="single" w:color="auto" w:sz="4" w:space="0"/>
                    <w:right w:val="single" w:color="auto" w:sz="4" w:space="0"/>
                    <w:tl2br w:val="nil"/>
                    <w:tr2bl w:val="nil"/>
                  </w:tcBorders>
                </w:tcPr>
                <w:p w14:paraId="066EEDCA">
                  <w:pPr>
                    <w:spacing w:line="240" w:lineRule="auto"/>
                    <w:ind w:firstLine="0" w:firstLineChars="0"/>
                    <w:jc w:val="center"/>
                    <w:rPr>
                      <w:rFonts w:hint="default"/>
                      <w:color w:val="auto"/>
                    </w:rPr>
                  </w:pPr>
                  <w:r>
                    <w:rPr>
                      <w:rFonts w:hint="default" w:eastAsia="宋体"/>
                      <w:color w:val="auto"/>
                    </w:rPr>
                    <w:t>名称</w:t>
                  </w:r>
                </w:p>
              </w:tc>
              <w:tc>
                <w:tcPr>
                  <w:tcW w:w="2582" w:type="dxa"/>
                  <w:tcBorders>
                    <w:top w:val="single" w:color="auto" w:sz="4" w:space="0"/>
                    <w:left w:val="single" w:color="auto" w:sz="4" w:space="0"/>
                    <w:bottom w:val="single" w:color="auto" w:sz="4" w:space="0"/>
                    <w:right w:val="single" w:color="auto" w:sz="4" w:space="0"/>
                    <w:tl2br w:val="nil"/>
                    <w:tr2bl w:val="nil"/>
                  </w:tcBorders>
                </w:tcPr>
                <w:p w14:paraId="47E76781">
                  <w:pPr>
                    <w:spacing w:line="240" w:lineRule="auto"/>
                    <w:ind w:firstLine="0" w:firstLineChars="0"/>
                    <w:jc w:val="center"/>
                    <w:rPr>
                      <w:rFonts w:hint="default"/>
                      <w:color w:val="auto"/>
                    </w:rPr>
                  </w:pPr>
                  <w:r>
                    <w:rPr>
                      <w:rFonts w:hint="default" w:eastAsia="宋体"/>
                      <w:color w:val="auto"/>
                    </w:rPr>
                    <w:t>理化性质</w:t>
                  </w:r>
                </w:p>
              </w:tc>
              <w:tc>
                <w:tcPr>
                  <w:tcW w:w="4593" w:type="dxa"/>
                  <w:tcBorders>
                    <w:top w:val="single" w:color="auto" w:sz="4" w:space="0"/>
                    <w:left w:val="single" w:color="auto" w:sz="4" w:space="0"/>
                    <w:bottom w:val="single" w:color="auto" w:sz="4" w:space="0"/>
                    <w:right w:val="single" w:color="auto" w:sz="4" w:space="0"/>
                    <w:tl2br w:val="nil"/>
                    <w:tr2bl w:val="nil"/>
                  </w:tcBorders>
                </w:tcPr>
                <w:p w14:paraId="02677AEB">
                  <w:pPr>
                    <w:spacing w:line="240" w:lineRule="auto"/>
                    <w:ind w:firstLine="0" w:firstLineChars="0"/>
                    <w:jc w:val="center"/>
                    <w:rPr>
                      <w:rFonts w:hint="default"/>
                      <w:color w:val="auto"/>
                    </w:rPr>
                  </w:pPr>
                  <w:r>
                    <w:rPr>
                      <w:rFonts w:hint="default" w:eastAsia="宋体"/>
                      <w:color w:val="auto"/>
                    </w:rPr>
                    <w:t>危险特性</w:t>
                  </w:r>
                </w:p>
              </w:tc>
            </w:tr>
            <w:tr w14:paraId="31958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1" w:type="dxa"/>
                  <w:tcBorders>
                    <w:top w:val="single" w:color="auto" w:sz="4" w:space="0"/>
                    <w:left w:val="single" w:color="auto" w:sz="4" w:space="0"/>
                    <w:bottom w:val="single" w:color="auto" w:sz="4" w:space="0"/>
                    <w:right w:val="single" w:color="auto" w:sz="4" w:space="0"/>
                    <w:tl2br w:val="nil"/>
                    <w:tr2bl w:val="nil"/>
                  </w:tcBorders>
                </w:tcPr>
                <w:p w14:paraId="63F9A7AD">
                  <w:pPr>
                    <w:spacing w:line="240" w:lineRule="auto"/>
                    <w:ind w:firstLine="0" w:firstLineChars="0"/>
                    <w:jc w:val="center"/>
                    <w:rPr>
                      <w:rFonts w:hint="default"/>
                      <w:color w:val="auto"/>
                    </w:rPr>
                  </w:pPr>
                  <w:r>
                    <w:rPr>
                      <w:rFonts w:hint="default" w:eastAsia="宋体"/>
                      <w:color w:val="auto"/>
                      <w:szCs w:val="21"/>
                    </w:rPr>
                    <w:t>废矿物油</w:t>
                  </w:r>
                </w:p>
              </w:tc>
              <w:tc>
                <w:tcPr>
                  <w:tcW w:w="2582" w:type="dxa"/>
                  <w:tcBorders>
                    <w:top w:val="single" w:color="auto" w:sz="4" w:space="0"/>
                    <w:left w:val="single" w:color="auto" w:sz="4" w:space="0"/>
                    <w:bottom w:val="single" w:color="auto" w:sz="4" w:space="0"/>
                    <w:right w:val="single" w:color="auto" w:sz="4" w:space="0"/>
                    <w:tl2br w:val="nil"/>
                    <w:tr2bl w:val="nil"/>
                  </w:tcBorders>
                </w:tcPr>
                <w:p w14:paraId="37C2C733">
                  <w:pPr>
                    <w:spacing w:line="240" w:lineRule="auto"/>
                    <w:ind w:firstLine="0" w:firstLineChars="0"/>
                    <w:jc w:val="center"/>
                    <w:rPr>
                      <w:rFonts w:hint="default"/>
                      <w:color w:val="auto"/>
                    </w:rPr>
                  </w:pPr>
                  <w:r>
                    <w:rPr>
                      <w:rFonts w:hint="default" w:eastAsia="宋体"/>
                      <w:color w:val="auto"/>
                    </w:rPr>
                    <w:t>分子量230-500，危险性类别：HW08，油状液体，淡黄色至褐色，无气味或略带异味。闪点：76℃,相对密度&lt;1，不溶于水，具有可燃性，引燃温度248℃。</w:t>
                  </w:r>
                </w:p>
              </w:tc>
              <w:tc>
                <w:tcPr>
                  <w:tcW w:w="4593" w:type="dxa"/>
                  <w:tcBorders>
                    <w:top w:val="single" w:color="auto" w:sz="4" w:space="0"/>
                    <w:left w:val="single" w:color="auto" w:sz="4" w:space="0"/>
                    <w:bottom w:val="single" w:color="auto" w:sz="4" w:space="0"/>
                    <w:right w:val="single" w:color="auto" w:sz="4" w:space="0"/>
                    <w:tl2br w:val="nil"/>
                    <w:tr2bl w:val="nil"/>
                  </w:tcBorders>
                </w:tcPr>
                <w:p w14:paraId="3719A304">
                  <w:pPr>
                    <w:spacing w:line="240" w:lineRule="auto"/>
                    <w:ind w:firstLine="0" w:firstLineChars="0"/>
                    <w:rPr>
                      <w:rFonts w:hint="default"/>
                      <w:color w:val="auto"/>
                    </w:rPr>
                  </w:pPr>
                  <w:r>
                    <w:rPr>
                      <w:rFonts w:hint="default" w:eastAsia="宋体"/>
                      <w:color w:val="auto"/>
                    </w:rPr>
                    <w:t>遇到明火高温可燃，燃烧产物为CO、CO</w:t>
                  </w:r>
                  <w:r>
                    <w:rPr>
                      <w:rFonts w:hint="default"/>
                      <w:color w:val="auto"/>
                      <w:vertAlign w:val="subscript"/>
                    </w:rPr>
                    <w:t>2</w:t>
                  </w:r>
                  <w:r>
                    <w:rPr>
                      <w:rFonts w:hint="default" w:eastAsia="宋体"/>
                      <w:color w:val="auto"/>
                    </w:rPr>
                    <w:t>。急性吸入，可出现乏力、头晕、头痛、恶心，严重者可引起油脂型肺炎。慢接触者，暴露部位可发生油性痤疮和接触性皮炎。可引起神经衰弱综合征，呼吸道和眼</w:t>
                  </w:r>
                  <w:r>
                    <w:rPr>
                      <w:rFonts w:hint="eastAsia" w:eastAsia="宋体"/>
                      <w:color w:val="auto"/>
                      <w:lang w:eastAsia="zh-CN"/>
                    </w:rPr>
                    <w:t>刺激征</w:t>
                  </w:r>
                  <w:r>
                    <w:rPr>
                      <w:rFonts w:hint="default" w:eastAsia="宋体"/>
                      <w:color w:val="auto"/>
                    </w:rPr>
                    <w:t>及慢性油脂性肺炎。有资料报道，接触石油润滑油类的工人，有致癌的病例报告。</w:t>
                  </w:r>
                </w:p>
              </w:tc>
            </w:tr>
            <w:tr w14:paraId="7AC17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1" w:type="dxa"/>
                  <w:tcBorders>
                    <w:top w:val="single" w:color="auto" w:sz="4" w:space="0"/>
                    <w:left w:val="single" w:color="auto" w:sz="4" w:space="0"/>
                    <w:bottom w:val="single" w:color="auto" w:sz="4" w:space="0"/>
                    <w:right w:val="single" w:color="auto" w:sz="4" w:space="0"/>
                    <w:tl2br w:val="nil"/>
                    <w:tr2bl w:val="nil"/>
                  </w:tcBorders>
                  <w:vAlign w:val="top"/>
                </w:tcPr>
                <w:p w14:paraId="0441D8BE">
                  <w:pPr>
                    <w:spacing w:line="240" w:lineRule="auto"/>
                    <w:ind w:firstLine="0" w:firstLineChars="0"/>
                    <w:jc w:val="center"/>
                    <w:rPr>
                      <w:rFonts w:hint="default" w:eastAsia="宋体"/>
                      <w:color w:val="auto"/>
                      <w:szCs w:val="21"/>
                    </w:rPr>
                  </w:pPr>
                  <w:r>
                    <w:rPr>
                      <w:rFonts w:hint="default" w:eastAsia="宋体"/>
                      <w:color w:val="auto"/>
                    </w:rPr>
                    <w:t>废电池电解液中的硫酸</w:t>
                  </w:r>
                </w:p>
              </w:tc>
              <w:tc>
                <w:tcPr>
                  <w:tcW w:w="2582" w:type="dxa"/>
                  <w:tcBorders>
                    <w:top w:val="single" w:color="auto" w:sz="4" w:space="0"/>
                    <w:left w:val="single" w:color="auto" w:sz="4" w:space="0"/>
                    <w:bottom w:val="single" w:color="auto" w:sz="4" w:space="0"/>
                    <w:right w:val="single" w:color="auto" w:sz="4" w:space="0"/>
                    <w:tl2br w:val="nil"/>
                    <w:tr2bl w:val="nil"/>
                  </w:tcBorders>
                  <w:vAlign w:val="top"/>
                </w:tcPr>
                <w:p w14:paraId="2146AAFC">
                  <w:pPr>
                    <w:spacing w:line="240" w:lineRule="auto"/>
                    <w:ind w:firstLine="0" w:firstLineChars="0"/>
                    <w:rPr>
                      <w:rFonts w:hint="default" w:eastAsia="宋体"/>
                      <w:color w:val="auto"/>
                    </w:rPr>
                  </w:pPr>
                  <w:r>
                    <w:rPr>
                      <w:rFonts w:hint="default" w:eastAsia="宋体"/>
                      <w:color w:val="auto"/>
                    </w:rPr>
                    <w:t>透明、无色、无</w:t>
                  </w:r>
                  <w:r>
                    <w:rPr>
                      <w:rFonts w:hint="eastAsia" w:eastAsia="宋体"/>
                      <w:color w:val="auto"/>
                      <w:lang w:eastAsia="zh-CN"/>
                    </w:rPr>
                    <w:t>臭</w:t>
                  </w:r>
                  <w:r>
                    <w:rPr>
                      <w:rFonts w:hint="default" w:eastAsia="宋体"/>
                      <w:color w:val="auto"/>
                    </w:rPr>
                    <w:t>的油状液体，分子量：98.08，相对密度1.841（</w:t>
                  </w:r>
                  <w:r>
                    <w:rPr>
                      <w:rFonts w:eastAsia="宋体"/>
                      <w:color w:val="auto"/>
                    </w:rPr>
                    <w:t>96%～98%</w:t>
                  </w:r>
                  <w:r>
                    <w:rPr>
                      <w:rFonts w:hint="default" w:eastAsia="宋体"/>
                      <w:color w:val="auto"/>
                    </w:rPr>
                    <w:t>），凝固点：10.35℃（100%）、3℃（98%）、-32℃（93%）、-38℃（78%）、-44℃（74%）、-64℃（65%）。沸点290℃,</w:t>
                  </w:r>
                  <w:r>
                    <w:rPr>
                      <w:rFonts w:eastAsia="宋体"/>
                      <w:color w:val="auto"/>
                    </w:rPr>
                    <w:t>蒸汽压</w:t>
                  </w:r>
                  <w:r>
                    <w:rPr>
                      <w:rFonts w:hint="default" w:eastAsia="宋体"/>
                      <w:color w:val="auto"/>
                    </w:rPr>
                    <w:t>0.13kPa（145.8℃）。</w:t>
                  </w:r>
                </w:p>
              </w:tc>
              <w:tc>
                <w:tcPr>
                  <w:tcW w:w="4593" w:type="dxa"/>
                  <w:tcBorders>
                    <w:top w:val="single" w:color="auto" w:sz="4" w:space="0"/>
                    <w:left w:val="single" w:color="auto" w:sz="4" w:space="0"/>
                    <w:bottom w:val="single" w:color="auto" w:sz="4" w:space="0"/>
                    <w:right w:val="single" w:color="auto" w:sz="4" w:space="0"/>
                    <w:tl2br w:val="nil"/>
                    <w:tr2bl w:val="nil"/>
                  </w:tcBorders>
                  <w:vAlign w:val="top"/>
                </w:tcPr>
                <w:p w14:paraId="4E2CDEC2">
                  <w:pPr>
                    <w:spacing w:line="240" w:lineRule="auto"/>
                    <w:ind w:firstLine="0" w:firstLineChars="0"/>
                    <w:rPr>
                      <w:rFonts w:hint="default" w:eastAsia="宋体"/>
                      <w:color w:val="auto"/>
                    </w:rPr>
                  </w:pPr>
                  <w:r>
                    <w:rPr>
                      <w:rFonts w:hint="default" w:eastAsia="宋体"/>
                      <w:color w:val="auto"/>
                    </w:rPr>
                    <w:t>遇水大量放热，可发生沸溅；与易燃物（如苯）和可燃物（如糖、纤维素等）接触会发生剧烈反应，甚至引起燃烧；遇电石、高氯酸盐、</w:t>
                  </w:r>
                  <w:r>
                    <w:rPr>
                      <w:rFonts w:eastAsia="宋体"/>
                      <w:color w:val="auto"/>
                    </w:rPr>
                    <w:t>磷酸</w:t>
                  </w:r>
                  <w:r>
                    <w:rPr>
                      <w:rFonts w:hint="default" w:eastAsia="宋体"/>
                      <w:color w:val="auto"/>
                    </w:rPr>
                    <w:t>盐、硝酸盐、苦味酸盐、金属粉末等猛烈反应，发生爆炸或燃烧。具有强腐蚀性和吸水性。健康危害：对皮肤、</w:t>
                  </w:r>
                  <w:r>
                    <w:rPr>
                      <w:rFonts w:eastAsia="宋体"/>
                      <w:color w:val="auto"/>
                    </w:rPr>
                    <w:t>黏膜</w:t>
                  </w:r>
                  <w:r>
                    <w:rPr>
                      <w:rFonts w:hint="default" w:eastAsia="宋体"/>
                      <w:color w:val="auto"/>
                    </w:rPr>
                    <w:t>等组织有强烈的刺激和腐蚀作用。蒸汽或雾可引起结膜炎、水肿、角膜混浊，以致失明；引起呼吸道</w:t>
                  </w:r>
                  <w:r>
                    <w:rPr>
                      <w:rFonts w:hint="eastAsia" w:eastAsia="宋体"/>
                      <w:color w:val="auto"/>
                      <w:lang w:eastAsia="zh-CN"/>
                    </w:rPr>
                    <w:t>刺激征</w:t>
                  </w:r>
                  <w:r>
                    <w:rPr>
                      <w:rFonts w:eastAsia="宋体"/>
                      <w:color w:val="auto"/>
                    </w:rPr>
                    <w:t>状</w:t>
                  </w:r>
                  <w:r>
                    <w:rPr>
                      <w:rFonts w:hint="default" w:eastAsia="宋体"/>
                      <w:color w:val="auto"/>
                    </w:rPr>
                    <w:t>，重者发生呼吸困难和肺水肿；高浓度引起喉痉挛或声门水肿而死亡。口服后引起消化道的烧伤</w:t>
                  </w:r>
                  <w:r>
                    <w:rPr>
                      <w:rFonts w:eastAsia="宋体"/>
                      <w:color w:val="auto"/>
                    </w:rPr>
                    <w:t>以致</w:t>
                  </w:r>
                  <w:r>
                    <w:rPr>
                      <w:rFonts w:hint="default" w:eastAsia="宋体"/>
                      <w:color w:val="auto"/>
                    </w:rPr>
                    <w:t>溃疡形成；严重者可能有胃穿孔、腹膜炎、喉痉挛和声门水肿、肾损害、休克等。慢性影响有牙齿酸蚀症、慢性支气管炎、肺气肿和肺硬化。</w:t>
                  </w:r>
                </w:p>
              </w:tc>
            </w:tr>
          </w:tbl>
          <w:p w14:paraId="1F381B6E">
            <w:pPr>
              <w:ind w:firstLine="482"/>
              <w:rPr>
                <w:rFonts w:hint="default"/>
                <w:b/>
                <w:color w:val="auto"/>
              </w:rPr>
            </w:pPr>
            <w:r>
              <w:rPr>
                <w:rFonts w:hint="default" w:eastAsia="宋体"/>
                <w:b/>
                <w:color w:val="auto"/>
              </w:rPr>
              <w:t>3、环境风险识别</w:t>
            </w:r>
          </w:p>
          <w:p w14:paraId="04A90D0C">
            <w:pPr>
              <w:ind w:firstLine="480"/>
              <w:rPr>
                <w:rFonts w:hint="default"/>
                <w:color w:val="auto"/>
              </w:rPr>
            </w:pPr>
            <w:r>
              <w:rPr>
                <w:rFonts w:hint="default" w:eastAsia="宋体"/>
                <w:color w:val="auto"/>
              </w:rPr>
              <w:t>（1）物质危险性识别</w:t>
            </w:r>
          </w:p>
          <w:p w14:paraId="3CE162C0">
            <w:pPr>
              <w:ind w:firstLine="480"/>
              <w:rPr>
                <w:rFonts w:hint="default"/>
                <w:color w:val="auto"/>
              </w:rPr>
            </w:pPr>
            <w:r>
              <w:rPr>
                <w:rFonts w:hint="default" w:eastAsia="宋体"/>
                <w:color w:val="auto"/>
              </w:rPr>
              <w:t>对照《建设项目环境分项评价技术导则》（HJ/T169-2018）附录B中危险物质中所列危险化学品，根据本项目生产过程中的原辅物料、中间产品、最终产品等按物质危险性、毒理指标和毒性等级分析，并考虑其燃烧爆炸性，项目主要的危险物质为贮存的废矿物油。</w:t>
            </w:r>
          </w:p>
          <w:p w14:paraId="589412CF">
            <w:pPr>
              <w:ind w:firstLine="480"/>
              <w:rPr>
                <w:rFonts w:hint="default"/>
                <w:color w:val="auto"/>
              </w:rPr>
            </w:pPr>
            <w:r>
              <w:rPr>
                <w:rFonts w:hint="default" w:eastAsia="宋体"/>
                <w:color w:val="auto"/>
              </w:rPr>
              <w:t>（2）生产系统危险性识别</w:t>
            </w:r>
          </w:p>
          <w:p w14:paraId="4A376AEA">
            <w:pPr>
              <w:ind w:firstLine="480"/>
              <w:rPr>
                <w:rFonts w:hint="default"/>
                <w:color w:val="auto"/>
              </w:rPr>
            </w:pPr>
            <w:r>
              <w:rPr>
                <w:rFonts w:hint="default" w:eastAsia="宋体"/>
                <w:color w:val="auto"/>
              </w:rPr>
              <w:t>项目废矿物油分布于储油桶中，项目风险源为废矿物油</w:t>
            </w:r>
            <w:r>
              <w:rPr>
                <w:rFonts w:hint="eastAsia" w:eastAsia="宋体"/>
                <w:color w:val="auto"/>
                <w:lang w:eastAsia="zh-CN"/>
              </w:rPr>
              <w:t>、</w:t>
            </w:r>
            <w:r>
              <w:rPr>
                <w:rFonts w:hint="eastAsia" w:eastAsia="宋体"/>
                <w:color w:val="auto"/>
                <w:lang w:val="en-US" w:eastAsia="zh-CN"/>
              </w:rPr>
              <w:t>废铅酸电池</w:t>
            </w:r>
            <w:r>
              <w:rPr>
                <w:rFonts w:hint="default" w:eastAsia="宋体"/>
                <w:color w:val="auto"/>
              </w:rPr>
              <w:t>贮存区、装卸区。</w:t>
            </w:r>
          </w:p>
          <w:p w14:paraId="6CE8904A">
            <w:pPr>
              <w:ind w:firstLine="480"/>
              <w:rPr>
                <w:rFonts w:hint="default"/>
                <w:color w:val="auto"/>
              </w:rPr>
            </w:pPr>
            <w:r>
              <w:rPr>
                <w:rFonts w:hint="default" w:eastAsia="宋体"/>
                <w:color w:val="auto"/>
              </w:rPr>
              <w:t>1）危险物质向环境转移的途径识别</w:t>
            </w:r>
          </w:p>
          <w:p w14:paraId="45C2D3D3">
            <w:pPr>
              <w:ind w:firstLine="480"/>
              <w:rPr>
                <w:rFonts w:hint="default"/>
                <w:color w:val="auto"/>
              </w:rPr>
            </w:pPr>
            <w:r>
              <w:rPr>
                <w:rFonts w:hint="default"/>
                <w:color w:val="auto"/>
              </w:rPr>
              <w:t>①</w:t>
            </w:r>
            <w:r>
              <w:rPr>
                <w:rFonts w:hint="default" w:eastAsia="宋体"/>
                <w:color w:val="auto"/>
              </w:rPr>
              <w:t>废矿物油储油罐和</w:t>
            </w:r>
            <w:r>
              <w:rPr>
                <w:rFonts w:hint="eastAsia" w:eastAsia="宋体"/>
                <w:color w:val="auto"/>
                <w:lang w:val="en-US" w:eastAsia="zh-CN"/>
              </w:rPr>
              <w:t>废铅酸电池存储</w:t>
            </w:r>
            <w:r>
              <w:rPr>
                <w:rFonts w:hint="default" w:eastAsia="宋体"/>
                <w:color w:val="auto"/>
              </w:rPr>
              <w:t>桶破损及防渗系统破损、导流渠、集液池、裙脚等破损并失去防渗功能，导致的地面漫流及垂直入渗对地表水、地下水及土壤造成污染。</w:t>
            </w:r>
          </w:p>
          <w:p w14:paraId="1561D3E3">
            <w:pPr>
              <w:ind w:firstLine="480"/>
              <w:rPr>
                <w:rFonts w:hint="default"/>
                <w:color w:val="auto"/>
              </w:rPr>
            </w:pPr>
            <w:r>
              <w:rPr>
                <w:rFonts w:hint="default"/>
                <w:color w:val="auto"/>
              </w:rPr>
              <w:t>②</w:t>
            </w:r>
            <w:r>
              <w:rPr>
                <w:rFonts w:hint="default" w:eastAsia="宋体"/>
                <w:color w:val="auto"/>
              </w:rPr>
              <w:t>废矿物油</w:t>
            </w:r>
            <w:r>
              <w:rPr>
                <w:rFonts w:hint="eastAsia" w:eastAsia="宋体"/>
                <w:color w:val="auto"/>
                <w:lang w:eastAsia="zh-CN"/>
              </w:rPr>
              <w:t>、</w:t>
            </w:r>
            <w:r>
              <w:rPr>
                <w:rFonts w:hint="eastAsia" w:eastAsia="宋体"/>
                <w:color w:val="auto"/>
                <w:lang w:val="en-US" w:eastAsia="zh-CN"/>
              </w:rPr>
              <w:t>废铅酸电池</w:t>
            </w:r>
            <w:r>
              <w:rPr>
                <w:rFonts w:hint="default" w:eastAsia="宋体"/>
                <w:color w:val="auto"/>
              </w:rPr>
              <w:t>泄漏产生的挥发性有机物排放到大气环境中对环境空气造成污染。</w:t>
            </w:r>
          </w:p>
          <w:p w14:paraId="64D9AE28">
            <w:pPr>
              <w:ind w:firstLine="480"/>
              <w:rPr>
                <w:rFonts w:hint="default"/>
                <w:color w:val="auto"/>
              </w:rPr>
            </w:pPr>
            <w:r>
              <w:rPr>
                <w:rFonts w:hint="eastAsia" w:eastAsia="宋体"/>
                <w:color w:val="auto"/>
                <w:lang w:val="en-US" w:eastAsia="zh-CN"/>
              </w:rPr>
              <w:t>③</w:t>
            </w:r>
            <w:r>
              <w:rPr>
                <w:rFonts w:hint="default" w:eastAsia="宋体"/>
                <w:color w:val="auto"/>
              </w:rPr>
              <w:t>泄漏的废矿物油遇明火发生燃烧以及火灾爆炸产生的二次污染物排放到大气环境中对环境空气造成污染。</w:t>
            </w:r>
          </w:p>
          <w:p w14:paraId="0253CAA2">
            <w:pPr>
              <w:ind w:firstLine="480"/>
              <w:rPr>
                <w:rFonts w:hint="default"/>
                <w:color w:val="auto"/>
              </w:rPr>
            </w:pPr>
            <w:r>
              <w:rPr>
                <w:rFonts w:hint="default"/>
                <w:color w:val="auto"/>
              </w:rPr>
              <w:t>④</w:t>
            </w:r>
            <w:r>
              <w:rPr>
                <w:rFonts w:hint="default" w:eastAsia="宋体"/>
                <w:color w:val="auto"/>
              </w:rPr>
              <w:t>项目运输途中，废矿物油</w:t>
            </w:r>
            <w:r>
              <w:rPr>
                <w:rFonts w:hint="eastAsia" w:eastAsia="宋体"/>
                <w:color w:val="auto"/>
                <w:lang w:eastAsia="zh-CN"/>
              </w:rPr>
              <w:t>、</w:t>
            </w:r>
            <w:r>
              <w:rPr>
                <w:rFonts w:hint="eastAsia" w:eastAsia="宋体"/>
                <w:color w:val="auto"/>
                <w:lang w:val="en-US" w:eastAsia="zh-CN"/>
              </w:rPr>
              <w:t>废铅酸电池</w:t>
            </w:r>
            <w:r>
              <w:rPr>
                <w:rFonts w:hint="default" w:eastAsia="宋体"/>
                <w:color w:val="auto"/>
              </w:rPr>
              <w:t>泄漏散落到环境中，进入水体、土壤造成污染。</w:t>
            </w:r>
          </w:p>
          <w:p w14:paraId="51BE0A12">
            <w:pPr>
              <w:ind w:firstLine="480"/>
              <w:rPr>
                <w:rFonts w:hint="default"/>
                <w:color w:val="auto"/>
              </w:rPr>
            </w:pPr>
            <w:r>
              <w:rPr>
                <w:rFonts w:hint="default" w:eastAsia="宋体"/>
                <w:color w:val="auto"/>
              </w:rPr>
              <w:t>（3）环境风险分析</w:t>
            </w:r>
          </w:p>
          <w:p w14:paraId="30EE8689">
            <w:pPr>
              <w:ind w:firstLine="480"/>
              <w:rPr>
                <w:rFonts w:hint="default"/>
                <w:color w:val="auto"/>
              </w:rPr>
            </w:pPr>
            <w:r>
              <w:rPr>
                <w:rFonts w:hint="default"/>
                <w:color w:val="auto"/>
              </w:rPr>
              <w:t>①</w:t>
            </w:r>
            <w:r>
              <w:rPr>
                <w:rFonts w:hint="default" w:eastAsia="宋体"/>
                <w:color w:val="auto"/>
              </w:rPr>
              <w:t>地表水、地下水、土壤环境风险分析</w:t>
            </w:r>
          </w:p>
          <w:p w14:paraId="5D0913F5">
            <w:pPr>
              <w:ind w:firstLine="480"/>
              <w:rPr>
                <w:rFonts w:hint="default"/>
                <w:color w:val="auto"/>
              </w:rPr>
            </w:pPr>
            <w:r>
              <w:rPr>
                <w:rFonts w:hint="default" w:eastAsia="宋体"/>
                <w:color w:val="auto"/>
              </w:rPr>
              <w:t>项目对地表水、地下水、土壤环境的风险影响主要是废矿物油泄漏、破损导致泄漏及火灾爆炸产生的次生污染物泄漏后，会通过项目区地面漫流和垂直入渗，随着时间的推移，造成区域地表水、地下水和土壤的污染。</w:t>
            </w:r>
          </w:p>
          <w:p w14:paraId="3D69114B">
            <w:pPr>
              <w:ind w:firstLine="480"/>
              <w:rPr>
                <w:rFonts w:hint="default"/>
                <w:color w:val="auto"/>
              </w:rPr>
            </w:pPr>
            <w:r>
              <w:rPr>
                <w:rFonts w:hint="default"/>
                <w:color w:val="auto"/>
              </w:rPr>
              <w:t>②</w:t>
            </w:r>
            <w:r>
              <w:rPr>
                <w:rFonts w:hint="default" w:eastAsia="宋体"/>
                <w:color w:val="auto"/>
              </w:rPr>
              <w:t>大气环境风险分析</w:t>
            </w:r>
          </w:p>
          <w:p w14:paraId="035F06EF">
            <w:pPr>
              <w:ind w:firstLine="480"/>
              <w:rPr>
                <w:rFonts w:hint="default"/>
                <w:color w:val="auto"/>
              </w:rPr>
            </w:pPr>
            <w:r>
              <w:rPr>
                <w:rFonts w:hint="default" w:eastAsia="宋体"/>
                <w:color w:val="auto"/>
              </w:rPr>
              <w:t>项目对大气环境的风险影响主要是废矿物油泄漏产生的挥发性有机物、泄漏的废矿物油遇明火发生燃烧以及火灾爆炸产生的次生污染物通过空气扩散至大气环境中污染大气环境。</w:t>
            </w:r>
          </w:p>
          <w:p w14:paraId="45797DC7">
            <w:pPr>
              <w:ind w:firstLine="480"/>
              <w:rPr>
                <w:rFonts w:hint="default"/>
                <w:color w:val="auto"/>
              </w:rPr>
            </w:pPr>
            <w:r>
              <w:rPr>
                <w:rFonts w:hint="default" w:eastAsia="宋体"/>
                <w:color w:val="auto"/>
              </w:rPr>
              <w:t>（5）环境风险防范措施</w:t>
            </w:r>
          </w:p>
          <w:p w14:paraId="02D8D272">
            <w:pPr>
              <w:ind w:firstLine="480"/>
              <w:rPr>
                <w:rFonts w:hint="default" w:eastAsia="宋体"/>
                <w:color w:val="auto"/>
              </w:rPr>
            </w:pPr>
            <w:r>
              <w:rPr>
                <w:rFonts w:hint="default" w:eastAsia="宋体"/>
                <w:color w:val="auto"/>
              </w:rPr>
              <w:t>项目厂区采取三级防控，一级防控为废矿物油设置裙脚，二级防控为设置导流渠和集液池。</w:t>
            </w:r>
          </w:p>
          <w:p w14:paraId="19A9A4AC">
            <w:pPr>
              <w:ind w:firstLine="480"/>
              <w:rPr>
                <w:rFonts w:hint="default"/>
                <w:color w:val="auto"/>
              </w:rPr>
            </w:pPr>
            <w:r>
              <w:rPr>
                <w:rFonts w:hint="default" w:eastAsia="宋体"/>
                <w:color w:val="auto"/>
              </w:rPr>
              <w:t>A运输过程防范措施</w:t>
            </w:r>
          </w:p>
          <w:p w14:paraId="1E7E45B8">
            <w:pPr>
              <w:ind w:firstLine="480"/>
              <w:rPr>
                <w:rFonts w:hint="default"/>
                <w:color w:val="auto"/>
              </w:rPr>
            </w:pPr>
            <w:r>
              <w:rPr>
                <w:rFonts w:hint="default"/>
                <w:color w:val="auto"/>
              </w:rPr>
              <w:t>①</w:t>
            </w:r>
            <w:r>
              <w:rPr>
                <w:rFonts w:hint="default" w:eastAsia="宋体"/>
                <w:color w:val="auto"/>
              </w:rPr>
              <w:t>项目仅为废矿物油收集贮存项目，不涉及后续拆解、再生加工过程。在危险废物收集运输过程中，需由专用危险货物运输车辆运送。建设单位需与具有危险废物运输资质的运输单位签订运输协议。</w:t>
            </w:r>
          </w:p>
          <w:p w14:paraId="5EEB6B52">
            <w:pPr>
              <w:ind w:firstLine="480"/>
              <w:rPr>
                <w:rFonts w:hint="default"/>
                <w:color w:val="auto"/>
              </w:rPr>
            </w:pPr>
            <w:r>
              <w:rPr>
                <w:rFonts w:hint="default"/>
                <w:color w:val="auto"/>
              </w:rPr>
              <w:t>②</w:t>
            </w:r>
            <w:r>
              <w:rPr>
                <w:rFonts w:hint="default" w:eastAsia="宋体"/>
                <w:color w:val="auto"/>
              </w:rPr>
              <w:t>在储存、运输过程中，不应进行拆解、碾压及其他破碎操作</w:t>
            </w:r>
            <w:r>
              <w:rPr>
                <w:rFonts w:hint="eastAsia" w:eastAsia="宋体"/>
                <w:color w:val="auto"/>
                <w:lang w:eastAsia="zh-CN"/>
              </w:rPr>
              <w:t>，</w:t>
            </w:r>
            <w:r>
              <w:rPr>
                <w:rFonts w:hint="default" w:eastAsia="宋体"/>
                <w:color w:val="auto"/>
              </w:rPr>
              <w:t>装车前对废矿物油收集桶进行检查，发现破损的收集桶立即更换。</w:t>
            </w:r>
          </w:p>
          <w:p w14:paraId="33F945B2">
            <w:pPr>
              <w:ind w:firstLine="480"/>
              <w:rPr>
                <w:rFonts w:hint="default"/>
                <w:color w:val="auto"/>
              </w:rPr>
            </w:pPr>
            <w:r>
              <w:rPr>
                <w:rFonts w:hint="default"/>
                <w:color w:val="auto"/>
              </w:rPr>
              <w:t>③</w:t>
            </w:r>
            <w:r>
              <w:rPr>
                <w:rFonts w:hint="default" w:eastAsia="宋体"/>
                <w:color w:val="auto"/>
              </w:rPr>
              <w:t>废矿物油运输过程中，应携带抹布或手套，用于发生事故时能对泄漏的、废矿物油进行清理。</w:t>
            </w:r>
          </w:p>
          <w:p w14:paraId="0D788795">
            <w:pPr>
              <w:ind w:firstLine="480"/>
              <w:rPr>
                <w:rFonts w:hint="default"/>
                <w:color w:val="auto"/>
              </w:rPr>
            </w:pPr>
            <w:r>
              <w:rPr>
                <w:rFonts w:hint="default"/>
                <w:color w:val="auto"/>
              </w:rPr>
              <w:t>④</w:t>
            </w:r>
            <w:r>
              <w:rPr>
                <w:rFonts w:hint="default" w:eastAsia="宋体"/>
                <w:color w:val="auto"/>
              </w:rPr>
              <w:t>危险物质的装运应做到定车、定人、定线和定时。定车就是要把装运危险物品的车辆、工具相对固定，专车专用。定人就是要把管理、驾驶、押运以及装卸等工作的人员加以固定，这样就保证危险物品的运输任务始终是有专业知识的专业人员来担负，从人员上保障危险物品运输过程中的安全。定线和定时就是运输车辆需在有关部门指定的时段内通过指定的运输路线运输。如不能指定路线由于客观原因不能通行时，则</w:t>
            </w:r>
            <w:r>
              <w:rPr>
                <w:rFonts w:eastAsia="宋体"/>
                <w:color w:val="auto"/>
              </w:rPr>
              <w:t>采用</w:t>
            </w:r>
            <w:r>
              <w:rPr>
                <w:rFonts w:hint="default" w:eastAsia="宋体"/>
                <w:color w:val="auto"/>
              </w:rPr>
              <w:t>备选路线。被装运的收集桶和厢式货车应粘贴或挂临时危险废物警告标志和危险废物标签，包装标志要粘牢固、正确。</w:t>
            </w:r>
          </w:p>
          <w:p w14:paraId="324B43D6">
            <w:pPr>
              <w:ind w:firstLine="480"/>
              <w:rPr>
                <w:rFonts w:hint="default"/>
                <w:color w:val="auto"/>
              </w:rPr>
            </w:pPr>
            <w:r>
              <w:rPr>
                <w:rFonts w:hint="default"/>
                <w:color w:val="auto"/>
              </w:rPr>
              <w:t>⑤</w:t>
            </w:r>
            <w:r>
              <w:rPr>
                <w:rFonts w:hint="default" w:eastAsia="宋体"/>
                <w:color w:val="auto"/>
              </w:rPr>
              <w:t>在危险废物运输过程中一旦发生意外，在采取应急处理的同时，迅速报告公安机关和环保等有关部门，疏散群众，防止事态进一步扩大，并积极协助前来救助的公安交通和消防人员抢救伤者和物资，使损失降到最低范围。</w:t>
            </w:r>
          </w:p>
          <w:p w14:paraId="64CB9890">
            <w:pPr>
              <w:ind w:firstLine="480"/>
              <w:rPr>
                <w:rFonts w:hint="default" w:eastAsia="宋体"/>
                <w:color w:val="auto"/>
              </w:rPr>
            </w:pPr>
            <w:r>
              <w:rPr>
                <w:rFonts w:hint="default"/>
                <w:color w:val="auto"/>
              </w:rPr>
              <w:t>⑥</w:t>
            </w:r>
            <w:r>
              <w:rPr>
                <w:rFonts w:hint="default" w:eastAsia="宋体"/>
                <w:color w:val="auto"/>
              </w:rPr>
              <w:t>运输车辆驾驶员和押运人员，在出车前必须检查防毒、防护用品是否携带齐全有效，在运输途中发现泄漏应主动采取处理措施，防止事态进一步扩大，在切断泄漏源后，应将情况及时向当地公安机关和有关部门报告，若处理不了，应立即报告当地公安机关和有关部门，请求支援。</w:t>
            </w:r>
          </w:p>
          <w:p w14:paraId="27D6C2CB">
            <w:pPr>
              <w:ind w:firstLine="480"/>
              <w:rPr>
                <w:rFonts w:hint="default" w:eastAsia="宋体"/>
                <w:color w:val="auto"/>
              </w:rPr>
            </w:pPr>
            <w:r>
              <w:rPr>
                <w:rFonts w:hint="default" w:eastAsia="宋体"/>
                <w:color w:val="auto"/>
              </w:rPr>
              <w:t>B贮存防范措施</w:t>
            </w:r>
          </w:p>
          <w:p w14:paraId="2743E6B1">
            <w:pPr>
              <w:ind w:firstLine="480"/>
              <w:rPr>
                <w:rFonts w:hint="default" w:eastAsia="宋体"/>
                <w:color w:val="auto"/>
              </w:rPr>
            </w:pPr>
            <w:r>
              <w:rPr>
                <w:rFonts w:hint="default" w:eastAsia="宋体"/>
                <w:color w:val="auto"/>
              </w:rPr>
              <w:t>①废矿物油运输进场后，转运桶不下车（无倒装工序），采用输油泵将运输车辆内的储油桶里的废矿物油抽至储油罐内和桶装区的储油桶内。若发现废矿物油泄漏及时进行处置，从源头上减少污染物产生。</w:t>
            </w:r>
          </w:p>
          <w:p w14:paraId="24217281">
            <w:pPr>
              <w:ind w:firstLine="480"/>
              <w:rPr>
                <w:rFonts w:hint="default" w:eastAsia="宋体"/>
                <w:color w:val="auto"/>
              </w:rPr>
            </w:pPr>
            <w:r>
              <w:rPr>
                <w:rFonts w:hint="default" w:eastAsia="宋体"/>
                <w:color w:val="auto"/>
              </w:rPr>
              <w:t>②项目区内分区设置防渗区，分为重点防渗区和简单防渗区。</w:t>
            </w:r>
          </w:p>
          <w:p w14:paraId="08876F2D">
            <w:pPr>
              <w:ind w:firstLine="480"/>
              <w:rPr>
                <w:rFonts w:hint="default" w:eastAsia="宋体"/>
                <w:color w:val="auto"/>
              </w:rPr>
            </w:pPr>
            <w:r>
              <w:rPr>
                <w:rFonts w:hint="default" w:eastAsia="宋体"/>
                <w:color w:val="auto"/>
              </w:rPr>
              <w:t>重点防渗区：</w:t>
            </w:r>
            <w:r>
              <w:rPr>
                <w:rFonts w:eastAsia="宋体"/>
                <w:color w:val="auto"/>
              </w:rPr>
              <w:t>地面、导流渠、集液池、裙脚、围堰</w:t>
            </w:r>
            <w:r>
              <w:rPr>
                <w:rFonts w:hint="default" w:eastAsia="宋体"/>
                <w:color w:val="auto"/>
              </w:rPr>
              <w:t>采用相同的防渗措施，防渗措施按照《危险废物贮存污染控制标准》（GB18597-2023）建设，防渗层为至少1m厚黏土层（渗透系数</w:t>
            </w:r>
            <w:r>
              <w:rPr>
                <w:rFonts w:eastAsia="宋体"/>
                <w:color w:val="auto"/>
              </w:rPr>
              <w:t>≤</w:t>
            </w:r>
            <w:r>
              <w:rPr>
                <w:rFonts w:hint="default" w:eastAsia="宋体"/>
                <w:color w:val="auto"/>
              </w:rPr>
              <w:t>10</w:t>
            </w:r>
            <w:r>
              <w:rPr>
                <w:rFonts w:hint="default" w:eastAsia="宋体"/>
                <w:color w:val="auto"/>
                <w:vertAlign w:val="superscript"/>
              </w:rPr>
              <w:t>-7</w:t>
            </w:r>
            <w:r>
              <w:rPr>
                <w:rFonts w:hint="default" w:eastAsia="宋体"/>
                <w:color w:val="auto"/>
              </w:rPr>
              <w:t>cm/s），或至少2mm厚高密度聚乙烯膜等人工防渗材料（渗透系数</w:t>
            </w:r>
            <w:r>
              <w:rPr>
                <w:rFonts w:eastAsia="宋体"/>
                <w:color w:val="auto"/>
              </w:rPr>
              <w:t>≤</w:t>
            </w:r>
            <w:r>
              <w:rPr>
                <w:rFonts w:hint="default" w:eastAsia="宋体"/>
                <w:color w:val="auto"/>
              </w:rPr>
              <w:t>10</w:t>
            </w:r>
            <w:r>
              <w:rPr>
                <w:rFonts w:hint="default" w:eastAsia="宋体"/>
                <w:color w:val="auto"/>
                <w:vertAlign w:val="superscript"/>
              </w:rPr>
              <w:t>-10</w:t>
            </w:r>
            <w:r>
              <w:rPr>
                <w:rFonts w:hint="default" w:eastAsia="宋体"/>
                <w:color w:val="auto"/>
              </w:rPr>
              <w:t>cm/s），或其他防渗性能等效的材料。</w:t>
            </w:r>
          </w:p>
          <w:p w14:paraId="22568118">
            <w:pPr>
              <w:ind w:firstLine="480"/>
              <w:rPr>
                <w:rFonts w:hint="default" w:eastAsia="宋体"/>
                <w:color w:val="auto"/>
              </w:rPr>
            </w:pPr>
            <w:r>
              <w:rPr>
                <w:rFonts w:hint="default" w:eastAsia="宋体"/>
                <w:color w:val="auto"/>
              </w:rPr>
              <w:t>③在废矿物油贮存区配置有机气体报警、火灾报警装置和导出静电的接地装置。</w:t>
            </w:r>
          </w:p>
          <w:p w14:paraId="5EDE73F5">
            <w:pPr>
              <w:ind w:firstLine="480"/>
              <w:rPr>
                <w:rFonts w:hint="default" w:eastAsia="宋体"/>
                <w:color w:val="auto"/>
              </w:rPr>
            </w:pPr>
            <w:r>
              <w:rPr>
                <w:rFonts w:hint="default" w:eastAsia="宋体"/>
                <w:color w:val="auto"/>
              </w:rPr>
              <w:t>3）火灾防范措施</w:t>
            </w:r>
          </w:p>
          <w:p w14:paraId="22E4C225">
            <w:pPr>
              <w:ind w:firstLine="480"/>
              <w:rPr>
                <w:rFonts w:hint="default" w:eastAsia="宋体"/>
                <w:color w:val="auto"/>
              </w:rPr>
            </w:pPr>
            <w:r>
              <w:rPr>
                <w:rFonts w:hint="default" w:eastAsia="宋体"/>
                <w:color w:val="auto"/>
              </w:rPr>
              <w:t>应严格按照有关规定和操作程序及时处理，防止事故的蔓延和扩大，同时立即向上级主管部门和当地环境保护管理部门进行报告。厂内运输过程风险防范措施：对入厂的运输车辆进行安全检查，严禁有安全隐患的运输车辆进入厂区。</w:t>
            </w:r>
          </w:p>
          <w:p w14:paraId="6C3A774A">
            <w:pPr>
              <w:ind w:firstLine="480"/>
              <w:rPr>
                <w:rFonts w:hint="default" w:eastAsia="宋体"/>
                <w:color w:val="auto"/>
              </w:rPr>
            </w:pPr>
            <w:r>
              <w:rPr>
                <w:rFonts w:hint="default" w:eastAsia="宋体"/>
                <w:color w:val="auto"/>
              </w:rPr>
              <w:t>①发生火灾，宜采用二氧化碳、干粉灭火，将火源隔离从而达到扑灭火源的目的，火灾后遗留现场需清理彻底，避免再次发生火灾。</w:t>
            </w:r>
          </w:p>
          <w:p w14:paraId="78B5A8F8">
            <w:pPr>
              <w:ind w:firstLine="480"/>
              <w:rPr>
                <w:rFonts w:hint="default" w:eastAsia="宋体"/>
                <w:color w:val="auto"/>
              </w:rPr>
            </w:pPr>
            <w:r>
              <w:rPr>
                <w:rFonts w:hint="default" w:eastAsia="宋体"/>
                <w:color w:val="auto"/>
              </w:rPr>
              <w:t>②库房地面做防渗处理，不设排水管道，并加强通风，同时，应设置明显标识。</w:t>
            </w:r>
          </w:p>
          <w:p w14:paraId="0EBC2826">
            <w:pPr>
              <w:ind w:firstLine="480"/>
              <w:rPr>
                <w:rFonts w:hint="default" w:eastAsia="宋体"/>
                <w:color w:val="auto"/>
              </w:rPr>
            </w:pPr>
            <w:r>
              <w:rPr>
                <w:rFonts w:hint="default" w:eastAsia="宋体"/>
                <w:color w:val="auto"/>
              </w:rPr>
              <w:t>③厂区平面布置应符合防范事故要求，有应急救援设施及救援通道，便于应急疏散。</w:t>
            </w:r>
          </w:p>
          <w:p w14:paraId="3F06E1D6">
            <w:pPr>
              <w:ind w:firstLine="480"/>
              <w:rPr>
                <w:rFonts w:hint="default" w:eastAsia="宋体"/>
                <w:color w:val="auto"/>
              </w:rPr>
            </w:pPr>
            <w:r>
              <w:rPr>
                <w:rFonts w:hint="default" w:eastAsia="宋体"/>
                <w:color w:val="auto"/>
              </w:rPr>
              <w:t>④加强管理，规范操作程序，车间内禁止烟火。</w:t>
            </w:r>
          </w:p>
          <w:p w14:paraId="53694967">
            <w:pPr>
              <w:ind w:firstLine="480"/>
              <w:rPr>
                <w:rFonts w:hint="default" w:eastAsia="宋体"/>
                <w:color w:val="auto"/>
              </w:rPr>
            </w:pPr>
            <w:r>
              <w:rPr>
                <w:rFonts w:hint="default" w:eastAsia="宋体"/>
                <w:color w:val="auto"/>
              </w:rPr>
              <w:t>⑤应建立完善</w:t>
            </w:r>
            <w:r>
              <w:rPr>
                <w:rFonts w:eastAsia="宋体"/>
                <w:color w:val="auto"/>
              </w:rPr>
              <w:t>的应</w:t>
            </w:r>
            <w:r>
              <w:rPr>
                <w:rFonts w:hint="default" w:eastAsia="宋体"/>
                <w:color w:val="auto"/>
              </w:rPr>
              <w:t>急预案领导小组，应有完备环境监测、抢险救援及控制措施，并配备应急救援保障设施和装备。</w:t>
            </w:r>
          </w:p>
          <w:p w14:paraId="6ADF6548">
            <w:pPr>
              <w:ind w:firstLine="480"/>
              <w:rPr>
                <w:rFonts w:hint="default" w:eastAsia="宋体"/>
                <w:color w:val="auto"/>
              </w:rPr>
            </w:pPr>
            <w:r>
              <w:rPr>
                <w:rFonts w:hint="default" w:eastAsia="宋体"/>
                <w:color w:val="auto"/>
              </w:rPr>
              <w:t>⑥设置合理的安全距离，保证车间气体能良好流通。</w:t>
            </w:r>
          </w:p>
          <w:p w14:paraId="4EB84B4D">
            <w:pPr>
              <w:ind w:firstLine="480"/>
              <w:rPr>
                <w:rFonts w:hint="default" w:eastAsia="宋体"/>
                <w:color w:val="auto"/>
              </w:rPr>
            </w:pPr>
            <w:r>
              <w:rPr>
                <w:rFonts w:hint="default" w:eastAsia="宋体"/>
                <w:color w:val="auto"/>
              </w:rPr>
              <w:t>⑦项目区设置1个容积1m³的集液池，四周均设导流渠（宽200mm，高宽200mm），用于项目区发生事故情况下的泄漏、废矿物油的收集。</w:t>
            </w:r>
          </w:p>
          <w:p w14:paraId="23853C31">
            <w:pPr>
              <w:ind w:firstLine="480"/>
              <w:rPr>
                <w:rFonts w:hint="default" w:eastAsia="宋体"/>
                <w:color w:val="auto"/>
              </w:rPr>
            </w:pPr>
            <w:r>
              <w:rPr>
                <w:rFonts w:hint="default" w:eastAsia="宋体"/>
                <w:color w:val="auto"/>
              </w:rPr>
              <w:t>4）风险管理措施</w:t>
            </w:r>
          </w:p>
          <w:p w14:paraId="47F3FB6C">
            <w:pPr>
              <w:ind w:firstLine="480"/>
              <w:rPr>
                <w:rFonts w:hint="default" w:eastAsia="宋体"/>
                <w:color w:val="auto"/>
              </w:rPr>
            </w:pPr>
            <w:r>
              <w:rPr>
                <w:rFonts w:hint="default" w:eastAsia="宋体"/>
                <w:color w:val="auto"/>
              </w:rPr>
              <w:t>①废矿物油的运输转移应按《道路危险货物运输管理规定》及其他相关规定执行。</w:t>
            </w:r>
          </w:p>
          <w:p w14:paraId="6F25EC39">
            <w:pPr>
              <w:ind w:firstLine="480"/>
              <w:rPr>
                <w:rFonts w:hint="default" w:eastAsia="宋体"/>
                <w:color w:val="auto"/>
              </w:rPr>
            </w:pPr>
            <w:r>
              <w:rPr>
                <w:rFonts w:hint="default" w:eastAsia="宋体"/>
                <w:color w:val="auto"/>
              </w:rPr>
              <w:t>②废矿物油的运输转移过程控制应按《危险废物转移管理办法》的规定执行。</w:t>
            </w:r>
          </w:p>
          <w:p w14:paraId="4F40ED91">
            <w:pPr>
              <w:ind w:firstLine="480"/>
              <w:rPr>
                <w:rFonts w:hint="default" w:eastAsia="宋体"/>
                <w:color w:val="auto"/>
              </w:rPr>
            </w:pPr>
            <w:r>
              <w:rPr>
                <w:rFonts w:hint="default" w:eastAsia="宋体"/>
                <w:color w:val="auto"/>
              </w:rPr>
              <w:t>③废矿物油转运前应检查危险废物转移联单，核对品名、数量和标志等。</w:t>
            </w:r>
          </w:p>
          <w:p w14:paraId="69DDB919">
            <w:pPr>
              <w:ind w:firstLine="480"/>
              <w:rPr>
                <w:rFonts w:hint="default" w:eastAsia="宋体"/>
                <w:color w:val="auto"/>
              </w:rPr>
            </w:pPr>
            <w:r>
              <w:rPr>
                <w:rFonts w:hint="default" w:eastAsia="宋体"/>
                <w:color w:val="auto"/>
              </w:rPr>
              <w:t>④废矿物油转运前应制定突发环境事件应急预案。</w:t>
            </w:r>
          </w:p>
          <w:p w14:paraId="17BC3248">
            <w:pPr>
              <w:ind w:firstLine="480"/>
              <w:rPr>
                <w:rFonts w:hint="default" w:eastAsia="宋体"/>
                <w:color w:val="auto"/>
              </w:rPr>
            </w:pPr>
            <w:r>
              <w:rPr>
                <w:rFonts w:hint="default" w:eastAsia="宋体"/>
                <w:color w:val="auto"/>
              </w:rPr>
              <w:t>⑤废矿物油转运前应检查运转设备和盛装容器的稳定性、严密性，确保运输途中不会破裂、倾倒和溢流。</w:t>
            </w:r>
          </w:p>
          <w:p w14:paraId="091D50E9">
            <w:pPr>
              <w:ind w:firstLine="480"/>
              <w:rPr>
                <w:rFonts w:hint="default" w:eastAsia="宋体"/>
                <w:color w:val="auto"/>
              </w:rPr>
            </w:pPr>
            <w:r>
              <w:rPr>
                <w:rFonts w:hint="default" w:eastAsia="宋体"/>
                <w:color w:val="auto"/>
              </w:rPr>
              <w:t>⑥车辆必须悬挂“危险废物”字样及相应标志。</w:t>
            </w:r>
          </w:p>
          <w:p w14:paraId="635B540A">
            <w:pPr>
              <w:ind w:firstLine="480"/>
              <w:rPr>
                <w:rFonts w:hint="default" w:eastAsia="宋体"/>
                <w:color w:val="auto"/>
              </w:rPr>
            </w:pPr>
            <w:r>
              <w:rPr>
                <w:rFonts w:hint="default" w:eastAsia="宋体"/>
                <w:color w:val="auto"/>
              </w:rPr>
              <w:t>⑦运输危险废物的车辆应配备GPS设备，严格遵守交通、消防、治安等法规，并应控制车速，保持与前车的距离，严禁违章超车，确保行车安全。驾驶人员一次连续驾驶4小时应休息20分钟以上，24小时之内实际驾驶时间累计不超过8小时。</w:t>
            </w:r>
          </w:p>
          <w:p w14:paraId="4481BA05">
            <w:pPr>
              <w:ind w:firstLine="480"/>
              <w:rPr>
                <w:rFonts w:hint="default" w:eastAsia="宋体"/>
                <w:color w:val="auto"/>
              </w:rPr>
            </w:pPr>
            <w:r>
              <w:rPr>
                <w:rFonts w:hint="default" w:eastAsia="宋体"/>
                <w:color w:val="auto"/>
              </w:rPr>
              <w:t>⑧运输中使用专用车辆，严禁采用三轮机动车、全挂汽车列车、人力三轮车、自行车和摩托车装运</w:t>
            </w:r>
            <w:r>
              <w:rPr>
                <w:rFonts w:eastAsia="宋体"/>
                <w:color w:val="auto"/>
              </w:rPr>
              <w:t>危险废物</w:t>
            </w:r>
            <w:r>
              <w:rPr>
                <w:rFonts w:hint="default" w:eastAsia="宋体"/>
                <w:color w:val="auto"/>
              </w:rPr>
              <w:t>。必须配备随车人员在途中经常检查，如有丢失、被盗，立即报告发生地的交通运输、环保主管部门</w:t>
            </w:r>
            <w:r>
              <w:rPr>
                <w:rFonts w:hint="eastAsia" w:eastAsia="宋体"/>
                <w:color w:val="auto"/>
                <w:lang w:eastAsia="zh-CN"/>
              </w:rPr>
              <w:t>，在</w:t>
            </w:r>
            <w:r>
              <w:rPr>
                <w:rFonts w:hint="default" w:eastAsia="宋体"/>
                <w:color w:val="auto"/>
              </w:rPr>
              <w:t>高</w:t>
            </w:r>
            <w:r>
              <w:rPr>
                <w:rFonts w:eastAsia="宋体"/>
                <w:color w:val="auto"/>
              </w:rPr>
              <w:t>速公</w:t>
            </w:r>
            <w:r>
              <w:rPr>
                <w:rFonts w:hint="default" w:eastAsia="宋体"/>
                <w:color w:val="auto"/>
              </w:rPr>
              <w:t>路上发生丢失、被盗，应立即报告高速巡警，并由交通运输主管部门会同丢失发生地的公安部门和环保部门查处。</w:t>
            </w:r>
          </w:p>
          <w:p w14:paraId="18653FFB">
            <w:pPr>
              <w:ind w:firstLine="480"/>
              <w:rPr>
                <w:rFonts w:hint="default" w:eastAsia="宋体"/>
                <w:color w:val="auto"/>
              </w:rPr>
            </w:pPr>
            <w:r>
              <w:rPr>
                <w:rFonts w:hint="default" w:eastAsia="宋体"/>
                <w:color w:val="auto"/>
              </w:rPr>
              <w:t>⑨合理规划运输路线及运输时间，尽可能避免运载车辆穿越学校、医院和居住小区等人口密集区域，并尽可能远离河道、水渠等敏感区域。</w:t>
            </w:r>
          </w:p>
          <w:p w14:paraId="078130B8">
            <w:pPr>
              <w:ind w:firstLine="480"/>
              <w:rPr>
                <w:rFonts w:hint="default" w:eastAsia="宋体"/>
                <w:color w:val="auto"/>
              </w:rPr>
            </w:pPr>
            <w:r>
              <w:rPr>
                <w:rFonts w:hint="default" w:eastAsia="宋体"/>
                <w:color w:val="auto"/>
              </w:rPr>
              <w:t>⑩运输车辆应取得危险废物运输经营许可证。司机必须按国家有关规定进行岗位培训，持证上岗。运输车辆车厢、底板必须平坦完好，周围栏板必须牢固；车辆具有防雨、防潮、防晒功能；每辆车设有明显防火标志，并配有相应的防泄漏措施进入装卸作业区，不准携带火种。</w:t>
            </w:r>
          </w:p>
          <w:p w14:paraId="182FF650">
            <w:pPr>
              <w:ind w:firstLine="480"/>
              <w:rPr>
                <w:rFonts w:hint="default" w:eastAsia="宋体"/>
                <w:color w:val="auto"/>
              </w:rPr>
            </w:pPr>
            <w:r>
              <w:rPr>
                <w:rFonts w:hint="default" w:eastAsia="宋体"/>
                <w:color w:val="auto"/>
              </w:rPr>
              <w:t>5）其他措施</w:t>
            </w:r>
          </w:p>
          <w:p w14:paraId="09CB1656">
            <w:pPr>
              <w:ind w:firstLine="480"/>
              <w:rPr>
                <w:rFonts w:hint="default" w:eastAsia="宋体"/>
                <w:color w:val="auto"/>
              </w:rPr>
            </w:pPr>
            <w:r>
              <w:rPr>
                <w:rFonts w:hint="default" w:eastAsia="宋体"/>
                <w:color w:val="auto"/>
              </w:rPr>
              <w:t>①严格规范员工操作，做好防护措施，加强职工的安全教育，提高安全素质，严格执行作业规程，严禁无证上岗，严禁违章作业，防止因失误操作造成环境风险事故的发生；</w:t>
            </w:r>
          </w:p>
          <w:p w14:paraId="77962566">
            <w:pPr>
              <w:ind w:firstLine="480"/>
              <w:rPr>
                <w:rFonts w:hint="default" w:eastAsia="宋体"/>
                <w:color w:val="auto"/>
              </w:rPr>
            </w:pPr>
            <w:r>
              <w:rPr>
                <w:rFonts w:hint="default" w:eastAsia="宋体"/>
                <w:color w:val="auto"/>
              </w:rPr>
              <w:t>②为保证企业及人民生命财产的安全，防止突发性重大化学事故发生，并在发生事故时，能迅速有序地开展救援工作，尽最大努力减少事故的危害和损失，项目应编制相关的应急预案并配备相应的消防物资。</w:t>
            </w:r>
          </w:p>
          <w:p w14:paraId="615AE773">
            <w:pPr>
              <w:ind w:firstLine="480"/>
              <w:rPr>
                <w:rFonts w:hint="default" w:eastAsia="宋体"/>
                <w:color w:val="auto"/>
              </w:rPr>
            </w:pPr>
            <w:r>
              <w:rPr>
                <w:rFonts w:hint="default" w:eastAsia="宋体"/>
                <w:color w:val="auto"/>
              </w:rPr>
              <w:t>③本项目应按照《突发环境事件应急预案管理暂行办法（环发〔2010〕113号）》和《企业事业单位突发环境事件应急预案备案管理办法（试行）》（环发〔2015〕4号）的相关要求编制应急预案，并报</w:t>
            </w:r>
            <w:r>
              <w:rPr>
                <w:rFonts w:eastAsia="宋体"/>
                <w:color w:val="auto"/>
              </w:rPr>
              <w:t>当地</w:t>
            </w:r>
            <w:r>
              <w:rPr>
                <w:rFonts w:hint="default" w:eastAsia="宋体"/>
                <w:color w:val="auto"/>
              </w:rPr>
              <w:t>生态环境局备案。</w:t>
            </w:r>
          </w:p>
          <w:p w14:paraId="452DE4D4">
            <w:pPr>
              <w:ind w:firstLine="480"/>
              <w:rPr>
                <w:rFonts w:hint="default" w:eastAsia="宋体"/>
                <w:color w:val="auto"/>
              </w:rPr>
            </w:pPr>
            <w:r>
              <w:rPr>
                <w:rFonts w:hint="default" w:eastAsia="宋体"/>
                <w:color w:val="auto"/>
              </w:rPr>
              <w:t>（6）运输环境风险影响分析</w:t>
            </w:r>
          </w:p>
          <w:p w14:paraId="291F0539">
            <w:pPr>
              <w:ind w:firstLine="480"/>
              <w:rPr>
                <w:rFonts w:hint="default" w:eastAsia="宋体"/>
                <w:color w:val="auto"/>
              </w:rPr>
            </w:pPr>
            <w:r>
              <w:rPr>
                <w:rFonts w:hint="default" w:eastAsia="宋体"/>
                <w:color w:val="auto"/>
              </w:rPr>
              <w:t>本项目在</w:t>
            </w:r>
            <w:r>
              <w:rPr>
                <w:rFonts w:eastAsia="宋体"/>
                <w:color w:val="auto"/>
              </w:rPr>
              <w:t>危险废物</w:t>
            </w:r>
            <w:r>
              <w:rPr>
                <w:rFonts w:hint="default" w:eastAsia="宋体"/>
                <w:color w:val="auto"/>
              </w:rPr>
              <w:t>运输过程中，可能发生的环境风险事故主要为：</w:t>
            </w:r>
          </w:p>
          <w:p w14:paraId="362240C6">
            <w:pPr>
              <w:ind w:firstLine="480"/>
              <w:rPr>
                <w:rFonts w:hint="default" w:eastAsia="宋体"/>
                <w:color w:val="auto"/>
              </w:rPr>
            </w:pPr>
            <w:r>
              <w:rPr>
                <w:rFonts w:hint="default" w:eastAsia="宋体"/>
                <w:color w:val="auto"/>
              </w:rPr>
              <w:t>①交通事故引起废矿物油泄漏后，通过地面漫流和垂直入渗，随着时间的推移，造成区域地表水、地下水和土壤的污染。</w:t>
            </w:r>
          </w:p>
          <w:p w14:paraId="6E267C59">
            <w:pPr>
              <w:ind w:firstLine="480"/>
              <w:rPr>
                <w:rFonts w:hint="default" w:eastAsia="宋体"/>
                <w:color w:val="auto"/>
              </w:rPr>
            </w:pPr>
            <w:r>
              <w:rPr>
                <w:rFonts w:hint="default" w:eastAsia="宋体"/>
                <w:color w:val="auto"/>
              </w:rPr>
              <w:t>②泄漏的废矿物油遇明火发生燃烧以及火灾爆炸事故产生的次生污染物通过空气扩散至大气环境中污染大气环境。本项目委托有资质的危险废物运输公司进行废矿物油和废电池的运输工作，在运输过程中，只要该公司严格遵守国家有关危险货物运输管理的规定，并做好以上6条“运输过程防范措施”，则本项目运输过</w:t>
            </w:r>
            <w:r>
              <w:rPr>
                <w:rFonts w:hint="eastAsia" w:eastAsia="宋体"/>
                <w:color w:val="auto"/>
                <w:lang w:eastAsia="zh-CN"/>
              </w:rPr>
              <w:t>程中</w:t>
            </w:r>
            <w:r>
              <w:rPr>
                <w:rFonts w:hint="default" w:eastAsia="宋体"/>
                <w:color w:val="auto"/>
              </w:rPr>
              <w:t>发生环境风险事故的概率很小。</w:t>
            </w:r>
          </w:p>
          <w:p w14:paraId="30722F77">
            <w:pPr>
              <w:ind w:firstLine="480"/>
              <w:rPr>
                <w:rFonts w:hint="default" w:eastAsia="宋体"/>
                <w:color w:val="auto"/>
              </w:rPr>
            </w:pPr>
            <w:r>
              <w:rPr>
                <w:rFonts w:hint="default" w:eastAsia="宋体"/>
                <w:color w:val="auto"/>
              </w:rPr>
              <w:t>因此，在切实做好以上防范措施的前提下，本项目运输过程环境风险影响很小。</w:t>
            </w:r>
          </w:p>
          <w:p w14:paraId="1096C59B">
            <w:pPr>
              <w:ind w:firstLine="480"/>
              <w:rPr>
                <w:rFonts w:hint="default" w:eastAsia="宋体"/>
                <w:color w:val="auto"/>
              </w:rPr>
            </w:pPr>
            <w:r>
              <w:rPr>
                <w:rFonts w:hint="default" w:eastAsia="宋体"/>
                <w:color w:val="auto"/>
              </w:rPr>
              <w:t>（7）环境风险评价结论</w:t>
            </w:r>
          </w:p>
          <w:p w14:paraId="66B9B61E">
            <w:pPr>
              <w:ind w:firstLine="480"/>
              <w:rPr>
                <w:rFonts w:hint="default" w:eastAsia="宋体"/>
                <w:color w:val="auto"/>
              </w:rPr>
            </w:pPr>
            <w:r>
              <w:rPr>
                <w:rFonts w:hint="default" w:eastAsia="宋体"/>
                <w:color w:val="auto"/>
              </w:rPr>
              <w:t>根据以上分析，本项目环境风险潜势划分为I，项目环境风险评价等级为简单分析，项目环境风险在做好应急防范措施的基础上是可控的，可将环境风险事故发生的概率降低到最低。</w:t>
            </w:r>
          </w:p>
          <w:p w14:paraId="2CE7F46C">
            <w:pPr>
              <w:adjustRightInd w:val="0"/>
              <w:snapToGrid w:val="0"/>
              <w:ind w:firstLine="482"/>
              <w:jc w:val="center"/>
              <w:rPr>
                <w:rFonts w:hint="default"/>
                <w:b/>
                <w:color w:val="auto"/>
                <w:szCs w:val="21"/>
              </w:rPr>
            </w:pPr>
            <w:r>
              <w:rPr>
                <w:rFonts w:hint="default" w:eastAsia="宋体"/>
                <w:b/>
                <w:color w:val="auto"/>
                <w:szCs w:val="21"/>
              </w:rPr>
              <w:t>表4-8应急预案编写基本内容</w:t>
            </w:r>
          </w:p>
          <w:tbl>
            <w:tblPr>
              <w:tblStyle w:val="14"/>
              <w:tblW w:w="80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2656"/>
              <w:gridCol w:w="4583"/>
            </w:tblGrid>
            <w:tr w14:paraId="4955A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780" w:type="dxa"/>
                  <w:tcBorders>
                    <w:top w:val="single" w:color="auto" w:sz="4" w:space="0"/>
                    <w:left w:val="single" w:color="auto" w:sz="4" w:space="0"/>
                    <w:bottom w:val="single" w:color="auto" w:sz="4" w:space="0"/>
                    <w:right w:val="single" w:color="auto" w:sz="4" w:space="0"/>
                    <w:tl2br w:val="nil"/>
                    <w:tr2bl w:val="nil"/>
                  </w:tcBorders>
                  <w:vAlign w:val="center"/>
                </w:tcPr>
                <w:p w14:paraId="15CE5C46">
                  <w:pPr>
                    <w:spacing w:line="240" w:lineRule="auto"/>
                    <w:ind w:firstLine="0" w:firstLineChars="0"/>
                    <w:jc w:val="center"/>
                    <w:rPr>
                      <w:rFonts w:hint="default"/>
                      <w:color w:val="auto"/>
                    </w:rPr>
                  </w:pPr>
                  <w:r>
                    <w:rPr>
                      <w:rFonts w:hint="default" w:eastAsia="宋体"/>
                      <w:color w:val="auto"/>
                    </w:rPr>
                    <w:t>序号</w:t>
                  </w:r>
                </w:p>
              </w:tc>
              <w:tc>
                <w:tcPr>
                  <w:tcW w:w="2656" w:type="dxa"/>
                  <w:tcBorders>
                    <w:top w:val="single" w:color="auto" w:sz="4" w:space="0"/>
                    <w:left w:val="single" w:color="auto" w:sz="4" w:space="0"/>
                    <w:bottom w:val="single" w:color="auto" w:sz="4" w:space="0"/>
                    <w:right w:val="single" w:color="auto" w:sz="4" w:space="0"/>
                    <w:tl2br w:val="nil"/>
                    <w:tr2bl w:val="nil"/>
                  </w:tcBorders>
                  <w:vAlign w:val="center"/>
                </w:tcPr>
                <w:p w14:paraId="767C2F39">
                  <w:pPr>
                    <w:spacing w:line="240" w:lineRule="auto"/>
                    <w:ind w:firstLine="0" w:firstLineChars="0"/>
                    <w:jc w:val="center"/>
                    <w:rPr>
                      <w:rFonts w:hint="default"/>
                      <w:color w:val="auto"/>
                    </w:rPr>
                  </w:pPr>
                  <w:r>
                    <w:rPr>
                      <w:rFonts w:hint="default" w:eastAsia="宋体"/>
                      <w:color w:val="auto"/>
                    </w:rPr>
                    <w:t>项目</w:t>
                  </w:r>
                </w:p>
              </w:tc>
              <w:tc>
                <w:tcPr>
                  <w:tcW w:w="4583" w:type="dxa"/>
                  <w:tcBorders>
                    <w:top w:val="single" w:color="auto" w:sz="4" w:space="0"/>
                    <w:left w:val="single" w:color="auto" w:sz="4" w:space="0"/>
                    <w:bottom w:val="single" w:color="auto" w:sz="4" w:space="0"/>
                    <w:right w:val="single" w:color="auto" w:sz="4" w:space="0"/>
                    <w:tl2br w:val="nil"/>
                    <w:tr2bl w:val="nil"/>
                  </w:tcBorders>
                  <w:vAlign w:val="center"/>
                </w:tcPr>
                <w:p w14:paraId="76C35559">
                  <w:pPr>
                    <w:spacing w:line="240" w:lineRule="auto"/>
                    <w:ind w:firstLine="0" w:firstLineChars="0"/>
                    <w:jc w:val="center"/>
                    <w:rPr>
                      <w:rFonts w:hint="default"/>
                      <w:color w:val="auto"/>
                    </w:rPr>
                  </w:pPr>
                  <w:r>
                    <w:rPr>
                      <w:rFonts w:hint="default" w:eastAsia="宋体"/>
                      <w:color w:val="auto"/>
                    </w:rPr>
                    <w:t>内容及要求</w:t>
                  </w:r>
                </w:p>
              </w:tc>
            </w:tr>
            <w:tr w14:paraId="17965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0" w:type="dxa"/>
                  <w:tcBorders>
                    <w:top w:val="single" w:color="auto" w:sz="4" w:space="0"/>
                    <w:left w:val="single" w:color="auto" w:sz="4" w:space="0"/>
                    <w:bottom w:val="single" w:color="auto" w:sz="4" w:space="0"/>
                    <w:right w:val="single" w:color="auto" w:sz="4" w:space="0"/>
                    <w:tl2br w:val="nil"/>
                    <w:tr2bl w:val="nil"/>
                  </w:tcBorders>
                  <w:vAlign w:val="center"/>
                </w:tcPr>
                <w:p w14:paraId="690F6FA8">
                  <w:pPr>
                    <w:spacing w:line="240" w:lineRule="auto"/>
                    <w:ind w:firstLine="0" w:firstLineChars="0"/>
                    <w:jc w:val="center"/>
                    <w:rPr>
                      <w:rFonts w:hint="default"/>
                      <w:color w:val="auto"/>
                    </w:rPr>
                  </w:pPr>
                  <w:r>
                    <w:rPr>
                      <w:rFonts w:hint="default"/>
                      <w:color w:val="auto"/>
                    </w:rPr>
                    <w:t>1</w:t>
                  </w:r>
                </w:p>
              </w:tc>
              <w:tc>
                <w:tcPr>
                  <w:tcW w:w="2656" w:type="dxa"/>
                  <w:tcBorders>
                    <w:top w:val="single" w:color="auto" w:sz="4" w:space="0"/>
                    <w:left w:val="single" w:color="auto" w:sz="4" w:space="0"/>
                    <w:bottom w:val="single" w:color="auto" w:sz="4" w:space="0"/>
                    <w:right w:val="single" w:color="auto" w:sz="4" w:space="0"/>
                    <w:tl2br w:val="nil"/>
                    <w:tr2bl w:val="nil"/>
                  </w:tcBorders>
                  <w:vAlign w:val="center"/>
                </w:tcPr>
                <w:p w14:paraId="7C8AF530">
                  <w:pPr>
                    <w:spacing w:line="240" w:lineRule="auto"/>
                    <w:ind w:firstLine="0" w:firstLineChars="0"/>
                    <w:jc w:val="center"/>
                    <w:rPr>
                      <w:rFonts w:hint="default"/>
                      <w:color w:val="auto"/>
                    </w:rPr>
                  </w:pPr>
                  <w:r>
                    <w:rPr>
                      <w:rFonts w:hint="default" w:eastAsia="宋体"/>
                      <w:color w:val="auto"/>
                    </w:rPr>
                    <w:t>应急计划区</w:t>
                  </w:r>
                </w:p>
              </w:tc>
              <w:tc>
                <w:tcPr>
                  <w:tcW w:w="4583" w:type="dxa"/>
                  <w:tcBorders>
                    <w:top w:val="single" w:color="auto" w:sz="4" w:space="0"/>
                    <w:left w:val="single" w:color="auto" w:sz="4" w:space="0"/>
                    <w:bottom w:val="single" w:color="auto" w:sz="4" w:space="0"/>
                    <w:right w:val="single" w:color="auto" w:sz="4" w:space="0"/>
                    <w:tl2br w:val="nil"/>
                    <w:tr2bl w:val="nil"/>
                  </w:tcBorders>
                  <w:vAlign w:val="center"/>
                </w:tcPr>
                <w:p w14:paraId="397E7E9C">
                  <w:pPr>
                    <w:spacing w:line="240" w:lineRule="auto"/>
                    <w:ind w:firstLine="0" w:firstLineChars="0"/>
                    <w:jc w:val="center"/>
                    <w:rPr>
                      <w:rFonts w:hint="default"/>
                      <w:color w:val="auto"/>
                    </w:rPr>
                  </w:pPr>
                  <w:r>
                    <w:rPr>
                      <w:rFonts w:hint="default" w:eastAsia="宋体"/>
                      <w:color w:val="auto"/>
                    </w:rPr>
                    <w:t>危险目标：危废暂存库</w:t>
                  </w:r>
                </w:p>
              </w:tc>
            </w:tr>
            <w:tr w14:paraId="3B61E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0" w:type="dxa"/>
                  <w:tcBorders>
                    <w:top w:val="single" w:color="auto" w:sz="4" w:space="0"/>
                    <w:left w:val="single" w:color="auto" w:sz="4" w:space="0"/>
                    <w:bottom w:val="single" w:color="auto" w:sz="4" w:space="0"/>
                    <w:right w:val="single" w:color="auto" w:sz="4" w:space="0"/>
                    <w:tl2br w:val="nil"/>
                    <w:tr2bl w:val="nil"/>
                  </w:tcBorders>
                  <w:vAlign w:val="center"/>
                </w:tcPr>
                <w:p w14:paraId="325D6612">
                  <w:pPr>
                    <w:spacing w:line="240" w:lineRule="auto"/>
                    <w:ind w:firstLine="0" w:firstLineChars="0"/>
                    <w:jc w:val="center"/>
                    <w:rPr>
                      <w:rFonts w:hint="default"/>
                      <w:color w:val="auto"/>
                    </w:rPr>
                  </w:pPr>
                  <w:r>
                    <w:rPr>
                      <w:rFonts w:hint="default"/>
                      <w:color w:val="auto"/>
                    </w:rPr>
                    <w:t>2</w:t>
                  </w:r>
                </w:p>
              </w:tc>
              <w:tc>
                <w:tcPr>
                  <w:tcW w:w="2656" w:type="dxa"/>
                  <w:tcBorders>
                    <w:top w:val="single" w:color="auto" w:sz="4" w:space="0"/>
                    <w:left w:val="single" w:color="auto" w:sz="4" w:space="0"/>
                    <w:bottom w:val="single" w:color="auto" w:sz="4" w:space="0"/>
                    <w:right w:val="single" w:color="auto" w:sz="4" w:space="0"/>
                    <w:tl2br w:val="nil"/>
                    <w:tr2bl w:val="nil"/>
                  </w:tcBorders>
                  <w:vAlign w:val="center"/>
                </w:tcPr>
                <w:p w14:paraId="4DC2CB22">
                  <w:pPr>
                    <w:spacing w:line="240" w:lineRule="auto"/>
                    <w:ind w:firstLine="0" w:firstLineChars="0"/>
                    <w:jc w:val="center"/>
                    <w:rPr>
                      <w:rFonts w:hint="default"/>
                      <w:color w:val="auto"/>
                    </w:rPr>
                  </w:pPr>
                  <w:r>
                    <w:rPr>
                      <w:rFonts w:hint="default" w:eastAsia="宋体"/>
                      <w:color w:val="auto"/>
                    </w:rPr>
                    <w:t>应急组织机构、人员</w:t>
                  </w:r>
                </w:p>
              </w:tc>
              <w:tc>
                <w:tcPr>
                  <w:tcW w:w="4583" w:type="dxa"/>
                  <w:tcBorders>
                    <w:top w:val="single" w:color="auto" w:sz="4" w:space="0"/>
                    <w:left w:val="single" w:color="auto" w:sz="4" w:space="0"/>
                    <w:bottom w:val="single" w:color="auto" w:sz="4" w:space="0"/>
                    <w:right w:val="single" w:color="auto" w:sz="4" w:space="0"/>
                    <w:tl2br w:val="nil"/>
                    <w:tr2bl w:val="nil"/>
                  </w:tcBorders>
                  <w:vAlign w:val="center"/>
                </w:tcPr>
                <w:p w14:paraId="7863210D">
                  <w:pPr>
                    <w:spacing w:line="240" w:lineRule="auto"/>
                    <w:ind w:firstLine="0" w:firstLineChars="0"/>
                    <w:jc w:val="center"/>
                    <w:rPr>
                      <w:rFonts w:hint="default"/>
                      <w:color w:val="auto"/>
                    </w:rPr>
                  </w:pPr>
                  <w:r>
                    <w:rPr>
                      <w:rFonts w:hint="default" w:eastAsia="宋体"/>
                      <w:color w:val="auto"/>
                    </w:rPr>
                    <w:t>公司应急组织领导小组</w:t>
                  </w:r>
                </w:p>
              </w:tc>
            </w:tr>
            <w:tr w14:paraId="3BBD2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0" w:type="dxa"/>
                  <w:tcBorders>
                    <w:top w:val="single" w:color="auto" w:sz="4" w:space="0"/>
                    <w:left w:val="single" w:color="auto" w:sz="4" w:space="0"/>
                    <w:bottom w:val="single" w:color="auto" w:sz="4" w:space="0"/>
                    <w:right w:val="single" w:color="auto" w:sz="4" w:space="0"/>
                    <w:tl2br w:val="nil"/>
                    <w:tr2bl w:val="nil"/>
                  </w:tcBorders>
                  <w:vAlign w:val="center"/>
                </w:tcPr>
                <w:p w14:paraId="1FD9A295">
                  <w:pPr>
                    <w:spacing w:line="240" w:lineRule="auto"/>
                    <w:ind w:firstLine="0" w:firstLineChars="0"/>
                    <w:jc w:val="center"/>
                    <w:rPr>
                      <w:rFonts w:hint="default"/>
                      <w:color w:val="auto"/>
                    </w:rPr>
                  </w:pPr>
                  <w:r>
                    <w:rPr>
                      <w:rFonts w:hint="default"/>
                      <w:color w:val="auto"/>
                    </w:rPr>
                    <w:t>3</w:t>
                  </w:r>
                </w:p>
              </w:tc>
              <w:tc>
                <w:tcPr>
                  <w:tcW w:w="2656" w:type="dxa"/>
                  <w:tcBorders>
                    <w:top w:val="single" w:color="auto" w:sz="4" w:space="0"/>
                    <w:left w:val="single" w:color="auto" w:sz="4" w:space="0"/>
                    <w:bottom w:val="single" w:color="auto" w:sz="4" w:space="0"/>
                    <w:right w:val="single" w:color="auto" w:sz="4" w:space="0"/>
                    <w:tl2br w:val="nil"/>
                    <w:tr2bl w:val="nil"/>
                  </w:tcBorders>
                  <w:vAlign w:val="center"/>
                </w:tcPr>
                <w:p w14:paraId="46749AD1">
                  <w:pPr>
                    <w:spacing w:line="240" w:lineRule="auto"/>
                    <w:ind w:firstLine="0" w:firstLineChars="0"/>
                    <w:jc w:val="center"/>
                    <w:rPr>
                      <w:rFonts w:hint="default"/>
                      <w:color w:val="auto"/>
                    </w:rPr>
                  </w:pPr>
                  <w:r>
                    <w:rPr>
                      <w:rFonts w:hint="default" w:eastAsia="宋体"/>
                      <w:color w:val="auto"/>
                    </w:rPr>
                    <w:t>预案分级响应条件</w:t>
                  </w:r>
                </w:p>
              </w:tc>
              <w:tc>
                <w:tcPr>
                  <w:tcW w:w="4583" w:type="dxa"/>
                  <w:tcBorders>
                    <w:top w:val="single" w:color="auto" w:sz="4" w:space="0"/>
                    <w:left w:val="single" w:color="auto" w:sz="4" w:space="0"/>
                    <w:bottom w:val="single" w:color="auto" w:sz="4" w:space="0"/>
                    <w:right w:val="single" w:color="auto" w:sz="4" w:space="0"/>
                    <w:tl2br w:val="nil"/>
                    <w:tr2bl w:val="nil"/>
                  </w:tcBorders>
                  <w:vAlign w:val="center"/>
                </w:tcPr>
                <w:p w14:paraId="4BACE2B5">
                  <w:pPr>
                    <w:spacing w:line="240" w:lineRule="auto"/>
                    <w:ind w:firstLine="0" w:firstLineChars="0"/>
                    <w:jc w:val="center"/>
                    <w:rPr>
                      <w:rFonts w:hint="default"/>
                      <w:color w:val="auto"/>
                    </w:rPr>
                  </w:pPr>
                  <w:r>
                    <w:rPr>
                      <w:rFonts w:hint="default" w:eastAsia="宋体"/>
                      <w:color w:val="auto"/>
                    </w:rPr>
                    <w:t>规定预案的级别及分级响应程序</w:t>
                  </w:r>
                </w:p>
              </w:tc>
            </w:tr>
            <w:tr w14:paraId="0C2DA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0" w:type="dxa"/>
                  <w:tcBorders>
                    <w:top w:val="single" w:color="auto" w:sz="4" w:space="0"/>
                    <w:left w:val="single" w:color="auto" w:sz="4" w:space="0"/>
                    <w:bottom w:val="single" w:color="auto" w:sz="4" w:space="0"/>
                    <w:right w:val="single" w:color="auto" w:sz="4" w:space="0"/>
                    <w:tl2br w:val="nil"/>
                    <w:tr2bl w:val="nil"/>
                  </w:tcBorders>
                  <w:vAlign w:val="center"/>
                </w:tcPr>
                <w:p w14:paraId="18F38B60">
                  <w:pPr>
                    <w:spacing w:line="240" w:lineRule="auto"/>
                    <w:ind w:firstLine="0" w:firstLineChars="0"/>
                    <w:jc w:val="center"/>
                    <w:rPr>
                      <w:rFonts w:hint="default"/>
                      <w:color w:val="auto"/>
                    </w:rPr>
                  </w:pPr>
                  <w:r>
                    <w:rPr>
                      <w:rFonts w:hint="default"/>
                      <w:color w:val="auto"/>
                    </w:rPr>
                    <w:t>4</w:t>
                  </w:r>
                </w:p>
              </w:tc>
              <w:tc>
                <w:tcPr>
                  <w:tcW w:w="2656" w:type="dxa"/>
                  <w:tcBorders>
                    <w:top w:val="single" w:color="auto" w:sz="4" w:space="0"/>
                    <w:left w:val="single" w:color="auto" w:sz="4" w:space="0"/>
                    <w:bottom w:val="single" w:color="auto" w:sz="4" w:space="0"/>
                    <w:right w:val="single" w:color="auto" w:sz="4" w:space="0"/>
                    <w:tl2br w:val="nil"/>
                    <w:tr2bl w:val="nil"/>
                  </w:tcBorders>
                  <w:vAlign w:val="center"/>
                </w:tcPr>
                <w:p w14:paraId="2AEC47B4">
                  <w:pPr>
                    <w:spacing w:line="240" w:lineRule="auto"/>
                    <w:ind w:firstLine="0" w:firstLineChars="0"/>
                    <w:jc w:val="center"/>
                    <w:rPr>
                      <w:rFonts w:hint="default"/>
                      <w:color w:val="auto"/>
                    </w:rPr>
                  </w:pPr>
                  <w:r>
                    <w:rPr>
                      <w:rFonts w:hint="default" w:eastAsia="宋体"/>
                      <w:color w:val="auto"/>
                    </w:rPr>
                    <w:t>应急救援保障</w:t>
                  </w:r>
                </w:p>
              </w:tc>
              <w:tc>
                <w:tcPr>
                  <w:tcW w:w="4583" w:type="dxa"/>
                  <w:tcBorders>
                    <w:top w:val="single" w:color="auto" w:sz="4" w:space="0"/>
                    <w:left w:val="single" w:color="auto" w:sz="4" w:space="0"/>
                    <w:bottom w:val="single" w:color="auto" w:sz="4" w:space="0"/>
                    <w:right w:val="single" w:color="auto" w:sz="4" w:space="0"/>
                    <w:tl2br w:val="nil"/>
                    <w:tr2bl w:val="nil"/>
                  </w:tcBorders>
                  <w:vAlign w:val="center"/>
                </w:tcPr>
                <w:p w14:paraId="78E29C1A">
                  <w:pPr>
                    <w:spacing w:line="240" w:lineRule="auto"/>
                    <w:ind w:firstLine="0" w:firstLineChars="0"/>
                    <w:jc w:val="center"/>
                    <w:rPr>
                      <w:rFonts w:hint="default"/>
                      <w:color w:val="auto"/>
                    </w:rPr>
                  </w:pPr>
                  <w:r>
                    <w:rPr>
                      <w:rFonts w:hint="default" w:eastAsia="宋体"/>
                      <w:color w:val="auto"/>
                    </w:rPr>
                    <w:t>应急设施，设备与器材等</w:t>
                  </w:r>
                </w:p>
              </w:tc>
            </w:tr>
            <w:tr w14:paraId="1A276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780" w:type="dxa"/>
                  <w:tcBorders>
                    <w:top w:val="single" w:color="auto" w:sz="4" w:space="0"/>
                    <w:left w:val="single" w:color="auto" w:sz="4" w:space="0"/>
                    <w:bottom w:val="single" w:color="auto" w:sz="4" w:space="0"/>
                    <w:right w:val="single" w:color="auto" w:sz="4" w:space="0"/>
                    <w:tl2br w:val="nil"/>
                    <w:tr2bl w:val="nil"/>
                  </w:tcBorders>
                  <w:vAlign w:val="center"/>
                </w:tcPr>
                <w:p w14:paraId="0BF4BB09">
                  <w:pPr>
                    <w:spacing w:line="240" w:lineRule="auto"/>
                    <w:ind w:firstLine="0" w:firstLineChars="0"/>
                    <w:jc w:val="center"/>
                    <w:rPr>
                      <w:rFonts w:hint="default"/>
                      <w:color w:val="auto"/>
                    </w:rPr>
                  </w:pPr>
                  <w:r>
                    <w:rPr>
                      <w:rFonts w:hint="default"/>
                      <w:color w:val="auto"/>
                    </w:rPr>
                    <w:t>5</w:t>
                  </w:r>
                </w:p>
              </w:tc>
              <w:tc>
                <w:tcPr>
                  <w:tcW w:w="2656" w:type="dxa"/>
                  <w:tcBorders>
                    <w:top w:val="single" w:color="auto" w:sz="4" w:space="0"/>
                    <w:left w:val="single" w:color="auto" w:sz="4" w:space="0"/>
                    <w:bottom w:val="single" w:color="auto" w:sz="4" w:space="0"/>
                    <w:right w:val="single" w:color="auto" w:sz="4" w:space="0"/>
                    <w:tl2br w:val="nil"/>
                    <w:tr2bl w:val="nil"/>
                  </w:tcBorders>
                  <w:vAlign w:val="center"/>
                </w:tcPr>
                <w:p w14:paraId="1BCB314F">
                  <w:pPr>
                    <w:spacing w:line="240" w:lineRule="auto"/>
                    <w:ind w:firstLine="0" w:firstLineChars="0"/>
                    <w:jc w:val="center"/>
                    <w:rPr>
                      <w:rFonts w:hint="default"/>
                      <w:color w:val="auto"/>
                    </w:rPr>
                  </w:pPr>
                  <w:r>
                    <w:rPr>
                      <w:rFonts w:hint="default" w:eastAsia="宋体"/>
                      <w:color w:val="auto"/>
                    </w:rPr>
                    <w:t>报警、通信联络方式</w:t>
                  </w:r>
                </w:p>
              </w:tc>
              <w:tc>
                <w:tcPr>
                  <w:tcW w:w="4583" w:type="dxa"/>
                  <w:tcBorders>
                    <w:top w:val="single" w:color="auto" w:sz="4" w:space="0"/>
                    <w:left w:val="single" w:color="auto" w:sz="4" w:space="0"/>
                    <w:bottom w:val="single" w:color="auto" w:sz="4" w:space="0"/>
                    <w:right w:val="single" w:color="auto" w:sz="4" w:space="0"/>
                    <w:tl2br w:val="nil"/>
                    <w:tr2bl w:val="nil"/>
                  </w:tcBorders>
                  <w:vAlign w:val="center"/>
                </w:tcPr>
                <w:p w14:paraId="2DA02455">
                  <w:pPr>
                    <w:spacing w:line="240" w:lineRule="auto"/>
                    <w:ind w:firstLine="0" w:firstLineChars="0"/>
                    <w:jc w:val="center"/>
                    <w:rPr>
                      <w:rFonts w:hint="default"/>
                      <w:color w:val="auto"/>
                    </w:rPr>
                  </w:pPr>
                  <w:r>
                    <w:rPr>
                      <w:rFonts w:hint="default" w:eastAsia="宋体"/>
                      <w:color w:val="auto"/>
                    </w:rPr>
                    <w:t>规定应急状态下的报警通信方式、通知方式和交通保障、管制</w:t>
                  </w:r>
                </w:p>
              </w:tc>
            </w:tr>
            <w:tr w14:paraId="63F2C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0" w:type="dxa"/>
                  <w:tcBorders>
                    <w:top w:val="single" w:color="auto" w:sz="4" w:space="0"/>
                    <w:left w:val="single" w:color="auto" w:sz="4" w:space="0"/>
                    <w:bottom w:val="single" w:color="auto" w:sz="4" w:space="0"/>
                    <w:right w:val="single" w:color="auto" w:sz="4" w:space="0"/>
                    <w:tl2br w:val="nil"/>
                    <w:tr2bl w:val="nil"/>
                  </w:tcBorders>
                  <w:vAlign w:val="center"/>
                </w:tcPr>
                <w:p w14:paraId="7D314B4C">
                  <w:pPr>
                    <w:spacing w:line="240" w:lineRule="auto"/>
                    <w:ind w:firstLine="0" w:firstLineChars="0"/>
                    <w:jc w:val="center"/>
                    <w:rPr>
                      <w:rFonts w:hint="default"/>
                      <w:color w:val="auto"/>
                    </w:rPr>
                  </w:pPr>
                  <w:r>
                    <w:rPr>
                      <w:rFonts w:hint="default"/>
                      <w:color w:val="auto"/>
                    </w:rPr>
                    <w:t>6</w:t>
                  </w:r>
                </w:p>
              </w:tc>
              <w:tc>
                <w:tcPr>
                  <w:tcW w:w="2656" w:type="dxa"/>
                  <w:tcBorders>
                    <w:top w:val="single" w:color="auto" w:sz="4" w:space="0"/>
                    <w:left w:val="single" w:color="auto" w:sz="4" w:space="0"/>
                    <w:bottom w:val="single" w:color="auto" w:sz="4" w:space="0"/>
                    <w:right w:val="single" w:color="auto" w:sz="4" w:space="0"/>
                    <w:tl2br w:val="nil"/>
                    <w:tr2bl w:val="nil"/>
                  </w:tcBorders>
                  <w:vAlign w:val="center"/>
                </w:tcPr>
                <w:p w14:paraId="246FA50C">
                  <w:pPr>
                    <w:spacing w:line="240" w:lineRule="auto"/>
                    <w:ind w:firstLine="0" w:firstLineChars="0"/>
                    <w:jc w:val="center"/>
                    <w:rPr>
                      <w:rFonts w:hint="default"/>
                      <w:color w:val="auto"/>
                    </w:rPr>
                  </w:pPr>
                  <w:r>
                    <w:rPr>
                      <w:rFonts w:hint="default" w:eastAsia="宋体"/>
                      <w:color w:val="auto"/>
                    </w:rPr>
                    <w:t>应急环境监测、抢险、救援及控制措施</w:t>
                  </w:r>
                </w:p>
              </w:tc>
              <w:tc>
                <w:tcPr>
                  <w:tcW w:w="4583" w:type="dxa"/>
                  <w:tcBorders>
                    <w:top w:val="single" w:color="auto" w:sz="4" w:space="0"/>
                    <w:left w:val="single" w:color="auto" w:sz="4" w:space="0"/>
                    <w:bottom w:val="single" w:color="auto" w:sz="4" w:space="0"/>
                    <w:right w:val="single" w:color="auto" w:sz="4" w:space="0"/>
                    <w:tl2br w:val="nil"/>
                    <w:tr2bl w:val="nil"/>
                  </w:tcBorders>
                  <w:vAlign w:val="center"/>
                </w:tcPr>
                <w:p w14:paraId="21F7A8EF">
                  <w:pPr>
                    <w:spacing w:line="240" w:lineRule="auto"/>
                    <w:ind w:firstLine="0" w:firstLineChars="0"/>
                    <w:jc w:val="center"/>
                    <w:rPr>
                      <w:rFonts w:hint="default"/>
                      <w:color w:val="auto"/>
                    </w:rPr>
                  </w:pPr>
                  <w:r>
                    <w:rPr>
                      <w:rFonts w:hint="default" w:eastAsia="宋体"/>
                      <w:color w:val="auto"/>
                    </w:rPr>
                    <w:t>有专业队伍负责对事故现场进行侦查监测，对事故现场进行侦查监测，对事故性质、参数与后果进行评估，为指挥部门提供决策依据</w:t>
                  </w:r>
                </w:p>
              </w:tc>
            </w:tr>
            <w:tr w14:paraId="15BFF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780" w:type="dxa"/>
                  <w:tcBorders>
                    <w:top w:val="single" w:color="auto" w:sz="4" w:space="0"/>
                    <w:left w:val="single" w:color="auto" w:sz="4" w:space="0"/>
                    <w:bottom w:val="single" w:color="auto" w:sz="4" w:space="0"/>
                    <w:right w:val="single" w:color="auto" w:sz="4" w:space="0"/>
                    <w:tl2br w:val="nil"/>
                    <w:tr2bl w:val="nil"/>
                  </w:tcBorders>
                  <w:vAlign w:val="center"/>
                </w:tcPr>
                <w:p w14:paraId="5BC636B9">
                  <w:pPr>
                    <w:spacing w:line="240" w:lineRule="auto"/>
                    <w:ind w:firstLine="0" w:firstLineChars="0"/>
                    <w:jc w:val="center"/>
                    <w:rPr>
                      <w:rFonts w:hint="default"/>
                      <w:color w:val="auto"/>
                    </w:rPr>
                  </w:pPr>
                  <w:r>
                    <w:rPr>
                      <w:rFonts w:hint="default"/>
                      <w:color w:val="auto"/>
                    </w:rPr>
                    <w:t>7</w:t>
                  </w:r>
                </w:p>
              </w:tc>
              <w:tc>
                <w:tcPr>
                  <w:tcW w:w="2656" w:type="dxa"/>
                  <w:tcBorders>
                    <w:top w:val="single" w:color="auto" w:sz="4" w:space="0"/>
                    <w:left w:val="single" w:color="auto" w:sz="4" w:space="0"/>
                    <w:bottom w:val="single" w:color="auto" w:sz="4" w:space="0"/>
                    <w:right w:val="single" w:color="auto" w:sz="4" w:space="0"/>
                    <w:tl2br w:val="nil"/>
                    <w:tr2bl w:val="nil"/>
                  </w:tcBorders>
                  <w:vAlign w:val="center"/>
                </w:tcPr>
                <w:p w14:paraId="2C6D630B">
                  <w:pPr>
                    <w:spacing w:line="240" w:lineRule="auto"/>
                    <w:ind w:firstLine="0" w:firstLineChars="0"/>
                    <w:jc w:val="center"/>
                    <w:rPr>
                      <w:rFonts w:hint="default"/>
                      <w:color w:val="auto"/>
                    </w:rPr>
                  </w:pPr>
                  <w:r>
                    <w:rPr>
                      <w:rFonts w:hint="default" w:eastAsia="宋体"/>
                      <w:color w:val="auto"/>
                    </w:rPr>
                    <w:t>应急检测、防护措施、清除泄漏措施和器材</w:t>
                  </w:r>
                </w:p>
              </w:tc>
              <w:tc>
                <w:tcPr>
                  <w:tcW w:w="4583" w:type="dxa"/>
                  <w:tcBorders>
                    <w:top w:val="single" w:color="auto" w:sz="4" w:space="0"/>
                    <w:left w:val="single" w:color="auto" w:sz="4" w:space="0"/>
                    <w:bottom w:val="single" w:color="auto" w:sz="4" w:space="0"/>
                    <w:right w:val="single" w:color="auto" w:sz="4" w:space="0"/>
                    <w:tl2br w:val="nil"/>
                    <w:tr2bl w:val="nil"/>
                  </w:tcBorders>
                  <w:vAlign w:val="center"/>
                </w:tcPr>
                <w:p w14:paraId="531A3FC9">
                  <w:pPr>
                    <w:spacing w:line="240" w:lineRule="auto"/>
                    <w:ind w:firstLine="0" w:firstLineChars="0"/>
                    <w:jc w:val="center"/>
                    <w:rPr>
                      <w:rFonts w:hint="default"/>
                      <w:color w:val="auto"/>
                    </w:rPr>
                  </w:pPr>
                  <w:r>
                    <w:rPr>
                      <w:rFonts w:hint="default" w:eastAsia="宋体"/>
                      <w:color w:val="auto"/>
                    </w:rPr>
                    <w:t>事故现场、邻近区域、控制防火区域，控制和清除污染措施及相应设备</w:t>
                  </w:r>
                </w:p>
              </w:tc>
            </w:tr>
            <w:tr w14:paraId="26EB8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780" w:type="dxa"/>
                  <w:tcBorders>
                    <w:top w:val="single" w:color="auto" w:sz="4" w:space="0"/>
                    <w:left w:val="single" w:color="auto" w:sz="4" w:space="0"/>
                    <w:bottom w:val="single" w:color="auto" w:sz="4" w:space="0"/>
                    <w:right w:val="single" w:color="auto" w:sz="4" w:space="0"/>
                    <w:tl2br w:val="nil"/>
                    <w:tr2bl w:val="nil"/>
                  </w:tcBorders>
                  <w:vAlign w:val="center"/>
                </w:tcPr>
                <w:p w14:paraId="6C072B10">
                  <w:pPr>
                    <w:spacing w:line="240" w:lineRule="auto"/>
                    <w:ind w:firstLine="0" w:firstLineChars="0"/>
                    <w:jc w:val="center"/>
                    <w:rPr>
                      <w:rFonts w:hint="default"/>
                      <w:color w:val="auto"/>
                    </w:rPr>
                  </w:pPr>
                  <w:r>
                    <w:rPr>
                      <w:rFonts w:hint="default"/>
                      <w:color w:val="auto"/>
                    </w:rPr>
                    <w:t>8</w:t>
                  </w:r>
                </w:p>
              </w:tc>
              <w:tc>
                <w:tcPr>
                  <w:tcW w:w="2656" w:type="dxa"/>
                  <w:tcBorders>
                    <w:top w:val="single" w:color="auto" w:sz="4" w:space="0"/>
                    <w:left w:val="single" w:color="auto" w:sz="4" w:space="0"/>
                    <w:bottom w:val="single" w:color="auto" w:sz="4" w:space="0"/>
                    <w:right w:val="single" w:color="auto" w:sz="4" w:space="0"/>
                    <w:tl2br w:val="nil"/>
                    <w:tr2bl w:val="nil"/>
                  </w:tcBorders>
                  <w:vAlign w:val="center"/>
                </w:tcPr>
                <w:p w14:paraId="4B0FAB93">
                  <w:pPr>
                    <w:spacing w:line="240" w:lineRule="auto"/>
                    <w:ind w:firstLine="0" w:firstLineChars="0"/>
                    <w:jc w:val="center"/>
                    <w:rPr>
                      <w:rFonts w:hint="default"/>
                      <w:color w:val="auto"/>
                    </w:rPr>
                  </w:pPr>
                  <w:r>
                    <w:rPr>
                      <w:rFonts w:hint="default" w:eastAsia="宋体"/>
                      <w:color w:val="auto"/>
                    </w:rPr>
                    <w:t>人员紧急撤离、疏散，应急剂量控制、撤离组织计划</w:t>
                  </w:r>
                </w:p>
              </w:tc>
              <w:tc>
                <w:tcPr>
                  <w:tcW w:w="4583" w:type="dxa"/>
                  <w:tcBorders>
                    <w:top w:val="single" w:color="auto" w:sz="4" w:space="0"/>
                    <w:left w:val="single" w:color="auto" w:sz="4" w:space="0"/>
                    <w:bottom w:val="single" w:color="auto" w:sz="4" w:space="0"/>
                    <w:right w:val="single" w:color="auto" w:sz="4" w:space="0"/>
                    <w:tl2br w:val="nil"/>
                    <w:tr2bl w:val="nil"/>
                  </w:tcBorders>
                  <w:vAlign w:val="center"/>
                </w:tcPr>
                <w:p w14:paraId="16248D0E">
                  <w:pPr>
                    <w:spacing w:line="240" w:lineRule="auto"/>
                    <w:ind w:firstLine="0" w:firstLineChars="0"/>
                    <w:jc w:val="center"/>
                    <w:rPr>
                      <w:rFonts w:hint="default"/>
                      <w:color w:val="auto"/>
                    </w:rPr>
                  </w:pPr>
                  <w:r>
                    <w:rPr>
                      <w:rFonts w:hint="default" w:eastAsia="宋体"/>
                      <w:color w:val="auto"/>
                    </w:rPr>
                    <w:t>事故现场、厂区</w:t>
                  </w:r>
                  <w:r>
                    <w:rPr>
                      <w:rFonts w:eastAsia="宋体"/>
                      <w:color w:val="auto"/>
                    </w:rPr>
                    <w:t>邻近</w:t>
                  </w:r>
                  <w:r>
                    <w:rPr>
                      <w:rFonts w:hint="eastAsia" w:eastAsia="宋体"/>
                      <w:color w:val="auto"/>
                      <w:lang w:eastAsia="zh-CN"/>
                    </w:rPr>
                    <w:t>区域</w:t>
                  </w:r>
                  <w:r>
                    <w:rPr>
                      <w:rFonts w:hint="default" w:eastAsia="宋体"/>
                      <w:color w:val="auto"/>
                    </w:rPr>
                    <w:t>、受事故影响的区域人员及公众对有害物应急剂量控制规定，撤离组织计划及救护，医疗救护与公众健康</w:t>
                  </w:r>
                </w:p>
              </w:tc>
            </w:tr>
            <w:tr w14:paraId="36CDB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780" w:type="dxa"/>
                  <w:tcBorders>
                    <w:top w:val="single" w:color="auto" w:sz="4" w:space="0"/>
                    <w:left w:val="single" w:color="auto" w:sz="4" w:space="0"/>
                    <w:bottom w:val="single" w:color="auto" w:sz="4" w:space="0"/>
                    <w:right w:val="single" w:color="auto" w:sz="4" w:space="0"/>
                    <w:tl2br w:val="nil"/>
                    <w:tr2bl w:val="nil"/>
                  </w:tcBorders>
                  <w:vAlign w:val="center"/>
                </w:tcPr>
                <w:p w14:paraId="34A31DC1">
                  <w:pPr>
                    <w:spacing w:line="240" w:lineRule="auto"/>
                    <w:ind w:firstLine="0" w:firstLineChars="0"/>
                    <w:jc w:val="center"/>
                    <w:rPr>
                      <w:rFonts w:hint="default"/>
                      <w:color w:val="auto"/>
                    </w:rPr>
                  </w:pPr>
                  <w:r>
                    <w:rPr>
                      <w:rFonts w:hint="default"/>
                      <w:color w:val="auto"/>
                    </w:rPr>
                    <w:t>9</w:t>
                  </w:r>
                </w:p>
              </w:tc>
              <w:tc>
                <w:tcPr>
                  <w:tcW w:w="2656" w:type="dxa"/>
                  <w:tcBorders>
                    <w:top w:val="single" w:color="auto" w:sz="4" w:space="0"/>
                    <w:left w:val="single" w:color="auto" w:sz="4" w:space="0"/>
                    <w:bottom w:val="single" w:color="auto" w:sz="4" w:space="0"/>
                    <w:right w:val="single" w:color="auto" w:sz="4" w:space="0"/>
                    <w:tl2br w:val="nil"/>
                    <w:tr2bl w:val="nil"/>
                  </w:tcBorders>
                  <w:vAlign w:val="center"/>
                </w:tcPr>
                <w:p w14:paraId="76FDD789">
                  <w:pPr>
                    <w:spacing w:line="240" w:lineRule="auto"/>
                    <w:ind w:firstLine="0" w:firstLineChars="0"/>
                    <w:jc w:val="center"/>
                    <w:rPr>
                      <w:rFonts w:hint="default"/>
                      <w:color w:val="auto"/>
                    </w:rPr>
                  </w:pPr>
                  <w:r>
                    <w:rPr>
                      <w:rFonts w:hint="default" w:eastAsia="宋体"/>
                      <w:color w:val="auto"/>
                    </w:rPr>
                    <w:t>事故应急救援关闭程序与恢复措施</w:t>
                  </w:r>
                </w:p>
              </w:tc>
              <w:tc>
                <w:tcPr>
                  <w:tcW w:w="4583" w:type="dxa"/>
                  <w:tcBorders>
                    <w:top w:val="single" w:color="auto" w:sz="4" w:space="0"/>
                    <w:left w:val="single" w:color="auto" w:sz="4" w:space="0"/>
                    <w:bottom w:val="single" w:color="auto" w:sz="4" w:space="0"/>
                    <w:right w:val="single" w:color="auto" w:sz="4" w:space="0"/>
                    <w:tl2br w:val="nil"/>
                    <w:tr2bl w:val="nil"/>
                  </w:tcBorders>
                  <w:vAlign w:val="center"/>
                </w:tcPr>
                <w:p w14:paraId="4DA02CEC">
                  <w:pPr>
                    <w:spacing w:line="240" w:lineRule="auto"/>
                    <w:ind w:firstLine="0" w:firstLineChars="0"/>
                    <w:jc w:val="center"/>
                    <w:rPr>
                      <w:rFonts w:hint="default"/>
                      <w:color w:val="auto"/>
                    </w:rPr>
                  </w:pPr>
                  <w:r>
                    <w:rPr>
                      <w:rFonts w:hint="default" w:eastAsia="宋体"/>
                      <w:color w:val="auto"/>
                    </w:rPr>
                    <w:t>规定应急状态终止程序，事故现场善后处理，恢复措施，</w:t>
                  </w:r>
                  <w:r>
                    <w:rPr>
                      <w:rFonts w:hint="eastAsia" w:eastAsia="宋体"/>
                      <w:color w:val="auto"/>
                      <w:lang w:eastAsia="zh-CN"/>
                    </w:rPr>
                    <w:t>邻近</w:t>
                  </w:r>
                  <w:r>
                    <w:rPr>
                      <w:rFonts w:hint="default" w:eastAsia="宋体"/>
                      <w:color w:val="auto"/>
                    </w:rPr>
                    <w:t>区域解除事故警戒及善后恢复措施</w:t>
                  </w:r>
                </w:p>
              </w:tc>
            </w:tr>
            <w:tr w14:paraId="461F3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780" w:type="dxa"/>
                  <w:tcBorders>
                    <w:top w:val="single" w:color="auto" w:sz="4" w:space="0"/>
                    <w:left w:val="single" w:color="auto" w:sz="4" w:space="0"/>
                    <w:bottom w:val="single" w:color="auto" w:sz="4" w:space="0"/>
                    <w:right w:val="single" w:color="auto" w:sz="4" w:space="0"/>
                    <w:tl2br w:val="nil"/>
                    <w:tr2bl w:val="nil"/>
                  </w:tcBorders>
                  <w:vAlign w:val="center"/>
                </w:tcPr>
                <w:p w14:paraId="4DFC1B5D">
                  <w:pPr>
                    <w:spacing w:line="240" w:lineRule="auto"/>
                    <w:ind w:firstLine="0" w:firstLineChars="0"/>
                    <w:jc w:val="center"/>
                    <w:rPr>
                      <w:rFonts w:hint="default"/>
                      <w:color w:val="auto"/>
                    </w:rPr>
                  </w:pPr>
                  <w:r>
                    <w:rPr>
                      <w:rFonts w:hint="default"/>
                      <w:color w:val="auto"/>
                    </w:rPr>
                    <w:t>10</w:t>
                  </w:r>
                </w:p>
              </w:tc>
              <w:tc>
                <w:tcPr>
                  <w:tcW w:w="2656" w:type="dxa"/>
                  <w:tcBorders>
                    <w:top w:val="single" w:color="auto" w:sz="4" w:space="0"/>
                    <w:left w:val="single" w:color="auto" w:sz="4" w:space="0"/>
                    <w:bottom w:val="single" w:color="auto" w:sz="4" w:space="0"/>
                    <w:right w:val="single" w:color="auto" w:sz="4" w:space="0"/>
                    <w:tl2br w:val="nil"/>
                    <w:tr2bl w:val="nil"/>
                  </w:tcBorders>
                  <w:vAlign w:val="center"/>
                </w:tcPr>
                <w:p w14:paraId="7D297283">
                  <w:pPr>
                    <w:spacing w:line="240" w:lineRule="auto"/>
                    <w:ind w:firstLine="0" w:firstLineChars="0"/>
                    <w:jc w:val="center"/>
                    <w:rPr>
                      <w:rFonts w:hint="default"/>
                      <w:color w:val="auto"/>
                    </w:rPr>
                  </w:pPr>
                  <w:r>
                    <w:rPr>
                      <w:rFonts w:hint="default" w:eastAsia="宋体"/>
                      <w:color w:val="auto"/>
                    </w:rPr>
                    <w:t>应急培训计划</w:t>
                  </w:r>
                </w:p>
              </w:tc>
              <w:tc>
                <w:tcPr>
                  <w:tcW w:w="4583" w:type="dxa"/>
                  <w:tcBorders>
                    <w:top w:val="single" w:color="auto" w:sz="4" w:space="0"/>
                    <w:left w:val="single" w:color="auto" w:sz="4" w:space="0"/>
                    <w:bottom w:val="single" w:color="auto" w:sz="4" w:space="0"/>
                    <w:right w:val="single" w:color="auto" w:sz="4" w:space="0"/>
                    <w:tl2br w:val="nil"/>
                    <w:tr2bl w:val="nil"/>
                  </w:tcBorders>
                  <w:vAlign w:val="center"/>
                </w:tcPr>
                <w:p w14:paraId="458D9E67">
                  <w:pPr>
                    <w:spacing w:line="240" w:lineRule="auto"/>
                    <w:ind w:firstLine="0" w:firstLineChars="0"/>
                    <w:jc w:val="center"/>
                    <w:rPr>
                      <w:rFonts w:hint="default"/>
                      <w:color w:val="auto"/>
                    </w:rPr>
                  </w:pPr>
                  <w:r>
                    <w:rPr>
                      <w:rFonts w:hint="default" w:eastAsia="宋体"/>
                      <w:color w:val="auto"/>
                    </w:rPr>
                    <w:t>应急计划制定后，平时安排人员培训与演练</w:t>
                  </w:r>
                </w:p>
              </w:tc>
            </w:tr>
            <w:tr w14:paraId="66E41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0" w:type="dxa"/>
                  <w:tcBorders>
                    <w:top w:val="single" w:color="auto" w:sz="4" w:space="0"/>
                    <w:left w:val="single" w:color="auto" w:sz="4" w:space="0"/>
                    <w:bottom w:val="single" w:color="auto" w:sz="4" w:space="0"/>
                    <w:right w:val="single" w:color="auto" w:sz="4" w:space="0"/>
                    <w:tl2br w:val="nil"/>
                    <w:tr2bl w:val="nil"/>
                  </w:tcBorders>
                  <w:vAlign w:val="center"/>
                </w:tcPr>
                <w:p w14:paraId="2B0D9791">
                  <w:pPr>
                    <w:spacing w:line="240" w:lineRule="auto"/>
                    <w:ind w:firstLine="0" w:firstLineChars="0"/>
                    <w:jc w:val="center"/>
                    <w:rPr>
                      <w:rFonts w:hint="default"/>
                      <w:color w:val="auto"/>
                    </w:rPr>
                  </w:pPr>
                  <w:r>
                    <w:rPr>
                      <w:rFonts w:hint="default"/>
                      <w:color w:val="auto"/>
                    </w:rPr>
                    <w:t>11</w:t>
                  </w:r>
                </w:p>
              </w:tc>
              <w:tc>
                <w:tcPr>
                  <w:tcW w:w="2656" w:type="dxa"/>
                  <w:tcBorders>
                    <w:top w:val="single" w:color="auto" w:sz="4" w:space="0"/>
                    <w:left w:val="single" w:color="auto" w:sz="4" w:space="0"/>
                    <w:bottom w:val="single" w:color="auto" w:sz="4" w:space="0"/>
                    <w:right w:val="single" w:color="auto" w:sz="4" w:space="0"/>
                    <w:tl2br w:val="nil"/>
                    <w:tr2bl w:val="nil"/>
                  </w:tcBorders>
                  <w:vAlign w:val="center"/>
                </w:tcPr>
                <w:p w14:paraId="210D8072">
                  <w:pPr>
                    <w:spacing w:line="240" w:lineRule="auto"/>
                    <w:ind w:firstLine="0" w:firstLineChars="0"/>
                    <w:jc w:val="center"/>
                    <w:rPr>
                      <w:rFonts w:hint="default"/>
                      <w:color w:val="auto"/>
                    </w:rPr>
                  </w:pPr>
                  <w:r>
                    <w:rPr>
                      <w:rFonts w:hint="default" w:eastAsia="宋体"/>
                      <w:color w:val="auto"/>
                    </w:rPr>
                    <w:t>公众教育和信息</w:t>
                  </w:r>
                </w:p>
              </w:tc>
              <w:tc>
                <w:tcPr>
                  <w:tcW w:w="4583" w:type="dxa"/>
                  <w:tcBorders>
                    <w:top w:val="single" w:color="auto" w:sz="4" w:space="0"/>
                    <w:left w:val="single" w:color="auto" w:sz="4" w:space="0"/>
                    <w:bottom w:val="single" w:color="auto" w:sz="4" w:space="0"/>
                    <w:right w:val="single" w:color="auto" w:sz="4" w:space="0"/>
                    <w:tl2br w:val="nil"/>
                    <w:tr2bl w:val="nil"/>
                  </w:tcBorders>
                  <w:vAlign w:val="center"/>
                </w:tcPr>
                <w:p w14:paraId="6FA456F1">
                  <w:pPr>
                    <w:spacing w:line="240" w:lineRule="auto"/>
                    <w:ind w:firstLine="0" w:firstLineChars="0"/>
                    <w:jc w:val="center"/>
                    <w:rPr>
                      <w:rFonts w:hint="default"/>
                      <w:color w:val="auto"/>
                    </w:rPr>
                  </w:pPr>
                  <w:r>
                    <w:rPr>
                      <w:rFonts w:hint="default" w:eastAsia="宋体"/>
                      <w:color w:val="auto"/>
                    </w:rPr>
                    <w:t>对厂区邻近地区展开公众教育、培训和发布有关信息</w:t>
                  </w:r>
                </w:p>
              </w:tc>
            </w:tr>
          </w:tbl>
          <w:p w14:paraId="48E9219C">
            <w:pPr>
              <w:ind w:firstLine="480"/>
              <w:rPr>
                <w:rFonts w:hint="default"/>
                <w:color w:val="auto"/>
              </w:rPr>
            </w:pPr>
            <w:r>
              <w:rPr>
                <w:rFonts w:hint="eastAsia" w:eastAsia="宋体"/>
                <w:color w:val="auto"/>
                <w:lang w:val="en-US" w:eastAsia="zh-CN"/>
              </w:rPr>
              <w:t>A.</w:t>
            </w:r>
            <w:r>
              <w:rPr>
                <w:rFonts w:hint="default" w:eastAsia="宋体"/>
                <w:color w:val="auto"/>
              </w:rPr>
              <w:t>建设单位应根据环境污染事故应急预案编制技术指南要求编制应急预案，并经过专家评审，审查合格后实施运行。</w:t>
            </w:r>
          </w:p>
          <w:p w14:paraId="39717DE4">
            <w:pPr>
              <w:ind w:firstLine="480"/>
              <w:rPr>
                <w:rFonts w:hint="default"/>
                <w:color w:val="auto"/>
              </w:rPr>
            </w:pPr>
            <w:r>
              <w:rPr>
                <w:rFonts w:hint="default"/>
                <w:color w:val="auto"/>
              </w:rPr>
              <w:t>B.</w:t>
            </w:r>
            <w:r>
              <w:rPr>
                <w:rFonts w:hint="default" w:eastAsia="宋体"/>
                <w:color w:val="auto"/>
              </w:rPr>
              <w:t>应急物资储备</w:t>
            </w:r>
          </w:p>
          <w:p w14:paraId="00FB6CFD">
            <w:pPr>
              <w:ind w:firstLine="480"/>
              <w:rPr>
                <w:rFonts w:hint="default"/>
                <w:color w:val="auto"/>
              </w:rPr>
            </w:pPr>
            <w:r>
              <w:rPr>
                <w:rFonts w:hint="default" w:eastAsia="宋体"/>
                <w:color w:val="auto"/>
              </w:rPr>
              <w:t>在事故现场、邻近区域、控制防火区域，要有控制和消除污染措施及相应设备。</w:t>
            </w:r>
          </w:p>
          <w:p w14:paraId="522725C4">
            <w:pPr>
              <w:ind w:firstLine="480"/>
              <w:rPr>
                <w:rFonts w:hint="default"/>
                <w:color w:val="auto"/>
              </w:rPr>
            </w:pPr>
            <w:r>
              <w:rPr>
                <w:rFonts w:hint="default"/>
                <w:color w:val="auto"/>
              </w:rPr>
              <w:t>C.</w:t>
            </w:r>
            <w:r>
              <w:rPr>
                <w:rFonts w:hint="default" w:eastAsia="宋体"/>
                <w:color w:val="auto"/>
              </w:rPr>
              <w:t>应急系统</w:t>
            </w:r>
          </w:p>
          <w:p w14:paraId="3093D63D">
            <w:pPr>
              <w:ind w:firstLine="480"/>
              <w:rPr>
                <w:rFonts w:hint="default"/>
                <w:color w:val="auto"/>
              </w:rPr>
            </w:pPr>
            <w:r>
              <w:rPr>
                <w:rFonts w:hint="default" w:eastAsia="宋体"/>
                <w:color w:val="auto"/>
              </w:rPr>
              <w:t>为防范和应对突发性环境污染事故的发生，要求建立既能对污染隐患进行监控和警告，又能对突发性污染事故实施统一指挥协调、现场快速监测和应急处理的应急系统。应急系统由应急响应、应急监测和应急处理系统三部分组成。</w:t>
            </w:r>
          </w:p>
          <w:p w14:paraId="59682552">
            <w:pPr>
              <w:ind w:firstLine="480"/>
              <w:rPr>
                <w:rFonts w:hint="default"/>
                <w:color w:val="auto"/>
              </w:rPr>
            </w:pPr>
            <w:r>
              <w:rPr>
                <w:rFonts w:hint="default"/>
                <w:color w:val="auto"/>
              </w:rPr>
              <w:t>D.</w:t>
            </w:r>
            <w:r>
              <w:rPr>
                <w:rFonts w:hint="default" w:eastAsia="宋体"/>
                <w:color w:val="auto"/>
              </w:rPr>
              <w:t>事故应急响应</w:t>
            </w:r>
          </w:p>
          <w:p w14:paraId="209CF701">
            <w:pPr>
              <w:ind w:firstLine="480"/>
              <w:rPr>
                <w:rFonts w:hint="default"/>
                <w:color w:val="auto"/>
              </w:rPr>
            </w:pPr>
            <w:r>
              <w:rPr>
                <w:rFonts w:hint="default" w:eastAsia="宋体"/>
                <w:color w:val="auto"/>
              </w:rPr>
              <w:t>突发性环境污染事故应急处置，响应速度至关重要，任何人接到污染事故报警，必须马上报告应急办公室。应急组织各环节相互配合，确保响应迅速。</w:t>
            </w:r>
          </w:p>
          <w:p w14:paraId="208F82B0">
            <w:pPr>
              <w:ind w:firstLine="480"/>
              <w:rPr>
                <w:rFonts w:hint="default"/>
                <w:color w:val="auto"/>
              </w:rPr>
            </w:pPr>
            <w:r>
              <w:rPr>
                <w:rFonts w:hint="default" w:eastAsia="宋体"/>
                <w:color w:val="auto"/>
              </w:rPr>
              <w:t>突发性环境污染事故应急通信系统包括事故报警、应急指挥、应急信息发布三部分。事故报警应设立专用电话，电话号码为大众所熟知，同时充分利用社会上现有的110、119、120等救援电话，做到24h畅通。</w:t>
            </w:r>
          </w:p>
          <w:p w14:paraId="4616157C">
            <w:pPr>
              <w:ind w:firstLine="480"/>
              <w:rPr>
                <w:rFonts w:hint="default"/>
                <w:color w:val="auto"/>
              </w:rPr>
            </w:pPr>
            <w:r>
              <w:rPr>
                <w:rFonts w:hint="default"/>
                <w:color w:val="auto"/>
              </w:rPr>
              <w:t>E.</w:t>
            </w:r>
            <w:r>
              <w:rPr>
                <w:rFonts w:hint="default" w:eastAsia="宋体"/>
                <w:color w:val="auto"/>
              </w:rPr>
              <w:t>事故应急监测</w:t>
            </w:r>
          </w:p>
          <w:p w14:paraId="51C2F96B">
            <w:pPr>
              <w:ind w:firstLine="480"/>
              <w:rPr>
                <w:rFonts w:hint="default"/>
                <w:color w:val="auto"/>
              </w:rPr>
            </w:pPr>
            <w:r>
              <w:rPr>
                <w:rFonts w:hint="default" w:eastAsia="宋体"/>
                <w:color w:val="auto"/>
              </w:rPr>
              <w:t>要求应急监测人员快速赶赴现场，根据事故现场的具体情况布点采样，利用快速监测手段判断污染物的种类，给出定性、半定量和定量监测结果，确认污染事故的危害程度和污染范围等。</w:t>
            </w:r>
          </w:p>
          <w:p w14:paraId="0B758736">
            <w:pPr>
              <w:ind w:firstLine="480"/>
              <w:rPr>
                <w:rFonts w:hint="default"/>
                <w:color w:val="auto"/>
              </w:rPr>
            </w:pPr>
            <w:r>
              <w:rPr>
                <w:rFonts w:hint="default" w:eastAsia="宋体"/>
                <w:color w:val="auto"/>
              </w:rPr>
              <w:t>（8）分析结论</w:t>
            </w:r>
          </w:p>
          <w:p w14:paraId="25DFE715">
            <w:pPr>
              <w:ind w:firstLine="480"/>
              <w:rPr>
                <w:rFonts w:hint="default"/>
                <w:color w:val="auto"/>
              </w:rPr>
            </w:pPr>
            <w:r>
              <w:rPr>
                <w:rFonts w:hint="default" w:eastAsia="宋体"/>
                <w:color w:val="auto"/>
              </w:rPr>
              <w:t>根据分析，建设单位通过采取事故防范措施及采取一定的应急处理措施，可以将本项目的风险降到较低的水平，本项目的环境风险可以接受。</w:t>
            </w:r>
          </w:p>
          <w:p w14:paraId="546122E8">
            <w:pPr>
              <w:ind w:firstLine="482"/>
              <w:rPr>
                <w:rFonts w:hint="default"/>
                <w:b/>
                <w:color w:val="auto"/>
              </w:rPr>
            </w:pPr>
            <w:r>
              <w:rPr>
                <w:rFonts w:hint="default" w:eastAsia="宋体"/>
                <w:b/>
                <w:color w:val="auto"/>
              </w:rPr>
              <w:t>七、环保投资</w:t>
            </w:r>
          </w:p>
          <w:p w14:paraId="68112919">
            <w:pPr>
              <w:ind w:firstLine="480"/>
              <w:rPr>
                <w:rFonts w:hint="default" w:eastAsia="宋体"/>
                <w:color w:val="auto"/>
              </w:rPr>
            </w:pPr>
            <w:r>
              <w:rPr>
                <w:rFonts w:hint="default" w:eastAsia="宋体"/>
                <w:color w:val="auto"/>
                <w:kern w:val="0"/>
                <w:szCs w:val="22"/>
              </w:rPr>
              <w:t>本项目总投资为</w:t>
            </w:r>
            <w:r>
              <w:rPr>
                <w:rFonts w:hint="eastAsia" w:eastAsia="宋体"/>
                <w:color w:val="auto"/>
                <w:kern w:val="0"/>
                <w:szCs w:val="22"/>
                <w:lang w:val="en-US" w:eastAsia="zh-CN"/>
              </w:rPr>
              <w:t>15</w:t>
            </w:r>
            <w:r>
              <w:rPr>
                <w:rFonts w:hint="default" w:eastAsia="宋体"/>
                <w:color w:val="auto"/>
                <w:kern w:val="0"/>
                <w:szCs w:val="22"/>
              </w:rPr>
              <w:t>万元，全部为环保投资。</w:t>
            </w:r>
          </w:p>
        </w:tc>
      </w:tr>
    </w:tbl>
    <w:p w14:paraId="0365DE53">
      <w:pPr>
        <w:pStyle w:val="12"/>
        <w:ind w:firstLine="480"/>
        <w:jc w:val="center"/>
        <w:outlineLvl w:val="0"/>
        <w:rPr>
          <w:rFonts w:ascii="Times New Roman" w:hAnsi="Times New Roman" w:eastAsia="Times New Roman"/>
          <w:snapToGrid w:val="0"/>
          <w:color w:val="auto"/>
          <w:sz w:val="30"/>
          <w:szCs w:val="30"/>
        </w:rPr>
      </w:pPr>
      <w:r>
        <w:rPr>
          <w:rFonts w:ascii="Times New Roman" w:hAnsi="Times New Roman"/>
          <w:color w:val="auto"/>
        </w:rPr>
        <w:br w:type="page"/>
      </w:r>
      <w:r>
        <w:rPr>
          <w:rFonts w:ascii="Times New Roman" w:hAnsi="Times New Roman" w:eastAsia="黑体"/>
          <w:snapToGrid w:val="0"/>
          <w:color w:val="auto"/>
          <w:sz w:val="30"/>
          <w:szCs w:val="30"/>
        </w:rPr>
        <w:t>五、</w:t>
      </w:r>
      <w:bookmarkStart w:id="12" w:name="_Hlk54167917"/>
      <w:r>
        <w:rPr>
          <w:rFonts w:ascii="Times New Roman" w:hAnsi="Times New Roman" w:eastAsia="黑体"/>
          <w:snapToGrid w:val="0"/>
          <w:color w:val="auto"/>
          <w:sz w:val="30"/>
          <w:szCs w:val="30"/>
        </w:rPr>
        <w:t>环境保护措施监督检查清单</w:t>
      </w:r>
      <w:bookmarkEnd w:id="12"/>
    </w:p>
    <w:tbl>
      <w:tblPr>
        <w:tblStyle w:val="14"/>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64"/>
        <w:gridCol w:w="1769"/>
        <w:gridCol w:w="1755"/>
        <w:gridCol w:w="1755"/>
        <w:gridCol w:w="1757"/>
      </w:tblGrid>
      <w:tr w14:paraId="6E22B9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1134" w:hRule="atLeast"/>
          <w:jc w:val="center"/>
        </w:trPr>
        <w:tc>
          <w:tcPr>
            <w:tcW w:w="1764" w:type="dxa"/>
            <w:tcBorders>
              <w:top w:val="single" w:color="auto" w:sz="8" w:space="0"/>
              <w:left w:val="single" w:color="auto" w:sz="8" w:space="0"/>
              <w:bottom w:val="single" w:color="auto" w:sz="4" w:space="0"/>
              <w:right w:val="single" w:color="auto" w:sz="4" w:space="0"/>
              <w:tl2br w:val="nil"/>
              <w:tr2bl w:val="nil"/>
            </w:tcBorders>
            <mc:AlternateContent>
              <mc:Choice Requires="wpsCustomData">
                <wpsCustomData:diagonals>
                  <wpsCustomData:diagonal from="10000" to="30000">
                    <wpsCustomData:border w:val="single" w:color="auto" w:sz="4" w:space="0"/>
                  </wpsCustomData:diagonal>
                </wpsCustomData:diagonals>
              </mc:Choice>
            </mc:AlternateContent>
          </w:tcPr>
          <w:p w14:paraId="050F6B3B">
            <w:pPr>
              <w:adjustRightInd w:val="0"/>
              <w:snapToGrid w:val="0"/>
              <w:spacing w:line="240" w:lineRule="auto"/>
              <w:ind w:firstLine="0" w:firstLineChars="0"/>
              <mc:AlternateContent>
                <mc:Choice Requires="wpsCustomData">
                  <wpsCustomData:diagonalParaType/>
                </mc:Choice>
              </mc:AlternateContent>
              <w:rPr>
                <w:rFonts w:hint="default"/>
                <w:color w:val="auto"/>
                <w:szCs w:val="21"/>
              </w:rPr>
            </w:pPr>
            <w:r>
              <w:rPr>
                <w:rFonts w:hint="default" w:eastAsia="宋体"/>
                <w:color w:val="auto"/>
                <w:szCs w:val="21"/>
              </w:rPr>
              <w:t>要素</w:t>
            </w:r>
          </w:p>
          <w:p w14:paraId="10CE23B4">
            <w:pPr>
              <w:adjustRightInd w:val="0"/>
              <w:snapToGrid w:val="0"/>
              <w:spacing w:line="240" w:lineRule="auto"/>
              <w:rPr>
                <w:rFonts w:hint="default"/>
                <w:color w:val="auto"/>
                <w:szCs w:val="21"/>
              </w:rPr>
            </w:pPr>
            <w:r>
              <w:rPr>
                <w:rFonts w:hint="default" w:eastAsia="宋体"/>
                <w:color w:val="auto"/>
                <w:szCs w:val="21"/>
              </w:rPr>
              <w:t>内容</w:t>
            </w:r>
          </w:p>
          <w:p w14:paraId="64DD5E65">
            <w:pPr>
              <w:adjustRightInd w:val="0"/>
              <w:snapToGrid w:val="0"/>
              <w:spacing w:line="240" w:lineRule="auto"/>
              <w:ind w:firstLine="0" w:firstLineChars="0"/>
              <w:rPr>
                <w:rFonts w:hint="default"/>
                <w:color w:val="auto"/>
                <w:szCs w:val="21"/>
              </w:rPr>
            </w:pPr>
          </w:p>
        </w:tc>
        <w:tc>
          <w:tcPr>
            <w:tcW w:w="1769" w:type="dxa"/>
            <w:tcBorders>
              <w:top w:val="single" w:color="auto" w:sz="8" w:space="0"/>
              <w:left w:val="single" w:color="auto" w:sz="4" w:space="0"/>
              <w:bottom w:val="single" w:color="auto" w:sz="4" w:space="0"/>
              <w:right w:val="single" w:color="auto" w:sz="4" w:space="0"/>
              <w:tl2br w:val="nil"/>
              <w:tr2bl w:val="nil"/>
            </w:tcBorders>
            <w:vAlign w:val="center"/>
          </w:tcPr>
          <w:p w14:paraId="4B580964">
            <w:pPr>
              <w:adjustRightInd w:val="0"/>
              <w:snapToGrid w:val="0"/>
              <w:spacing w:line="240" w:lineRule="auto"/>
              <w:ind w:firstLine="0" w:firstLineChars="0"/>
              <w:jc w:val="center"/>
              <w:rPr>
                <w:rFonts w:hint="default"/>
                <w:color w:val="auto"/>
                <w:szCs w:val="21"/>
              </w:rPr>
            </w:pPr>
            <w:r>
              <w:rPr>
                <w:rFonts w:hint="default" w:eastAsia="宋体"/>
                <w:color w:val="auto"/>
                <w:szCs w:val="21"/>
              </w:rPr>
              <w:t>排放口（编号、名称）/污染源</w:t>
            </w:r>
          </w:p>
        </w:tc>
        <w:tc>
          <w:tcPr>
            <w:tcW w:w="1755" w:type="dxa"/>
            <w:tcBorders>
              <w:top w:val="single" w:color="auto" w:sz="8" w:space="0"/>
              <w:left w:val="single" w:color="auto" w:sz="4" w:space="0"/>
              <w:bottom w:val="single" w:color="auto" w:sz="4" w:space="0"/>
              <w:right w:val="single" w:color="auto" w:sz="4" w:space="0"/>
              <w:tl2br w:val="nil"/>
              <w:tr2bl w:val="nil"/>
            </w:tcBorders>
            <w:vAlign w:val="center"/>
          </w:tcPr>
          <w:p w14:paraId="5D821C57">
            <w:pPr>
              <w:adjustRightInd w:val="0"/>
              <w:snapToGrid w:val="0"/>
              <w:spacing w:line="240" w:lineRule="auto"/>
              <w:ind w:firstLine="0" w:firstLineChars="0"/>
              <w:jc w:val="center"/>
              <w:rPr>
                <w:rFonts w:hint="default"/>
                <w:color w:val="auto"/>
                <w:szCs w:val="21"/>
              </w:rPr>
            </w:pPr>
            <w:r>
              <w:rPr>
                <w:rFonts w:hint="default" w:eastAsia="宋体"/>
                <w:color w:val="auto"/>
                <w:szCs w:val="21"/>
              </w:rPr>
              <w:t>污染物项目</w:t>
            </w:r>
          </w:p>
        </w:tc>
        <w:tc>
          <w:tcPr>
            <w:tcW w:w="1755" w:type="dxa"/>
            <w:tcBorders>
              <w:top w:val="single" w:color="auto" w:sz="8" w:space="0"/>
              <w:left w:val="single" w:color="auto" w:sz="4" w:space="0"/>
              <w:bottom w:val="single" w:color="auto" w:sz="4" w:space="0"/>
              <w:right w:val="single" w:color="auto" w:sz="4" w:space="0"/>
              <w:tl2br w:val="nil"/>
              <w:tr2bl w:val="nil"/>
            </w:tcBorders>
            <w:vAlign w:val="center"/>
          </w:tcPr>
          <w:p w14:paraId="1A6E085C">
            <w:pPr>
              <w:adjustRightInd w:val="0"/>
              <w:snapToGrid w:val="0"/>
              <w:spacing w:line="240" w:lineRule="auto"/>
              <w:ind w:firstLine="0" w:firstLineChars="0"/>
              <w:jc w:val="center"/>
              <w:rPr>
                <w:rFonts w:hint="default"/>
                <w:color w:val="auto"/>
                <w:szCs w:val="21"/>
              </w:rPr>
            </w:pPr>
            <w:r>
              <w:rPr>
                <w:rFonts w:hint="default" w:eastAsia="宋体"/>
                <w:color w:val="auto"/>
                <w:szCs w:val="21"/>
              </w:rPr>
              <w:t>环境保护措施</w:t>
            </w:r>
          </w:p>
        </w:tc>
        <w:tc>
          <w:tcPr>
            <w:tcW w:w="1757" w:type="dxa"/>
            <w:tcBorders>
              <w:top w:val="single" w:color="auto" w:sz="8" w:space="0"/>
              <w:left w:val="single" w:color="auto" w:sz="4" w:space="0"/>
              <w:bottom w:val="single" w:color="auto" w:sz="4" w:space="0"/>
              <w:right w:val="single" w:color="auto" w:sz="8" w:space="0"/>
              <w:tl2br w:val="nil"/>
              <w:tr2bl w:val="nil"/>
            </w:tcBorders>
            <w:vAlign w:val="center"/>
          </w:tcPr>
          <w:p w14:paraId="064627B3">
            <w:pPr>
              <w:adjustRightInd w:val="0"/>
              <w:snapToGrid w:val="0"/>
              <w:spacing w:line="240" w:lineRule="auto"/>
              <w:ind w:firstLine="0" w:firstLineChars="0"/>
              <w:jc w:val="center"/>
              <w:rPr>
                <w:rFonts w:hint="default"/>
                <w:color w:val="auto"/>
                <w:szCs w:val="21"/>
              </w:rPr>
            </w:pPr>
            <w:r>
              <w:rPr>
                <w:rFonts w:hint="default" w:eastAsia="宋体"/>
                <w:color w:val="auto"/>
                <w:szCs w:val="21"/>
              </w:rPr>
              <w:t>执行标准</w:t>
            </w:r>
          </w:p>
        </w:tc>
      </w:tr>
      <w:tr w14:paraId="2C144B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764" w:type="dxa"/>
            <w:tcBorders>
              <w:top w:val="single" w:color="auto" w:sz="4" w:space="0"/>
              <w:left w:val="single" w:color="auto" w:sz="8" w:space="0"/>
              <w:bottom w:val="single" w:color="auto" w:sz="4" w:space="0"/>
              <w:right w:val="single" w:color="auto" w:sz="4" w:space="0"/>
              <w:tl2br w:val="nil"/>
              <w:tr2bl w:val="nil"/>
            </w:tcBorders>
            <w:vAlign w:val="center"/>
          </w:tcPr>
          <w:p w14:paraId="0A5BC89B">
            <w:pPr>
              <w:adjustRightInd w:val="0"/>
              <w:snapToGrid w:val="0"/>
              <w:spacing w:line="240" w:lineRule="auto"/>
              <w:ind w:firstLine="0" w:firstLineChars="0"/>
              <w:jc w:val="center"/>
              <w:rPr>
                <w:rFonts w:hint="default"/>
                <w:color w:val="auto"/>
                <w:szCs w:val="21"/>
              </w:rPr>
            </w:pPr>
            <w:r>
              <w:rPr>
                <w:rFonts w:hint="default" w:eastAsia="宋体"/>
                <w:color w:val="auto"/>
                <w:szCs w:val="21"/>
              </w:rPr>
              <w:t>大气环境</w:t>
            </w:r>
          </w:p>
        </w:tc>
        <w:tc>
          <w:tcPr>
            <w:tcW w:w="1769" w:type="dxa"/>
            <w:tcBorders>
              <w:top w:val="single" w:color="auto" w:sz="4" w:space="0"/>
              <w:left w:val="single" w:color="auto" w:sz="4" w:space="0"/>
              <w:bottom w:val="single" w:color="auto" w:sz="4" w:space="0"/>
              <w:right w:val="single" w:color="auto" w:sz="4" w:space="0"/>
              <w:tl2br w:val="nil"/>
              <w:tr2bl w:val="nil"/>
            </w:tcBorders>
            <w:vAlign w:val="center"/>
          </w:tcPr>
          <w:p w14:paraId="206BD10B">
            <w:pPr>
              <w:adjustRightInd w:val="0"/>
              <w:snapToGrid w:val="0"/>
              <w:spacing w:line="240" w:lineRule="auto"/>
              <w:ind w:firstLine="0" w:firstLineChars="0"/>
              <w:jc w:val="center"/>
              <w:rPr>
                <w:rFonts w:hint="default"/>
                <w:color w:val="auto"/>
                <w:szCs w:val="21"/>
              </w:rPr>
            </w:pPr>
            <w:r>
              <w:rPr>
                <w:rFonts w:hint="default" w:eastAsia="宋体"/>
                <w:color w:val="auto"/>
              </w:rPr>
              <w:t>危险废物贮存库</w:t>
            </w:r>
          </w:p>
        </w:tc>
        <w:tc>
          <w:tcPr>
            <w:tcW w:w="1755" w:type="dxa"/>
            <w:tcBorders>
              <w:top w:val="single" w:color="auto" w:sz="4" w:space="0"/>
              <w:left w:val="single" w:color="auto" w:sz="4" w:space="0"/>
              <w:bottom w:val="single" w:color="auto" w:sz="4" w:space="0"/>
              <w:right w:val="single" w:color="auto" w:sz="4" w:space="0"/>
              <w:tl2br w:val="nil"/>
              <w:tr2bl w:val="nil"/>
            </w:tcBorders>
            <w:vAlign w:val="center"/>
          </w:tcPr>
          <w:p w14:paraId="24C67202">
            <w:pPr>
              <w:adjustRightInd w:val="0"/>
              <w:snapToGrid w:val="0"/>
              <w:spacing w:line="240" w:lineRule="auto"/>
              <w:ind w:firstLine="0" w:firstLineChars="0"/>
              <w:jc w:val="center"/>
              <w:rPr>
                <w:rFonts w:hint="default" w:eastAsia="宋体"/>
                <w:color w:val="auto"/>
                <w:szCs w:val="21"/>
                <w:lang w:val="en-US" w:eastAsia="zh-CN"/>
              </w:rPr>
            </w:pPr>
            <w:r>
              <w:rPr>
                <w:rFonts w:hint="default" w:eastAsia="宋体"/>
                <w:color w:val="auto"/>
                <w:szCs w:val="21"/>
              </w:rPr>
              <w:t>非甲烷总烃</w:t>
            </w:r>
            <w:r>
              <w:rPr>
                <w:rFonts w:hint="eastAsia" w:eastAsia="宋体"/>
                <w:color w:val="auto"/>
                <w:szCs w:val="21"/>
                <w:lang w:eastAsia="zh-CN"/>
              </w:rPr>
              <w:t>、</w:t>
            </w:r>
            <w:r>
              <w:rPr>
                <w:rFonts w:hint="eastAsia" w:eastAsia="宋体"/>
                <w:color w:val="auto"/>
                <w:szCs w:val="21"/>
                <w:lang w:val="en-US" w:eastAsia="zh-CN"/>
              </w:rPr>
              <w:t>硫酸雾</w:t>
            </w:r>
          </w:p>
        </w:tc>
        <w:tc>
          <w:tcPr>
            <w:tcW w:w="1755" w:type="dxa"/>
            <w:tcBorders>
              <w:top w:val="single" w:color="auto" w:sz="4" w:space="0"/>
              <w:left w:val="single" w:color="auto" w:sz="4" w:space="0"/>
              <w:bottom w:val="single" w:color="auto" w:sz="4" w:space="0"/>
              <w:right w:val="single" w:color="auto" w:sz="4" w:space="0"/>
              <w:tl2br w:val="nil"/>
              <w:tr2bl w:val="nil"/>
            </w:tcBorders>
            <w:vAlign w:val="center"/>
          </w:tcPr>
          <w:p w14:paraId="5C63BCD7">
            <w:pPr>
              <w:adjustRightInd w:val="0"/>
              <w:snapToGrid w:val="0"/>
              <w:spacing w:line="240" w:lineRule="auto"/>
              <w:ind w:firstLine="0" w:firstLineChars="0"/>
              <w:rPr>
                <w:rFonts w:hint="default"/>
                <w:color w:val="auto"/>
                <w:szCs w:val="21"/>
              </w:rPr>
            </w:pPr>
            <w:r>
              <w:rPr>
                <w:rFonts w:hint="default" w:eastAsia="宋体"/>
                <w:color w:val="auto"/>
                <w:szCs w:val="21"/>
              </w:rPr>
              <w:t>储存容器密闭，危险废物贮存库全封闭；危险废物贮存库内安装轴流风机保持通风。</w:t>
            </w:r>
          </w:p>
        </w:tc>
        <w:tc>
          <w:tcPr>
            <w:tcW w:w="1757" w:type="dxa"/>
            <w:tcBorders>
              <w:top w:val="single" w:color="auto" w:sz="4" w:space="0"/>
              <w:left w:val="single" w:color="auto" w:sz="4" w:space="0"/>
              <w:bottom w:val="single" w:color="auto" w:sz="4" w:space="0"/>
              <w:right w:val="single" w:color="auto" w:sz="8" w:space="0"/>
              <w:tl2br w:val="nil"/>
              <w:tr2bl w:val="nil"/>
            </w:tcBorders>
            <w:vAlign w:val="center"/>
          </w:tcPr>
          <w:p w14:paraId="600485F7">
            <w:pPr>
              <w:adjustRightInd w:val="0"/>
              <w:snapToGrid w:val="0"/>
              <w:spacing w:line="240" w:lineRule="auto"/>
              <w:ind w:firstLine="0" w:firstLineChars="0"/>
              <w:rPr>
                <w:rFonts w:hint="default"/>
                <w:color w:val="auto"/>
                <w:szCs w:val="21"/>
              </w:rPr>
            </w:pPr>
            <w:r>
              <w:rPr>
                <w:rFonts w:hint="default" w:eastAsia="宋体"/>
                <w:color w:val="auto"/>
                <w:szCs w:val="21"/>
              </w:rPr>
              <w:t>《大气污染物综合排放标准》（GB16297-1996）表2中无组织排放监控浓度限值要求</w:t>
            </w:r>
          </w:p>
        </w:tc>
      </w:tr>
      <w:tr w14:paraId="5A5120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64" w:type="dxa"/>
            <w:tcBorders>
              <w:top w:val="single" w:color="auto" w:sz="4" w:space="0"/>
              <w:left w:val="single" w:color="auto" w:sz="8" w:space="0"/>
              <w:bottom w:val="single" w:color="auto" w:sz="4" w:space="0"/>
              <w:right w:val="single" w:color="auto" w:sz="4" w:space="0"/>
              <w:tl2br w:val="nil"/>
              <w:tr2bl w:val="nil"/>
            </w:tcBorders>
            <w:vAlign w:val="center"/>
          </w:tcPr>
          <w:p w14:paraId="63D6889F">
            <w:pPr>
              <w:adjustRightInd w:val="0"/>
              <w:snapToGrid w:val="0"/>
              <w:spacing w:line="240" w:lineRule="auto"/>
              <w:ind w:firstLine="0" w:firstLineChars="0"/>
              <w:jc w:val="center"/>
              <w:rPr>
                <w:rFonts w:hint="default"/>
                <w:color w:val="auto"/>
                <w:szCs w:val="21"/>
              </w:rPr>
            </w:pPr>
            <w:r>
              <w:rPr>
                <w:rFonts w:hint="default" w:eastAsia="宋体"/>
                <w:color w:val="auto"/>
                <w:szCs w:val="21"/>
              </w:rPr>
              <w:t>地表水环境</w:t>
            </w:r>
          </w:p>
        </w:tc>
        <w:tc>
          <w:tcPr>
            <w:tcW w:w="1769" w:type="dxa"/>
            <w:tcBorders>
              <w:top w:val="single" w:color="auto" w:sz="4" w:space="0"/>
              <w:left w:val="single" w:color="auto" w:sz="4" w:space="0"/>
              <w:bottom w:val="single" w:color="auto" w:sz="4" w:space="0"/>
              <w:right w:val="single" w:color="auto" w:sz="4" w:space="0"/>
              <w:tl2br w:val="nil"/>
              <w:tr2bl w:val="nil"/>
            </w:tcBorders>
            <w:vAlign w:val="center"/>
          </w:tcPr>
          <w:p w14:paraId="7EEC0FD9">
            <w:pPr>
              <w:adjustRightInd w:val="0"/>
              <w:snapToGrid w:val="0"/>
              <w:spacing w:line="240" w:lineRule="auto"/>
              <w:ind w:firstLine="0" w:firstLineChars="0"/>
              <w:jc w:val="center"/>
              <w:rPr>
                <w:rFonts w:hint="default"/>
                <w:color w:val="auto"/>
                <w:szCs w:val="21"/>
              </w:rPr>
            </w:pPr>
            <w:r>
              <w:rPr>
                <w:rFonts w:hint="default"/>
                <w:color w:val="auto"/>
                <w:szCs w:val="21"/>
              </w:rPr>
              <w:t>/</w:t>
            </w:r>
          </w:p>
        </w:tc>
        <w:tc>
          <w:tcPr>
            <w:tcW w:w="1755" w:type="dxa"/>
            <w:tcBorders>
              <w:top w:val="single" w:color="auto" w:sz="4" w:space="0"/>
              <w:left w:val="single" w:color="auto" w:sz="4" w:space="0"/>
              <w:bottom w:val="single" w:color="auto" w:sz="4" w:space="0"/>
              <w:right w:val="single" w:color="auto" w:sz="4" w:space="0"/>
              <w:tl2br w:val="nil"/>
              <w:tr2bl w:val="nil"/>
            </w:tcBorders>
            <w:vAlign w:val="center"/>
          </w:tcPr>
          <w:p w14:paraId="61F5F0DA">
            <w:pPr>
              <w:adjustRightInd w:val="0"/>
              <w:snapToGrid w:val="0"/>
              <w:spacing w:line="240" w:lineRule="auto"/>
              <w:ind w:firstLine="0" w:firstLineChars="0"/>
              <w:jc w:val="center"/>
              <w:rPr>
                <w:rFonts w:hint="default"/>
                <w:color w:val="auto"/>
                <w:szCs w:val="21"/>
              </w:rPr>
            </w:pPr>
            <w:r>
              <w:rPr>
                <w:rFonts w:hint="default"/>
                <w:color w:val="auto"/>
                <w:szCs w:val="21"/>
              </w:rPr>
              <w:t>/</w:t>
            </w:r>
          </w:p>
        </w:tc>
        <w:tc>
          <w:tcPr>
            <w:tcW w:w="1755" w:type="dxa"/>
            <w:tcBorders>
              <w:top w:val="single" w:color="auto" w:sz="4" w:space="0"/>
              <w:left w:val="single" w:color="auto" w:sz="4" w:space="0"/>
              <w:bottom w:val="single" w:color="auto" w:sz="4" w:space="0"/>
              <w:right w:val="single" w:color="auto" w:sz="4" w:space="0"/>
              <w:tl2br w:val="nil"/>
              <w:tr2bl w:val="nil"/>
            </w:tcBorders>
            <w:vAlign w:val="center"/>
          </w:tcPr>
          <w:p w14:paraId="39D3AD7E">
            <w:pPr>
              <w:adjustRightInd w:val="0"/>
              <w:snapToGrid w:val="0"/>
              <w:spacing w:line="240" w:lineRule="auto"/>
              <w:ind w:firstLine="0" w:firstLineChars="0"/>
              <w:jc w:val="center"/>
              <w:rPr>
                <w:rFonts w:hint="default"/>
                <w:color w:val="auto"/>
                <w:szCs w:val="21"/>
              </w:rPr>
            </w:pPr>
            <w:r>
              <w:rPr>
                <w:rFonts w:hint="default"/>
                <w:color w:val="auto"/>
                <w:szCs w:val="21"/>
              </w:rPr>
              <w:t>/</w:t>
            </w:r>
          </w:p>
        </w:tc>
        <w:tc>
          <w:tcPr>
            <w:tcW w:w="1757" w:type="dxa"/>
            <w:tcBorders>
              <w:top w:val="single" w:color="auto" w:sz="4" w:space="0"/>
              <w:left w:val="single" w:color="auto" w:sz="4" w:space="0"/>
              <w:bottom w:val="single" w:color="auto" w:sz="4" w:space="0"/>
              <w:right w:val="single" w:color="auto" w:sz="8" w:space="0"/>
              <w:tl2br w:val="nil"/>
              <w:tr2bl w:val="nil"/>
            </w:tcBorders>
            <w:vAlign w:val="center"/>
          </w:tcPr>
          <w:p w14:paraId="47D68AFF">
            <w:pPr>
              <w:adjustRightInd w:val="0"/>
              <w:snapToGrid w:val="0"/>
              <w:spacing w:line="240" w:lineRule="auto"/>
              <w:ind w:firstLine="0" w:firstLineChars="0"/>
              <w:jc w:val="center"/>
              <w:rPr>
                <w:rFonts w:hint="default"/>
                <w:color w:val="auto"/>
                <w:szCs w:val="21"/>
              </w:rPr>
            </w:pPr>
            <w:r>
              <w:rPr>
                <w:rFonts w:hint="default"/>
                <w:color w:val="auto"/>
                <w:szCs w:val="21"/>
              </w:rPr>
              <w:t>/</w:t>
            </w:r>
          </w:p>
        </w:tc>
      </w:tr>
      <w:tr w14:paraId="7A0D65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64" w:type="dxa"/>
            <w:tcBorders>
              <w:top w:val="single" w:color="auto" w:sz="4" w:space="0"/>
              <w:left w:val="single" w:color="auto" w:sz="8" w:space="0"/>
              <w:bottom w:val="single" w:color="auto" w:sz="4" w:space="0"/>
              <w:right w:val="single" w:color="auto" w:sz="4" w:space="0"/>
              <w:tl2br w:val="nil"/>
              <w:tr2bl w:val="nil"/>
            </w:tcBorders>
            <w:vAlign w:val="center"/>
          </w:tcPr>
          <w:p w14:paraId="61616250">
            <w:pPr>
              <w:adjustRightInd w:val="0"/>
              <w:snapToGrid w:val="0"/>
              <w:spacing w:line="240" w:lineRule="auto"/>
              <w:ind w:firstLine="0" w:firstLineChars="0"/>
              <w:jc w:val="center"/>
              <w:rPr>
                <w:rFonts w:hint="default"/>
                <w:color w:val="auto"/>
                <w:szCs w:val="21"/>
              </w:rPr>
            </w:pPr>
            <w:r>
              <w:rPr>
                <w:rFonts w:hint="default" w:eastAsia="宋体"/>
                <w:color w:val="auto"/>
                <w:szCs w:val="21"/>
              </w:rPr>
              <w:t>声环境</w:t>
            </w:r>
          </w:p>
        </w:tc>
        <w:tc>
          <w:tcPr>
            <w:tcW w:w="1769" w:type="dxa"/>
            <w:tcBorders>
              <w:top w:val="single" w:color="auto" w:sz="4" w:space="0"/>
              <w:left w:val="single" w:color="auto" w:sz="4" w:space="0"/>
              <w:bottom w:val="single" w:color="auto" w:sz="4" w:space="0"/>
              <w:right w:val="single" w:color="auto" w:sz="4" w:space="0"/>
              <w:tl2br w:val="nil"/>
              <w:tr2bl w:val="nil"/>
            </w:tcBorders>
            <w:vAlign w:val="center"/>
          </w:tcPr>
          <w:p w14:paraId="219F5041">
            <w:pPr>
              <w:adjustRightInd w:val="0"/>
              <w:snapToGrid w:val="0"/>
              <w:spacing w:line="240" w:lineRule="auto"/>
              <w:ind w:firstLine="0" w:firstLineChars="0"/>
              <w:jc w:val="center"/>
              <w:rPr>
                <w:rFonts w:hint="default"/>
                <w:color w:val="auto"/>
                <w:szCs w:val="21"/>
              </w:rPr>
            </w:pPr>
            <w:r>
              <w:rPr>
                <w:rFonts w:hint="default" w:eastAsia="宋体"/>
                <w:color w:val="auto"/>
                <w:szCs w:val="21"/>
              </w:rPr>
              <w:t>轴流风机、叉车</w:t>
            </w:r>
          </w:p>
        </w:tc>
        <w:tc>
          <w:tcPr>
            <w:tcW w:w="1755" w:type="dxa"/>
            <w:tcBorders>
              <w:top w:val="single" w:color="auto" w:sz="4" w:space="0"/>
              <w:left w:val="single" w:color="auto" w:sz="4" w:space="0"/>
              <w:bottom w:val="single" w:color="auto" w:sz="4" w:space="0"/>
              <w:right w:val="single" w:color="auto" w:sz="4" w:space="0"/>
              <w:tl2br w:val="nil"/>
              <w:tr2bl w:val="nil"/>
            </w:tcBorders>
            <w:vAlign w:val="center"/>
          </w:tcPr>
          <w:p w14:paraId="0F877331">
            <w:pPr>
              <w:adjustRightInd w:val="0"/>
              <w:snapToGrid w:val="0"/>
              <w:spacing w:line="240" w:lineRule="auto"/>
              <w:ind w:firstLine="0" w:firstLineChars="0"/>
              <w:jc w:val="center"/>
              <w:rPr>
                <w:rFonts w:hint="default"/>
                <w:color w:val="auto"/>
                <w:szCs w:val="21"/>
              </w:rPr>
            </w:pPr>
            <w:r>
              <w:rPr>
                <w:rFonts w:hint="default" w:eastAsia="宋体"/>
                <w:color w:val="auto"/>
                <w:szCs w:val="21"/>
              </w:rPr>
              <w:t>噪声</w:t>
            </w:r>
          </w:p>
        </w:tc>
        <w:tc>
          <w:tcPr>
            <w:tcW w:w="1755" w:type="dxa"/>
            <w:tcBorders>
              <w:top w:val="single" w:color="auto" w:sz="4" w:space="0"/>
              <w:left w:val="single" w:color="auto" w:sz="4" w:space="0"/>
              <w:bottom w:val="single" w:color="auto" w:sz="4" w:space="0"/>
              <w:right w:val="single" w:color="auto" w:sz="4" w:space="0"/>
              <w:tl2br w:val="nil"/>
              <w:tr2bl w:val="nil"/>
            </w:tcBorders>
            <w:vAlign w:val="center"/>
          </w:tcPr>
          <w:p w14:paraId="46AE2DB0">
            <w:pPr>
              <w:adjustRightInd w:val="0"/>
              <w:snapToGrid w:val="0"/>
              <w:spacing w:line="240" w:lineRule="auto"/>
              <w:ind w:firstLine="0" w:firstLineChars="0"/>
              <w:rPr>
                <w:rFonts w:hint="default"/>
                <w:color w:val="auto"/>
                <w:szCs w:val="21"/>
              </w:rPr>
            </w:pPr>
            <w:r>
              <w:rPr>
                <w:rFonts w:hint="default" w:eastAsia="宋体"/>
                <w:color w:val="auto"/>
                <w:szCs w:val="21"/>
              </w:rPr>
              <w:t>选用低噪声设备、运输车辆减速慢行、禁止鸣笛。</w:t>
            </w:r>
          </w:p>
        </w:tc>
        <w:tc>
          <w:tcPr>
            <w:tcW w:w="1757" w:type="dxa"/>
            <w:tcBorders>
              <w:top w:val="single" w:color="auto" w:sz="4" w:space="0"/>
              <w:left w:val="single" w:color="auto" w:sz="4" w:space="0"/>
              <w:bottom w:val="single" w:color="auto" w:sz="4" w:space="0"/>
              <w:right w:val="single" w:color="auto" w:sz="8" w:space="0"/>
              <w:tl2br w:val="nil"/>
              <w:tr2bl w:val="nil"/>
            </w:tcBorders>
            <w:vAlign w:val="center"/>
          </w:tcPr>
          <w:p w14:paraId="42BB8C87">
            <w:pPr>
              <w:adjustRightInd w:val="0"/>
              <w:snapToGrid w:val="0"/>
              <w:spacing w:line="240" w:lineRule="auto"/>
              <w:ind w:firstLine="0" w:firstLineChars="0"/>
              <w:rPr>
                <w:rFonts w:hint="default"/>
                <w:color w:val="auto"/>
                <w:szCs w:val="21"/>
              </w:rPr>
            </w:pPr>
            <w:r>
              <w:rPr>
                <w:rFonts w:hint="default" w:eastAsia="宋体"/>
                <w:color w:val="auto"/>
                <w:szCs w:val="21"/>
              </w:rPr>
              <w:t>《工业企业厂界环境噪声排放标准》（GB12348-2008）中</w:t>
            </w:r>
            <w:r>
              <w:rPr>
                <w:rFonts w:hint="eastAsia" w:eastAsia="宋体"/>
                <w:color w:val="auto"/>
                <w:szCs w:val="21"/>
                <w:lang w:eastAsia="zh-CN"/>
              </w:rPr>
              <w:t>3类</w:t>
            </w:r>
            <w:r>
              <w:rPr>
                <w:rFonts w:hint="default" w:eastAsia="宋体"/>
                <w:color w:val="auto"/>
                <w:szCs w:val="21"/>
              </w:rPr>
              <w:t>标准</w:t>
            </w:r>
          </w:p>
        </w:tc>
      </w:tr>
      <w:tr w14:paraId="2C08D5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64" w:type="dxa"/>
            <w:tcBorders>
              <w:top w:val="single" w:color="auto" w:sz="4" w:space="0"/>
              <w:left w:val="single" w:color="auto" w:sz="8" w:space="0"/>
              <w:bottom w:val="single" w:color="auto" w:sz="4" w:space="0"/>
              <w:right w:val="single" w:color="auto" w:sz="4" w:space="0"/>
              <w:tl2br w:val="nil"/>
              <w:tr2bl w:val="nil"/>
            </w:tcBorders>
            <w:vAlign w:val="center"/>
          </w:tcPr>
          <w:p w14:paraId="7DB4A135">
            <w:pPr>
              <w:adjustRightInd w:val="0"/>
              <w:snapToGrid w:val="0"/>
              <w:spacing w:line="240" w:lineRule="auto"/>
              <w:ind w:firstLine="0" w:firstLineChars="0"/>
              <w:jc w:val="center"/>
              <w:rPr>
                <w:rFonts w:hint="default"/>
                <w:color w:val="auto"/>
                <w:szCs w:val="21"/>
              </w:rPr>
            </w:pPr>
            <w:r>
              <w:rPr>
                <w:rFonts w:hint="default" w:eastAsia="宋体"/>
                <w:color w:val="auto"/>
                <w:szCs w:val="21"/>
              </w:rPr>
              <w:t>电磁辐射</w:t>
            </w:r>
          </w:p>
        </w:tc>
        <w:tc>
          <w:tcPr>
            <w:tcW w:w="1769" w:type="dxa"/>
            <w:tcBorders>
              <w:top w:val="single" w:color="auto" w:sz="4" w:space="0"/>
              <w:left w:val="single" w:color="auto" w:sz="4" w:space="0"/>
              <w:bottom w:val="single" w:color="auto" w:sz="4" w:space="0"/>
              <w:right w:val="single" w:color="auto" w:sz="4" w:space="0"/>
              <w:tl2br w:val="nil"/>
              <w:tr2bl w:val="nil"/>
            </w:tcBorders>
            <w:vAlign w:val="center"/>
          </w:tcPr>
          <w:p w14:paraId="4061EC5B">
            <w:pPr>
              <w:adjustRightInd w:val="0"/>
              <w:snapToGrid w:val="0"/>
              <w:spacing w:line="240" w:lineRule="auto"/>
              <w:ind w:firstLine="0" w:firstLineChars="0"/>
              <w:jc w:val="center"/>
              <w:rPr>
                <w:rFonts w:hint="default"/>
                <w:color w:val="auto"/>
                <w:szCs w:val="21"/>
              </w:rPr>
            </w:pPr>
            <w:r>
              <w:rPr>
                <w:rFonts w:hint="default"/>
                <w:color w:val="auto"/>
                <w:szCs w:val="21"/>
              </w:rPr>
              <w:t>/</w:t>
            </w:r>
          </w:p>
        </w:tc>
        <w:tc>
          <w:tcPr>
            <w:tcW w:w="1755" w:type="dxa"/>
            <w:tcBorders>
              <w:top w:val="single" w:color="auto" w:sz="4" w:space="0"/>
              <w:left w:val="single" w:color="auto" w:sz="4" w:space="0"/>
              <w:bottom w:val="single" w:color="auto" w:sz="4" w:space="0"/>
              <w:right w:val="single" w:color="auto" w:sz="4" w:space="0"/>
              <w:tl2br w:val="nil"/>
              <w:tr2bl w:val="nil"/>
            </w:tcBorders>
            <w:vAlign w:val="center"/>
          </w:tcPr>
          <w:p w14:paraId="06E53FF1">
            <w:pPr>
              <w:adjustRightInd w:val="0"/>
              <w:snapToGrid w:val="0"/>
              <w:spacing w:line="240" w:lineRule="auto"/>
              <w:ind w:firstLine="0" w:firstLineChars="0"/>
              <w:jc w:val="center"/>
              <w:rPr>
                <w:rFonts w:hint="default"/>
                <w:color w:val="auto"/>
                <w:szCs w:val="21"/>
              </w:rPr>
            </w:pPr>
            <w:r>
              <w:rPr>
                <w:rFonts w:hint="default"/>
                <w:color w:val="auto"/>
                <w:szCs w:val="21"/>
              </w:rPr>
              <w:t>/</w:t>
            </w:r>
          </w:p>
        </w:tc>
        <w:tc>
          <w:tcPr>
            <w:tcW w:w="1755" w:type="dxa"/>
            <w:tcBorders>
              <w:top w:val="single" w:color="auto" w:sz="4" w:space="0"/>
              <w:left w:val="single" w:color="auto" w:sz="4" w:space="0"/>
              <w:bottom w:val="single" w:color="auto" w:sz="4" w:space="0"/>
              <w:right w:val="single" w:color="auto" w:sz="4" w:space="0"/>
              <w:tl2br w:val="nil"/>
              <w:tr2bl w:val="nil"/>
            </w:tcBorders>
            <w:vAlign w:val="center"/>
          </w:tcPr>
          <w:p w14:paraId="5BB24882">
            <w:pPr>
              <w:adjustRightInd w:val="0"/>
              <w:snapToGrid w:val="0"/>
              <w:spacing w:line="240" w:lineRule="auto"/>
              <w:ind w:firstLine="0" w:firstLineChars="0"/>
              <w:jc w:val="center"/>
              <w:rPr>
                <w:rFonts w:hint="default"/>
                <w:color w:val="auto"/>
                <w:szCs w:val="21"/>
              </w:rPr>
            </w:pPr>
            <w:r>
              <w:rPr>
                <w:rFonts w:hint="default"/>
                <w:color w:val="auto"/>
                <w:szCs w:val="21"/>
              </w:rPr>
              <w:t>/</w:t>
            </w:r>
          </w:p>
        </w:tc>
        <w:tc>
          <w:tcPr>
            <w:tcW w:w="1757" w:type="dxa"/>
            <w:tcBorders>
              <w:top w:val="single" w:color="auto" w:sz="4" w:space="0"/>
              <w:left w:val="single" w:color="auto" w:sz="4" w:space="0"/>
              <w:bottom w:val="single" w:color="auto" w:sz="4" w:space="0"/>
              <w:right w:val="single" w:color="auto" w:sz="8" w:space="0"/>
              <w:tl2br w:val="nil"/>
              <w:tr2bl w:val="nil"/>
            </w:tcBorders>
            <w:vAlign w:val="center"/>
          </w:tcPr>
          <w:p w14:paraId="7A474DF1">
            <w:pPr>
              <w:adjustRightInd w:val="0"/>
              <w:snapToGrid w:val="0"/>
              <w:spacing w:line="240" w:lineRule="auto"/>
              <w:ind w:firstLine="0" w:firstLineChars="0"/>
              <w:jc w:val="center"/>
              <w:rPr>
                <w:rFonts w:hint="default"/>
                <w:color w:val="auto"/>
                <w:szCs w:val="21"/>
              </w:rPr>
            </w:pPr>
            <w:r>
              <w:rPr>
                <w:rFonts w:hint="default"/>
                <w:color w:val="auto"/>
                <w:szCs w:val="21"/>
              </w:rPr>
              <w:t>/</w:t>
            </w:r>
          </w:p>
        </w:tc>
      </w:tr>
      <w:tr w14:paraId="130A06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64" w:type="dxa"/>
            <w:tcBorders>
              <w:top w:val="single" w:color="auto" w:sz="4" w:space="0"/>
              <w:left w:val="single" w:color="auto" w:sz="8" w:space="0"/>
              <w:bottom w:val="single" w:color="auto" w:sz="4" w:space="0"/>
              <w:right w:val="single" w:color="auto" w:sz="4" w:space="0"/>
              <w:tl2br w:val="nil"/>
              <w:tr2bl w:val="nil"/>
            </w:tcBorders>
            <w:vAlign w:val="center"/>
          </w:tcPr>
          <w:p w14:paraId="5B35A010">
            <w:pPr>
              <w:adjustRightInd w:val="0"/>
              <w:snapToGrid w:val="0"/>
              <w:spacing w:line="240" w:lineRule="auto"/>
              <w:ind w:firstLine="0" w:firstLineChars="0"/>
              <w:jc w:val="center"/>
              <w:rPr>
                <w:rFonts w:hint="default"/>
                <w:color w:val="auto"/>
                <w:szCs w:val="21"/>
              </w:rPr>
            </w:pPr>
            <w:r>
              <w:rPr>
                <w:rFonts w:hint="default" w:eastAsia="宋体"/>
                <w:color w:val="auto"/>
                <w:szCs w:val="21"/>
              </w:rPr>
              <w:t>固体废物</w:t>
            </w:r>
          </w:p>
        </w:tc>
        <w:tc>
          <w:tcPr>
            <w:tcW w:w="7036" w:type="dxa"/>
            <w:gridSpan w:val="4"/>
            <w:tcBorders>
              <w:top w:val="single" w:color="auto" w:sz="4" w:space="0"/>
              <w:left w:val="single" w:color="auto" w:sz="4" w:space="0"/>
              <w:bottom w:val="single" w:color="auto" w:sz="4" w:space="0"/>
              <w:right w:val="single" w:color="auto" w:sz="8" w:space="0"/>
              <w:tl2br w:val="nil"/>
              <w:tr2bl w:val="nil"/>
            </w:tcBorders>
            <w:vAlign w:val="center"/>
          </w:tcPr>
          <w:p w14:paraId="0F9A4101">
            <w:pPr>
              <w:adjustRightInd w:val="0"/>
              <w:snapToGrid w:val="0"/>
              <w:spacing w:line="240" w:lineRule="auto"/>
              <w:ind w:firstLine="0" w:firstLineChars="0"/>
              <w:rPr>
                <w:rFonts w:hint="default"/>
                <w:color w:val="auto"/>
                <w:szCs w:val="21"/>
              </w:rPr>
            </w:pPr>
            <w:r>
              <w:rPr>
                <w:rFonts w:hint="default" w:eastAsia="宋体"/>
                <w:color w:val="auto"/>
              </w:rPr>
              <w:t>搬运过程中产生的沾染油污废抹布、手套等废劳保用品与厂区内的生活垃圾统一收集后交由当地环卫部门进行处理。</w:t>
            </w:r>
          </w:p>
        </w:tc>
      </w:tr>
      <w:tr w14:paraId="474AD7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1764" w:type="dxa"/>
            <w:tcBorders>
              <w:top w:val="single" w:color="auto" w:sz="4" w:space="0"/>
              <w:left w:val="single" w:color="auto" w:sz="8" w:space="0"/>
              <w:bottom w:val="single" w:color="auto" w:sz="4" w:space="0"/>
              <w:right w:val="single" w:color="auto" w:sz="4" w:space="0"/>
              <w:tl2br w:val="nil"/>
              <w:tr2bl w:val="nil"/>
            </w:tcBorders>
            <w:vAlign w:val="center"/>
          </w:tcPr>
          <w:p w14:paraId="7F7A7326">
            <w:pPr>
              <w:adjustRightInd w:val="0"/>
              <w:snapToGrid w:val="0"/>
              <w:spacing w:line="240" w:lineRule="auto"/>
              <w:ind w:firstLine="0" w:firstLineChars="0"/>
              <w:jc w:val="center"/>
              <w:rPr>
                <w:rFonts w:hint="default"/>
                <w:color w:val="auto"/>
                <w:szCs w:val="21"/>
              </w:rPr>
            </w:pPr>
            <w:r>
              <w:rPr>
                <w:rFonts w:hint="default" w:eastAsia="宋体"/>
                <w:color w:val="auto"/>
                <w:szCs w:val="21"/>
              </w:rPr>
              <w:t>土壤及地下水</w:t>
            </w:r>
          </w:p>
          <w:p w14:paraId="7D935D3B">
            <w:pPr>
              <w:adjustRightInd w:val="0"/>
              <w:snapToGrid w:val="0"/>
              <w:spacing w:line="240" w:lineRule="auto"/>
              <w:ind w:firstLine="0" w:firstLineChars="0"/>
              <w:jc w:val="center"/>
              <w:rPr>
                <w:rFonts w:hint="default"/>
                <w:color w:val="auto"/>
                <w:szCs w:val="21"/>
              </w:rPr>
            </w:pPr>
            <w:r>
              <w:rPr>
                <w:rFonts w:hint="default" w:eastAsia="宋体"/>
                <w:color w:val="auto"/>
                <w:szCs w:val="21"/>
              </w:rPr>
              <w:t>污染防治措施</w:t>
            </w:r>
          </w:p>
        </w:tc>
        <w:tc>
          <w:tcPr>
            <w:tcW w:w="7036" w:type="dxa"/>
            <w:gridSpan w:val="4"/>
            <w:tcBorders>
              <w:top w:val="single" w:color="auto" w:sz="4" w:space="0"/>
              <w:left w:val="single" w:color="auto" w:sz="4" w:space="0"/>
              <w:bottom w:val="single" w:color="auto" w:sz="4" w:space="0"/>
              <w:right w:val="single" w:color="auto" w:sz="8" w:space="0"/>
              <w:tl2br w:val="nil"/>
              <w:tr2bl w:val="nil"/>
            </w:tcBorders>
            <w:vAlign w:val="center"/>
          </w:tcPr>
          <w:p w14:paraId="38873096">
            <w:pPr>
              <w:adjustRightInd w:val="0"/>
              <w:snapToGrid w:val="0"/>
              <w:spacing w:line="240" w:lineRule="auto"/>
              <w:ind w:firstLine="0" w:firstLineChars="0"/>
              <w:rPr>
                <w:rFonts w:hint="default"/>
                <w:color w:val="auto"/>
                <w:szCs w:val="21"/>
              </w:rPr>
            </w:pPr>
            <w:r>
              <w:rPr>
                <w:rFonts w:hint="default"/>
                <w:color w:val="auto"/>
                <w:szCs w:val="21"/>
              </w:rPr>
              <w:t>①</w:t>
            </w:r>
            <w:r>
              <w:rPr>
                <w:rFonts w:hint="default" w:eastAsia="宋体"/>
                <w:color w:val="auto"/>
                <w:szCs w:val="21"/>
              </w:rPr>
              <w:t>源头控制：对本项目危险废物暂存库内部经常巡查，杜绝跑、冒、滴、漏等事故的发生；</w:t>
            </w:r>
          </w:p>
          <w:p w14:paraId="784BAB8F">
            <w:pPr>
              <w:adjustRightInd w:val="0"/>
              <w:snapToGrid w:val="0"/>
              <w:spacing w:line="240" w:lineRule="auto"/>
              <w:ind w:firstLine="0" w:firstLineChars="0"/>
              <w:rPr>
                <w:rFonts w:hint="default"/>
                <w:color w:val="auto"/>
                <w:szCs w:val="21"/>
              </w:rPr>
            </w:pPr>
            <w:r>
              <w:rPr>
                <w:rFonts w:hint="default"/>
                <w:color w:val="auto"/>
                <w:szCs w:val="21"/>
              </w:rPr>
              <w:t>②</w:t>
            </w:r>
            <w:r>
              <w:rPr>
                <w:rFonts w:hint="default" w:eastAsia="宋体"/>
                <w:color w:val="auto"/>
                <w:szCs w:val="21"/>
              </w:rPr>
              <w:t>防治：</w:t>
            </w:r>
            <w:r>
              <w:rPr>
                <w:rFonts w:hint="default" w:eastAsia="宋体"/>
                <w:color w:val="auto"/>
              </w:rPr>
              <w:t>本项目</w:t>
            </w:r>
            <w:r>
              <w:rPr>
                <w:rFonts w:eastAsia="宋体"/>
                <w:color w:val="auto"/>
              </w:rPr>
              <w:t>地面、导流渠、集液池、裙脚、围堰</w:t>
            </w:r>
            <w:r>
              <w:rPr>
                <w:rFonts w:hint="default" w:eastAsia="宋体"/>
                <w:color w:val="auto"/>
              </w:rPr>
              <w:t>采用相同的防渗措施，防渗措施按照《危险废物贮存污染控制标准》（GB18597-2023）建设，防渗层为至少1m厚黏土层（渗透系数</w:t>
            </w:r>
            <w:r>
              <w:rPr>
                <w:rFonts w:eastAsia="宋体"/>
                <w:color w:val="auto"/>
              </w:rPr>
              <w:t>≤</w:t>
            </w:r>
            <w:r>
              <w:rPr>
                <w:rFonts w:hint="default" w:eastAsia="宋体"/>
                <w:color w:val="auto"/>
              </w:rPr>
              <w:t>10</w:t>
            </w:r>
            <w:r>
              <w:rPr>
                <w:rFonts w:hint="default" w:eastAsia="宋体"/>
                <w:color w:val="auto"/>
                <w:vertAlign w:val="superscript"/>
              </w:rPr>
              <w:t>-7</w:t>
            </w:r>
            <w:r>
              <w:rPr>
                <w:rFonts w:hint="default" w:eastAsia="宋体"/>
                <w:color w:val="auto"/>
              </w:rPr>
              <w:t>cm/s），或至少2mm厚高密度聚乙烯膜等人工防渗材料（渗透系数</w:t>
            </w:r>
            <w:r>
              <w:rPr>
                <w:rFonts w:eastAsia="宋体"/>
                <w:color w:val="auto"/>
              </w:rPr>
              <w:t>≤</w:t>
            </w:r>
            <w:r>
              <w:rPr>
                <w:rFonts w:hint="default" w:eastAsia="宋体"/>
                <w:color w:val="auto"/>
              </w:rPr>
              <w:t>10</w:t>
            </w:r>
            <w:r>
              <w:rPr>
                <w:rFonts w:hint="default" w:eastAsia="宋体"/>
                <w:color w:val="auto"/>
                <w:vertAlign w:val="superscript"/>
              </w:rPr>
              <w:t>-10</w:t>
            </w:r>
            <w:r>
              <w:rPr>
                <w:rFonts w:hint="default" w:eastAsia="宋体"/>
                <w:color w:val="auto"/>
              </w:rPr>
              <w:t>cm/s），或其他防渗性能等效的材料。</w:t>
            </w:r>
          </w:p>
        </w:tc>
      </w:tr>
      <w:tr w14:paraId="640853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1764" w:type="dxa"/>
            <w:tcBorders>
              <w:top w:val="single" w:color="auto" w:sz="4" w:space="0"/>
              <w:left w:val="single" w:color="auto" w:sz="8" w:space="0"/>
              <w:bottom w:val="single" w:color="auto" w:sz="4" w:space="0"/>
              <w:right w:val="single" w:color="auto" w:sz="4" w:space="0"/>
              <w:tl2br w:val="nil"/>
              <w:tr2bl w:val="nil"/>
            </w:tcBorders>
            <w:vAlign w:val="center"/>
          </w:tcPr>
          <w:p w14:paraId="5304DFA2">
            <w:pPr>
              <w:adjustRightInd w:val="0"/>
              <w:snapToGrid w:val="0"/>
              <w:spacing w:line="240" w:lineRule="auto"/>
              <w:ind w:firstLine="0" w:firstLineChars="0"/>
              <w:jc w:val="center"/>
              <w:rPr>
                <w:rFonts w:hint="default"/>
                <w:color w:val="auto"/>
                <w:szCs w:val="21"/>
              </w:rPr>
            </w:pPr>
            <w:r>
              <w:rPr>
                <w:rFonts w:hint="default" w:eastAsia="宋体"/>
                <w:color w:val="auto"/>
                <w:szCs w:val="21"/>
              </w:rPr>
              <w:t>生态保护措施</w:t>
            </w:r>
          </w:p>
        </w:tc>
        <w:tc>
          <w:tcPr>
            <w:tcW w:w="7036" w:type="dxa"/>
            <w:gridSpan w:val="4"/>
            <w:tcBorders>
              <w:top w:val="single" w:color="auto" w:sz="4" w:space="0"/>
              <w:left w:val="single" w:color="auto" w:sz="4" w:space="0"/>
              <w:bottom w:val="single" w:color="auto" w:sz="4" w:space="0"/>
              <w:right w:val="single" w:color="auto" w:sz="8" w:space="0"/>
              <w:tl2br w:val="nil"/>
              <w:tr2bl w:val="nil"/>
            </w:tcBorders>
            <w:vAlign w:val="center"/>
          </w:tcPr>
          <w:p w14:paraId="24E5D06A">
            <w:pPr>
              <w:adjustRightInd w:val="0"/>
              <w:snapToGrid w:val="0"/>
              <w:spacing w:line="240" w:lineRule="auto"/>
              <w:ind w:firstLine="0" w:firstLineChars="0"/>
              <w:rPr>
                <w:rFonts w:hint="default"/>
                <w:color w:val="auto"/>
                <w:szCs w:val="21"/>
              </w:rPr>
            </w:pPr>
            <w:r>
              <w:rPr>
                <w:rFonts w:hint="default" w:eastAsia="宋体"/>
                <w:color w:val="auto"/>
                <w:szCs w:val="21"/>
              </w:rPr>
              <w:t>本项目占地在厂区范围内，不新增占地，只要在项目实施过程中切实做好废气治理、固体废物的收集及机械设备噪声的控制等各项工作，本项目的建设不会对生态产生明显不利影响。</w:t>
            </w:r>
          </w:p>
        </w:tc>
      </w:tr>
      <w:tr w14:paraId="7D82D7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1764" w:type="dxa"/>
            <w:tcBorders>
              <w:top w:val="single" w:color="auto" w:sz="4" w:space="0"/>
              <w:left w:val="single" w:color="auto" w:sz="8" w:space="0"/>
              <w:bottom w:val="single" w:color="auto" w:sz="4" w:space="0"/>
              <w:right w:val="single" w:color="auto" w:sz="4" w:space="0"/>
              <w:tl2br w:val="nil"/>
              <w:tr2bl w:val="nil"/>
            </w:tcBorders>
            <w:vAlign w:val="center"/>
          </w:tcPr>
          <w:p w14:paraId="1E48A2EC">
            <w:pPr>
              <w:adjustRightInd w:val="0"/>
              <w:snapToGrid w:val="0"/>
              <w:spacing w:line="240" w:lineRule="auto"/>
              <w:ind w:firstLine="0" w:firstLineChars="0"/>
              <w:jc w:val="center"/>
              <w:rPr>
                <w:rFonts w:hint="default"/>
                <w:color w:val="auto"/>
                <w:spacing w:val="-8"/>
                <w:szCs w:val="21"/>
              </w:rPr>
            </w:pPr>
            <w:r>
              <w:rPr>
                <w:rFonts w:hint="default" w:eastAsia="宋体"/>
                <w:color w:val="auto"/>
                <w:spacing w:val="-8"/>
                <w:szCs w:val="21"/>
              </w:rPr>
              <w:t>环境风险</w:t>
            </w:r>
          </w:p>
          <w:p w14:paraId="64378151">
            <w:pPr>
              <w:adjustRightInd w:val="0"/>
              <w:snapToGrid w:val="0"/>
              <w:spacing w:line="240" w:lineRule="auto"/>
              <w:ind w:firstLine="0" w:firstLineChars="0"/>
              <w:jc w:val="center"/>
              <w:rPr>
                <w:rFonts w:hint="default"/>
                <w:color w:val="auto"/>
                <w:spacing w:val="-8"/>
                <w:szCs w:val="21"/>
              </w:rPr>
            </w:pPr>
            <w:r>
              <w:rPr>
                <w:rFonts w:hint="default" w:eastAsia="宋体"/>
                <w:color w:val="auto"/>
                <w:spacing w:val="-8"/>
                <w:szCs w:val="21"/>
              </w:rPr>
              <w:t>防范措施</w:t>
            </w:r>
          </w:p>
        </w:tc>
        <w:tc>
          <w:tcPr>
            <w:tcW w:w="7036" w:type="dxa"/>
            <w:gridSpan w:val="4"/>
            <w:tcBorders>
              <w:top w:val="single" w:color="auto" w:sz="4" w:space="0"/>
              <w:left w:val="single" w:color="auto" w:sz="4" w:space="0"/>
              <w:bottom w:val="single" w:color="auto" w:sz="4" w:space="0"/>
              <w:right w:val="single" w:color="auto" w:sz="8" w:space="0"/>
              <w:tl2br w:val="nil"/>
              <w:tr2bl w:val="nil"/>
            </w:tcBorders>
            <w:vAlign w:val="center"/>
          </w:tcPr>
          <w:p w14:paraId="5D24A450">
            <w:pPr>
              <w:adjustRightInd w:val="0"/>
              <w:snapToGrid w:val="0"/>
              <w:spacing w:line="240" w:lineRule="auto"/>
              <w:ind w:firstLine="0" w:firstLineChars="0"/>
              <w:rPr>
                <w:rFonts w:hint="default"/>
                <w:color w:val="auto"/>
                <w:szCs w:val="21"/>
              </w:rPr>
            </w:pPr>
            <w:r>
              <w:rPr>
                <w:rFonts w:hint="default"/>
                <w:color w:val="auto"/>
                <w:szCs w:val="21"/>
              </w:rPr>
              <w:t>①</w:t>
            </w:r>
            <w:r>
              <w:rPr>
                <w:rFonts w:hint="default" w:eastAsia="宋体"/>
                <w:color w:val="auto"/>
                <w:szCs w:val="21"/>
              </w:rPr>
              <w:t>强化管理：</w:t>
            </w:r>
          </w:p>
          <w:p w14:paraId="7399FC0B">
            <w:pPr>
              <w:adjustRightInd w:val="0"/>
              <w:snapToGrid w:val="0"/>
              <w:spacing w:line="240" w:lineRule="auto"/>
              <w:ind w:firstLine="0" w:firstLineChars="0"/>
              <w:rPr>
                <w:rFonts w:hint="default"/>
                <w:color w:val="auto"/>
                <w:szCs w:val="21"/>
              </w:rPr>
            </w:pPr>
            <w:r>
              <w:rPr>
                <w:rFonts w:hint="default"/>
                <w:color w:val="auto"/>
                <w:szCs w:val="21"/>
              </w:rPr>
              <w:t>A</w:t>
            </w:r>
            <w:r>
              <w:rPr>
                <w:rFonts w:hint="default" w:eastAsia="宋体"/>
                <w:color w:val="auto"/>
                <w:szCs w:val="21"/>
              </w:rPr>
              <w:t>加强仓库巡查，定时巡查，主要检查储油桶、防渗层是否破损，若有破损及时进行修补，待防渗层修补好后，方可恢复运营。</w:t>
            </w:r>
          </w:p>
          <w:p w14:paraId="098DB137">
            <w:pPr>
              <w:adjustRightInd w:val="0"/>
              <w:snapToGrid w:val="0"/>
              <w:spacing w:line="240" w:lineRule="auto"/>
              <w:ind w:firstLine="0" w:firstLineChars="0"/>
              <w:rPr>
                <w:rFonts w:hint="default"/>
                <w:color w:val="auto"/>
                <w:szCs w:val="21"/>
              </w:rPr>
            </w:pPr>
            <w:r>
              <w:rPr>
                <w:rFonts w:hint="default"/>
                <w:color w:val="auto"/>
                <w:szCs w:val="21"/>
              </w:rPr>
              <w:t>B</w:t>
            </w:r>
            <w:r>
              <w:rPr>
                <w:rFonts w:hint="default" w:eastAsia="宋体"/>
                <w:color w:val="auto"/>
                <w:szCs w:val="21"/>
              </w:rPr>
              <w:t>强化管理，加强搬运人员的业务培训，完善各项规章制度，尽量避免废矿物油的泄漏。</w:t>
            </w:r>
          </w:p>
          <w:p w14:paraId="3EFA9410">
            <w:pPr>
              <w:adjustRightInd w:val="0"/>
              <w:snapToGrid w:val="0"/>
              <w:spacing w:line="240" w:lineRule="auto"/>
              <w:ind w:firstLine="0" w:firstLineChars="0"/>
              <w:rPr>
                <w:rFonts w:hint="default"/>
                <w:color w:val="auto"/>
                <w:szCs w:val="21"/>
              </w:rPr>
            </w:pPr>
            <w:r>
              <w:rPr>
                <w:rFonts w:hint="default"/>
                <w:color w:val="auto"/>
                <w:szCs w:val="21"/>
              </w:rPr>
              <w:t>C</w:t>
            </w:r>
            <w:r>
              <w:rPr>
                <w:rFonts w:hint="default" w:eastAsia="宋体"/>
                <w:color w:val="auto"/>
                <w:szCs w:val="21"/>
              </w:rPr>
              <w:t>危险废物暂存库四周设置导流渠与集液池相连，对发生泄漏的危险物质进行及时回收，并存储于防腐防渗容器中。</w:t>
            </w:r>
          </w:p>
          <w:p w14:paraId="43EB3604">
            <w:pPr>
              <w:adjustRightInd w:val="0"/>
              <w:snapToGrid w:val="0"/>
              <w:spacing w:line="240" w:lineRule="auto"/>
              <w:ind w:firstLine="0" w:firstLineChars="0"/>
              <w:rPr>
                <w:rFonts w:hint="default"/>
                <w:color w:val="auto"/>
                <w:szCs w:val="21"/>
              </w:rPr>
            </w:pPr>
            <w:r>
              <w:rPr>
                <w:rFonts w:hint="default"/>
                <w:color w:val="auto"/>
                <w:szCs w:val="21"/>
              </w:rPr>
              <w:t>②</w:t>
            </w:r>
            <w:r>
              <w:rPr>
                <w:rFonts w:hint="default" w:eastAsia="宋体"/>
                <w:color w:val="auto"/>
                <w:szCs w:val="21"/>
              </w:rPr>
              <w:t>合理布置厂区</w:t>
            </w:r>
          </w:p>
          <w:p w14:paraId="4877EFDB">
            <w:pPr>
              <w:adjustRightInd w:val="0"/>
              <w:snapToGrid w:val="0"/>
              <w:spacing w:line="240" w:lineRule="auto"/>
              <w:ind w:firstLine="0" w:firstLineChars="0"/>
              <w:rPr>
                <w:rFonts w:hint="default"/>
                <w:color w:val="auto"/>
                <w:szCs w:val="21"/>
              </w:rPr>
            </w:pPr>
            <w:r>
              <w:rPr>
                <w:rFonts w:hint="default"/>
                <w:color w:val="auto"/>
                <w:szCs w:val="21"/>
              </w:rPr>
              <w:t>A</w:t>
            </w:r>
            <w:r>
              <w:rPr>
                <w:rFonts w:hint="default" w:eastAsia="宋体"/>
                <w:color w:val="auto"/>
                <w:szCs w:val="21"/>
              </w:rPr>
              <w:t>办公生活区应与暂存区之间明显分隔；</w:t>
            </w:r>
          </w:p>
          <w:p w14:paraId="68C87F17">
            <w:pPr>
              <w:adjustRightInd w:val="0"/>
              <w:snapToGrid w:val="0"/>
              <w:spacing w:line="240" w:lineRule="auto"/>
              <w:ind w:firstLine="0" w:firstLineChars="0"/>
              <w:rPr>
                <w:rFonts w:hint="default"/>
                <w:color w:val="auto"/>
                <w:szCs w:val="21"/>
              </w:rPr>
            </w:pPr>
            <w:r>
              <w:rPr>
                <w:rFonts w:hint="default"/>
                <w:color w:val="auto"/>
                <w:szCs w:val="21"/>
              </w:rPr>
              <w:t>B</w:t>
            </w:r>
            <w:r>
              <w:rPr>
                <w:rFonts w:hint="default" w:eastAsia="宋体"/>
                <w:color w:val="auto"/>
                <w:szCs w:val="21"/>
              </w:rPr>
              <w:t>合理布置仓库分区，对不同危险废物进行分区存放；</w:t>
            </w:r>
          </w:p>
          <w:p w14:paraId="2D38E105">
            <w:pPr>
              <w:adjustRightInd w:val="0"/>
              <w:snapToGrid w:val="0"/>
              <w:spacing w:line="240" w:lineRule="auto"/>
              <w:ind w:firstLine="0" w:firstLineChars="0"/>
              <w:rPr>
                <w:rFonts w:hint="default"/>
                <w:color w:val="auto"/>
                <w:szCs w:val="21"/>
              </w:rPr>
            </w:pPr>
            <w:r>
              <w:rPr>
                <w:rFonts w:hint="default"/>
                <w:color w:val="auto"/>
                <w:szCs w:val="21"/>
              </w:rPr>
              <w:t>C</w:t>
            </w:r>
            <w:r>
              <w:rPr>
                <w:rFonts w:hint="default" w:eastAsia="宋体"/>
                <w:color w:val="auto"/>
                <w:szCs w:val="21"/>
              </w:rPr>
              <w:t>该项目应留有足够的消防环形通道，并保证消防、急救车辆到达该区域畅通无阻。道路宽度应符合有关规范要求；</w:t>
            </w:r>
          </w:p>
          <w:p w14:paraId="4CE19CB4">
            <w:pPr>
              <w:adjustRightInd w:val="0"/>
              <w:snapToGrid w:val="0"/>
              <w:spacing w:line="240" w:lineRule="auto"/>
              <w:ind w:firstLine="0" w:firstLineChars="0"/>
              <w:rPr>
                <w:rFonts w:hint="default"/>
                <w:color w:val="auto"/>
                <w:szCs w:val="21"/>
              </w:rPr>
            </w:pPr>
            <w:r>
              <w:rPr>
                <w:rFonts w:hint="default"/>
                <w:color w:val="auto"/>
                <w:szCs w:val="21"/>
              </w:rPr>
              <w:t>D</w:t>
            </w:r>
            <w:r>
              <w:rPr>
                <w:rFonts w:hint="default" w:eastAsia="宋体"/>
                <w:color w:val="auto"/>
                <w:szCs w:val="21"/>
              </w:rPr>
              <w:t>厂外进入厂区的公用工程干线不应通过危险区；</w:t>
            </w:r>
          </w:p>
          <w:p w14:paraId="19F87387">
            <w:pPr>
              <w:adjustRightInd w:val="0"/>
              <w:snapToGrid w:val="0"/>
              <w:spacing w:line="240" w:lineRule="auto"/>
              <w:ind w:firstLine="0" w:firstLineChars="0"/>
              <w:rPr>
                <w:rFonts w:hint="default"/>
                <w:color w:val="auto"/>
                <w:szCs w:val="21"/>
              </w:rPr>
            </w:pPr>
            <w:r>
              <w:rPr>
                <w:rFonts w:hint="default"/>
                <w:color w:val="auto"/>
                <w:szCs w:val="21"/>
              </w:rPr>
              <w:t>E</w:t>
            </w:r>
            <w:r>
              <w:rPr>
                <w:rFonts w:hint="default" w:eastAsia="宋体"/>
                <w:color w:val="auto"/>
                <w:szCs w:val="21"/>
              </w:rPr>
              <w:t>按照有关规定考虑消防设施及火灾报警系统的设置；</w:t>
            </w:r>
          </w:p>
          <w:p w14:paraId="3892FE74">
            <w:pPr>
              <w:adjustRightInd w:val="0"/>
              <w:snapToGrid w:val="0"/>
              <w:spacing w:line="240" w:lineRule="auto"/>
              <w:ind w:firstLine="0" w:firstLineChars="0"/>
              <w:rPr>
                <w:rFonts w:hint="default"/>
                <w:color w:val="auto"/>
                <w:szCs w:val="21"/>
              </w:rPr>
            </w:pPr>
            <w:r>
              <w:rPr>
                <w:rFonts w:hint="default"/>
                <w:color w:val="auto"/>
                <w:szCs w:val="21"/>
              </w:rPr>
              <w:t>F</w:t>
            </w:r>
            <w:r>
              <w:rPr>
                <w:rFonts w:hint="default" w:eastAsia="宋体"/>
                <w:color w:val="auto"/>
                <w:szCs w:val="21"/>
              </w:rPr>
              <w:t>按照有关规定考虑紧急救援站的设置。</w:t>
            </w:r>
          </w:p>
        </w:tc>
      </w:tr>
      <w:tr w14:paraId="097CA4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1764" w:type="dxa"/>
            <w:tcBorders>
              <w:top w:val="single" w:color="auto" w:sz="4" w:space="0"/>
              <w:left w:val="single" w:color="auto" w:sz="8" w:space="0"/>
              <w:bottom w:val="single" w:color="auto" w:sz="8" w:space="0"/>
              <w:right w:val="single" w:color="auto" w:sz="4" w:space="0"/>
              <w:tl2br w:val="nil"/>
              <w:tr2bl w:val="nil"/>
            </w:tcBorders>
            <w:vAlign w:val="center"/>
          </w:tcPr>
          <w:p w14:paraId="02A9225A">
            <w:pPr>
              <w:adjustRightInd w:val="0"/>
              <w:snapToGrid w:val="0"/>
              <w:spacing w:line="240" w:lineRule="auto"/>
              <w:ind w:firstLine="0" w:firstLineChars="0"/>
              <w:jc w:val="center"/>
              <w:rPr>
                <w:rFonts w:hint="default"/>
                <w:color w:val="auto"/>
                <w:spacing w:val="-8"/>
                <w:szCs w:val="21"/>
              </w:rPr>
            </w:pPr>
            <w:r>
              <w:rPr>
                <w:rFonts w:hint="default" w:eastAsia="宋体"/>
                <w:color w:val="auto"/>
                <w:spacing w:val="-8"/>
                <w:szCs w:val="21"/>
              </w:rPr>
              <w:t>其他环境</w:t>
            </w:r>
          </w:p>
          <w:p w14:paraId="6F05CD99">
            <w:pPr>
              <w:adjustRightInd w:val="0"/>
              <w:snapToGrid w:val="0"/>
              <w:spacing w:line="240" w:lineRule="auto"/>
              <w:ind w:firstLine="0" w:firstLineChars="0"/>
              <w:jc w:val="center"/>
              <w:rPr>
                <w:rFonts w:hint="default"/>
                <w:color w:val="auto"/>
                <w:spacing w:val="-8"/>
                <w:szCs w:val="21"/>
              </w:rPr>
            </w:pPr>
            <w:r>
              <w:rPr>
                <w:rFonts w:hint="default" w:eastAsia="宋体"/>
                <w:color w:val="auto"/>
                <w:spacing w:val="-8"/>
                <w:szCs w:val="21"/>
              </w:rPr>
              <w:t>管理要求</w:t>
            </w:r>
          </w:p>
        </w:tc>
        <w:tc>
          <w:tcPr>
            <w:tcW w:w="7036" w:type="dxa"/>
            <w:gridSpan w:val="4"/>
            <w:tcBorders>
              <w:top w:val="single" w:color="auto" w:sz="4" w:space="0"/>
              <w:left w:val="single" w:color="auto" w:sz="4" w:space="0"/>
              <w:bottom w:val="single" w:color="auto" w:sz="8" w:space="0"/>
              <w:right w:val="single" w:color="auto" w:sz="8" w:space="0"/>
              <w:tl2br w:val="nil"/>
              <w:tr2bl w:val="nil"/>
            </w:tcBorders>
            <w:vAlign w:val="center"/>
          </w:tcPr>
          <w:p w14:paraId="755DAA8E">
            <w:pPr>
              <w:adjustRightInd w:val="0"/>
              <w:snapToGrid w:val="0"/>
              <w:spacing w:line="240" w:lineRule="auto"/>
              <w:ind w:firstLine="0" w:firstLineChars="0"/>
              <w:rPr>
                <w:rFonts w:hint="default"/>
                <w:color w:val="auto"/>
                <w:szCs w:val="21"/>
              </w:rPr>
            </w:pPr>
            <w:r>
              <w:rPr>
                <w:rFonts w:hint="default" w:eastAsia="宋体"/>
                <w:color w:val="auto"/>
                <w:szCs w:val="21"/>
              </w:rPr>
              <w:t>（1）环境管理机构设置与职责</w:t>
            </w:r>
          </w:p>
          <w:p w14:paraId="4B6EF034">
            <w:pPr>
              <w:adjustRightInd w:val="0"/>
              <w:snapToGrid w:val="0"/>
              <w:spacing w:line="240" w:lineRule="auto"/>
              <w:ind w:firstLine="0" w:firstLineChars="0"/>
              <w:rPr>
                <w:rFonts w:hint="default"/>
                <w:color w:val="auto"/>
                <w:szCs w:val="21"/>
              </w:rPr>
            </w:pPr>
            <w:r>
              <w:rPr>
                <w:rFonts w:hint="default" w:eastAsia="宋体"/>
                <w:color w:val="auto"/>
                <w:szCs w:val="21"/>
              </w:rPr>
              <w:t>根据《建设项目环境保护设计规范》等要求，本项目需设立专门的环境管理机构及专职负责人员，负责项目的日常环境管理工作。环保专职管理人员的职能是：</w:t>
            </w:r>
          </w:p>
          <w:p w14:paraId="020B15E3">
            <w:pPr>
              <w:adjustRightInd w:val="0"/>
              <w:snapToGrid w:val="0"/>
              <w:spacing w:line="240" w:lineRule="auto"/>
              <w:ind w:firstLine="0" w:firstLineChars="0"/>
              <w:rPr>
                <w:rFonts w:hint="default"/>
                <w:color w:val="auto"/>
                <w:szCs w:val="21"/>
              </w:rPr>
            </w:pPr>
            <w:r>
              <w:rPr>
                <w:rFonts w:hint="default"/>
                <w:color w:val="auto"/>
                <w:szCs w:val="21"/>
              </w:rPr>
              <w:t>1</w:t>
            </w:r>
            <w:r>
              <w:rPr>
                <w:rFonts w:hint="default" w:eastAsia="宋体"/>
                <w:color w:val="auto"/>
                <w:szCs w:val="21"/>
              </w:rPr>
              <w:t>）负责贯彻实施国家环保法规和有关地方环保法规。</w:t>
            </w:r>
          </w:p>
          <w:p w14:paraId="71D52C46">
            <w:pPr>
              <w:adjustRightInd w:val="0"/>
              <w:snapToGrid w:val="0"/>
              <w:spacing w:line="240" w:lineRule="auto"/>
              <w:ind w:firstLine="0" w:firstLineChars="0"/>
              <w:rPr>
                <w:rFonts w:hint="default"/>
                <w:color w:val="auto"/>
                <w:szCs w:val="21"/>
              </w:rPr>
            </w:pPr>
            <w:r>
              <w:rPr>
                <w:rFonts w:hint="default"/>
                <w:color w:val="auto"/>
                <w:szCs w:val="21"/>
              </w:rPr>
              <w:t>2</w:t>
            </w:r>
            <w:r>
              <w:rPr>
                <w:rFonts w:hint="default" w:eastAsia="宋体"/>
                <w:color w:val="auto"/>
                <w:szCs w:val="21"/>
              </w:rPr>
              <w:t>）加强环保管理，建立健全企业的环境管理制度，确保污染治理和生态环境保护工作顺利实施，并实施检查和监督。</w:t>
            </w:r>
          </w:p>
          <w:p w14:paraId="3C58C68F">
            <w:pPr>
              <w:adjustRightInd w:val="0"/>
              <w:snapToGrid w:val="0"/>
              <w:spacing w:line="240" w:lineRule="auto"/>
              <w:ind w:firstLine="0" w:firstLineChars="0"/>
              <w:rPr>
                <w:rFonts w:hint="default"/>
                <w:color w:val="auto"/>
                <w:szCs w:val="21"/>
              </w:rPr>
            </w:pPr>
            <w:r>
              <w:rPr>
                <w:rFonts w:hint="default"/>
                <w:color w:val="auto"/>
                <w:szCs w:val="21"/>
              </w:rPr>
              <w:t>3</w:t>
            </w:r>
            <w:r>
              <w:rPr>
                <w:rFonts w:hint="default" w:eastAsia="宋体"/>
                <w:color w:val="auto"/>
                <w:szCs w:val="21"/>
              </w:rPr>
              <w:t>）组织开展环境监测，及时了解施工区及工程运行后环境质量状况及生态恢复状况。</w:t>
            </w:r>
          </w:p>
          <w:p w14:paraId="18B742AF">
            <w:pPr>
              <w:adjustRightInd w:val="0"/>
              <w:snapToGrid w:val="0"/>
              <w:spacing w:line="240" w:lineRule="auto"/>
              <w:ind w:firstLine="0" w:firstLineChars="0"/>
              <w:rPr>
                <w:rFonts w:hint="default"/>
                <w:color w:val="auto"/>
                <w:szCs w:val="21"/>
              </w:rPr>
            </w:pPr>
            <w:r>
              <w:rPr>
                <w:rFonts w:hint="default" w:eastAsia="宋体"/>
                <w:color w:val="auto"/>
                <w:szCs w:val="21"/>
              </w:rPr>
              <w:t>（2）环境管理要求</w:t>
            </w:r>
          </w:p>
          <w:p w14:paraId="6FBEF624">
            <w:pPr>
              <w:adjustRightInd w:val="0"/>
              <w:snapToGrid w:val="0"/>
              <w:spacing w:line="240" w:lineRule="auto"/>
              <w:ind w:firstLine="0" w:firstLineChars="0"/>
              <w:rPr>
                <w:rFonts w:hint="default"/>
                <w:color w:val="auto"/>
                <w:szCs w:val="21"/>
              </w:rPr>
            </w:pPr>
            <w:r>
              <w:rPr>
                <w:rFonts w:hint="default" w:eastAsia="宋体"/>
                <w:color w:val="auto"/>
                <w:szCs w:val="21"/>
              </w:rPr>
              <w:t>项目运营期应设专人进行环境管理工作，正确处理发展生产与环境保护的关系，监控环保工程的运行，并检查其效果，了解场内环境质量与影响环境质量的污染因子变化情况，建立健全环保档案，为保护和改善区域环境质量做好组织和监督工作，环境管理具体内容如下：</w:t>
            </w:r>
          </w:p>
          <w:p w14:paraId="53C090FC">
            <w:pPr>
              <w:adjustRightInd w:val="0"/>
              <w:snapToGrid w:val="0"/>
              <w:spacing w:line="240" w:lineRule="auto"/>
              <w:ind w:firstLine="0" w:firstLineChars="0"/>
              <w:rPr>
                <w:rFonts w:hint="default"/>
                <w:color w:val="auto"/>
                <w:szCs w:val="21"/>
              </w:rPr>
            </w:pPr>
            <w:r>
              <w:rPr>
                <w:rFonts w:hint="default"/>
                <w:color w:val="auto"/>
                <w:szCs w:val="21"/>
              </w:rPr>
              <w:t>1</w:t>
            </w:r>
            <w:r>
              <w:rPr>
                <w:rFonts w:hint="default" w:eastAsia="宋体"/>
                <w:color w:val="auto"/>
                <w:szCs w:val="21"/>
              </w:rPr>
              <w:t>）环保设施应与主体设施同时设计、同时施工、同时投入运行，项目主体设施及配套的环保设施建成后应进行环保验收，污染治理设施必须经验收合格后，项目方可投入运营，没有通过环保验收不得进行</w:t>
            </w:r>
            <w:r>
              <w:rPr>
                <w:rFonts w:eastAsia="宋体"/>
                <w:color w:val="auto"/>
                <w:szCs w:val="21"/>
              </w:rPr>
              <w:t>运营</w:t>
            </w:r>
            <w:r>
              <w:rPr>
                <w:rFonts w:hint="default" w:eastAsia="宋体"/>
                <w:color w:val="auto"/>
                <w:szCs w:val="21"/>
              </w:rPr>
              <w:t>。</w:t>
            </w:r>
          </w:p>
          <w:p w14:paraId="35C8FA25">
            <w:pPr>
              <w:adjustRightInd w:val="0"/>
              <w:snapToGrid w:val="0"/>
              <w:spacing w:line="240" w:lineRule="auto"/>
              <w:ind w:firstLine="0" w:firstLineChars="0"/>
              <w:rPr>
                <w:rFonts w:hint="default"/>
                <w:color w:val="auto"/>
                <w:szCs w:val="21"/>
              </w:rPr>
            </w:pPr>
            <w:r>
              <w:rPr>
                <w:rFonts w:hint="default"/>
                <w:color w:val="auto"/>
                <w:szCs w:val="21"/>
              </w:rPr>
              <w:t>2</w:t>
            </w:r>
            <w:r>
              <w:rPr>
                <w:rFonts w:hint="default" w:eastAsia="宋体"/>
                <w:color w:val="auto"/>
                <w:szCs w:val="21"/>
              </w:rPr>
              <w:t>）建立、健全环境管理制度，设置专职或兼职环保人员，负责日常环保安全，定期检查环保管理和环境监测工作。</w:t>
            </w:r>
          </w:p>
          <w:p w14:paraId="30DAB870">
            <w:pPr>
              <w:adjustRightInd w:val="0"/>
              <w:snapToGrid w:val="0"/>
              <w:spacing w:line="240" w:lineRule="auto"/>
              <w:ind w:firstLine="0" w:firstLineChars="0"/>
              <w:rPr>
                <w:rFonts w:hint="default"/>
                <w:color w:val="auto"/>
                <w:szCs w:val="21"/>
                <w:highlight w:val="yellow"/>
              </w:rPr>
            </w:pPr>
            <w:r>
              <w:rPr>
                <w:rFonts w:hint="default"/>
                <w:color w:val="auto"/>
                <w:szCs w:val="21"/>
              </w:rPr>
              <w:t>3</w:t>
            </w:r>
            <w:r>
              <w:rPr>
                <w:rFonts w:hint="default" w:eastAsia="宋体"/>
                <w:color w:val="auto"/>
                <w:szCs w:val="21"/>
              </w:rPr>
              <w:t>）制定各种可能发生事故的应急计划，定期对职工进行培训演练，配备各种必要的维护、抢修器材和设备，保证发生事故时能及时到位，按照相关要求编制应急预案并备案。</w:t>
            </w:r>
          </w:p>
          <w:p w14:paraId="3CD3A9BE">
            <w:pPr>
              <w:adjustRightInd w:val="0"/>
              <w:snapToGrid w:val="0"/>
              <w:spacing w:line="240" w:lineRule="auto"/>
              <w:ind w:firstLine="0" w:firstLineChars="0"/>
              <w:rPr>
                <w:rFonts w:hint="default"/>
                <w:color w:val="auto"/>
                <w:szCs w:val="21"/>
              </w:rPr>
            </w:pPr>
            <w:r>
              <w:rPr>
                <w:rFonts w:hint="default"/>
                <w:color w:val="auto"/>
                <w:szCs w:val="21"/>
              </w:rPr>
              <w:t>4</w:t>
            </w:r>
            <w:r>
              <w:rPr>
                <w:rFonts w:hint="default" w:eastAsia="宋体"/>
                <w:color w:val="auto"/>
                <w:szCs w:val="21"/>
              </w:rPr>
              <w:t>）收集、暂存危险废物，必须按照危险废物特性进行分类进行。禁止混合收集、暂存、运输、处置性质不相容而未经安全性处置的危险废物。</w:t>
            </w:r>
          </w:p>
          <w:p w14:paraId="649975D6">
            <w:pPr>
              <w:adjustRightInd w:val="0"/>
              <w:snapToGrid w:val="0"/>
              <w:spacing w:line="240" w:lineRule="auto"/>
              <w:ind w:firstLine="0" w:firstLineChars="0"/>
              <w:rPr>
                <w:rFonts w:hint="default"/>
                <w:color w:val="auto"/>
                <w:szCs w:val="21"/>
              </w:rPr>
            </w:pPr>
            <w:r>
              <w:rPr>
                <w:rFonts w:hint="default"/>
                <w:color w:val="auto"/>
                <w:szCs w:val="21"/>
              </w:rPr>
              <w:t>5</w:t>
            </w:r>
            <w:r>
              <w:rPr>
                <w:rFonts w:hint="default" w:eastAsia="宋体"/>
                <w:color w:val="auto"/>
                <w:szCs w:val="21"/>
              </w:rPr>
              <w:t>）严格按照《危险废物贮存污染控制标准》（GB18597-2023）和《危险废物转移管理办法》（2022年1月1日）中暂存及转移危险废物的要求对收集及产生的危险废物进行暂存、转移。</w:t>
            </w:r>
          </w:p>
          <w:p w14:paraId="431460A0">
            <w:pPr>
              <w:adjustRightInd w:val="0"/>
              <w:snapToGrid w:val="0"/>
              <w:spacing w:line="240" w:lineRule="auto"/>
              <w:ind w:firstLine="0" w:firstLineChars="0"/>
              <w:rPr>
                <w:rFonts w:hint="default"/>
                <w:color w:val="auto"/>
                <w:szCs w:val="21"/>
              </w:rPr>
            </w:pPr>
            <w:r>
              <w:rPr>
                <w:rFonts w:hint="default"/>
                <w:color w:val="auto"/>
                <w:szCs w:val="21"/>
              </w:rPr>
              <w:t>6</w:t>
            </w:r>
            <w:r>
              <w:rPr>
                <w:rFonts w:hint="default" w:eastAsia="宋体"/>
                <w:color w:val="auto"/>
                <w:szCs w:val="21"/>
              </w:rPr>
              <w:t>）暂存危险废物必须采取符合国家环境保护标准的防护措施，并不得超过一年，确需延长期限的，必须报经原批准经营许可证的环境保护行政主管部门批准。</w:t>
            </w:r>
          </w:p>
          <w:p w14:paraId="3B7CD16D">
            <w:pPr>
              <w:adjustRightInd w:val="0"/>
              <w:snapToGrid w:val="0"/>
              <w:spacing w:line="240" w:lineRule="auto"/>
              <w:ind w:firstLine="0" w:firstLineChars="0"/>
              <w:rPr>
                <w:rFonts w:hint="default"/>
                <w:color w:val="auto"/>
                <w:szCs w:val="21"/>
              </w:rPr>
            </w:pPr>
            <w:r>
              <w:rPr>
                <w:rFonts w:hint="default"/>
                <w:color w:val="auto"/>
                <w:szCs w:val="21"/>
              </w:rPr>
              <w:t>7</w:t>
            </w:r>
            <w:r>
              <w:rPr>
                <w:rFonts w:hint="default" w:eastAsia="宋体"/>
                <w:color w:val="auto"/>
                <w:szCs w:val="21"/>
              </w:rPr>
              <w:t>）危险废物收集、暂存及转运要建立危险废物进出管理台账。</w:t>
            </w:r>
          </w:p>
          <w:p w14:paraId="7BEBEE9C">
            <w:pPr>
              <w:adjustRightInd w:val="0"/>
              <w:snapToGrid w:val="0"/>
              <w:spacing w:line="240" w:lineRule="auto"/>
              <w:ind w:firstLine="0" w:firstLineChars="0"/>
              <w:rPr>
                <w:rFonts w:hint="default"/>
                <w:color w:val="auto"/>
                <w:szCs w:val="21"/>
              </w:rPr>
            </w:pPr>
            <w:r>
              <w:rPr>
                <w:rFonts w:hint="default"/>
                <w:color w:val="auto"/>
                <w:szCs w:val="21"/>
              </w:rPr>
              <w:t>8</w:t>
            </w:r>
            <w:r>
              <w:rPr>
                <w:rFonts w:hint="default" w:eastAsia="宋体"/>
                <w:color w:val="auto"/>
                <w:szCs w:val="21"/>
              </w:rPr>
              <w:t>）收集暂存的危险废物应严格按照《危险废物转移管理办法》（2022年1月1日）中的有关要求管理，危险废物转移程序如下：</w:t>
            </w:r>
          </w:p>
          <w:p w14:paraId="756DA02D">
            <w:pPr>
              <w:adjustRightInd w:val="0"/>
              <w:snapToGrid w:val="0"/>
              <w:spacing w:line="240" w:lineRule="auto"/>
              <w:ind w:firstLine="0" w:firstLineChars="0"/>
              <w:rPr>
                <w:rFonts w:hint="default"/>
                <w:color w:val="auto"/>
                <w:szCs w:val="21"/>
              </w:rPr>
            </w:pPr>
            <w:r>
              <w:rPr>
                <w:rFonts w:hint="default"/>
                <w:color w:val="auto"/>
                <w:szCs w:val="21"/>
              </w:rPr>
              <w:t>①</w:t>
            </w:r>
            <w:r>
              <w:rPr>
                <w:rFonts w:hint="default" w:eastAsia="宋体"/>
                <w:color w:val="auto"/>
                <w:szCs w:val="21"/>
              </w:rPr>
              <w:t>危险废物产生单位在转移危险废物前，须按照国家有关规定报批危险废物转移计划；经批准后，产生单位应当向移出地环境保护行政主管部门申请领取联单。</w:t>
            </w:r>
          </w:p>
          <w:p w14:paraId="4A14937A">
            <w:pPr>
              <w:adjustRightInd w:val="0"/>
              <w:snapToGrid w:val="0"/>
              <w:spacing w:line="240" w:lineRule="auto"/>
              <w:ind w:firstLine="0" w:firstLineChars="0"/>
              <w:rPr>
                <w:rFonts w:hint="default"/>
                <w:color w:val="auto"/>
                <w:szCs w:val="21"/>
              </w:rPr>
            </w:pPr>
            <w:r>
              <w:rPr>
                <w:rFonts w:hint="default"/>
                <w:color w:val="auto"/>
                <w:szCs w:val="21"/>
              </w:rPr>
              <w:t>②</w:t>
            </w:r>
            <w:r>
              <w:rPr>
                <w:rFonts w:hint="default" w:eastAsia="宋体"/>
                <w:color w:val="auto"/>
                <w:szCs w:val="21"/>
              </w:rPr>
              <w:t>产生单位应当在危险废物转移前三日内报告移出地环境保护行政主管部门，并同时将预期到达时间报告接收地环境保护行政主管部门。</w:t>
            </w:r>
          </w:p>
          <w:p w14:paraId="6476E4D1">
            <w:pPr>
              <w:adjustRightInd w:val="0"/>
              <w:snapToGrid w:val="0"/>
              <w:spacing w:line="240" w:lineRule="auto"/>
              <w:ind w:firstLine="0" w:firstLineChars="0"/>
              <w:rPr>
                <w:rFonts w:hint="default"/>
                <w:color w:val="auto"/>
                <w:szCs w:val="21"/>
              </w:rPr>
            </w:pPr>
            <w:r>
              <w:rPr>
                <w:rFonts w:hint="default"/>
                <w:color w:val="auto"/>
                <w:szCs w:val="21"/>
              </w:rPr>
              <w:t>③</w:t>
            </w:r>
            <w:r>
              <w:rPr>
                <w:rFonts w:hint="default" w:eastAsia="宋体"/>
                <w:color w:val="auto"/>
                <w:szCs w:val="21"/>
              </w:rPr>
              <w:t>危险废物产生单位每转移一车、船（次）同类危险废物，应当填写一份联单。每车、船（次）有多类危险废物的，应当按每一类危险废物填写一份联单。</w:t>
            </w:r>
          </w:p>
          <w:p w14:paraId="3ED8A443">
            <w:pPr>
              <w:adjustRightInd w:val="0"/>
              <w:snapToGrid w:val="0"/>
              <w:spacing w:line="240" w:lineRule="auto"/>
              <w:ind w:firstLine="0" w:firstLineChars="0"/>
              <w:rPr>
                <w:rFonts w:hint="default"/>
                <w:color w:val="auto"/>
                <w:szCs w:val="21"/>
              </w:rPr>
            </w:pPr>
            <w:r>
              <w:rPr>
                <w:rFonts w:hint="default"/>
                <w:color w:val="auto"/>
                <w:szCs w:val="21"/>
              </w:rPr>
              <w:t>④</w:t>
            </w:r>
            <w:r>
              <w:rPr>
                <w:rFonts w:hint="default" w:eastAsia="宋体"/>
                <w:color w:val="auto"/>
                <w:szCs w:val="21"/>
              </w:rPr>
              <w:t>危险废物产生单位应当如实填写联单中产生单位栏目，并加盖公章，经交付危险废物运输单位核实验收签字后，将联单第一联副联自留存档，将联单第二联交移出地环境保护行政主管部门，联单第一联正联及其余各联交付运输单位随危险废物转移运行。</w:t>
            </w:r>
          </w:p>
          <w:p w14:paraId="12746503">
            <w:pPr>
              <w:adjustRightInd w:val="0"/>
              <w:snapToGrid w:val="0"/>
              <w:spacing w:line="240" w:lineRule="auto"/>
              <w:ind w:firstLine="0" w:firstLineChars="0"/>
              <w:rPr>
                <w:rFonts w:hint="default"/>
                <w:color w:val="auto"/>
                <w:szCs w:val="21"/>
              </w:rPr>
            </w:pPr>
            <w:r>
              <w:rPr>
                <w:rFonts w:hint="default"/>
                <w:color w:val="auto"/>
                <w:szCs w:val="21"/>
              </w:rPr>
              <w:t>⑤</w:t>
            </w:r>
            <w:r>
              <w:rPr>
                <w:rFonts w:hint="default" w:eastAsia="宋体"/>
                <w:color w:val="auto"/>
                <w:szCs w:val="21"/>
              </w:rPr>
              <w:t>危险废物运输单位应当如实填写联单的运输单位栏目，按照国家有关危险物品运输的规定，将危险废物安全运抵联单载明的接收地点，并将联单第一联、第二联副联、第三联、第四联、第五联随转移的危险废物交付危险废物接收单位。</w:t>
            </w:r>
          </w:p>
          <w:p w14:paraId="7E55474E">
            <w:pPr>
              <w:adjustRightInd w:val="0"/>
              <w:snapToGrid w:val="0"/>
              <w:spacing w:line="240" w:lineRule="auto"/>
              <w:ind w:firstLine="0" w:firstLineChars="0"/>
              <w:rPr>
                <w:rFonts w:hint="default"/>
                <w:color w:val="auto"/>
                <w:szCs w:val="21"/>
              </w:rPr>
            </w:pPr>
            <w:r>
              <w:rPr>
                <w:rFonts w:hint="default"/>
                <w:color w:val="auto"/>
                <w:szCs w:val="21"/>
              </w:rPr>
              <w:t>⑥</w:t>
            </w:r>
            <w:r>
              <w:rPr>
                <w:rFonts w:hint="default" w:eastAsia="宋体"/>
                <w:color w:val="auto"/>
                <w:szCs w:val="21"/>
              </w:rPr>
              <w:t>危险废物</w:t>
            </w:r>
            <w:r>
              <w:rPr>
                <w:rFonts w:eastAsia="宋体"/>
                <w:color w:val="auto"/>
                <w:szCs w:val="21"/>
              </w:rPr>
              <w:t>接收单位</w:t>
            </w:r>
            <w:r>
              <w:rPr>
                <w:rFonts w:hint="default" w:eastAsia="宋体"/>
                <w:color w:val="auto"/>
                <w:szCs w:val="21"/>
              </w:rPr>
              <w:t>应当按照联单填写的内容对危险废物核实验收，如实填写联单中</w:t>
            </w:r>
            <w:r>
              <w:rPr>
                <w:rFonts w:eastAsia="宋体"/>
                <w:color w:val="auto"/>
                <w:szCs w:val="21"/>
              </w:rPr>
              <w:t>接收单位</w:t>
            </w:r>
            <w:r>
              <w:rPr>
                <w:rFonts w:hint="default" w:eastAsia="宋体"/>
                <w:color w:val="auto"/>
                <w:szCs w:val="21"/>
              </w:rPr>
              <w:t>栏目并加盖公章。</w:t>
            </w:r>
          </w:p>
          <w:p w14:paraId="3BE9BC13">
            <w:pPr>
              <w:adjustRightInd w:val="0"/>
              <w:snapToGrid w:val="0"/>
              <w:spacing w:line="240" w:lineRule="auto"/>
              <w:ind w:firstLine="0" w:firstLineChars="0"/>
              <w:rPr>
                <w:rFonts w:hint="default"/>
                <w:color w:val="auto"/>
                <w:szCs w:val="21"/>
              </w:rPr>
            </w:pPr>
            <w:r>
              <w:rPr>
                <w:rFonts w:hint="default"/>
                <w:color w:val="auto"/>
                <w:szCs w:val="21"/>
              </w:rPr>
              <w:t>⑦</w:t>
            </w:r>
            <w:r>
              <w:rPr>
                <w:rFonts w:eastAsia="宋体"/>
                <w:color w:val="auto"/>
                <w:szCs w:val="21"/>
              </w:rPr>
              <w:t>接收单位</w:t>
            </w:r>
            <w:r>
              <w:rPr>
                <w:rFonts w:hint="default" w:eastAsia="宋体"/>
                <w:color w:val="auto"/>
                <w:szCs w:val="21"/>
              </w:rPr>
              <w:t>应当将联单第一联、第二联副联自</w:t>
            </w:r>
            <w:r>
              <w:rPr>
                <w:rFonts w:hint="eastAsia" w:eastAsia="宋体"/>
                <w:color w:val="auto"/>
                <w:szCs w:val="21"/>
                <w:lang w:eastAsia="zh-CN"/>
              </w:rPr>
              <w:t>接收</w:t>
            </w:r>
            <w:r>
              <w:rPr>
                <w:rFonts w:hint="default" w:eastAsia="宋体"/>
                <w:color w:val="auto"/>
                <w:szCs w:val="21"/>
              </w:rPr>
              <w:t>危险废物之日起十日内交付产生单位，联单第一联由产生单位自留存档，联单第二联副联由产生单位在二日内报送移出地环境保护行政主管部门；</w:t>
            </w:r>
            <w:r>
              <w:rPr>
                <w:rFonts w:eastAsia="宋体"/>
                <w:color w:val="auto"/>
                <w:szCs w:val="21"/>
              </w:rPr>
              <w:t>接收单位</w:t>
            </w:r>
            <w:r>
              <w:rPr>
                <w:rFonts w:hint="default" w:eastAsia="宋体"/>
                <w:color w:val="auto"/>
                <w:szCs w:val="21"/>
              </w:rPr>
              <w:t>将联单第三联交付运输单位存档；将联单第四联自留存档；将联单第五联自</w:t>
            </w:r>
            <w:r>
              <w:rPr>
                <w:rFonts w:eastAsia="宋体"/>
                <w:color w:val="auto"/>
                <w:szCs w:val="21"/>
              </w:rPr>
              <w:t>接收</w:t>
            </w:r>
            <w:r>
              <w:rPr>
                <w:rFonts w:hint="default" w:eastAsia="宋体"/>
                <w:color w:val="auto"/>
                <w:szCs w:val="21"/>
              </w:rPr>
              <w:t>危险废物之日起</w:t>
            </w:r>
            <w:r>
              <w:rPr>
                <w:rFonts w:hint="eastAsia" w:eastAsia="宋体"/>
                <w:color w:val="auto"/>
                <w:szCs w:val="21"/>
                <w:lang w:eastAsia="zh-CN"/>
              </w:rPr>
              <w:t>两日</w:t>
            </w:r>
            <w:r>
              <w:rPr>
                <w:rFonts w:hint="default" w:eastAsia="宋体"/>
                <w:color w:val="auto"/>
                <w:szCs w:val="21"/>
              </w:rPr>
              <w:t>内报送</w:t>
            </w:r>
            <w:r>
              <w:rPr>
                <w:rFonts w:eastAsia="宋体"/>
                <w:color w:val="auto"/>
                <w:szCs w:val="21"/>
              </w:rPr>
              <w:t>接收</w:t>
            </w:r>
            <w:r>
              <w:rPr>
                <w:rFonts w:hint="default" w:eastAsia="宋体"/>
                <w:color w:val="auto"/>
                <w:szCs w:val="21"/>
              </w:rPr>
              <w:t>地环境保护行政主管部门。</w:t>
            </w:r>
          </w:p>
          <w:p w14:paraId="5D5DCE4D">
            <w:pPr>
              <w:adjustRightInd w:val="0"/>
              <w:snapToGrid w:val="0"/>
              <w:spacing w:line="240" w:lineRule="auto"/>
              <w:ind w:firstLine="0" w:firstLineChars="0"/>
              <w:rPr>
                <w:rFonts w:hint="default"/>
                <w:color w:val="auto"/>
                <w:szCs w:val="21"/>
              </w:rPr>
            </w:pPr>
            <w:r>
              <w:rPr>
                <w:rFonts w:hint="default"/>
                <w:color w:val="auto"/>
                <w:szCs w:val="21"/>
              </w:rPr>
              <w:t>⑧</w:t>
            </w:r>
            <w:r>
              <w:rPr>
                <w:rFonts w:hint="default" w:eastAsia="宋体"/>
                <w:color w:val="auto"/>
                <w:szCs w:val="21"/>
              </w:rPr>
              <w:t>危险废物</w:t>
            </w:r>
            <w:r>
              <w:rPr>
                <w:rFonts w:eastAsia="宋体"/>
                <w:color w:val="auto"/>
                <w:szCs w:val="21"/>
              </w:rPr>
              <w:t>接收单位</w:t>
            </w:r>
            <w:r>
              <w:rPr>
                <w:rFonts w:hint="default" w:eastAsia="宋体"/>
                <w:color w:val="auto"/>
                <w:szCs w:val="21"/>
              </w:rPr>
              <w:t>验收发现危险废物的名称、数量、特性、形态、包装方式与联单填写内容不符的，应当及时向</w:t>
            </w:r>
            <w:r>
              <w:rPr>
                <w:rFonts w:eastAsia="宋体"/>
                <w:color w:val="auto"/>
                <w:szCs w:val="21"/>
              </w:rPr>
              <w:t>接收</w:t>
            </w:r>
            <w:r>
              <w:rPr>
                <w:rFonts w:hint="default" w:eastAsia="宋体"/>
                <w:color w:val="auto"/>
                <w:szCs w:val="21"/>
              </w:rPr>
              <w:t>地环境保护行政主管部门报告，并通知产生单位。</w:t>
            </w:r>
          </w:p>
          <w:p w14:paraId="2113B55C">
            <w:pPr>
              <w:adjustRightInd w:val="0"/>
              <w:snapToGrid w:val="0"/>
              <w:spacing w:line="240" w:lineRule="auto"/>
              <w:ind w:firstLine="0" w:firstLineChars="0"/>
              <w:rPr>
                <w:rFonts w:hint="default"/>
                <w:color w:val="auto"/>
                <w:szCs w:val="21"/>
              </w:rPr>
            </w:pPr>
            <w:r>
              <w:rPr>
                <w:rFonts w:hint="default"/>
                <w:color w:val="auto"/>
                <w:szCs w:val="21"/>
              </w:rPr>
              <w:t>⑨</w:t>
            </w:r>
            <w:r>
              <w:rPr>
                <w:rFonts w:hint="default" w:eastAsia="宋体"/>
                <w:color w:val="auto"/>
                <w:szCs w:val="21"/>
              </w:rPr>
              <w:t>联单保存期限为五年；暂存危险废物的，其联单保存期限与危险废物暂存期限相同。</w:t>
            </w:r>
          </w:p>
          <w:p w14:paraId="7AA6850B">
            <w:pPr>
              <w:adjustRightInd w:val="0"/>
              <w:snapToGrid w:val="0"/>
              <w:spacing w:line="240" w:lineRule="auto"/>
              <w:ind w:firstLine="0" w:firstLineChars="0"/>
              <w:rPr>
                <w:rFonts w:hint="default"/>
                <w:color w:val="auto"/>
                <w:szCs w:val="21"/>
              </w:rPr>
            </w:pPr>
            <w:r>
              <w:rPr>
                <w:rFonts w:hint="default" w:eastAsia="宋体"/>
                <w:color w:val="auto"/>
                <w:szCs w:val="21"/>
              </w:rPr>
              <w:t>根据《危险废物识别标志设置技术规范》（HJ1276-2022），设置标识。</w:t>
            </w:r>
          </w:p>
          <w:p w14:paraId="0C424B2F">
            <w:pPr>
              <w:adjustRightInd w:val="0"/>
              <w:snapToGrid w:val="0"/>
              <w:spacing w:line="240" w:lineRule="auto"/>
              <w:ind w:firstLine="0" w:firstLineChars="0"/>
              <w:rPr>
                <w:rFonts w:hint="default"/>
                <w:color w:val="auto"/>
                <w:szCs w:val="21"/>
              </w:rPr>
            </w:pPr>
            <w:r>
              <w:rPr>
                <w:rFonts w:hint="default" w:eastAsia="宋体"/>
                <w:color w:val="auto"/>
                <w:szCs w:val="21"/>
              </w:rPr>
              <w:t>（3）排污许可管理要求</w:t>
            </w:r>
          </w:p>
          <w:p w14:paraId="79E01517">
            <w:pPr>
              <w:adjustRightInd w:val="0"/>
              <w:snapToGrid w:val="0"/>
              <w:spacing w:line="240" w:lineRule="auto"/>
              <w:ind w:firstLine="0" w:firstLineChars="0"/>
              <w:rPr>
                <w:rFonts w:hint="default"/>
                <w:color w:val="auto"/>
                <w:szCs w:val="21"/>
              </w:rPr>
            </w:pPr>
            <w:r>
              <w:rPr>
                <w:rFonts w:hint="default"/>
                <w:color w:val="auto"/>
                <w:szCs w:val="21"/>
              </w:rPr>
              <w:t>1</w:t>
            </w:r>
            <w:r>
              <w:rPr>
                <w:rFonts w:hint="default" w:eastAsia="宋体"/>
                <w:color w:val="auto"/>
                <w:szCs w:val="21"/>
              </w:rPr>
              <w:t>）周边环境质量监测要求</w:t>
            </w:r>
          </w:p>
          <w:p w14:paraId="59229490">
            <w:pPr>
              <w:adjustRightInd w:val="0"/>
              <w:snapToGrid w:val="0"/>
              <w:spacing w:line="240" w:lineRule="auto"/>
              <w:ind w:firstLine="0" w:firstLineChars="0"/>
              <w:rPr>
                <w:rFonts w:hint="default"/>
                <w:color w:val="auto"/>
                <w:szCs w:val="21"/>
              </w:rPr>
            </w:pPr>
            <w:r>
              <w:rPr>
                <w:rFonts w:hint="default" w:eastAsia="宋体"/>
                <w:color w:val="auto"/>
                <w:szCs w:val="21"/>
              </w:rPr>
              <w:t>本项目为危险废物暂存库建设项目，依据《产业结构调整指导目录（2024年本）》（中华人民共和国国家发展和改革委员会令第7号），本项目不属于鼓励类、限制类和淘汰类项目。危险废物暂存库运营期会产生少量挥发性有机物，运营期需对其周边环境质量进行监测。</w:t>
            </w:r>
          </w:p>
          <w:p w14:paraId="4309D37B">
            <w:pPr>
              <w:adjustRightInd w:val="0"/>
              <w:snapToGrid w:val="0"/>
              <w:spacing w:line="240" w:lineRule="auto"/>
              <w:ind w:firstLine="0" w:firstLineChars="0"/>
              <w:rPr>
                <w:rFonts w:hint="default"/>
                <w:color w:val="auto"/>
                <w:szCs w:val="21"/>
              </w:rPr>
            </w:pPr>
            <w:r>
              <w:rPr>
                <w:rFonts w:hint="default"/>
                <w:color w:val="auto"/>
                <w:szCs w:val="21"/>
              </w:rPr>
              <w:t>2</w:t>
            </w:r>
            <w:r>
              <w:rPr>
                <w:rFonts w:hint="default" w:eastAsia="宋体"/>
                <w:color w:val="auto"/>
                <w:szCs w:val="21"/>
              </w:rPr>
              <w:t>）自行监测数据记录、报告、保存公开要求</w:t>
            </w:r>
          </w:p>
          <w:p w14:paraId="42783082">
            <w:pPr>
              <w:adjustRightInd w:val="0"/>
              <w:snapToGrid w:val="0"/>
              <w:spacing w:line="240" w:lineRule="auto"/>
              <w:ind w:firstLine="0" w:firstLineChars="0"/>
              <w:rPr>
                <w:rFonts w:hint="default"/>
                <w:color w:val="auto"/>
                <w:szCs w:val="21"/>
              </w:rPr>
            </w:pPr>
            <w:r>
              <w:rPr>
                <w:rFonts w:hint="default"/>
                <w:color w:val="auto"/>
                <w:szCs w:val="21"/>
              </w:rPr>
              <w:t>①</w:t>
            </w:r>
            <w:r>
              <w:rPr>
                <w:rFonts w:hint="default" w:eastAsia="宋体"/>
                <w:color w:val="auto"/>
                <w:szCs w:val="21"/>
              </w:rPr>
              <w:t>委托其他有资质的检测机构开展监测，并对监测机构资质进行确认；</w:t>
            </w:r>
          </w:p>
          <w:p w14:paraId="3374A2C3">
            <w:pPr>
              <w:adjustRightInd w:val="0"/>
              <w:snapToGrid w:val="0"/>
              <w:spacing w:line="240" w:lineRule="auto"/>
              <w:ind w:firstLine="0" w:firstLineChars="0"/>
              <w:rPr>
                <w:rFonts w:hint="default"/>
                <w:color w:val="auto"/>
                <w:szCs w:val="21"/>
              </w:rPr>
            </w:pPr>
            <w:r>
              <w:rPr>
                <w:rFonts w:hint="default"/>
                <w:color w:val="auto"/>
                <w:szCs w:val="21"/>
              </w:rPr>
              <w:t>②</w:t>
            </w:r>
            <w:r>
              <w:rPr>
                <w:rFonts w:hint="default" w:eastAsia="宋体"/>
                <w:color w:val="auto"/>
                <w:szCs w:val="21"/>
              </w:rPr>
              <w:t>根据HJ819、HJ/T373要求，按照自行检测方案开展监测，全过程监测质量控制，建立自行检测质量保证与质量控制体系；</w:t>
            </w:r>
          </w:p>
          <w:p w14:paraId="6C448189">
            <w:pPr>
              <w:adjustRightInd w:val="0"/>
              <w:snapToGrid w:val="0"/>
              <w:spacing w:line="240" w:lineRule="auto"/>
              <w:ind w:firstLine="0" w:firstLineChars="0"/>
              <w:rPr>
                <w:rFonts w:hint="default"/>
                <w:color w:val="auto"/>
                <w:szCs w:val="21"/>
              </w:rPr>
            </w:pPr>
            <w:r>
              <w:rPr>
                <w:rFonts w:hint="default"/>
                <w:color w:val="auto"/>
                <w:szCs w:val="21"/>
              </w:rPr>
              <w:t>③</w:t>
            </w:r>
            <w:r>
              <w:rPr>
                <w:rFonts w:hint="default" w:eastAsia="宋体"/>
                <w:color w:val="auto"/>
                <w:szCs w:val="21"/>
              </w:rPr>
              <w:t>监测数据记录、整理、存档要求：监测期间手工监测记录和自动监测运维记录按照HJ819要求执行，同步记录监测期间的生产工况，安排专人对监测数据进行记录、整理、统计、分析和存档；</w:t>
            </w:r>
          </w:p>
          <w:p w14:paraId="6FE6F6FD">
            <w:pPr>
              <w:adjustRightInd w:val="0"/>
              <w:snapToGrid w:val="0"/>
              <w:spacing w:line="240" w:lineRule="auto"/>
              <w:ind w:firstLine="0" w:firstLineChars="0"/>
              <w:rPr>
                <w:rFonts w:hint="default"/>
                <w:color w:val="auto"/>
                <w:szCs w:val="21"/>
              </w:rPr>
            </w:pPr>
            <w:r>
              <w:rPr>
                <w:rFonts w:hint="default"/>
                <w:color w:val="auto"/>
                <w:szCs w:val="21"/>
              </w:rPr>
              <w:t>④</w:t>
            </w:r>
            <w:r>
              <w:rPr>
                <w:rFonts w:hint="default" w:eastAsia="宋体"/>
                <w:color w:val="auto"/>
                <w:szCs w:val="21"/>
              </w:rPr>
              <w:t>信息公开要求：建设单位应当及时填写《排污单位环境管理台账及排污许可证执行报告技术规范总则（试行）》（HJ944-2018）中的表F.19信息公开情况表。</w:t>
            </w:r>
          </w:p>
        </w:tc>
      </w:tr>
    </w:tbl>
    <w:p w14:paraId="380CD1E3">
      <w:pPr>
        <w:pStyle w:val="12"/>
        <w:ind w:firstLine="0" w:firstLineChars="0"/>
        <w:jc w:val="center"/>
        <w:outlineLvl w:val="0"/>
        <w:rPr>
          <w:rFonts w:ascii="Times New Roman" w:hAnsi="Times New Roman"/>
          <w:b/>
          <w:snapToGrid w:val="0"/>
          <w:color w:val="auto"/>
          <w:sz w:val="30"/>
          <w:szCs w:val="30"/>
        </w:rPr>
      </w:pPr>
      <w:r>
        <w:rPr>
          <w:rFonts w:ascii="Times New Roman" w:hAnsi="Times New Roman"/>
          <w:b/>
          <w:snapToGrid w:val="0"/>
          <w:color w:val="auto"/>
          <w:sz w:val="30"/>
          <w:szCs w:val="30"/>
        </w:rPr>
        <w:br w:type="page"/>
      </w:r>
      <w:r>
        <w:rPr>
          <w:rFonts w:ascii="Times New Roman" w:hAnsi="Times New Roman"/>
          <w:b/>
          <w:snapToGrid w:val="0"/>
          <w:color w:val="auto"/>
          <w:sz w:val="30"/>
          <w:szCs w:val="30"/>
        </w:rPr>
        <w:t>六、结论</w:t>
      </w:r>
    </w:p>
    <w:tbl>
      <w:tblPr>
        <w:tblStyle w:val="14"/>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310867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tcBorders>
              <w:top w:val="single" w:color="auto" w:sz="8" w:space="0"/>
              <w:left w:val="single" w:color="auto" w:sz="8" w:space="0"/>
              <w:bottom w:val="single" w:color="auto" w:sz="8" w:space="0"/>
              <w:right w:val="single" w:color="auto" w:sz="8" w:space="0"/>
              <w:tl2br w:val="nil"/>
              <w:tr2bl w:val="nil"/>
            </w:tcBorders>
            <w:vAlign w:val="center"/>
          </w:tcPr>
          <w:p w14:paraId="194113D0">
            <w:pPr>
              <w:ind w:firstLine="480"/>
              <w:rPr>
                <w:rFonts w:hint="default" w:eastAsia="宋体"/>
                <w:color w:val="auto"/>
              </w:rPr>
            </w:pPr>
            <w:r>
              <w:rPr>
                <w:rFonts w:hint="default" w:eastAsia="宋体"/>
                <w:color w:val="auto"/>
              </w:rPr>
              <w:t>本项目的建设符合产业政策要求，项目选址合理。项目运行时对环境的影响可以接受。项目施工期和运营期在落实好各项污染防治措施的前提下，对周围环境影响不大。因此，从环境保护角度讲，该项目的建设是可行的。</w:t>
            </w:r>
          </w:p>
        </w:tc>
      </w:tr>
    </w:tbl>
    <w:p w14:paraId="1729724E">
      <w:pPr>
        <w:ind w:firstLine="480"/>
        <w:rPr>
          <w:rFonts w:hint="default" w:eastAsia="宋体"/>
          <w:color w:val="auto"/>
        </w:rPr>
        <w:sectPr>
          <w:footerReference r:id="rId8" w:type="default"/>
          <w:pgSz w:w="11906" w:h="16838"/>
          <w:pgMar w:top="1701" w:right="1531" w:bottom="1701" w:left="1531" w:header="851" w:footer="851" w:gutter="0"/>
          <w:pgNumType w:fmt="numberInDash"/>
          <w:cols w:space="720" w:num="1"/>
          <w:docGrid w:linePitch="312" w:charSpace="0"/>
        </w:sectPr>
      </w:pPr>
    </w:p>
    <w:p w14:paraId="3B681729">
      <w:pPr>
        <w:pStyle w:val="12"/>
        <w:adjustRightInd w:val="0"/>
        <w:snapToGrid w:val="0"/>
        <w:spacing w:before="0" w:beforeAutospacing="0" w:after="0" w:afterAutospacing="0" w:line="648" w:lineRule="auto"/>
        <w:ind w:firstLine="0" w:firstLineChars="0"/>
        <w:outlineLvl w:val="0"/>
        <w:rPr>
          <w:rFonts w:ascii="Times New Roman" w:hAnsi="Times New Roman"/>
          <w:snapToGrid w:val="0"/>
          <w:color w:val="auto"/>
          <w:sz w:val="32"/>
          <w:szCs w:val="32"/>
        </w:rPr>
      </w:pPr>
      <w:r>
        <w:rPr>
          <w:rFonts w:ascii="Times New Roman" w:hAnsi="Times New Roman"/>
          <w:snapToGrid w:val="0"/>
          <w:color w:val="auto"/>
          <w:sz w:val="32"/>
          <w:szCs w:val="32"/>
        </w:rPr>
        <w:t>附表</w:t>
      </w:r>
    </w:p>
    <w:p w14:paraId="5F8332E5">
      <w:pPr>
        <w:pStyle w:val="12"/>
        <w:adjustRightInd w:val="0"/>
        <w:snapToGrid w:val="0"/>
        <w:spacing w:before="0" w:beforeAutospacing="0" w:after="0" w:afterAutospacing="0" w:line="552" w:lineRule="auto"/>
        <w:ind w:firstLine="760"/>
        <w:jc w:val="center"/>
        <w:outlineLvl w:val="0"/>
        <w:rPr>
          <w:rFonts w:ascii="Times New Roman" w:hAnsi="Times New Roman"/>
          <w:snapToGrid w:val="0"/>
          <w:color w:val="auto"/>
          <w:sz w:val="38"/>
          <w:szCs w:val="38"/>
        </w:rPr>
      </w:pPr>
      <w:r>
        <w:rPr>
          <w:rFonts w:ascii="Times New Roman" w:hAnsi="Times New Roman"/>
          <w:snapToGrid w:val="0"/>
          <w:color w:val="auto"/>
          <w:sz w:val="38"/>
          <w:szCs w:val="38"/>
        </w:rPr>
        <w:t>建设项目污染物排放量汇总表</w:t>
      </w:r>
    </w:p>
    <w:tbl>
      <w:tblPr>
        <w:tblStyle w:val="14"/>
        <w:tblW w:w="13854"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88"/>
        <w:gridCol w:w="1417"/>
        <w:gridCol w:w="1701"/>
        <w:gridCol w:w="1276"/>
        <w:gridCol w:w="1701"/>
        <w:gridCol w:w="1559"/>
        <w:gridCol w:w="1761"/>
        <w:gridCol w:w="1959"/>
        <w:gridCol w:w="892"/>
      </w:tblGrid>
      <w:tr w14:paraId="400ACB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588" w:type="dxa"/>
            <w:tcBorders>
              <w:top w:val="single" w:color="auto" w:sz="8" w:space="0"/>
              <w:left w:val="single" w:color="auto" w:sz="8" w:space="0"/>
              <w:bottom w:val="single" w:color="auto" w:sz="4" w:space="0"/>
              <w:right w:val="single" w:color="auto" w:sz="4" w:space="0"/>
              <w:tl2br w:val="nil"/>
              <w:tr2bl w:val="nil"/>
            </w:tcBorders>
            <w:tcMar>
              <w:left w:w="28" w:type="dxa"/>
              <w:right w:w="28" w:type="dxa"/>
            </w:tcMar>
            <w:vAlign w:val="center"/>
          </w:tcPr>
          <w:p w14:paraId="6DBCE3C3">
            <w:pPr>
              <w:pStyle w:val="24"/>
              <w:spacing w:beforeLines="0" w:afterLines="0" w:line="240" w:lineRule="auto"/>
              <w:ind w:firstLine="0" w:firstLineChars="0"/>
              <w:jc w:val="right"/>
              <w:rPr>
                <w:rFonts w:ascii="Times New Roman"/>
                <w:snapToGrid w:val="0"/>
                <w:color w:val="auto"/>
                <w:spacing w:val="-6"/>
                <w:kern w:val="21"/>
                <w:szCs w:val="21"/>
              </w:rPr>
            </w:pPr>
            <w:r>
              <w:rPr>
                <w:rFonts w:ascii="Times New Roman"/>
                <w:snapToGrid w:val="0"/>
                <w:color w:val="auto"/>
                <w:spacing w:val="-6"/>
                <w:kern w:val="21"/>
                <w:szCs w:val="21"/>
              </w:rPr>
              <w:t>项目</w:t>
            </w:r>
          </w:p>
          <w:p w14:paraId="6A460962">
            <w:pPr>
              <w:pStyle w:val="24"/>
              <w:spacing w:beforeLines="0" w:afterLines="0" w:line="240" w:lineRule="auto"/>
              <w:ind w:firstLine="0" w:firstLineChars="0"/>
              <w:jc w:val="left"/>
              <w:rPr>
                <w:rFonts w:ascii="Times New Roman"/>
                <w:snapToGrid w:val="0"/>
                <w:color w:val="auto"/>
                <w:spacing w:val="-6"/>
                <w:kern w:val="21"/>
                <w:szCs w:val="21"/>
              </w:rPr>
            </w:pPr>
            <w:r>
              <w:rPr>
                <w:rFonts w:ascii="Times New Roman"/>
                <w:snapToGrid w:val="0"/>
                <w:color w:val="auto"/>
                <w:spacing w:val="-6"/>
                <w:kern w:val="21"/>
                <w:szCs w:val="21"/>
              </w:rPr>
              <w:t>分类</w:t>
            </w:r>
          </w:p>
        </w:tc>
        <w:tc>
          <w:tcPr>
            <w:tcW w:w="1417" w:type="dxa"/>
            <w:tcBorders>
              <w:top w:val="single" w:color="auto" w:sz="8" w:space="0"/>
              <w:left w:val="single" w:color="auto" w:sz="4" w:space="0"/>
              <w:bottom w:val="single" w:color="auto" w:sz="4" w:space="0"/>
              <w:right w:val="single" w:color="auto" w:sz="4" w:space="0"/>
              <w:tl2br w:val="nil"/>
              <w:tr2bl w:val="nil"/>
            </w:tcBorders>
            <w:tcMar>
              <w:left w:w="28" w:type="dxa"/>
              <w:right w:w="28" w:type="dxa"/>
            </w:tcMar>
            <w:vAlign w:val="center"/>
          </w:tcPr>
          <w:p w14:paraId="57622DB4">
            <w:pPr>
              <w:pStyle w:val="24"/>
              <w:spacing w:beforeLines="0" w:afterLines="0" w:line="240" w:lineRule="auto"/>
              <w:ind w:firstLine="0" w:firstLineChars="0"/>
              <w:rPr>
                <w:rFonts w:ascii="Times New Roman"/>
                <w:snapToGrid w:val="0"/>
                <w:color w:val="auto"/>
                <w:spacing w:val="-6"/>
                <w:kern w:val="21"/>
                <w:szCs w:val="21"/>
              </w:rPr>
            </w:pPr>
            <w:r>
              <w:rPr>
                <w:rFonts w:ascii="Times New Roman"/>
                <w:snapToGrid w:val="0"/>
                <w:color w:val="auto"/>
                <w:spacing w:val="-6"/>
                <w:kern w:val="21"/>
                <w:szCs w:val="21"/>
              </w:rPr>
              <w:t>污染物名称</w:t>
            </w:r>
          </w:p>
        </w:tc>
        <w:tc>
          <w:tcPr>
            <w:tcW w:w="1701" w:type="dxa"/>
            <w:tcBorders>
              <w:top w:val="single" w:color="auto" w:sz="8" w:space="0"/>
              <w:left w:val="single" w:color="auto" w:sz="4" w:space="0"/>
              <w:bottom w:val="single" w:color="auto" w:sz="4" w:space="0"/>
              <w:right w:val="single" w:color="auto" w:sz="4" w:space="0"/>
              <w:tl2br w:val="nil"/>
              <w:tr2bl w:val="nil"/>
            </w:tcBorders>
            <w:tcMar>
              <w:left w:w="28" w:type="dxa"/>
              <w:right w:w="28" w:type="dxa"/>
            </w:tcMar>
            <w:vAlign w:val="center"/>
          </w:tcPr>
          <w:p w14:paraId="70CB3FD8">
            <w:pPr>
              <w:pStyle w:val="24"/>
              <w:spacing w:beforeLines="0" w:afterLines="0" w:line="240" w:lineRule="auto"/>
              <w:ind w:firstLine="0" w:firstLineChars="0"/>
              <w:rPr>
                <w:rFonts w:ascii="Times New Roman"/>
                <w:snapToGrid w:val="0"/>
                <w:color w:val="auto"/>
                <w:spacing w:val="-6"/>
                <w:kern w:val="21"/>
                <w:szCs w:val="21"/>
              </w:rPr>
            </w:pPr>
            <w:r>
              <w:rPr>
                <w:rFonts w:ascii="Times New Roman"/>
                <w:snapToGrid w:val="0"/>
                <w:color w:val="auto"/>
                <w:spacing w:val="-6"/>
                <w:kern w:val="21"/>
                <w:szCs w:val="21"/>
              </w:rPr>
              <w:t>现有工程</w:t>
            </w:r>
          </w:p>
          <w:p w14:paraId="2D5560FC">
            <w:pPr>
              <w:pStyle w:val="24"/>
              <w:spacing w:beforeLines="0" w:afterLines="0" w:line="240" w:lineRule="auto"/>
              <w:ind w:firstLine="0" w:firstLineChars="0"/>
              <w:rPr>
                <w:rFonts w:ascii="Times New Roman"/>
                <w:snapToGrid w:val="0"/>
                <w:color w:val="auto"/>
                <w:spacing w:val="-6"/>
                <w:kern w:val="21"/>
                <w:szCs w:val="21"/>
              </w:rPr>
            </w:pPr>
            <w:r>
              <w:rPr>
                <w:rFonts w:ascii="Times New Roman"/>
                <w:snapToGrid w:val="0"/>
                <w:color w:val="auto"/>
                <w:spacing w:val="-6"/>
                <w:kern w:val="21"/>
                <w:szCs w:val="21"/>
              </w:rPr>
              <w:t>排放量（固体废物产生量）</w:t>
            </w:r>
            <w:r>
              <w:rPr>
                <w:rFonts w:ascii="Times New Roman"/>
                <w:snapToGrid w:val="0"/>
                <w:color w:val="auto"/>
                <w:spacing w:val="-6"/>
                <w:kern w:val="21"/>
                <w:szCs w:val="21"/>
              </w:rPr>
              <w:fldChar w:fldCharType="begin"/>
            </w:r>
            <w:r>
              <w:rPr>
                <w:rFonts w:ascii="Times New Roman"/>
                <w:snapToGrid w:val="0"/>
                <w:color w:val="auto"/>
                <w:spacing w:val="-6"/>
                <w:kern w:val="21"/>
                <w:szCs w:val="21"/>
              </w:rPr>
              <w:instrText xml:space="preserve"> = 1 \* GB3 \* MERGEFORMAT </w:instrText>
            </w:r>
            <w:r>
              <w:rPr>
                <w:rFonts w:ascii="Times New Roman"/>
                <w:snapToGrid w:val="0"/>
                <w:color w:val="auto"/>
                <w:spacing w:val="-6"/>
                <w:kern w:val="21"/>
                <w:szCs w:val="21"/>
              </w:rPr>
              <w:fldChar w:fldCharType="separate"/>
            </w:r>
            <w:r>
              <w:rPr>
                <w:rFonts w:ascii="Times New Roman"/>
                <w:color w:val="auto"/>
                <w:kern w:val="2"/>
                <w:szCs w:val="21"/>
              </w:rPr>
              <w:t>①</w:t>
            </w:r>
            <w:r>
              <w:rPr>
                <w:rFonts w:ascii="Times New Roman"/>
                <w:color w:val="auto"/>
                <w:kern w:val="2"/>
                <w:szCs w:val="21"/>
              </w:rPr>
              <w:fldChar w:fldCharType="end"/>
            </w:r>
          </w:p>
        </w:tc>
        <w:tc>
          <w:tcPr>
            <w:tcW w:w="1276" w:type="dxa"/>
            <w:tcBorders>
              <w:top w:val="single" w:color="auto" w:sz="8" w:space="0"/>
              <w:left w:val="single" w:color="auto" w:sz="4" w:space="0"/>
              <w:bottom w:val="single" w:color="auto" w:sz="4" w:space="0"/>
              <w:right w:val="single" w:color="auto" w:sz="4" w:space="0"/>
              <w:tl2br w:val="nil"/>
              <w:tr2bl w:val="nil"/>
            </w:tcBorders>
            <w:tcMar>
              <w:left w:w="28" w:type="dxa"/>
              <w:right w:w="28" w:type="dxa"/>
            </w:tcMar>
            <w:vAlign w:val="center"/>
          </w:tcPr>
          <w:p w14:paraId="1F47AA66">
            <w:pPr>
              <w:pStyle w:val="24"/>
              <w:spacing w:beforeLines="0" w:afterLines="0" w:line="240" w:lineRule="auto"/>
              <w:ind w:firstLine="0" w:firstLineChars="0"/>
              <w:rPr>
                <w:rFonts w:ascii="Times New Roman"/>
                <w:snapToGrid w:val="0"/>
                <w:color w:val="auto"/>
                <w:spacing w:val="-6"/>
                <w:kern w:val="21"/>
                <w:szCs w:val="21"/>
              </w:rPr>
            </w:pPr>
            <w:r>
              <w:rPr>
                <w:rFonts w:ascii="Times New Roman"/>
                <w:snapToGrid w:val="0"/>
                <w:color w:val="auto"/>
                <w:spacing w:val="-6"/>
                <w:kern w:val="21"/>
                <w:szCs w:val="21"/>
              </w:rPr>
              <w:t>现有工程</w:t>
            </w:r>
          </w:p>
          <w:p w14:paraId="087B8E82">
            <w:pPr>
              <w:pStyle w:val="24"/>
              <w:spacing w:beforeLines="0" w:afterLines="0" w:line="240" w:lineRule="auto"/>
              <w:ind w:firstLine="0" w:firstLineChars="0"/>
              <w:rPr>
                <w:rFonts w:ascii="Times New Roman"/>
                <w:snapToGrid w:val="0"/>
                <w:color w:val="auto"/>
                <w:spacing w:val="-6"/>
                <w:kern w:val="21"/>
                <w:szCs w:val="21"/>
              </w:rPr>
            </w:pPr>
            <w:r>
              <w:rPr>
                <w:rFonts w:ascii="Times New Roman"/>
                <w:snapToGrid w:val="0"/>
                <w:color w:val="auto"/>
                <w:spacing w:val="-6"/>
                <w:kern w:val="21"/>
                <w:szCs w:val="21"/>
              </w:rPr>
              <w:t>许可排放量</w:t>
            </w:r>
          </w:p>
          <w:p w14:paraId="7DD4D7BA">
            <w:pPr>
              <w:pStyle w:val="24"/>
              <w:spacing w:beforeLines="0" w:afterLines="0"/>
              <w:ind w:firstLine="0" w:firstLineChars="0"/>
              <w:rPr>
                <w:rFonts w:ascii="Times New Roman"/>
                <w:snapToGrid w:val="0"/>
                <w:color w:val="auto"/>
                <w:spacing w:val="-6"/>
                <w:kern w:val="21"/>
                <w:szCs w:val="21"/>
              </w:rPr>
            </w:pPr>
            <w:r>
              <w:rPr>
                <w:rFonts w:ascii="Times New Roman"/>
                <w:snapToGrid w:val="0"/>
                <w:color w:val="auto"/>
                <w:spacing w:val="-6"/>
                <w:kern w:val="21"/>
                <w:szCs w:val="21"/>
              </w:rPr>
              <w:fldChar w:fldCharType="begin"/>
            </w:r>
            <w:r>
              <w:rPr>
                <w:rFonts w:ascii="Times New Roman"/>
                <w:snapToGrid w:val="0"/>
                <w:color w:val="auto"/>
                <w:spacing w:val="-6"/>
                <w:kern w:val="21"/>
                <w:szCs w:val="21"/>
              </w:rPr>
              <w:instrText xml:space="preserve"> = 2 \* GB3 \* MERGEFORMAT </w:instrText>
            </w:r>
            <w:r>
              <w:rPr>
                <w:rFonts w:ascii="Times New Roman"/>
                <w:snapToGrid w:val="0"/>
                <w:color w:val="auto"/>
                <w:spacing w:val="-6"/>
                <w:kern w:val="21"/>
                <w:szCs w:val="21"/>
              </w:rPr>
              <w:fldChar w:fldCharType="separate"/>
            </w:r>
            <w:r>
              <w:rPr>
                <w:rFonts w:ascii="Times New Roman"/>
                <w:snapToGrid w:val="0"/>
                <w:color w:val="auto"/>
                <w:spacing w:val="-6"/>
                <w:kern w:val="21"/>
                <w:szCs w:val="21"/>
              </w:rPr>
              <w:t>②</w:t>
            </w:r>
            <w:r>
              <w:rPr>
                <w:rFonts w:ascii="Times New Roman"/>
                <w:snapToGrid w:val="0"/>
                <w:color w:val="auto"/>
                <w:spacing w:val="-6"/>
                <w:kern w:val="21"/>
                <w:szCs w:val="21"/>
              </w:rPr>
              <w:fldChar w:fldCharType="end"/>
            </w:r>
          </w:p>
        </w:tc>
        <w:tc>
          <w:tcPr>
            <w:tcW w:w="1701" w:type="dxa"/>
            <w:tcBorders>
              <w:top w:val="single" w:color="auto" w:sz="8" w:space="0"/>
              <w:left w:val="single" w:color="auto" w:sz="4" w:space="0"/>
              <w:bottom w:val="single" w:color="auto" w:sz="4" w:space="0"/>
              <w:right w:val="single" w:color="auto" w:sz="4" w:space="0"/>
              <w:tl2br w:val="nil"/>
              <w:tr2bl w:val="nil"/>
            </w:tcBorders>
            <w:tcMar>
              <w:left w:w="28" w:type="dxa"/>
              <w:right w:w="28" w:type="dxa"/>
            </w:tcMar>
            <w:vAlign w:val="center"/>
          </w:tcPr>
          <w:p w14:paraId="22C58919">
            <w:pPr>
              <w:pStyle w:val="24"/>
              <w:spacing w:beforeLines="0" w:afterLines="0" w:line="240" w:lineRule="auto"/>
              <w:ind w:firstLine="0" w:firstLineChars="0"/>
              <w:rPr>
                <w:rFonts w:ascii="Times New Roman"/>
                <w:snapToGrid w:val="0"/>
                <w:color w:val="auto"/>
                <w:spacing w:val="-6"/>
                <w:kern w:val="21"/>
                <w:szCs w:val="21"/>
              </w:rPr>
            </w:pPr>
            <w:r>
              <w:rPr>
                <w:rFonts w:ascii="Times New Roman"/>
                <w:snapToGrid w:val="0"/>
                <w:color w:val="auto"/>
                <w:spacing w:val="-6"/>
                <w:kern w:val="21"/>
                <w:szCs w:val="21"/>
              </w:rPr>
              <w:t>在建工程</w:t>
            </w:r>
          </w:p>
          <w:p w14:paraId="4FD3D0B5">
            <w:pPr>
              <w:pStyle w:val="24"/>
              <w:spacing w:beforeLines="0" w:afterLines="0" w:line="240" w:lineRule="auto"/>
              <w:ind w:firstLine="0" w:firstLineChars="0"/>
              <w:rPr>
                <w:rFonts w:ascii="Times New Roman"/>
                <w:snapToGrid w:val="0"/>
                <w:color w:val="auto"/>
                <w:spacing w:val="-6"/>
                <w:kern w:val="21"/>
                <w:szCs w:val="21"/>
              </w:rPr>
            </w:pPr>
            <w:r>
              <w:rPr>
                <w:rFonts w:ascii="Times New Roman"/>
                <w:snapToGrid w:val="0"/>
                <w:color w:val="auto"/>
                <w:spacing w:val="-6"/>
                <w:kern w:val="21"/>
                <w:szCs w:val="21"/>
              </w:rPr>
              <w:t>排放量（固体废物产生量）</w:t>
            </w:r>
            <w:r>
              <w:rPr>
                <w:rFonts w:ascii="Times New Roman"/>
                <w:snapToGrid w:val="0"/>
                <w:color w:val="auto"/>
                <w:spacing w:val="-6"/>
                <w:kern w:val="21"/>
                <w:szCs w:val="21"/>
              </w:rPr>
              <w:fldChar w:fldCharType="begin"/>
            </w:r>
            <w:r>
              <w:rPr>
                <w:rFonts w:ascii="Times New Roman"/>
                <w:snapToGrid w:val="0"/>
                <w:color w:val="auto"/>
                <w:spacing w:val="-6"/>
                <w:kern w:val="21"/>
                <w:szCs w:val="21"/>
              </w:rPr>
              <w:instrText xml:space="preserve"> = 3 \* GB3 \* MERGEFORMAT </w:instrText>
            </w:r>
            <w:r>
              <w:rPr>
                <w:rFonts w:ascii="Times New Roman"/>
                <w:snapToGrid w:val="0"/>
                <w:color w:val="auto"/>
                <w:spacing w:val="-6"/>
                <w:kern w:val="21"/>
                <w:szCs w:val="21"/>
              </w:rPr>
              <w:fldChar w:fldCharType="separate"/>
            </w:r>
            <w:r>
              <w:rPr>
                <w:rFonts w:ascii="Times New Roman"/>
                <w:color w:val="auto"/>
                <w:kern w:val="2"/>
                <w:szCs w:val="21"/>
              </w:rPr>
              <w:t>③</w:t>
            </w:r>
            <w:r>
              <w:rPr>
                <w:rFonts w:ascii="Times New Roman"/>
                <w:color w:val="auto"/>
                <w:kern w:val="2"/>
                <w:szCs w:val="21"/>
              </w:rPr>
              <w:fldChar w:fldCharType="end"/>
            </w:r>
          </w:p>
        </w:tc>
        <w:tc>
          <w:tcPr>
            <w:tcW w:w="1559" w:type="dxa"/>
            <w:tcBorders>
              <w:top w:val="single" w:color="auto" w:sz="8" w:space="0"/>
              <w:left w:val="single" w:color="auto" w:sz="4" w:space="0"/>
              <w:bottom w:val="single" w:color="auto" w:sz="4" w:space="0"/>
              <w:right w:val="single" w:color="auto" w:sz="4" w:space="0"/>
              <w:tl2br w:val="nil"/>
              <w:tr2bl w:val="nil"/>
            </w:tcBorders>
            <w:tcMar>
              <w:left w:w="28" w:type="dxa"/>
              <w:right w:w="28" w:type="dxa"/>
            </w:tcMar>
            <w:vAlign w:val="center"/>
          </w:tcPr>
          <w:p w14:paraId="72034129">
            <w:pPr>
              <w:pStyle w:val="24"/>
              <w:spacing w:beforeLines="0" w:afterLines="0" w:line="240" w:lineRule="auto"/>
              <w:ind w:firstLine="0" w:firstLineChars="0"/>
              <w:rPr>
                <w:rFonts w:ascii="Times New Roman"/>
                <w:snapToGrid w:val="0"/>
                <w:color w:val="auto"/>
                <w:spacing w:val="-6"/>
                <w:kern w:val="21"/>
                <w:szCs w:val="21"/>
              </w:rPr>
            </w:pPr>
            <w:r>
              <w:rPr>
                <w:rFonts w:ascii="Times New Roman"/>
                <w:snapToGrid w:val="0"/>
                <w:color w:val="auto"/>
                <w:spacing w:val="-6"/>
                <w:kern w:val="21"/>
                <w:szCs w:val="21"/>
              </w:rPr>
              <w:t>本项目</w:t>
            </w:r>
          </w:p>
          <w:p w14:paraId="6AC6F465">
            <w:pPr>
              <w:pStyle w:val="24"/>
              <w:spacing w:beforeLines="0" w:afterLines="0" w:line="240" w:lineRule="auto"/>
              <w:ind w:firstLine="0" w:firstLineChars="0"/>
              <w:rPr>
                <w:rFonts w:ascii="Times New Roman"/>
                <w:snapToGrid w:val="0"/>
                <w:color w:val="auto"/>
                <w:spacing w:val="-6"/>
                <w:kern w:val="21"/>
                <w:szCs w:val="21"/>
              </w:rPr>
            </w:pPr>
            <w:r>
              <w:rPr>
                <w:rFonts w:ascii="Times New Roman"/>
                <w:snapToGrid w:val="0"/>
                <w:color w:val="auto"/>
                <w:spacing w:val="-6"/>
                <w:kern w:val="21"/>
                <w:szCs w:val="21"/>
              </w:rPr>
              <w:t>排放量（固体废物产生量）</w:t>
            </w:r>
            <w:r>
              <w:rPr>
                <w:rFonts w:ascii="Times New Roman"/>
                <w:snapToGrid w:val="0"/>
                <w:color w:val="auto"/>
                <w:spacing w:val="-6"/>
                <w:kern w:val="21"/>
                <w:szCs w:val="21"/>
              </w:rPr>
              <w:fldChar w:fldCharType="begin"/>
            </w:r>
            <w:r>
              <w:rPr>
                <w:rFonts w:ascii="Times New Roman"/>
                <w:snapToGrid w:val="0"/>
                <w:color w:val="auto"/>
                <w:spacing w:val="-6"/>
                <w:kern w:val="21"/>
                <w:szCs w:val="21"/>
              </w:rPr>
              <w:instrText xml:space="preserve"> = 4 \* GB3 \* MERGEFORMAT </w:instrText>
            </w:r>
            <w:r>
              <w:rPr>
                <w:rFonts w:ascii="Times New Roman"/>
                <w:snapToGrid w:val="0"/>
                <w:color w:val="auto"/>
                <w:spacing w:val="-6"/>
                <w:kern w:val="21"/>
                <w:szCs w:val="21"/>
              </w:rPr>
              <w:fldChar w:fldCharType="separate"/>
            </w:r>
            <w:r>
              <w:rPr>
                <w:rFonts w:ascii="Times New Roman"/>
                <w:color w:val="auto"/>
                <w:kern w:val="2"/>
                <w:szCs w:val="21"/>
              </w:rPr>
              <w:t>④</w:t>
            </w:r>
            <w:r>
              <w:rPr>
                <w:rFonts w:ascii="Times New Roman"/>
                <w:color w:val="auto"/>
                <w:kern w:val="2"/>
                <w:szCs w:val="21"/>
              </w:rPr>
              <w:fldChar w:fldCharType="end"/>
            </w:r>
          </w:p>
        </w:tc>
        <w:tc>
          <w:tcPr>
            <w:tcW w:w="1761" w:type="dxa"/>
            <w:tcBorders>
              <w:top w:val="single" w:color="auto" w:sz="8" w:space="0"/>
              <w:left w:val="single" w:color="auto" w:sz="4" w:space="0"/>
              <w:bottom w:val="single" w:color="auto" w:sz="4" w:space="0"/>
              <w:right w:val="single" w:color="auto" w:sz="4" w:space="0"/>
              <w:tl2br w:val="nil"/>
              <w:tr2bl w:val="nil"/>
            </w:tcBorders>
            <w:tcMar>
              <w:left w:w="28" w:type="dxa"/>
              <w:right w:w="28" w:type="dxa"/>
            </w:tcMar>
            <w:vAlign w:val="center"/>
          </w:tcPr>
          <w:p w14:paraId="033D48F4">
            <w:pPr>
              <w:pStyle w:val="24"/>
              <w:spacing w:beforeLines="0" w:afterLines="0" w:line="240" w:lineRule="auto"/>
              <w:ind w:firstLine="0" w:firstLineChars="0"/>
              <w:rPr>
                <w:rFonts w:ascii="Times New Roman"/>
                <w:snapToGrid w:val="0"/>
                <w:color w:val="auto"/>
                <w:spacing w:val="-16"/>
                <w:kern w:val="21"/>
                <w:szCs w:val="21"/>
              </w:rPr>
            </w:pPr>
            <w:r>
              <w:rPr>
                <w:rFonts w:ascii="Times New Roman"/>
                <w:snapToGrid w:val="0"/>
                <w:color w:val="auto"/>
                <w:spacing w:val="-16"/>
                <w:kern w:val="21"/>
                <w:szCs w:val="21"/>
              </w:rPr>
              <w:t>以新带老削减量</w:t>
            </w:r>
          </w:p>
          <w:p w14:paraId="441416E0">
            <w:pPr>
              <w:pStyle w:val="24"/>
              <w:spacing w:beforeLines="0" w:afterLines="0" w:line="240" w:lineRule="auto"/>
              <w:ind w:firstLine="0" w:firstLineChars="0"/>
              <w:rPr>
                <w:rFonts w:ascii="Times New Roman"/>
                <w:snapToGrid w:val="0"/>
                <w:color w:val="auto"/>
                <w:spacing w:val="-16"/>
                <w:kern w:val="21"/>
                <w:szCs w:val="21"/>
              </w:rPr>
            </w:pPr>
            <w:r>
              <w:rPr>
                <w:rFonts w:ascii="Times New Roman"/>
                <w:snapToGrid w:val="0"/>
                <w:color w:val="auto"/>
                <w:spacing w:val="-16"/>
                <w:kern w:val="21"/>
                <w:szCs w:val="21"/>
              </w:rPr>
              <w:t>（新建项目不填）</w:t>
            </w:r>
            <w:r>
              <w:rPr>
                <w:rFonts w:ascii="Times New Roman"/>
                <w:snapToGrid w:val="0"/>
                <w:color w:val="auto"/>
                <w:spacing w:val="-16"/>
                <w:kern w:val="21"/>
                <w:szCs w:val="21"/>
              </w:rPr>
              <w:fldChar w:fldCharType="begin"/>
            </w:r>
            <w:r>
              <w:rPr>
                <w:rFonts w:ascii="Times New Roman"/>
                <w:snapToGrid w:val="0"/>
                <w:color w:val="auto"/>
                <w:spacing w:val="-16"/>
                <w:kern w:val="21"/>
                <w:szCs w:val="21"/>
              </w:rPr>
              <w:instrText xml:space="preserve"> = 5 \* GB3 \* MERGEFORMAT </w:instrText>
            </w:r>
            <w:r>
              <w:rPr>
                <w:rFonts w:ascii="Times New Roman"/>
                <w:snapToGrid w:val="0"/>
                <w:color w:val="auto"/>
                <w:spacing w:val="-16"/>
                <w:kern w:val="21"/>
                <w:szCs w:val="21"/>
              </w:rPr>
              <w:fldChar w:fldCharType="separate"/>
            </w:r>
            <w:r>
              <w:rPr>
                <w:rFonts w:ascii="Times New Roman"/>
                <w:color w:val="auto"/>
                <w:kern w:val="2"/>
                <w:szCs w:val="21"/>
              </w:rPr>
              <w:t>⑤</w:t>
            </w:r>
            <w:r>
              <w:rPr>
                <w:rFonts w:ascii="Times New Roman"/>
                <w:color w:val="auto"/>
                <w:kern w:val="2"/>
                <w:szCs w:val="21"/>
              </w:rPr>
              <w:fldChar w:fldCharType="end"/>
            </w:r>
          </w:p>
        </w:tc>
        <w:tc>
          <w:tcPr>
            <w:tcW w:w="1959" w:type="dxa"/>
            <w:tcBorders>
              <w:top w:val="single" w:color="auto" w:sz="8" w:space="0"/>
              <w:left w:val="single" w:color="auto" w:sz="4" w:space="0"/>
              <w:bottom w:val="single" w:color="auto" w:sz="4" w:space="0"/>
              <w:right w:val="single" w:color="auto" w:sz="4" w:space="0"/>
              <w:tl2br w:val="nil"/>
              <w:tr2bl w:val="nil"/>
            </w:tcBorders>
            <w:tcMar>
              <w:left w:w="28" w:type="dxa"/>
              <w:right w:w="28" w:type="dxa"/>
            </w:tcMar>
            <w:vAlign w:val="center"/>
          </w:tcPr>
          <w:p w14:paraId="79C7B26F">
            <w:pPr>
              <w:pStyle w:val="24"/>
              <w:spacing w:beforeLines="0" w:afterLines="0" w:line="240" w:lineRule="auto"/>
              <w:ind w:firstLine="0" w:firstLineChars="0"/>
              <w:rPr>
                <w:rFonts w:ascii="Times New Roman"/>
                <w:snapToGrid w:val="0"/>
                <w:color w:val="auto"/>
                <w:spacing w:val="-16"/>
                <w:kern w:val="21"/>
                <w:szCs w:val="21"/>
              </w:rPr>
            </w:pPr>
            <w:r>
              <w:rPr>
                <w:rFonts w:ascii="Times New Roman"/>
                <w:snapToGrid w:val="0"/>
                <w:color w:val="auto"/>
                <w:spacing w:val="-16"/>
                <w:kern w:val="21"/>
                <w:szCs w:val="21"/>
              </w:rPr>
              <w:t>本项目建成后</w:t>
            </w:r>
          </w:p>
          <w:p w14:paraId="298795E9">
            <w:pPr>
              <w:pStyle w:val="24"/>
              <w:spacing w:beforeLines="0" w:afterLines="0" w:line="240" w:lineRule="auto"/>
              <w:ind w:firstLine="0" w:firstLineChars="0"/>
              <w:rPr>
                <w:rFonts w:ascii="Times New Roman"/>
                <w:snapToGrid w:val="0"/>
                <w:color w:val="auto"/>
                <w:spacing w:val="-16"/>
                <w:kern w:val="21"/>
                <w:szCs w:val="21"/>
              </w:rPr>
            </w:pPr>
            <w:r>
              <w:rPr>
                <w:rFonts w:ascii="Times New Roman"/>
                <w:snapToGrid w:val="0"/>
                <w:color w:val="auto"/>
                <w:spacing w:val="-16"/>
                <w:kern w:val="21"/>
                <w:szCs w:val="21"/>
              </w:rPr>
              <w:t>全厂排放量（固体废物产生量）</w:t>
            </w:r>
            <w:r>
              <w:rPr>
                <w:rFonts w:ascii="Times New Roman"/>
                <w:snapToGrid w:val="0"/>
                <w:color w:val="auto"/>
                <w:spacing w:val="-16"/>
                <w:kern w:val="21"/>
                <w:szCs w:val="21"/>
              </w:rPr>
              <w:fldChar w:fldCharType="begin"/>
            </w:r>
            <w:r>
              <w:rPr>
                <w:rFonts w:ascii="Times New Roman"/>
                <w:snapToGrid w:val="0"/>
                <w:color w:val="auto"/>
                <w:spacing w:val="-16"/>
                <w:kern w:val="21"/>
                <w:szCs w:val="21"/>
              </w:rPr>
              <w:instrText xml:space="preserve"> = 6 \* GB3 \* MERGEFORMAT </w:instrText>
            </w:r>
            <w:r>
              <w:rPr>
                <w:rFonts w:ascii="Times New Roman"/>
                <w:snapToGrid w:val="0"/>
                <w:color w:val="auto"/>
                <w:spacing w:val="-16"/>
                <w:kern w:val="21"/>
                <w:szCs w:val="21"/>
              </w:rPr>
              <w:fldChar w:fldCharType="separate"/>
            </w:r>
            <w:r>
              <w:rPr>
                <w:rFonts w:ascii="Times New Roman"/>
                <w:color w:val="auto"/>
                <w:kern w:val="2"/>
                <w:szCs w:val="21"/>
              </w:rPr>
              <w:t>⑥</w:t>
            </w:r>
            <w:r>
              <w:rPr>
                <w:rFonts w:ascii="Times New Roman"/>
                <w:color w:val="auto"/>
                <w:kern w:val="2"/>
                <w:szCs w:val="21"/>
              </w:rPr>
              <w:fldChar w:fldCharType="end"/>
            </w:r>
          </w:p>
        </w:tc>
        <w:tc>
          <w:tcPr>
            <w:tcW w:w="892" w:type="dxa"/>
            <w:tcBorders>
              <w:top w:val="single" w:color="auto" w:sz="8" w:space="0"/>
              <w:left w:val="single" w:color="auto" w:sz="4" w:space="0"/>
              <w:bottom w:val="single" w:color="auto" w:sz="4" w:space="0"/>
              <w:right w:val="single" w:color="auto" w:sz="8" w:space="0"/>
              <w:tl2br w:val="nil"/>
              <w:tr2bl w:val="nil"/>
            </w:tcBorders>
            <w:tcMar>
              <w:left w:w="28" w:type="dxa"/>
              <w:right w:w="28" w:type="dxa"/>
            </w:tcMar>
            <w:vAlign w:val="center"/>
          </w:tcPr>
          <w:p w14:paraId="6A4400DA">
            <w:pPr>
              <w:pStyle w:val="24"/>
              <w:spacing w:beforeLines="0" w:afterLines="0" w:line="240" w:lineRule="auto"/>
              <w:ind w:firstLine="0" w:firstLineChars="0"/>
              <w:rPr>
                <w:rFonts w:ascii="Times New Roman"/>
                <w:snapToGrid w:val="0"/>
                <w:color w:val="auto"/>
                <w:spacing w:val="-6"/>
                <w:kern w:val="21"/>
                <w:szCs w:val="21"/>
              </w:rPr>
            </w:pPr>
            <w:r>
              <w:rPr>
                <w:rFonts w:ascii="Times New Roman"/>
                <w:snapToGrid w:val="0"/>
                <w:color w:val="auto"/>
                <w:spacing w:val="-6"/>
                <w:kern w:val="21"/>
                <w:szCs w:val="21"/>
              </w:rPr>
              <w:t>变化量</w:t>
            </w:r>
          </w:p>
          <w:p w14:paraId="4A484FA0">
            <w:pPr>
              <w:pStyle w:val="24"/>
              <w:spacing w:beforeLines="0" w:afterLines="0" w:line="240" w:lineRule="auto"/>
              <w:ind w:firstLine="0" w:firstLineChars="0"/>
              <w:rPr>
                <w:rFonts w:ascii="Times New Roman"/>
                <w:snapToGrid w:val="0"/>
                <w:color w:val="auto"/>
                <w:spacing w:val="-6"/>
                <w:kern w:val="21"/>
                <w:szCs w:val="21"/>
              </w:rPr>
            </w:pPr>
            <w:r>
              <w:rPr>
                <w:rFonts w:ascii="Times New Roman"/>
                <w:snapToGrid w:val="0"/>
                <w:color w:val="auto"/>
                <w:spacing w:val="-6"/>
                <w:kern w:val="21"/>
                <w:szCs w:val="21"/>
              </w:rPr>
              <w:fldChar w:fldCharType="begin"/>
            </w:r>
            <w:r>
              <w:rPr>
                <w:rFonts w:ascii="Times New Roman"/>
                <w:snapToGrid w:val="0"/>
                <w:color w:val="auto"/>
                <w:spacing w:val="-6"/>
                <w:kern w:val="21"/>
                <w:szCs w:val="21"/>
              </w:rPr>
              <w:instrText xml:space="preserve"> = 7 \* GB3 \* MERGEFORMAT </w:instrText>
            </w:r>
            <w:r>
              <w:rPr>
                <w:rFonts w:ascii="Times New Roman"/>
                <w:snapToGrid w:val="0"/>
                <w:color w:val="auto"/>
                <w:spacing w:val="-6"/>
                <w:kern w:val="21"/>
                <w:szCs w:val="21"/>
              </w:rPr>
              <w:fldChar w:fldCharType="separate"/>
            </w:r>
            <w:r>
              <w:rPr>
                <w:rFonts w:ascii="Times New Roman"/>
                <w:color w:val="auto"/>
                <w:kern w:val="2"/>
                <w:szCs w:val="21"/>
              </w:rPr>
              <w:t>⑦</w:t>
            </w:r>
            <w:r>
              <w:rPr>
                <w:rFonts w:ascii="Times New Roman"/>
                <w:color w:val="auto"/>
                <w:kern w:val="2"/>
                <w:szCs w:val="21"/>
              </w:rPr>
              <w:fldChar w:fldCharType="end"/>
            </w:r>
          </w:p>
        </w:tc>
      </w:tr>
      <w:tr w14:paraId="2FF15F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restart"/>
            <w:tcBorders>
              <w:top w:val="single" w:color="auto" w:sz="4" w:space="0"/>
              <w:left w:val="single" w:color="auto" w:sz="8" w:space="0"/>
              <w:right w:val="single" w:color="auto" w:sz="4" w:space="0"/>
              <w:tl2br w:val="nil"/>
              <w:tr2bl w:val="nil"/>
            </w:tcBorders>
            <w:vAlign w:val="center"/>
          </w:tcPr>
          <w:p w14:paraId="226F9F6E">
            <w:pPr>
              <w:pStyle w:val="24"/>
              <w:spacing w:beforeLines="0" w:afterLines="0" w:line="240" w:lineRule="auto"/>
              <w:ind w:firstLine="0" w:firstLineChars="0"/>
              <w:rPr>
                <w:rFonts w:ascii="Times New Roman"/>
                <w:snapToGrid w:val="0"/>
                <w:color w:val="auto"/>
                <w:kern w:val="21"/>
                <w:szCs w:val="21"/>
              </w:rPr>
            </w:pPr>
            <w:r>
              <w:rPr>
                <w:rFonts w:ascii="Times New Roman"/>
                <w:snapToGrid w:val="0"/>
                <w:color w:val="auto"/>
                <w:kern w:val="21"/>
                <w:szCs w:val="21"/>
              </w:rPr>
              <w:t>废气</w:t>
            </w:r>
          </w:p>
        </w:tc>
        <w:tc>
          <w:tcPr>
            <w:tcW w:w="1417" w:type="dxa"/>
            <w:tcBorders>
              <w:top w:val="single" w:color="auto" w:sz="4" w:space="0"/>
              <w:left w:val="single" w:color="auto" w:sz="4" w:space="0"/>
              <w:bottom w:val="single" w:color="auto" w:sz="4" w:space="0"/>
              <w:right w:val="single" w:color="auto" w:sz="4" w:space="0"/>
              <w:tl2br w:val="nil"/>
              <w:tr2bl w:val="nil"/>
            </w:tcBorders>
            <w:vAlign w:val="center"/>
          </w:tcPr>
          <w:p w14:paraId="6642C86F">
            <w:pPr>
              <w:pStyle w:val="24"/>
              <w:spacing w:beforeLines="0" w:afterLines="0" w:line="240" w:lineRule="auto"/>
              <w:ind w:firstLine="0" w:firstLineChars="0"/>
              <w:rPr>
                <w:rFonts w:ascii="Times New Roman"/>
                <w:snapToGrid w:val="0"/>
                <w:color w:val="auto"/>
                <w:kern w:val="21"/>
                <w:szCs w:val="21"/>
              </w:rPr>
            </w:pPr>
            <w:r>
              <w:rPr>
                <w:rFonts w:ascii="Times New Roman"/>
                <w:snapToGrid w:val="0"/>
                <w:color w:val="auto"/>
                <w:kern w:val="21"/>
                <w:szCs w:val="21"/>
              </w:rPr>
              <w:t>非甲烷总烃</w:t>
            </w:r>
          </w:p>
        </w:tc>
        <w:tc>
          <w:tcPr>
            <w:tcW w:w="1701" w:type="dxa"/>
            <w:tcBorders>
              <w:top w:val="single" w:color="auto" w:sz="4" w:space="0"/>
              <w:left w:val="single" w:color="auto" w:sz="4" w:space="0"/>
              <w:bottom w:val="single" w:color="auto" w:sz="4" w:space="0"/>
              <w:right w:val="single" w:color="auto" w:sz="4" w:space="0"/>
              <w:tl2br w:val="nil"/>
              <w:tr2bl w:val="nil"/>
            </w:tcBorders>
            <w:vAlign w:val="center"/>
          </w:tcPr>
          <w:p w14:paraId="42004D66">
            <w:pPr>
              <w:pStyle w:val="24"/>
              <w:spacing w:beforeLines="0" w:afterLines="0" w:line="240" w:lineRule="auto"/>
              <w:ind w:firstLine="0" w:firstLineChars="0"/>
              <w:rPr>
                <w:rFonts w:ascii="Times New Roman"/>
                <w:snapToGrid w:val="0"/>
                <w:color w:val="auto"/>
                <w:kern w:val="21"/>
                <w:szCs w:val="21"/>
              </w:rPr>
            </w:pPr>
          </w:p>
        </w:tc>
        <w:tc>
          <w:tcPr>
            <w:tcW w:w="1276" w:type="dxa"/>
            <w:tcBorders>
              <w:top w:val="single" w:color="auto" w:sz="4" w:space="0"/>
              <w:left w:val="single" w:color="auto" w:sz="4" w:space="0"/>
              <w:bottom w:val="single" w:color="auto" w:sz="4" w:space="0"/>
              <w:right w:val="single" w:color="auto" w:sz="4" w:space="0"/>
              <w:tl2br w:val="nil"/>
              <w:tr2bl w:val="nil"/>
            </w:tcBorders>
            <w:vAlign w:val="center"/>
          </w:tcPr>
          <w:p w14:paraId="118A7EAC">
            <w:pPr>
              <w:pStyle w:val="24"/>
              <w:spacing w:beforeLines="0" w:afterLines="0" w:line="240" w:lineRule="auto"/>
              <w:ind w:firstLine="0" w:firstLineChars="0"/>
              <w:rPr>
                <w:rFonts w:ascii="Times New Roman"/>
                <w:snapToGrid w:val="0"/>
                <w:color w:val="auto"/>
                <w:kern w:val="21"/>
                <w:szCs w:val="21"/>
              </w:rPr>
            </w:pPr>
          </w:p>
        </w:tc>
        <w:tc>
          <w:tcPr>
            <w:tcW w:w="1701" w:type="dxa"/>
            <w:tcBorders>
              <w:top w:val="single" w:color="auto" w:sz="4" w:space="0"/>
              <w:left w:val="single" w:color="auto" w:sz="4" w:space="0"/>
              <w:bottom w:val="single" w:color="auto" w:sz="4" w:space="0"/>
              <w:right w:val="single" w:color="auto" w:sz="4" w:space="0"/>
              <w:tl2br w:val="nil"/>
              <w:tr2bl w:val="nil"/>
            </w:tcBorders>
            <w:vAlign w:val="center"/>
          </w:tcPr>
          <w:p w14:paraId="1476CA8E">
            <w:pPr>
              <w:pStyle w:val="24"/>
              <w:spacing w:beforeLines="0" w:afterLines="0" w:line="240" w:lineRule="auto"/>
              <w:ind w:firstLine="0" w:firstLineChars="0"/>
              <w:rPr>
                <w:rFonts w:ascii="Times New Roman"/>
                <w:snapToGrid w:val="0"/>
                <w:color w:val="auto"/>
                <w:kern w:val="21"/>
                <w:szCs w:val="21"/>
              </w:rPr>
            </w:pPr>
          </w:p>
        </w:tc>
        <w:tc>
          <w:tcPr>
            <w:tcW w:w="1559" w:type="dxa"/>
            <w:tcBorders>
              <w:top w:val="single" w:color="auto" w:sz="4" w:space="0"/>
              <w:left w:val="single" w:color="auto" w:sz="4" w:space="0"/>
              <w:bottom w:val="single" w:color="auto" w:sz="4" w:space="0"/>
              <w:right w:val="single" w:color="auto" w:sz="4" w:space="0"/>
              <w:tl2br w:val="nil"/>
              <w:tr2bl w:val="nil"/>
            </w:tcBorders>
            <w:vAlign w:val="center"/>
          </w:tcPr>
          <w:p w14:paraId="47171CBE">
            <w:pPr>
              <w:pStyle w:val="24"/>
              <w:spacing w:beforeLines="0" w:afterLines="0" w:line="240" w:lineRule="auto"/>
              <w:ind w:firstLine="0" w:firstLineChars="0"/>
              <w:rPr>
                <w:rFonts w:hint="eastAsia" w:ascii="Times New Roman" w:eastAsia="宋体"/>
                <w:snapToGrid w:val="0"/>
                <w:color w:val="auto"/>
                <w:kern w:val="21"/>
                <w:szCs w:val="21"/>
                <w:lang w:eastAsia="zh-CN"/>
              </w:rPr>
            </w:pPr>
            <w:r>
              <w:rPr>
                <w:rFonts w:hint="eastAsia" w:ascii="Times New Roman"/>
                <w:snapToGrid w:val="0"/>
                <w:color w:val="auto"/>
                <w:kern w:val="21"/>
                <w:szCs w:val="21"/>
                <w:lang w:eastAsia="zh-CN"/>
              </w:rPr>
              <w:t>0.07kg/a</w:t>
            </w:r>
          </w:p>
        </w:tc>
        <w:tc>
          <w:tcPr>
            <w:tcW w:w="1761" w:type="dxa"/>
            <w:tcBorders>
              <w:top w:val="single" w:color="auto" w:sz="4" w:space="0"/>
              <w:left w:val="single" w:color="auto" w:sz="4" w:space="0"/>
              <w:bottom w:val="single" w:color="auto" w:sz="4" w:space="0"/>
              <w:right w:val="single" w:color="auto" w:sz="4" w:space="0"/>
              <w:tl2br w:val="nil"/>
              <w:tr2bl w:val="nil"/>
            </w:tcBorders>
            <w:vAlign w:val="center"/>
          </w:tcPr>
          <w:p w14:paraId="6EDE7AE3">
            <w:pPr>
              <w:pStyle w:val="24"/>
              <w:spacing w:beforeLines="0" w:afterLines="0" w:line="240" w:lineRule="auto"/>
              <w:ind w:firstLine="0" w:firstLineChars="0"/>
              <w:rPr>
                <w:rFonts w:ascii="Times New Roman"/>
                <w:snapToGrid w:val="0"/>
                <w:color w:val="auto"/>
                <w:kern w:val="21"/>
                <w:szCs w:val="21"/>
              </w:rPr>
            </w:pPr>
          </w:p>
        </w:tc>
        <w:tc>
          <w:tcPr>
            <w:tcW w:w="1959" w:type="dxa"/>
            <w:tcBorders>
              <w:top w:val="single" w:color="auto" w:sz="4" w:space="0"/>
              <w:left w:val="single" w:color="auto" w:sz="4" w:space="0"/>
              <w:bottom w:val="single" w:color="auto" w:sz="4" w:space="0"/>
              <w:right w:val="single" w:color="auto" w:sz="4" w:space="0"/>
              <w:tl2br w:val="nil"/>
              <w:tr2bl w:val="nil"/>
            </w:tcBorders>
            <w:vAlign w:val="center"/>
          </w:tcPr>
          <w:p w14:paraId="71BF36CD">
            <w:pPr>
              <w:pStyle w:val="24"/>
              <w:spacing w:beforeLines="0" w:afterLines="0" w:line="240" w:lineRule="auto"/>
              <w:ind w:firstLine="0" w:firstLineChars="0"/>
              <w:rPr>
                <w:rFonts w:hint="eastAsia" w:ascii="Times New Roman" w:eastAsia="宋体"/>
                <w:snapToGrid w:val="0"/>
                <w:color w:val="auto"/>
                <w:kern w:val="21"/>
                <w:szCs w:val="21"/>
                <w:lang w:eastAsia="zh-CN"/>
              </w:rPr>
            </w:pPr>
            <w:r>
              <w:rPr>
                <w:rFonts w:hint="eastAsia" w:ascii="Times New Roman"/>
                <w:snapToGrid w:val="0"/>
                <w:color w:val="auto"/>
                <w:kern w:val="21"/>
                <w:szCs w:val="21"/>
                <w:lang w:eastAsia="zh-CN"/>
              </w:rPr>
              <w:t>0.07kg/a</w:t>
            </w:r>
          </w:p>
        </w:tc>
        <w:tc>
          <w:tcPr>
            <w:tcW w:w="892" w:type="dxa"/>
            <w:tcBorders>
              <w:top w:val="single" w:color="auto" w:sz="4" w:space="0"/>
              <w:left w:val="single" w:color="auto" w:sz="4" w:space="0"/>
              <w:bottom w:val="single" w:color="auto" w:sz="4" w:space="0"/>
              <w:right w:val="single" w:color="auto" w:sz="8" w:space="0"/>
              <w:tl2br w:val="nil"/>
              <w:tr2bl w:val="nil"/>
            </w:tcBorders>
            <w:vAlign w:val="center"/>
          </w:tcPr>
          <w:p w14:paraId="3152B0B9">
            <w:pPr>
              <w:pStyle w:val="24"/>
              <w:spacing w:beforeLines="0" w:afterLines="0" w:line="240" w:lineRule="auto"/>
              <w:ind w:firstLine="0" w:firstLineChars="0"/>
              <w:rPr>
                <w:rFonts w:hint="eastAsia" w:ascii="Times New Roman" w:eastAsia="宋体"/>
                <w:snapToGrid w:val="0"/>
                <w:color w:val="auto"/>
                <w:kern w:val="21"/>
                <w:szCs w:val="21"/>
                <w:lang w:eastAsia="zh-CN"/>
              </w:rPr>
            </w:pPr>
            <w:r>
              <w:rPr>
                <w:rFonts w:hint="eastAsia" w:ascii="Times New Roman"/>
                <w:snapToGrid w:val="0"/>
                <w:color w:val="auto"/>
                <w:kern w:val="21"/>
                <w:szCs w:val="21"/>
                <w:lang w:eastAsia="zh-CN"/>
              </w:rPr>
              <w:t>0.07kg/a</w:t>
            </w:r>
          </w:p>
        </w:tc>
      </w:tr>
      <w:tr w14:paraId="00D3DC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continue"/>
            <w:tcBorders>
              <w:left w:val="single" w:color="auto" w:sz="8" w:space="0"/>
              <w:bottom w:val="single" w:color="auto" w:sz="4" w:space="0"/>
              <w:right w:val="single" w:color="auto" w:sz="4" w:space="0"/>
              <w:tl2br w:val="nil"/>
              <w:tr2bl w:val="nil"/>
            </w:tcBorders>
            <w:vAlign w:val="center"/>
          </w:tcPr>
          <w:p w14:paraId="7F9F70FD">
            <w:pPr>
              <w:pStyle w:val="24"/>
              <w:spacing w:beforeLines="0" w:afterLines="0" w:line="240" w:lineRule="auto"/>
              <w:ind w:firstLine="0" w:firstLineChars="0"/>
              <w:rPr>
                <w:rFonts w:ascii="Times New Roman"/>
                <w:snapToGrid w:val="0"/>
                <w:color w:val="auto"/>
                <w:kern w:val="21"/>
                <w:szCs w:val="21"/>
              </w:rPr>
            </w:pPr>
          </w:p>
        </w:tc>
        <w:tc>
          <w:tcPr>
            <w:tcW w:w="1417" w:type="dxa"/>
            <w:tcBorders>
              <w:top w:val="single" w:color="auto" w:sz="4" w:space="0"/>
              <w:left w:val="single" w:color="auto" w:sz="4" w:space="0"/>
              <w:bottom w:val="single" w:color="auto" w:sz="4" w:space="0"/>
              <w:right w:val="single" w:color="auto" w:sz="4" w:space="0"/>
              <w:tl2br w:val="nil"/>
              <w:tr2bl w:val="nil"/>
            </w:tcBorders>
            <w:vAlign w:val="center"/>
          </w:tcPr>
          <w:p w14:paraId="0FA5E7B3">
            <w:pPr>
              <w:pStyle w:val="24"/>
              <w:spacing w:beforeLines="0" w:afterLines="0" w:line="240" w:lineRule="auto"/>
              <w:ind w:firstLine="0" w:firstLineChars="0"/>
              <w:rPr>
                <w:rFonts w:hint="eastAsia" w:ascii="Times New Roman" w:eastAsia="宋体"/>
                <w:snapToGrid w:val="0"/>
                <w:color w:val="auto"/>
                <w:kern w:val="21"/>
                <w:szCs w:val="21"/>
                <w:lang w:val="en-US" w:eastAsia="zh-CN"/>
              </w:rPr>
            </w:pPr>
            <w:r>
              <w:rPr>
                <w:rFonts w:hint="eastAsia" w:ascii="Times New Roman"/>
                <w:snapToGrid w:val="0"/>
                <w:color w:val="auto"/>
                <w:kern w:val="21"/>
                <w:szCs w:val="21"/>
                <w:lang w:val="en-US" w:eastAsia="zh-CN"/>
              </w:rPr>
              <w:t>硫酸雾</w:t>
            </w:r>
          </w:p>
        </w:tc>
        <w:tc>
          <w:tcPr>
            <w:tcW w:w="1701" w:type="dxa"/>
            <w:tcBorders>
              <w:top w:val="single" w:color="auto" w:sz="4" w:space="0"/>
              <w:left w:val="single" w:color="auto" w:sz="4" w:space="0"/>
              <w:bottom w:val="single" w:color="auto" w:sz="4" w:space="0"/>
              <w:right w:val="single" w:color="auto" w:sz="4" w:space="0"/>
              <w:tl2br w:val="nil"/>
              <w:tr2bl w:val="nil"/>
            </w:tcBorders>
            <w:vAlign w:val="center"/>
          </w:tcPr>
          <w:p w14:paraId="7D8F02CB">
            <w:pPr>
              <w:pStyle w:val="24"/>
              <w:spacing w:beforeLines="0" w:afterLines="0" w:line="240" w:lineRule="auto"/>
              <w:ind w:firstLine="0" w:firstLineChars="0"/>
              <w:rPr>
                <w:rFonts w:ascii="Times New Roman"/>
                <w:snapToGrid w:val="0"/>
                <w:color w:val="auto"/>
                <w:kern w:val="21"/>
                <w:szCs w:val="21"/>
              </w:rPr>
            </w:pPr>
          </w:p>
        </w:tc>
        <w:tc>
          <w:tcPr>
            <w:tcW w:w="1276" w:type="dxa"/>
            <w:tcBorders>
              <w:top w:val="single" w:color="auto" w:sz="4" w:space="0"/>
              <w:left w:val="single" w:color="auto" w:sz="4" w:space="0"/>
              <w:bottom w:val="single" w:color="auto" w:sz="4" w:space="0"/>
              <w:right w:val="single" w:color="auto" w:sz="4" w:space="0"/>
              <w:tl2br w:val="nil"/>
              <w:tr2bl w:val="nil"/>
            </w:tcBorders>
            <w:vAlign w:val="center"/>
          </w:tcPr>
          <w:p w14:paraId="1A88E2B2">
            <w:pPr>
              <w:pStyle w:val="24"/>
              <w:spacing w:beforeLines="0" w:afterLines="0" w:line="240" w:lineRule="auto"/>
              <w:ind w:firstLine="0" w:firstLineChars="0"/>
              <w:rPr>
                <w:rFonts w:ascii="Times New Roman"/>
                <w:snapToGrid w:val="0"/>
                <w:color w:val="auto"/>
                <w:kern w:val="21"/>
                <w:szCs w:val="21"/>
              </w:rPr>
            </w:pPr>
          </w:p>
        </w:tc>
        <w:tc>
          <w:tcPr>
            <w:tcW w:w="1701" w:type="dxa"/>
            <w:tcBorders>
              <w:top w:val="single" w:color="auto" w:sz="4" w:space="0"/>
              <w:left w:val="single" w:color="auto" w:sz="4" w:space="0"/>
              <w:bottom w:val="single" w:color="auto" w:sz="4" w:space="0"/>
              <w:right w:val="single" w:color="auto" w:sz="4" w:space="0"/>
              <w:tl2br w:val="nil"/>
              <w:tr2bl w:val="nil"/>
            </w:tcBorders>
            <w:vAlign w:val="center"/>
          </w:tcPr>
          <w:p w14:paraId="7BF8760A">
            <w:pPr>
              <w:pStyle w:val="24"/>
              <w:spacing w:beforeLines="0" w:afterLines="0" w:line="240" w:lineRule="auto"/>
              <w:ind w:firstLine="0" w:firstLineChars="0"/>
              <w:rPr>
                <w:rFonts w:ascii="Times New Roman"/>
                <w:snapToGrid w:val="0"/>
                <w:color w:val="auto"/>
                <w:kern w:val="21"/>
                <w:szCs w:val="21"/>
              </w:rPr>
            </w:pPr>
          </w:p>
        </w:tc>
        <w:tc>
          <w:tcPr>
            <w:tcW w:w="1559" w:type="dxa"/>
            <w:tcBorders>
              <w:top w:val="single" w:color="auto" w:sz="4" w:space="0"/>
              <w:left w:val="single" w:color="auto" w:sz="4" w:space="0"/>
              <w:bottom w:val="single" w:color="auto" w:sz="4" w:space="0"/>
              <w:right w:val="single" w:color="auto" w:sz="4" w:space="0"/>
              <w:tl2br w:val="nil"/>
              <w:tr2bl w:val="nil"/>
            </w:tcBorders>
            <w:vAlign w:val="center"/>
          </w:tcPr>
          <w:p w14:paraId="4D66C29E">
            <w:pPr>
              <w:pStyle w:val="24"/>
              <w:spacing w:beforeLines="0" w:afterLines="0" w:line="240" w:lineRule="auto"/>
              <w:ind w:firstLine="0" w:firstLineChars="0"/>
              <w:rPr>
                <w:rFonts w:hint="eastAsia" w:ascii="Times New Roman"/>
                <w:snapToGrid w:val="0"/>
                <w:color w:val="auto"/>
                <w:kern w:val="21"/>
                <w:szCs w:val="21"/>
                <w:lang w:eastAsia="zh-CN"/>
              </w:rPr>
            </w:pPr>
            <w:r>
              <w:rPr>
                <w:rFonts w:ascii="Times New Roman"/>
                <w:snapToGrid w:val="0"/>
                <w:color w:val="auto"/>
                <w:kern w:val="21"/>
                <w:szCs w:val="21"/>
              </w:rPr>
              <w:t>0.067t/a</w:t>
            </w:r>
          </w:p>
        </w:tc>
        <w:tc>
          <w:tcPr>
            <w:tcW w:w="1761" w:type="dxa"/>
            <w:tcBorders>
              <w:top w:val="single" w:color="auto" w:sz="4" w:space="0"/>
              <w:left w:val="single" w:color="auto" w:sz="4" w:space="0"/>
              <w:bottom w:val="single" w:color="auto" w:sz="4" w:space="0"/>
              <w:right w:val="single" w:color="auto" w:sz="4" w:space="0"/>
              <w:tl2br w:val="nil"/>
              <w:tr2bl w:val="nil"/>
            </w:tcBorders>
            <w:vAlign w:val="center"/>
          </w:tcPr>
          <w:p w14:paraId="389519AB">
            <w:pPr>
              <w:pStyle w:val="24"/>
              <w:spacing w:beforeLines="0" w:afterLines="0" w:line="240" w:lineRule="auto"/>
              <w:ind w:firstLine="0" w:firstLineChars="0"/>
              <w:rPr>
                <w:rFonts w:ascii="Times New Roman"/>
                <w:snapToGrid w:val="0"/>
                <w:color w:val="auto"/>
                <w:kern w:val="21"/>
                <w:szCs w:val="21"/>
              </w:rPr>
            </w:pPr>
          </w:p>
        </w:tc>
        <w:tc>
          <w:tcPr>
            <w:tcW w:w="1959" w:type="dxa"/>
            <w:tcBorders>
              <w:top w:val="single" w:color="auto" w:sz="4" w:space="0"/>
              <w:left w:val="single" w:color="auto" w:sz="4" w:space="0"/>
              <w:bottom w:val="single" w:color="auto" w:sz="4" w:space="0"/>
              <w:right w:val="single" w:color="auto" w:sz="4" w:space="0"/>
              <w:tl2br w:val="nil"/>
              <w:tr2bl w:val="nil"/>
            </w:tcBorders>
            <w:vAlign w:val="center"/>
          </w:tcPr>
          <w:p w14:paraId="57414199">
            <w:pPr>
              <w:pStyle w:val="24"/>
              <w:spacing w:beforeLines="0" w:afterLines="0" w:line="240" w:lineRule="auto"/>
              <w:ind w:firstLine="0" w:firstLineChars="0"/>
              <w:rPr>
                <w:rFonts w:hint="eastAsia" w:ascii="Times New Roman"/>
                <w:snapToGrid w:val="0"/>
                <w:color w:val="auto"/>
                <w:kern w:val="21"/>
                <w:szCs w:val="21"/>
                <w:lang w:eastAsia="zh-CN"/>
              </w:rPr>
            </w:pPr>
            <w:r>
              <w:rPr>
                <w:rFonts w:ascii="Times New Roman"/>
                <w:snapToGrid w:val="0"/>
                <w:color w:val="auto"/>
                <w:kern w:val="21"/>
                <w:szCs w:val="21"/>
              </w:rPr>
              <w:t>0.067t/a</w:t>
            </w:r>
          </w:p>
        </w:tc>
        <w:tc>
          <w:tcPr>
            <w:tcW w:w="892" w:type="dxa"/>
            <w:tcBorders>
              <w:top w:val="single" w:color="auto" w:sz="4" w:space="0"/>
              <w:left w:val="single" w:color="auto" w:sz="4" w:space="0"/>
              <w:bottom w:val="single" w:color="auto" w:sz="4" w:space="0"/>
              <w:right w:val="single" w:color="auto" w:sz="8" w:space="0"/>
              <w:tl2br w:val="nil"/>
              <w:tr2bl w:val="nil"/>
            </w:tcBorders>
            <w:vAlign w:val="center"/>
          </w:tcPr>
          <w:p w14:paraId="3D9D5923">
            <w:pPr>
              <w:pStyle w:val="24"/>
              <w:spacing w:beforeLines="0" w:afterLines="0" w:line="240" w:lineRule="auto"/>
              <w:ind w:firstLine="0" w:firstLineChars="0"/>
              <w:rPr>
                <w:rFonts w:hint="eastAsia" w:ascii="Times New Roman"/>
                <w:snapToGrid w:val="0"/>
                <w:color w:val="auto"/>
                <w:kern w:val="21"/>
                <w:szCs w:val="21"/>
                <w:lang w:eastAsia="zh-CN"/>
              </w:rPr>
            </w:pPr>
            <w:r>
              <w:rPr>
                <w:rFonts w:ascii="Times New Roman"/>
                <w:snapToGrid w:val="0"/>
                <w:color w:val="auto"/>
                <w:kern w:val="21"/>
                <w:szCs w:val="21"/>
              </w:rPr>
              <w:t>0.067t/a</w:t>
            </w:r>
          </w:p>
        </w:tc>
      </w:tr>
      <w:tr w14:paraId="6A897F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tcBorders>
              <w:top w:val="single" w:color="auto" w:sz="4" w:space="0"/>
              <w:left w:val="single" w:color="auto" w:sz="8" w:space="0"/>
              <w:bottom w:val="single" w:color="auto" w:sz="4" w:space="0"/>
              <w:right w:val="single" w:color="auto" w:sz="4" w:space="0"/>
              <w:tl2br w:val="nil"/>
              <w:tr2bl w:val="nil"/>
            </w:tcBorders>
            <w:vAlign w:val="center"/>
          </w:tcPr>
          <w:p w14:paraId="56D43A5F">
            <w:pPr>
              <w:pStyle w:val="24"/>
              <w:spacing w:beforeLines="0" w:afterLines="0" w:line="240" w:lineRule="auto"/>
              <w:ind w:firstLine="0" w:firstLineChars="0"/>
              <w:rPr>
                <w:rFonts w:ascii="Times New Roman"/>
                <w:snapToGrid w:val="0"/>
                <w:color w:val="auto"/>
                <w:kern w:val="21"/>
                <w:szCs w:val="21"/>
              </w:rPr>
            </w:pPr>
            <w:r>
              <w:rPr>
                <w:rFonts w:ascii="Times New Roman"/>
                <w:snapToGrid w:val="0"/>
                <w:color w:val="auto"/>
                <w:kern w:val="21"/>
                <w:szCs w:val="21"/>
              </w:rPr>
              <w:t>废水</w:t>
            </w:r>
          </w:p>
        </w:tc>
        <w:tc>
          <w:tcPr>
            <w:tcW w:w="1417" w:type="dxa"/>
            <w:tcBorders>
              <w:top w:val="single" w:color="auto" w:sz="4" w:space="0"/>
              <w:left w:val="single" w:color="auto" w:sz="4" w:space="0"/>
              <w:bottom w:val="single" w:color="auto" w:sz="4" w:space="0"/>
              <w:right w:val="single" w:color="auto" w:sz="4" w:space="0"/>
              <w:tl2br w:val="nil"/>
              <w:tr2bl w:val="nil"/>
            </w:tcBorders>
            <w:vAlign w:val="center"/>
          </w:tcPr>
          <w:p w14:paraId="3BB33119">
            <w:pPr>
              <w:pStyle w:val="24"/>
              <w:spacing w:beforeLines="0" w:afterLines="0" w:line="240" w:lineRule="auto"/>
              <w:ind w:firstLine="0" w:firstLineChars="0"/>
              <w:rPr>
                <w:rFonts w:ascii="Times New Roman"/>
                <w:snapToGrid w:val="0"/>
                <w:color w:val="auto"/>
                <w:kern w:val="21"/>
                <w:szCs w:val="21"/>
              </w:rPr>
            </w:pPr>
            <w:r>
              <w:rPr>
                <w:rFonts w:ascii="Times New Roman"/>
                <w:snapToGrid w:val="0"/>
                <w:color w:val="auto"/>
                <w:kern w:val="21"/>
                <w:szCs w:val="21"/>
              </w:rPr>
              <w:t>/</w:t>
            </w:r>
          </w:p>
        </w:tc>
        <w:tc>
          <w:tcPr>
            <w:tcW w:w="1701" w:type="dxa"/>
            <w:tcBorders>
              <w:top w:val="single" w:color="auto" w:sz="4" w:space="0"/>
              <w:left w:val="single" w:color="auto" w:sz="4" w:space="0"/>
              <w:bottom w:val="single" w:color="auto" w:sz="4" w:space="0"/>
              <w:right w:val="single" w:color="auto" w:sz="4" w:space="0"/>
              <w:tl2br w:val="nil"/>
              <w:tr2bl w:val="nil"/>
            </w:tcBorders>
            <w:vAlign w:val="center"/>
          </w:tcPr>
          <w:p w14:paraId="1063A00A">
            <w:pPr>
              <w:pStyle w:val="24"/>
              <w:spacing w:beforeLines="0" w:afterLines="0" w:line="240" w:lineRule="auto"/>
              <w:ind w:firstLine="0" w:firstLineChars="0"/>
              <w:rPr>
                <w:rFonts w:ascii="Times New Roman"/>
                <w:snapToGrid w:val="0"/>
                <w:color w:val="auto"/>
                <w:kern w:val="21"/>
                <w:szCs w:val="21"/>
              </w:rPr>
            </w:pPr>
          </w:p>
        </w:tc>
        <w:tc>
          <w:tcPr>
            <w:tcW w:w="1276" w:type="dxa"/>
            <w:tcBorders>
              <w:top w:val="single" w:color="auto" w:sz="4" w:space="0"/>
              <w:left w:val="single" w:color="auto" w:sz="4" w:space="0"/>
              <w:bottom w:val="single" w:color="auto" w:sz="4" w:space="0"/>
              <w:right w:val="single" w:color="auto" w:sz="4" w:space="0"/>
              <w:tl2br w:val="nil"/>
              <w:tr2bl w:val="nil"/>
            </w:tcBorders>
            <w:vAlign w:val="center"/>
          </w:tcPr>
          <w:p w14:paraId="09A9F7FE">
            <w:pPr>
              <w:pStyle w:val="24"/>
              <w:spacing w:beforeLines="0" w:afterLines="0" w:line="240" w:lineRule="auto"/>
              <w:ind w:firstLine="0" w:firstLineChars="0"/>
              <w:rPr>
                <w:rFonts w:ascii="Times New Roman"/>
                <w:snapToGrid w:val="0"/>
                <w:color w:val="auto"/>
                <w:kern w:val="21"/>
                <w:szCs w:val="21"/>
              </w:rPr>
            </w:pPr>
          </w:p>
        </w:tc>
        <w:tc>
          <w:tcPr>
            <w:tcW w:w="1701" w:type="dxa"/>
            <w:tcBorders>
              <w:top w:val="single" w:color="auto" w:sz="4" w:space="0"/>
              <w:left w:val="single" w:color="auto" w:sz="4" w:space="0"/>
              <w:bottom w:val="single" w:color="auto" w:sz="4" w:space="0"/>
              <w:right w:val="single" w:color="auto" w:sz="4" w:space="0"/>
              <w:tl2br w:val="nil"/>
              <w:tr2bl w:val="nil"/>
            </w:tcBorders>
            <w:vAlign w:val="center"/>
          </w:tcPr>
          <w:p w14:paraId="2AD1374D">
            <w:pPr>
              <w:pStyle w:val="24"/>
              <w:spacing w:beforeLines="0" w:afterLines="0" w:line="240" w:lineRule="auto"/>
              <w:ind w:firstLine="0" w:firstLineChars="0"/>
              <w:rPr>
                <w:rFonts w:ascii="Times New Roman"/>
                <w:snapToGrid w:val="0"/>
                <w:color w:val="auto"/>
                <w:kern w:val="21"/>
                <w:szCs w:val="21"/>
              </w:rPr>
            </w:pPr>
          </w:p>
        </w:tc>
        <w:tc>
          <w:tcPr>
            <w:tcW w:w="1559" w:type="dxa"/>
            <w:tcBorders>
              <w:top w:val="single" w:color="auto" w:sz="4" w:space="0"/>
              <w:left w:val="single" w:color="auto" w:sz="4" w:space="0"/>
              <w:bottom w:val="single" w:color="auto" w:sz="4" w:space="0"/>
              <w:right w:val="single" w:color="auto" w:sz="4" w:space="0"/>
              <w:tl2br w:val="nil"/>
              <w:tr2bl w:val="nil"/>
            </w:tcBorders>
            <w:vAlign w:val="center"/>
          </w:tcPr>
          <w:p w14:paraId="6BC5D78E">
            <w:pPr>
              <w:pStyle w:val="24"/>
              <w:spacing w:beforeLines="0" w:afterLines="0" w:line="240" w:lineRule="auto"/>
              <w:ind w:firstLine="0" w:firstLineChars="0"/>
              <w:rPr>
                <w:rFonts w:ascii="Times New Roman"/>
                <w:snapToGrid w:val="0"/>
                <w:color w:val="auto"/>
                <w:kern w:val="21"/>
                <w:szCs w:val="21"/>
              </w:rPr>
            </w:pPr>
            <w:r>
              <w:rPr>
                <w:rFonts w:ascii="Times New Roman"/>
                <w:snapToGrid w:val="0"/>
                <w:color w:val="auto"/>
                <w:kern w:val="21"/>
                <w:szCs w:val="21"/>
              </w:rPr>
              <w:t>/</w:t>
            </w:r>
          </w:p>
        </w:tc>
        <w:tc>
          <w:tcPr>
            <w:tcW w:w="1761" w:type="dxa"/>
            <w:tcBorders>
              <w:top w:val="single" w:color="auto" w:sz="4" w:space="0"/>
              <w:left w:val="single" w:color="auto" w:sz="4" w:space="0"/>
              <w:bottom w:val="single" w:color="auto" w:sz="4" w:space="0"/>
              <w:right w:val="single" w:color="auto" w:sz="4" w:space="0"/>
              <w:tl2br w:val="nil"/>
              <w:tr2bl w:val="nil"/>
            </w:tcBorders>
            <w:vAlign w:val="center"/>
          </w:tcPr>
          <w:p w14:paraId="189045F4">
            <w:pPr>
              <w:pStyle w:val="24"/>
              <w:spacing w:beforeLines="0" w:afterLines="0" w:line="240" w:lineRule="auto"/>
              <w:ind w:firstLine="0" w:firstLineChars="0"/>
              <w:rPr>
                <w:rFonts w:ascii="Times New Roman"/>
                <w:snapToGrid w:val="0"/>
                <w:color w:val="auto"/>
                <w:kern w:val="21"/>
                <w:szCs w:val="21"/>
              </w:rPr>
            </w:pPr>
          </w:p>
        </w:tc>
        <w:tc>
          <w:tcPr>
            <w:tcW w:w="1959" w:type="dxa"/>
            <w:tcBorders>
              <w:top w:val="single" w:color="auto" w:sz="4" w:space="0"/>
              <w:left w:val="single" w:color="auto" w:sz="4" w:space="0"/>
              <w:bottom w:val="single" w:color="auto" w:sz="4" w:space="0"/>
              <w:right w:val="single" w:color="auto" w:sz="4" w:space="0"/>
              <w:tl2br w:val="nil"/>
              <w:tr2bl w:val="nil"/>
            </w:tcBorders>
            <w:vAlign w:val="center"/>
          </w:tcPr>
          <w:p w14:paraId="20FB0E26">
            <w:pPr>
              <w:pStyle w:val="24"/>
              <w:spacing w:beforeLines="0" w:afterLines="0" w:line="240" w:lineRule="auto"/>
              <w:ind w:firstLine="0" w:firstLineChars="0"/>
              <w:rPr>
                <w:rFonts w:ascii="Times New Roman"/>
                <w:snapToGrid w:val="0"/>
                <w:color w:val="auto"/>
                <w:kern w:val="21"/>
                <w:szCs w:val="21"/>
              </w:rPr>
            </w:pPr>
            <w:r>
              <w:rPr>
                <w:rFonts w:ascii="Times New Roman"/>
                <w:snapToGrid w:val="0"/>
                <w:color w:val="auto"/>
                <w:kern w:val="21"/>
                <w:szCs w:val="21"/>
              </w:rPr>
              <w:t>/</w:t>
            </w:r>
          </w:p>
        </w:tc>
        <w:tc>
          <w:tcPr>
            <w:tcW w:w="892" w:type="dxa"/>
            <w:tcBorders>
              <w:top w:val="single" w:color="auto" w:sz="4" w:space="0"/>
              <w:left w:val="single" w:color="auto" w:sz="4" w:space="0"/>
              <w:bottom w:val="single" w:color="auto" w:sz="4" w:space="0"/>
              <w:right w:val="single" w:color="auto" w:sz="8" w:space="0"/>
              <w:tl2br w:val="nil"/>
              <w:tr2bl w:val="nil"/>
            </w:tcBorders>
            <w:vAlign w:val="center"/>
          </w:tcPr>
          <w:p w14:paraId="300C6BBB">
            <w:pPr>
              <w:pStyle w:val="24"/>
              <w:spacing w:beforeLines="0" w:afterLines="0" w:line="240" w:lineRule="auto"/>
              <w:ind w:firstLine="0" w:firstLineChars="0"/>
              <w:rPr>
                <w:rFonts w:ascii="Times New Roman"/>
                <w:snapToGrid w:val="0"/>
                <w:color w:val="auto"/>
                <w:kern w:val="21"/>
                <w:szCs w:val="21"/>
              </w:rPr>
            </w:pPr>
            <w:r>
              <w:rPr>
                <w:rFonts w:ascii="Times New Roman"/>
                <w:snapToGrid w:val="0"/>
                <w:color w:val="auto"/>
                <w:kern w:val="21"/>
                <w:szCs w:val="21"/>
              </w:rPr>
              <w:t>/</w:t>
            </w:r>
          </w:p>
        </w:tc>
      </w:tr>
      <w:tr w14:paraId="68521A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tcBorders>
              <w:top w:val="single" w:color="auto" w:sz="4" w:space="0"/>
              <w:left w:val="single" w:color="auto" w:sz="8" w:space="0"/>
              <w:bottom w:val="single" w:color="auto" w:sz="4" w:space="0"/>
              <w:right w:val="single" w:color="auto" w:sz="4" w:space="0"/>
              <w:tl2br w:val="nil"/>
              <w:tr2bl w:val="nil"/>
            </w:tcBorders>
            <w:vAlign w:val="center"/>
          </w:tcPr>
          <w:p w14:paraId="3434836E">
            <w:pPr>
              <w:pStyle w:val="24"/>
              <w:spacing w:beforeLines="0" w:afterLines="0" w:line="240" w:lineRule="auto"/>
              <w:ind w:firstLine="0" w:firstLineChars="0"/>
              <w:rPr>
                <w:rFonts w:ascii="Times New Roman"/>
                <w:snapToGrid w:val="0"/>
                <w:color w:val="auto"/>
                <w:kern w:val="21"/>
                <w:szCs w:val="21"/>
              </w:rPr>
            </w:pPr>
            <w:r>
              <w:rPr>
                <w:rFonts w:ascii="Times New Roman"/>
                <w:snapToGrid w:val="0"/>
                <w:color w:val="auto"/>
                <w:kern w:val="21"/>
                <w:szCs w:val="21"/>
              </w:rPr>
              <w:t>一般工业</w:t>
            </w:r>
          </w:p>
          <w:p w14:paraId="159F2E39">
            <w:pPr>
              <w:pStyle w:val="24"/>
              <w:spacing w:beforeLines="0" w:afterLines="0" w:line="240" w:lineRule="auto"/>
              <w:ind w:firstLine="0" w:firstLineChars="0"/>
              <w:rPr>
                <w:rFonts w:ascii="Times New Roman"/>
                <w:snapToGrid w:val="0"/>
                <w:color w:val="auto"/>
                <w:kern w:val="21"/>
                <w:szCs w:val="21"/>
              </w:rPr>
            </w:pPr>
            <w:r>
              <w:rPr>
                <w:rFonts w:ascii="Times New Roman"/>
                <w:snapToGrid w:val="0"/>
                <w:color w:val="auto"/>
                <w:kern w:val="21"/>
                <w:szCs w:val="21"/>
              </w:rPr>
              <w:t>固体废物</w:t>
            </w:r>
          </w:p>
        </w:tc>
        <w:tc>
          <w:tcPr>
            <w:tcW w:w="1417" w:type="dxa"/>
            <w:tcBorders>
              <w:top w:val="single" w:color="auto" w:sz="4" w:space="0"/>
              <w:left w:val="single" w:color="auto" w:sz="4" w:space="0"/>
              <w:bottom w:val="single" w:color="auto" w:sz="4" w:space="0"/>
              <w:right w:val="single" w:color="auto" w:sz="4" w:space="0"/>
              <w:tl2br w:val="nil"/>
              <w:tr2bl w:val="nil"/>
            </w:tcBorders>
            <w:vAlign w:val="center"/>
          </w:tcPr>
          <w:p w14:paraId="4144CBAA">
            <w:pPr>
              <w:pStyle w:val="24"/>
              <w:spacing w:beforeLines="0" w:afterLines="0" w:line="240" w:lineRule="auto"/>
              <w:ind w:firstLine="0" w:firstLineChars="0"/>
              <w:rPr>
                <w:rFonts w:ascii="Times New Roman"/>
                <w:snapToGrid w:val="0"/>
                <w:color w:val="auto"/>
                <w:kern w:val="21"/>
                <w:szCs w:val="21"/>
              </w:rPr>
            </w:pPr>
            <w:r>
              <w:rPr>
                <w:rFonts w:ascii="Times New Roman"/>
                <w:snapToGrid w:val="0"/>
                <w:color w:val="auto"/>
                <w:kern w:val="21"/>
                <w:szCs w:val="21"/>
              </w:rPr>
              <w:t>沾染油污废抹布、手套等废劳保用品</w:t>
            </w:r>
          </w:p>
        </w:tc>
        <w:tc>
          <w:tcPr>
            <w:tcW w:w="1701" w:type="dxa"/>
            <w:tcBorders>
              <w:top w:val="single" w:color="auto" w:sz="4" w:space="0"/>
              <w:left w:val="single" w:color="auto" w:sz="4" w:space="0"/>
              <w:bottom w:val="single" w:color="auto" w:sz="4" w:space="0"/>
              <w:right w:val="single" w:color="auto" w:sz="4" w:space="0"/>
              <w:tl2br w:val="nil"/>
              <w:tr2bl w:val="nil"/>
            </w:tcBorders>
            <w:vAlign w:val="center"/>
          </w:tcPr>
          <w:p w14:paraId="355CCE4C">
            <w:pPr>
              <w:pStyle w:val="24"/>
              <w:spacing w:beforeLines="0" w:afterLines="0" w:line="240" w:lineRule="auto"/>
              <w:ind w:firstLine="0" w:firstLineChars="0"/>
              <w:rPr>
                <w:rFonts w:ascii="Times New Roman"/>
                <w:snapToGrid w:val="0"/>
                <w:color w:val="auto"/>
                <w:kern w:val="21"/>
                <w:szCs w:val="21"/>
              </w:rPr>
            </w:pPr>
          </w:p>
        </w:tc>
        <w:tc>
          <w:tcPr>
            <w:tcW w:w="1276" w:type="dxa"/>
            <w:tcBorders>
              <w:top w:val="single" w:color="auto" w:sz="4" w:space="0"/>
              <w:left w:val="single" w:color="auto" w:sz="4" w:space="0"/>
              <w:bottom w:val="single" w:color="auto" w:sz="4" w:space="0"/>
              <w:right w:val="single" w:color="auto" w:sz="4" w:space="0"/>
              <w:tl2br w:val="nil"/>
              <w:tr2bl w:val="nil"/>
            </w:tcBorders>
            <w:vAlign w:val="center"/>
          </w:tcPr>
          <w:p w14:paraId="3E4E9DB6">
            <w:pPr>
              <w:pStyle w:val="24"/>
              <w:spacing w:beforeLines="0" w:afterLines="0" w:line="240" w:lineRule="auto"/>
              <w:ind w:firstLine="0" w:firstLineChars="0"/>
              <w:rPr>
                <w:rFonts w:ascii="Times New Roman"/>
                <w:snapToGrid w:val="0"/>
                <w:color w:val="auto"/>
                <w:kern w:val="21"/>
                <w:szCs w:val="21"/>
              </w:rPr>
            </w:pPr>
          </w:p>
        </w:tc>
        <w:tc>
          <w:tcPr>
            <w:tcW w:w="1701" w:type="dxa"/>
            <w:tcBorders>
              <w:top w:val="single" w:color="auto" w:sz="4" w:space="0"/>
              <w:left w:val="single" w:color="auto" w:sz="4" w:space="0"/>
              <w:bottom w:val="single" w:color="auto" w:sz="4" w:space="0"/>
              <w:right w:val="single" w:color="auto" w:sz="4" w:space="0"/>
              <w:tl2br w:val="nil"/>
              <w:tr2bl w:val="nil"/>
            </w:tcBorders>
            <w:vAlign w:val="center"/>
          </w:tcPr>
          <w:p w14:paraId="0AA9AFF0">
            <w:pPr>
              <w:pStyle w:val="24"/>
              <w:spacing w:beforeLines="0" w:afterLines="0" w:line="240" w:lineRule="auto"/>
              <w:ind w:firstLine="0" w:firstLineChars="0"/>
              <w:rPr>
                <w:rFonts w:ascii="Times New Roman"/>
                <w:snapToGrid w:val="0"/>
                <w:color w:val="auto"/>
                <w:kern w:val="21"/>
                <w:szCs w:val="21"/>
              </w:rPr>
            </w:pPr>
          </w:p>
        </w:tc>
        <w:tc>
          <w:tcPr>
            <w:tcW w:w="1559" w:type="dxa"/>
            <w:tcBorders>
              <w:top w:val="single" w:color="auto" w:sz="4" w:space="0"/>
              <w:left w:val="single" w:color="auto" w:sz="4" w:space="0"/>
              <w:bottom w:val="single" w:color="auto" w:sz="4" w:space="0"/>
              <w:right w:val="single" w:color="auto" w:sz="4" w:space="0"/>
              <w:tl2br w:val="nil"/>
              <w:tr2bl w:val="nil"/>
            </w:tcBorders>
            <w:vAlign w:val="center"/>
          </w:tcPr>
          <w:p w14:paraId="32453685">
            <w:pPr>
              <w:pStyle w:val="24"/>
              <w:spacing w:beforeLines="0" w:afterLines="0" w:line="240" w:lineRule="auto"/>
              <w:ind w:firstLine="0" w:firstLineChars="0"/>
              <w:rPr>
                <w:rFonts w:ascii="Times New Roman"/>
                <w:snapToGrid w:val="0"/>
                <w:color w:val="auto"/>
                <w:kern w:val="21"/>
                <w:szCs w:val="21"/>
              </w:rPr>
            </w:pPr>
            <w:r>
              <w:rPr>
                <w:rFonts w:ascii="Times New Roman"/>
                <w:snapToGrid w:val="0"/>
                <w:color w:val="auto"/>
                <w:kern w:val="21"/>
                <w:szCs w:val="21"/>
              </w:rPr>
              <w:t>0.1t/a</w:t>
            </w:r>
          </w:p>
        </w:tc>
        <w:tc>
          <w:tcPr>
            <w:tcW w:w="1761" w:type="dxa"/>
            <w:tcBorders>
              <w:top w:val="single" w:color="auto" w:sz="4" w:space="0"/>
              <w:left w:val="single" w:color="auto" w:sz="4" w:space="0"/>
              <w:bottom w:val="single" w:color="auto" w:sz="4" w:space="0"/>
              <w:right w:val="single" w:color="auto" w:sz="4" w:space="0"/>
              <w:tl2br w:val="nil"/>
              <w:tr2bl w:val="nil"/>
            </w:tcBorders>
            <w:vAlign w:val="center"/>
          </w:tcPr>
          <w:p w14:paraId="240D7D28">
            <w:pPr>
              <w:pStyle w:val="24"/>
              <w:spacing w:beforeLines="0" w:afterLines="0" w:line="240" w:lineRule="auto"/>
              <w:ind w:firstLine="0" w:firstLineChars="0"/>
              <w:rPr>
                <w:rFonts w:ascii="Times New Roman"/>
                <w:snapToGrid w:val="0"/>
                <w:color w:val="auto"/>
                <w:kern w:val="21"/>
                <w:szCs w:val="21"/>
              </w:rPr>
            </w:pPr>
          </w:p>
        </w:tc>
        <w:tc>
          <w:tcPr>
            <w:tcW w:w="1959" w:type="dxa"/>
            <w:tcBorders>
              <w:top w:val="single" w:color="auto" w:sz="4" w:space="0"/>
              <w:left w:val="single" w:color="auto" w:sz="4" w:space="0"/>
              <w:bottom w:val="single" w:color="auto" w:sz="4" w:space="0"/>
              <w:right w:val="single" w:color="auto" w:sz="4" w:space="0"/>
              <w:tl2br w:val="nil"/>
              <w:tr2bl w:val="nil"/>
            </w:tcBorders>
            <w:vAlign w:val="center"/>
          </w:tcPr>
          <w:p w14:paraId="6C157C8B">
            <w:pPr>
              <w:pStyle w:val="24"/>
              <w:spacing w:beforeLines="0" w:afterLines="0" w:line="240" w:lineRule="auto"/>
              <w:ind w:firstLine="0" w:firstLineChars="0"/>
              <w:rPr>
                <w:rFonts w:ascii="Times New Roman"/>
                <w:snapToGrid w:val="0"/>
                <w:color w:val="auto"/>
                <w:kern w:val="21"/>
                <w:szCs w:val="21"/>
              </w:rPr>
            </w:pPr>
            <w:r>
              <w:rPr>
                <w:rFonts w:ascii="Times New Roman"/>
                <w:snapToGrid w:val="0"/>
                <w:color w:val="auto"/>
                <w:kern w:val="21"/>
                <w:szCs w:val="21"/>
              </w:rPr>
              <w:t>0.1t/a</w:t>
            </w:r>
          </w:p>
        </w:tc>
        <w:tc>
          <w:tcPr>
            <w:tcW w:w="892" w:type="dxa"/>
            <w:tcBorders>
              <w:top w:val="single" w:color="auto" w:sz="4" w:space="0"/>
              <w:left w:val="single" w:color="auto" w:sz="4" w:space="0"/>
              <w:bottom w:val="single" w:color="auto" w:sz="4" w:space="0"/>
              <w:right w:val="single" w:color="auto" w:sz="8" w:space="0"/>
              <w:tl2br w:val="nil"/>
              <w:tr2bl w:val="nil"/>
            </w:tcBorders>
            <w:vAlign w:val="center"/>
          </w:tcPr>
          <w:p w14:paraId="06206C5C">
            <w:pPr>
              <w:pStyle w:val="24"/>
              <w:spacing w:beforeLines="0" w:afterLines="0" w:line="240" w:lineRule="auto"/>
              <w:ind w:firstLine="0" w:firstLineChars="0"/>
              <w:rPr>
                <w:rFonts w:ascii="Times New Roman"/>
                <w:snapToGrid w:val="0"/>
                <w:color w:val="auto"/>
                <w:kern w:val="21"/>
                <w:szCs w:val="21"/>
              </w:rPr>
            </w:pPr>
            <w:r>
              <w:rPr>
                <w:rFonts w:ascii="Times New Roman"/>
                <w:snapToGrid w:val="0"/>
                <w:color w:val="auto"/>
                <w:kern w:val="21"/>
                <w:szCs w:val="21"/>
              </w:rPr>
              <w:t>0.1t/a</w:t>
            </w:r>
          </w:p>
        </w:tc>
      </w:tr>
    </w:tbl>
    <w:p w14:paraId="0D952AB5">
      <w:pPr>
        <w:pStyle w:val="24"/>
        <w:spacing w:before="192" w:beforeLines="80" w:after="24"/>
        <w:ind w:firstLine="0" w:firstLineChars="0"/>
        <w:jc w:val="left"/>
        <w:rPr>
          <w:rFonts w:ascii="Times New Roman"/>
          <w:snapToGrid w:val="0"/>
          <w:color w:val="auto"/>
          <w:spacing w:val="-6"/>
          <w:kern w:val="21"/>
          <w:szCs w:val="21"/>
        </w:rPr>
      </w:pPr>
      <w:r>
        <w:rPr>
          <w:rFonts w:ascii="Times New Roman"/>
          <w:snapToGrid w:val="0"/>
          <w:color w:val="auto"/>
          <w:kern w:val="21"/>
          <w:szCs w:val="21"/>
        </w:rPr>
        <w:t>注：</w:t>
      </w:r>
      <w:r>
        <w:rPr>
          <w:rFonts w:ascii="Times New Roman"/>
          <w:snapToGrid w:val="0"/>
          <w:color w:val="auto"/>
          <w:spacing w:val="-16"/>
          <w:kern w:val="21"/>
          <w:szCs w:val="21"/>
        </w:rPr>
        <w:fldChar w:fldCharType="begin"/>
      </w:r>
      <w:r>
        <w:rPr>
          <w:rFonts w:ascii="Times New Roman"/>
          <w:snapToGrid w:val="0"/>
          <w:color w:val="auto"/>
          <w:spacing w:val="-16"/>
          <w:kern w:val="21"/>
          <w:szCs w:val="21"/>
        </w:rPr>
        <w:instrText xml:space="preserve"> = 6 \* GB3 \* MERGEFORMAT </w:instrText>
      </w:r>
      <w:r>
        <w:rPr>
          <w:rFonts w:ascii="Times New Roman"/>
          <w:snapToGrid w:val="0"/>
          <w:color w:val="auto"/>
          <w:spacing w:val="-16"/>
          <w:kern w:val="21"/>
          <w:szCs w:val="21"/>
        </w:rPr>
        <w:fldChar w:fldCharType="separate"/>
      </w:r>
      <w:r>
        <w:rPr>
          <w:rFonts w:ascii="Times New Roman"/>
          <w:color w:val="auto"/>
          <w:szCs w:val="21"/>
        </w:rPr>
        <w:t>⑥</w:t>
      </w:r>
      <w:r>
        <w:rPr>
          <w:rFonts w:ascii="Times New Roman"/>
          <w:color w:val="auto"/>
          <w:szCs w:val="21"/>
        </w:rPr>
        <w:fldChar w:fldCharType="end"/>
      </w:r>
      <w:r>
        <w:rPr>
          <w:rFonts w:ascii="Times New Roman"/>
          <w:snapToGrid w:val="0"/>
          <w:color w:val="auto"/>
          <w:spacing w:val="-16"/>
          <w:kern w:val="21"/>
          <w:szCs w:val="21"/>
        </w:rPr>
        <w:t>=</w:t>
      </w:r>
      <w:r>
        <w:rPr>
          <w:rFonts w:ascii="Times New Roman"/>
          <w:snapToGrid w:val="0"/>
          <w:color w:val="auto"/>
          <w:spacing w:val="-6"/>
          <w:kern w:val="21"/>
          <w:szCs w:val="21"/>
        </w:rPr>
        <w:fldChar w:fldCharType="begin"/>
      </w:r>
      <w:r>
        <w:rPr>
          <w:rFonts w:ascii="Times New Roman"/>
          <w:snapToGrid w:val="0"/>
          <w:color w:val="auto"/>
          <w:spacing w:val="-6"/>
          <w:kern w:val="21"/>
          <w:szCs w:val="21"/>
        </w:rPr>
        <w:instrText xml:space="preserve"> = 1 \* GB3 \* MERGEFORMAT </w:instrText>
      </w:r>
      <w:r>
        <w:rPr>
          <w:rFonts w:ascii="Times New Roman"/>
          <w:snapToGrid w:val="0"/>
          <w:color w:val="auto"/>
          <w:spacing w:val="-6"/>
          <w:kern w:val="21"/>
          <w:szCs w:val="21"/>
        </w:rPr>
        <w:fldChar w:fldCharType="separate"/>
      </w:r>
      <w:r>
        <w:rPr>
          <w:rFonts w:ascii="Times New Roman"/>
          <w:color w:val="auto"/>
          <w:szCs w:val="21"/>
        </w:rPr>
        <w:t>①</w:t>
      </w:r>
      <w:r>
        <w:rPr>
          <w:rFonts w:ascii="Times New Roman"/>
          <w:color w:val="auto"/>
          <w:szCs w:val="21"/>
        </w:rPr>
        <w:fldChar w:fldCharType="end"/>
      </w:r>
      <w:r>
        <w:rPr>
          <w:rFonts w:ascii="Times New Roman"/>
          <w:snapToGrid w:val="0"/>
          <w:color w:val="auto"/>
          <w:spacing w:val="-6"/>
          <w:kern w:val="21"/>
          <w:szCs w:val="21"/>
        </w:rPr>
        <w:t>+</w:t>
      </w:r>
      <w:r>
        <w:rPr>
          <w:rFonts w:ascii="Times New Roman"/>
          <w:snapToGrid w:val="0"/>
          <w:color w:val="auto"/>
          <w:spacing w:val="-6"/>
          <w:kern w:val="21"/>
          <w:szCs w:val="21"/>
        </w:rPr>
        <w:fldChar w:fldCharType="begin"/>
      </w:r>
      <w:r>
        <w:rPr>
          <w:rFonts w:ascii="Times New Roman"/>
          <w:snapToGrid w:val="0"/>
          <w:color w:val="auto"/>
          <w:spacing w:val="-6"/>
          <w:kern w:val="21"/>
          <w:szCs w:val="21"/>
        </w:rPr>
        <w:instrText xml:space="preserve"> = 3 \* GB3 \* MERGEFORMAT </w:instrText>
      </w:r>
      <w:r>
        <w:rPr>
          <w:rFonts w:ascii="Times New Roman"/>
          <w:snapToGrid w:val="0"/>
          <w:color w:val="auto"/>
          <w:spacing w:val="-6"/>
          <w:kern w:val="21"/>
          <w:szCs w:val="21"/>
        </w:rPr>
        <w:fldChar w:fldCharType="separate"/>
      </w:r>
      <w:r>
        <w:rPr>
          <w:rFonts w:ascii="Times New Roman"/>
          <w:color w:val="auto"/>
          <w:szCs w:val="21"/>
        </w:rPr>
        <w:t>③</w:t>
      </w:r>
      <w:r>
        <w:rPr>
          <w:rFonts w:ascii="Times New Roman"/>
          <w:color w:val="auto"/>
          <w:szCs w:val="21"/>
        </w:rPr>
        <w:fldChar w:fldCharType="end"/>
      </w:r>
      <w:r>
        <w:rPr>
          <w:rFonts w:ascii="Times New Roman"/>
          <w:snapToGrid w:val="0"/>
          <w:color w:val="auto"/>
          <w:spacing w:val="-6"/>
          <w:kern w:val="21"/>
          <w:szCs w:val="21"/>
        </w:rPr>
        <w:t>+</w:t>
      </w:r>
      <w:r>
        <w:rPr>
          <w:rFonts w:ascii="Times New Roman"/>
          <w:snapToGrid w:val="0"/>
          <w:color w:val="auto"/>
          <w:spacing w:val="-6"/>
          <w:kern w:val="21"/>
          <w:szCs w:val="21"/>
        </w:rPr>
        <w:fldChar w:fldCharType="begin"/>
      </w:r>
      <w:r>
        <w:rPr>
          <w:rFonts w:ascii="Times New Roman"/>
          <w:snapToGrid w:val="0"/>
          <w:color w:val="auto"/>
          <w:spacing w:val="-6"/>
          <w:kern w:val="21"/>
          <w:szCs w:val="21"/>
        </w:rPr>
        <w:instrText xml:space="preserve"> = 4 \* GB3 \* MERGEFORMAT </w:instrText>
      </w:r>
      <w:r>
        <w:rPr>
          <w:rFonts w:ascii="Times New Roman"/>
          <w:snapToGrid w:val="0"/>
          <w:color w:val="auto"/>
          <w:spacing w:val="-6"/>
          <w:kern w:val="21"/>
          <w:szCs w:val="21"/>
        </w:rPr>
        <w:fldChar w:fldCharType="separate"/>
      </w:r>
      <w:r>
        <w:rPr>
          <w:rFonts w:ascii="Times New Roman"/>
          <w:color w:val="auto"/>
          <w:szCs w:val="21"/>
        </w:rPr>
        <w:t>④</w:t>
      </w:r>
      <w:r>
        <w:rPr>
          <w:rFonts w:ascii="Times New Roman"/>
          <w:color w:val="auto"/>
          <w:szCs w:val="21"/>
        </w:rPr>
        <w:fldChar w:fldCharType="end"/>
      </w:r>
      <w:r>
        <w:rPr>
          <w:rFonts w:ascii="Times New Roman"/>
          <w:snapToGrid w:val="0"/>
          <w:color w:val="auto"/>
          <w:spacing w:val="-6"/>
          <w:kern w:val="21"/>
          <w:szCs w:val="21"/>
        </w:rPr>
        <w:t>-</w:t>
      </w:r>
      <w:r>
        <w:rPr>
          <w:rFonts w:ascii="Times New Roman"/>
          <w:snapToGrid w:val="0"/>
          <w:color w:val="auto"/>
          <w:spacing w:val="-16"/>
          <w:kern w:val="21"/>
          <w:szCs w:val="21"/>
        </w:rPr>
        <w:fldChar w:fldCharType="begin"/>
      </w:r>
      <w:r>
        <w:rPr>
          <w:rFonts w:ascii="Times New Roman"/>
          <w:snapToGrid w:val="0"/>
          <w:color w:val="auto"/>
          <w:spacing w:val="-16"/>
          <w:kern w:val="21"/>
          <w:szCs w:val="21"/>
        </w:rPr>
        <w:instrText xml:space="preserve"> = 5 \* GB3 \* MERGEFORMAT </w:instrText>
      </w:r>
      <w:r>
        <w:rPr>
          <w:rFonts w:ascii="Times New Roman"/>
          <w:snapToGrid w:val="0"/>
          <w:color w:val="auto"/>
          <w:spacing w:val="-16"/>
          <w:kern w:val="21"/>
          <w:szCs w:val="21"/>
        </w:rPr>
        <w:fldChar w:fldCharType="separate"/>
      </w:r>
      <w:r>
        <w:rPr>
          <w:rFonts w:ascii="Times New Roman"/>
          <w:color w:val="auto"/>
          <w:szCs w:val="21"/>
        </w:rPr>
        <w:t>⑤</w:t>
      </w:r>
      <w:r>
        <w:rPr>
          <w:rFonts w:ascii="Times New Roman"/>
          <w:color w:val="auto"/>
          <w:szCs w:val="21"/>
        </w:rPr>
        <w:fldChar w:fldCharType="end"/>
      </w:r>
      <w:r>
        <w:rPr>
          <w:rFonts w:ascii="Times New Roman"/>
          <w:snapToGrid w:val="0"/>
          <w:color w:val="auto"/>
          <w:spacing w:val="-16"/>
          <w:kern w:val="21"/>
          <w:szCs w:val="21"/>
        </w:rPr>
        <w:t>；</w:t>
      </w:r>
      <w:r>
        <w:rPr>
          <w:rFonts w:ascii="Times New Roman"/>
          <w:snapToGrid w:val="0"/>
          <w:color w:val="auto"/>
          <w:spacing w:val="-6"/>
          <w:kern w:val="21"/>
          <w:szCs w:val="21"/>
        </w:rPr>
        <w:fldChar w:fldCharType="begin"/>
      </w:r>
      <w:r>
        <w:rPr>
          <w:rFonts w:ascii="Times New Roman"/>
          <w:snapToGrid w:val="0"/>
          <w:color w:val="auto"/>
          <w:spacing w:val="-6"/>
          <w:kern w:val="21"/>
          <w:szCs w:val="21"/>
        </w:rPr>
        <w:instrText xml:space="preserve"> = 7 \* GB3 \* MERGEFORMAT </w:instrText>
      </w:r>
      <w:r>
        <w:rPr>
          <w:rFonts w:ascii="Times New Roman"/>
          <w:snapToGrid w:val="0"/>
          <w:color w:val="auto"/>
          <w:spacing w:val="-6"/>
          <w:kern w:val="21"/>
          <w:szCs w:val="21"/>
        </w:rPr>
        <w:fldChar w:fldCharType="separate"/>
      </w:r>
      <w:r>
        <w:rPr>
          <w:rFonts w:ascii="Times New Roman"/>
          <w:color w:val="auto"/>
          <w:szCs w:val="21"/>
        </w:rPr>
        <w:t>⑦</w:t>
      </w:r>
      <w:r>
        <w:rPr>
          <w:rFonts w:ascii="Times New Roman"/>
          <w:color w:val="auto"/>
          <w:szCs w:val="21"/>
        </w:rPr>
        <w:fldChar w:fldCharType="end"/>
      </w:r>
      <w:r>
        <w:rPr>
          <w:rFonts w:ascii="Times New Roman"/>
          <w:snapToGrid w:val="0"/>
          <w:color w:val="auto"/>
          <w:spacing w:val="-6"/>
          <w:kern w:val="21"/>
          <w:szCs w:val="21"/>
        </w:rPr>
        <w:t>=</w:t>
      </w:r>
      <w:r>
        <w:rPr>
          <w:rFonts w:ascii="Times New Roman"/>
          <w:snapToGrid w:val="0"/>
          <w:color w:val="auto"/>
          <w:spacing w:val="-16"/>
          <w:kern w:val="21"/>
          <w:szCs w:val="21"/>
        </w:rPr>
        <w:fldChar w:fldCharType="begin"/>
      </w:r>
      <w:r>
        <w:rPr>
          <w:rFonts w:ascii="Times New Roman"/>
          <w:snapToGrid w:val="0"/>
          <w:color w:val="auto"/>
          <w:spacing w:val="-16"/>
          <w:kern w:val="21"/>
          <w:szCs w:val="21"/>
        </w:rPr>
        <w:instrText xml:space="preserve"> = 6 \* GB3 \* MERGEFORMAT </w:instrText>
      </w:r>
      <w:r>
        <w:rPr>
          <w:rFonts w:ascii="Times New Roman"/>
          <w:snapToGrid w:val="0"/>
          <w:color w:val="auto"/>
          <w:spacing w:val="-16"/>
          <w:kern w:val="21"/>
          <w:szCs w:val="21"/>
        </w:rPr>
        <w:fldChar w:fldCharType="separate"/>
      </w:r>
      <w:r>
        <w:rPr>
          <w:rFonts w:ascii="Times New Roman"/>
          <w:color w:val="auto"/>
          <w:szCs w:val="21"/>
        </w:rPr>
        <w:t>⑥</w:t>
      </w:r>
      <w:r>
        <w:rPr>
          <w:rFonts w:ascii="Times New Roman"/>
          <w:color w:val="auto"/>
          <w:szCs w:val="21"/>
        </w:rPr>
        <w:fldChar w:fldCharType="end"/>
      </w:r>
      <w:r>
        <w:rPr>
          <w:rFonts w:ascii="Times New Roman"/>
          <w:snapToGrid w:val="0"/>
          <w:color w:val="auto"/>
          <w:spacing w:val="-16"/>
          <w:kern w:val="21"/>
          <w:szCs w:val="21"/>
        </w:rPr>
        <w:t>-</w:t>
      </w:r>
      <w:r>
        <w:rPr>
          <w:rFonts w:ascii="Times New Roman"/>
          <w:snapToGrid w:val="0"/>
          <w:color w:val="auto"/>
          <w:spacing w:val="-6"/>
          <w:kern w:val="21"/>
          <w:szCs w:val="21"/>
        </w:rPr>
        <w:fldChar w:fldCharType="begin"/>
      </w:r>
      <w:r>
        <w:rPr>
          <w:rFonts w:ascii="Times New Roman"/>
          <w:snapToGrid w:val="0"/>
          <w:color w:val="auto"/>
          <w:spacing w:val="-6"/>
          <w:kern w:val="21"/>
          <w:szCs w:val="21"/>
        </w:rPr>
        <w:instrText xml:space="preserve"> = 1 \* GB3 \* MERGEFORMAT </w:instrText>
      </w:r>
      <w:r>
        <w:rPr>
          <w:rFonts w:ascii="Times New Roman"/>
          <w:snapToGrid w:val="0"/>
          <w:color w:val="auto"/>
          <w:spacing w:val="-6"/>
          <w:kern w:val="21"/>
          <w:szCs w:val="21"/>
        </w:rPr>
        <w:fldChar w:fldCharType="separate"/>
      </w:r>
      <w:r>
        <w:rPr>
          <w:rFonts w:ascii="Times New Roman"/>
          <w:color w:val="auto"/>
          <w:szCs w:val="21"/>
        </w:rPr>
        <w:t>①</w:t>
      </w:r>
      <w:r>
        <w:rPr>
          <w:rFonts w:ascii="Times New Roman"/>
          <w:color w:val="auto"/>
          <w:szCs w:val="21"/>
        </w:rPr>
        <w:fldChar w:fldCharType="end"/>
      </w:r>
    </w:p>
    <w:p w14:paraId="43040867">
      <w:pPr>
        <w:ind w:firstLine="480"/>
        <w:rPr>
          <w:rFonts w:hint="default" w:eastAsia="宋体"/>
          <w:color w:val="auto"/>
        </w:rPr>
      </w:pPr>
    </w:p>
    <w:p w14:paraId="765299BF">
      <w:pPr>
        <w:ind w:firstLine="480"/>
        <w:rPr>
          <w:rFonts w:hint="default" w:eastAsia="宋体"/>
          <w:color w:val="auto"/>
        </w:rPr>
        <w:sectPr>
          <w:footerReference r:id="rId9" w:type="default"/>
          <w:pgSz w:w="16838" w:h="11906" w:orient="landscape"/>
          <w:pgMar w:top="1701" w:right="1531" w:bottom="1701" w:left="1531" w:header="851" w:footer="851" w:gutter="0"/>
          <w:pgNumType w:fmt="numberInDash"/>
          <w:cols w:space="720" w:num="1"/>
          <w:docGrid w:linePitch="312" w:charSpace="0"/>
        </w:sectPr>
      </w:pPr>
    </w:p>
    <w:p w14:paraId="2E3DC509">
      <w:pPr>
        <w:pStyle w:val="2"/>
        <w:rPr>
          <w:rFonts w:hint="default" w:eastAsia="黑体"/>
          <w:color w:val="auto"/>
        </w:rPr>
      </w:pPr>
      <w:r>
        <w:rPr>
          <w:rFonts w:hint="default" w:eastAsia="黑体"/>
          <w:color w:val="auto"/>
        </w:rPr>
        <w:t>附件1委托书</w:t>
      </w:r>
    </w:p>
    <w:p w14:paraId="680C1431">
      <w:pPr>
        <w:ind w:firstLine="883"/>
        <w:jc w:val="center"/>
        <w:rPr>
          <w:rFonts w:hint="default" w:ascii="Times New Roman" w:hAnsi="Times New Roman" w:cs="Times New Roman"/>
          <w:b/>
          <w:bCs/>
          <w:color w:val="auto"/>
          <w:sz w:val="44"/>
          <w:szCs w:val="44"/>
        </w:rPr>
      </w:pPr>
    </w:p>
    <w:p w14:paraId="326F82FA">
      <w:pPr>
        <w:ind w:firstLine="883"/>
        <w:jc w:val="center"/>
        <w:rPr>
          <w:rFonts w:hint="default" w:ascii="Times New Roman" w:hAnsi="Times New Roman" w:cs="Times New Roman"/>
          <w:b/>
          <w:bCs/>
          <w:color w:val="auto"/>
          <w:sz w:val="44"/>
          <w:szCs w:val="44"/>
        </w:rPr>
      </w:pPr>
    </w:p>
    <w:p w14:paraId="7B008F3A">
      <w:pPr>
        <w:ind w:firstLine="883"/>
        <w:jc w:val="center"/>
        <w:rPr>
          <w:rFonts w:hint="default" w:ascii="Times New Roman" w:hAnsi="Times New Roman" w:cs="Times New Roman"/>
          <w:b/>
          <w:bCs/>
          <w:color w:val="auto"/>
          <w:sz w:val="44"/>
          <w:szCs w:val="44"/>
        </w:rPr>
      </w:pPr>
    </w:p>
    <w:p w14:paraId="5F839F2D">
      <w:pPr>
        <w:ind w:firstLine="883"/>
        <w:jc w:val="center"/>
        <w:rPr>
          <w:rFonts w:hint="default" w:ascii="Times New Roman" w:hAnsi="Times New Roman" w:cs="Times New Roman"/>
          <w:b/>
          <w:bCs/>
          <w:color w:val="auto"/>
          <w:sz w:val="44"/>
          <w:szCs w:val="44"/>
        </w:rPr>
      </w:pPr>
      <w:r>
        <w:rPr>
          <w:rFonts w:hint="default" w:ascii="Times New Roman" w:hAnsi="Times New Roman" w:cs="Times New Roman"/>
          <w:b/>
          <w:bCs/>
          <w:color w:val="auto"/>
          <w:sz w:val="44"/>
          <w:szCs w:val="44"/>
        </w:rPr>
        <w:t>委托书</w:t>
      </w:r>
    </w:p>
    <w:p w14:paraId="577E6BF8">
      <w:pPr>
        <w:adjustRightInd w:val="0"/>
        <w:snapToGrid w:val="0"/>
        <w:rPr>
          <w:rFonts w:hint="default" w:ascii="Times New Roman" w:hAnsi="Times New Roman" w:cs="Times New Roman"/>
          <w:color w:val="auto"/>
          <w:sz w:val="36"/>
        </w:rPr>
      </w:pPr>
    </w:p>
    <w:p w14:paraId="2800F524">
      <w:pPr>
        <w:adjustRightInd w:val="0"/>
        <w:snapToGrid w:val="0"/>
        <w:ind w:firstLine="0" w:firstLineChars="0"/>
        <w:rPr>
          <w:rFonts w:hint="default" w:ascii="Times New Roman" w:hAnsi="Times New Roman" w:cs="Times New Roman"/>
          <w:bCs/>
          <w:color w:val="auto"/>
          <w:sz w:val="28"/>
          <w:szCs w:val="28"/>
        </w:rPr>
      </w:pPr>
      <w:r>
        <w:rPr>
          <w:rFonts w:hint="default" w:ascii="Times New Roman" w:hAnsi="Times New Roman" w:cs="Times New Roman"/>
          <w:bCs/>
          <w:color w:val="auto"/>
          <w:sz w:val="28"/>
          <w:szCs w:val="28"/>
        </w:rPr>
        <w:t>鄂尔多斯市奇胜安环科技有限公司：</w:t>
      </w:r>
    </w:p>
    <w:p w14:paraId="47C93D12">
      <w:pPr>
        <w:adjustRightInd w:val="0"/>
        <w:snapToGrid w:val="0"/>
        <w:ind w:firstLine="560"/>
        <w:rPr>
          <w:rFonts w:hint="default" w:ascii="Times New Roman" w:hAnsi="Times New Roman" w:cs="Times New Roman"/>
          <w:bCs/>
          <w:color w:val="auto"/>
          <w:sz w:val="28"/>
          <w:szCs w:val="28"/>
        </w:rPr>
      </w:pPr>
      <w:r>
        <w:rPr>
          <w:rFonts w:hint="default" w:ascii="Times New Roman" w:hAnsi="Times New Roman" w:cs="Times New Roman"/>
          <w:bCs/>
          <w:color w:val="auto"/>
          <w:sz w:val="28"/>
          <w:szCs w:val="28"/>
        </w:rPr>
        <w:t>我公司建设“</w:t>
      </w:r>
      <w:r>
        <w:rPr>
          <w:rFonts w:hint="eastAsia" w:cs="Times New Roman"/>
          <w:bCs/>
          <w:color w:val="auto"/>
          <w:sz w:val="28"/>
          <w:szCs w:val="28"/>
          <w:lang w:eastAsia="zh-CN"/>
        </w:rPr>
        <w:t>中煤张家口煤矿机械有限责任公司鄂尔多斯分公司危险废物贮存库建设项目</w:t>
      </w:r>
      <w:r>
        <w:rPr>
          <w:rFonts w:hint="default" w:ascii="Times New Roman" w:hAnsi="Times New Roman" w:cs="Times New Roman"/>
          <w:bCs/>
          <w:color w:val="auto"/>
          <w:sz w:val="28"/>
          <w:szCs w:val="28"/>
        </w:rPr>
        <w:t>”</w:t>
      </w:r>
      <w:r>
        <w:rPr>
          <w:rFonts w:hint="default" w:ascii="Times New Roman" w:hAnsi="Times New Roman" w:cs="Times New Roman"/>
          <w:bCs/>
          <w:color w:val="auto"/>
          <w:sz w:val="28"/>
          <w:szCs w:val="28"/>
          <w:lang w:eastAsia="zh-CN"/>
        </w:rPr>
        <w:t>，</w:t>
      </w:r>
      <w:r>
        <w:rPr>
          <w:rFonts w:hint="default" w:ascii="Times New Roman" w:hAnsi="Times New Roman" w:cs="Times New Roman"/>
          <w:bCs/>
          <w:color w:val="auto"/>
          <w:sz w:val="28"/>
          <w:szCs w:val="28"/>
        </w:rPr>
        <w:t>根据《中华人民共和国环境保护法》《中华人民共和国环境影响评价法》等有关条款规定</w:t>
      </w:r>
      <w:r>
        <w:rPr>
          <w:rFonts w:hint="default" w:ascii="Times New Roman" w:hAnsi="Times New Roman" w:cs="Times New Roman"/>
          <w:bCs/>
          <w:color w:val="auto"/>
          <w:sz w:val="28"/>
          <w:szCs w:val="28"/>
          <w:lang w:eastAsia="zh-CN"/>
        </w:rPr>
        <w:t>，</w:t>
      </w:r>
      <w:r>
        <w:rPr>
          <w:rFonts w:hint="default" w:ascii="Times New Roman" w:hAnsi="Times New Roman" w:cs="Times New Roman"/>
          <w:bCs/>
          <w:color w:val="auto"/>
          <w:sz w:val="28"/>
          <w:szCs w:val="28"/>
        </w:rPr>
        <w:t>本项目需进行环境影响评价</w:t>
      </w:r>
      <w:r>
        <w:rPr>
          <w:rFonts w:hint="default" w:ascii="Times New Roman" w:hAnsi="Times New Roman" w:cs="Times New Roman"/>
          <w:bCs/>
          <w:color w:val="auto"/>
          <w:sz w:val="28"/>
          <w:szCs w:val="28"/>
          <w:lang w:eastAsia="zh-CN"/>
        </w:rPr>
        <w:t>，</w:t>
      </w:r>
      <w:r>
        <w:rPr>
          <w:rFonts w:hint="default" w:ascii="Times New Roman" w:hAnsi="Times New Roman" w:cs="Times New Roman"/>
          <w:bCs/>
          <w:color w:val="auto"/>
          <w:sz w:val="28"/>
          <w:szCs w:val="28"/>
        </w:rPr>
        <w:t>并编制“环境影响报告表”。</w:t>
      </w:r>
    </w:p>
    <w:p w14:paraId="0E38B0F6">
      <w:pPr>
        <w:adjustRightInd w:val="0"/>
        <w:snapToGrid w:val="0"/>
        <w:ind w:firstLine="560"/>
        <w:rPr>
          <w:rFonts w:hint="default" w:ascii="Times New Roman" w:hAnsi="Times New Roman" w:cs="Times New Roman"/>
          <w:bCs/>
          <w:color w:val="auto"/>
          <w:sz w:val="28"/>
          <w:szCs w:val="28"/>
        </w:rPr>
      </w:pPr>
      <w:r>
        <w:rPr>
          <w:rFonts w:hint="default" w:ascii="Times New Roman" w:hAnsi="Times New Roman" w:cs="Times New Roman"/>
          <w:bCs/>
          <w:color w:val="auto"/>
          <w:sz w:val="28"/>
          <w:szCs w:val="28"/>
        </w:rPr>
        <w:t>我公司现委托贵公司承担本项目的环境影响评价工作</w:t>
      </w:r>
      <w:r>
        <w:rPr>
          <w:rFonts w:hint="default" w:ascii="Times New Roman" w:hAnsi="Times New Roman" w:cs="Times New Roman"/>
          <w:bCs/>
          <w:color w:val="auto"/>
          <w:sz w:val="28"/>
          <w:szCs w:val="28"/>
          <w:lang w:eastAsia="zh-CN"/>
        </w:rPr>
        <w:t>，</w:t>
      </w:r>
      <w:r>
        <w:rPr>
          <w:rFonts w:hint="default" w:ascii="Times New Roman" w:hAnsi="Times New Roman" w:cs="Times New Roman"/>
          <w:bCs/>
          <w:color w:val="auto"/>
          <w:sz w:val="28"/>
          <w:szCs w:val="28"/>
        </w:rPr>
        <w:t>请贵公司尽快组织力量</w:t>
      </w:r>
      <w:r>
        <w:rPr>
          <w:rFonts w:hint="default" w:ascii="Times New Roman" w:hAnsi="Times New Roman" w:cs="Times New Roman"/>
          <w:bCs/>
          <w:color w:val="auto"/>
          <w:sz w:val="28"/>
          <w:szCs w:val="28"/>
          <w:lang w:eastAsia="zh-CN"/>
        </w:rPr>
        <w:t>，</w:t>
      </w:r>
      <w:r>
        <w:rPr>
          <w:rFonts w:hint="default" w:ascii="Times New Roman" w:hAnsi="Times New Roman" w:cs="Times New Roman"/>
          <w:bCs/>
          <w:color w:val="auto"/>
          <w:sz w:val="28"/>
          <w:szCs w:val="28"/>
        </w:rPr>
        <w:t>按照有关条例要求</w:t>
      </w:r>
      <w:r>
        <w:rPr>
          <w:rFonts w:hint="default" w:ascii="Times New Roman" w:hAnsi="Times New Roman" w:cs="Times New Roman"/>
          <w:bCs/>
          <w:color w:val="auto"/>
          <w:sz w:val="28"/>
          <w:szCs w:val="28"/>
          <w:lang w:eastAsia="zh-CN"/>
        </w:rPr>
        <w:t>，</w:t>
      </w:r>
      <w:r>
        <w:rPr>
          <w:rFonts w:hint="default" w:ascii="Times New Roman" w:hAnsi="Times New Roman" w:cs="Times New Roman"/>
          <w:bCs/>
          <w:color w:val="auto"/>
          <w:sz w:val="28"/>
          <w:szCs w:val="28"/>
        </w:rPr>
        <w:t>展开环评工作。</w:t>
      </w:r>
    </w:p>
    <w:p w14:paraId="2FE9838B">
      <w:pPr>
        <w:rPr>
          <w:rFonts w:hint="default" w:ascii="Times New Roman" w:hAnsi="Times New Roman" w:cs="Times New Roman"/>
          <w:color w:val="auto"/>
          <w:sz w:val="36"/>
          <w:szCs w:val="36"/>
        </w:rPr>
      </w:pPr>
    </w:p>
    <w:p w14:paraId="2C682B7D">
      <w:pPr>
        <w:rPr>
          <w:rFonts w:hint="default" w:ascii="Times New Roman" w:hAnsi="Times New Roman" w:cs="Times New Roman"/>
          <w:color w:val="auto"/>
          <w:sz w:val="36"/>
          <w:szCs w:val="36"/>
        </w:rPr>
      </w:pPr>
    </w:p>
    <w:p w14:paraId="33591288">
      <w:pPr>
        <w:rPr>
          <w:rFonts w:hint="default" w:ascii="Times New Roman" w:hAnsi="Times New Roman" w:cs="Times New Roman"/>
          <w:color w:val="auto"/>
          <w:sz w:val="36"/>
          <w:szCs w:val="36"/>
        </w:rPr>
      </w:pPr>
    </w:p>
    <w:p w14:paraId="7B28C71D">
      <w:pPr>
        <w:rPr>
          <w:rFonts w:hint="default" w:ascii="Times New Roman" w:hAnsi="Times New Roman" w:cs="Times New Roman"/>
          <w:bCs/>
          <w:color w:val="auto"/>
          <w:sz w:val="36"/>
          <w:szCs w:val="18"/>
        </w:rPr>
      </w:pPr>
    </w:p>
    <w:p w14:paraId="666BB053">
      <w:pPr>
        <w:snapToGrid w:val="0"/>
        <w:ind w:firstLine="560"/>
        <w:jc w:val="right"/>
        <w:rPr>
          <w:rFonts w:hint="default" w:ascii="Times New Roman" w:hAnsi="Times New Roman" w:cs="Times New Roman"/>
          <w:color w:val="auto"/>
          <w:sz w:val="28"/>
          <w:szCs w:val="28"/>
        </w:rPr>
      </w:pPr>
      <w:r>
        <w:rPr>
          <w:rFonts w:hint="default" w:ascii="Times New Roman" w:hAnsi="Times New Roman" w:cs="Times New Roman"/>
          <w:color w:val="auto"/>
          <w:sz w:val="28"/>
          <w:szCs w:val="28"/>
          <w:lang w:eastAsia="zh-CN"/>
        </w:rPr>
        <w:t>中煤张家口煤矿机械有限责任公司鄂尔多斯分公司</w:t>
      </w:r>
    </w:p>
    <w:p w14:paraId="4C5845AE">
      <w:pPr>
        <w:snapToGrid w:val="0"/>
        <w:ind w:firstLine="560"/>
        <w:jc w:val="right"/>
        <w:rPr>
          <w:rFonts w:hint="default" w:ascii="Times New Roman" w:hAnsi="Times New Roman" w:cs="Times New Roman"/>
          <w:color w:val="auto"/>
          <w:sz w:val="36"/>
          <w:szCs w:val="36"/>
        </w:rPr>
      </w:pPr>
      <w:r>
        <w:rPr>
          <w:rFonts w:hint="default" w:ascii="Times New Roman" w:hAnsi="Times New Roman" w:cs="Times New Roman"/>
          <w:color w:val="auto"/>
          <w:sz w:val="28"/>
          <w:szCs w:val="28"/>
        </w:rPr>
        <w:t>202</w:t>
      </w:r>
      <w:r>
        <w:rPr>
          <w:rFonts w:hint="eastAsia" w:ascii="Times New Roman" w:hAnsi="Times New Roman" w:eastAsia="宋体" w:cs="Times New Roman"/>
          <w:color w:val="auto"/>
          <w:sz w:val="28"/>
          <w:szCs w:val="28"/>
          <w:lang w:val="en-US" w:eastAsia="zh-CN"/>
        </w:rPr>
        <w:t>6</w:t>
      </w:r>
      <w:r>
        <w:rPr>
          <w:rFonts w:hint="default" w:ascii="Times New Roman" w:hAnsi="Times New Roman" w:cs="Times New Roman"/>
          <w:color w:val="auto"/>
          <w:sz w:val="28"/>
          <w:szCs w:val="28"/>
        </w:rPr>
        <w:t>年3月</w:t>
      </w:r>
    </w:p>
    <w:p w14:paraId="4B097D86">
      <w:pPr>
        <w:ind w:firstLine="480"/>
        <w:rPr>
          <w:rFonts w:hint="default" w:eastAsia="宋体"/>
          <w:color w:val="auto"/>
        </w:rPr>
      </w:pPr>
    </w:p>
    <w:p w14:paraId="148963D6">
      <w:pPr>
        <w:ind w:firstLine="0" w:firstLineChars="0"/>
        <w:rPr>
          <w:rFonts w:hint="default" w:eastAsia="宋体"/>
          <w:color w:val="auto"/>
          <w:sz w:val="28"/>
          <w:szCs w:val="28"/>
        </w:rPr>
      </w:pPr>
    </w:p>
    <w:p w14:paraId="1A9C5285">
      <w:pPr>
        <w:ind w:firstLine="560"/>
        <w:jc w:val="right"/>
        <w:rPr>
          <w:rFonts w:hint="default"/>
          <w:color w:val="auto"/>
          <w:sz w:val="28"/>
          <w:szCs w:val="28"/>
        </w:rPr>
      </w:pPr>
    </w:p>
    <w:p w14:paraId="24A9FFF8">
      <w:pPr>
        <w:ind w:firstLine="560"/>
        <w:jc w:val="right"/>
        <w:rPr>
          <w:rFonts w:hint="default"/>
          <w:color w:val="auto"/>
          <w:sz w:val="28"/>
          <w:szCs w:val="28"/>
        </w:rPr>
      </w:pPr>
    </w:p>
    <w:p w14:paraId="76CE2CD3">
      <w:pPr>
        <w:pStyle w:val="2"/>
        <w:rPr>
          <w:rFonts w:hint="default"/>
          <w:color w:val="auto"/>
        </w:rPr>
      </w:pPr>
      <w:r>
        <w:rPr>
          <w:rFonts w:hint="default" w:eastAsia="黑体"/>
          <w:color w:val="auto"/>
        </w:rPr>
        <w:t>附件2建设单位营业执照</w:t>
      </w:r>
    </w:p>
    <w:p w14:paraId="0C0836CF">
      <w:pPr>
        <w:ind w:firstLine="0" w:firstLineChars="0"/>
        <w:rPr>
          <w:rFonts w:hint="eastAsia" w:eastAsia="宋体"/>
          <w:color w:val="auto"/>
          <w:sz w:val="28"/>
          <w:szCs w:val="36"/>
          <w:lang w:eastAsia="zh-CN"/>
        </w:rPr>
      </w:pPr>
      <w:r>
        <w:rPr>
          <w:rFonts w:hint="eastAsia" w:eastAsia="宋体"/>
          <w:color w:val="auto"/>
          <w:sz w:val="28"/>
          <w:szCs w:val="36"/>
          <w:lang w:eastAsia="zh-CN"/>
        </w:rPr>
        <w:drawing>
          <wp:inline distT="0" distB="0" distL="114300" distR="114300">
            <wp:extent cx="7914640" cy="5581650"/>
            <wp:effectExtent l="0" t="0" r="0" b="10160"/>
            <wp:docPr id="12" name="图片 12" descr="营业执照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营业执照 (2)"/>
                    <pic:cNvPicPr>
                      <a:picLocks noChangeAspect="1"/>
                    </pic:cNvPicPr>
                  </pic:nvPicPr>
                  <pic:blipFill>
                    <a:blip r:embed="rId19"/>
                    <a:stretch>
                      <a:fillRect/>
                    </a:stretch>
                  </pic:blipFill>
                  <pic:spPr>
                    <a:xfrm rot="16200000">
                      <a:off x="0" y="0"/>
                      <a:ext cx="7914640" cy="5581650"/>
                    </a:xfrm>
                    <a:prstGeom prst="rect">
                      <a:avLst/>
                    </a:prstGeom>
                  </pic:spPr>
                </pic:pic>
              </a:graphicData>
            </a:graphic>
          </wp:inline>
        </w:drawing>
      </w:r>
    </w:p>
    <w:p w14:paraId="36AA3D93">
      <w:pPr>
        <w:pStyle w:val="4"/>
        <w:ind w:left="480" w:firstLine="560"/>
        <w:rPr>
          <w:rFonts w:hint="default" w:eastAsia="宋体"/>
          <w:color w:val="auto"/>
          <w:sz w:val="28"/>
          <w:szCs w:val="36"/>
        </w:rPr>
      </w:pPr>
    </w:p>
    <w:p w14:paraId="77D5CE8F">
      <w:pPr>
        <w:pStyle w:val="2"/>
        <w:rPr>
          <w:rFonts w:hint="default" w:eastAsia="黑体"/>
          <w:color w:val="auto"/>
        </w:rPr>
      </w:pPr>
      <w:r>
        <w:rPr>
          <w:rFonts w:hint="default" w:eastAsia="黑体"/>
          <w:color w:val="auto"/>
        </w:rPr>
        <w:t>附件3引用检测报告</w:t>
      </w:r>
    </w:p>
    <w:p w14:paraId="57CEF43C">
      <w:pPr>
        <w:ind w:firstLine="0" w:firstLineChars="0"/>
        <w:rPr>
          <w:rFonts w:hint="default" w:eastAsia="宋体"/>
          <w:color w:val="auto"/>
        </w:rPr>
      </w:pPr>
      <w:r>
        <w:rPr>
          <w:color w:val="auto"/>
        </w:rPr>
        <w:drawing>
          <wp:inline distT="0" distB="0" distL="114300" distR="114300">
            <wp:extent cx="4972050" cy="6791325"/>
            <wp:effectExtent l="0" t="0" r="0" b="9525"/>
            <wp:docPr id="2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4"/>
                    <pic:cNvPicPr>
                      <a:picLocks noChangeAspect="1"/>
                    </pic:cNvPicPr>
                  </pic:nvPicPr>
                  <pic:blipFill>
                    <a:blip r:embed="rId20"/>
                    <a:stretch>
                      <a:fillRect/>
                    </a:stretch>
                  </pic:blipFill>
                  <pic:spPr>
                    <a:xfrm>
                      <a:off x="0" y="0"/>
                      <a:ext cx="4972050" cy="6791325"/>
                    </a:xfrm>
                    <a:prstGeom prst="rect">
                      <a:avLst/>
                    </a:prstGeom>
                    <a:noFill/>
                    <a:ln>
                      <a:noFill/>
                    </a:ln>
                  </pic:spPr>
                </pic:pic>
              </a:graphicData>
            </a:graphic>
          </wp:inline>
        </w:drawing>
      </w:r>
      <w:r>
        <w:rPr>
          <w:color w:val="auto"/>
        </w:rPr>
        <w:drawing>
          <wp:inline distT="0" distB="0" distL="114300" distR="114300">
            <wp:extent cx="5534025" cy="7591425"/>
            <wp:effectExtent l="0" t="0" r="9525" b="9525"/>
            <wp:docPr id="2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5"/>
                    <pic:cNvPicPr>
                      <a:picLocks noChangeAspect="1"/>
                    </pic:cNvPicPr>
                  </pic:nvPicPr>
                  <pic:blipFill>
                    <a:blip r:embed="rId21"/>
                    <a:stretch>
                      <a:fillRect/>
                    </a:stretch>
                  </pic:blipFill>
                  <pic:spPr>
                    <a:xfrm>
                      <a:off x="0" y="0"/>
                      <a:ext cx="5534025" cy="7591425"/>
                    </a:xfrm>
                    <a:prstGeom prst="rect">
                      <a:avLst/>
                    </a:prstGeom>
                    <a:noFill/>
                    <a:ln>
                      <a:noFill/>
                    </a:ln>
                  </pic:spPr>
                </pic:pic>
              </a:graphicData>
            </a:graphic>
          </wp:inline>
        </w:drawing>
      </w:r>
      <w:r>
        <w:rPr>
          <w:color w:val="auto"/>
        </w:rPr>
        <w:drawing>
          <wp:inline distT="0" distB="0" distL="114300" distR="114300">
            <wp:extent cx="5334000" cy="7429500"/>
            <wp:effectExtent l="0" t="0" r="0" b="0"/>
            <wp:docPr id="2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6"/>
                    <pic:cNvPicPr>
                      <a:picLocks noChangeAspect="1"/>
                    </pic:cNvPicPr>
                  </pic:nvPicPr>
                  <pic:blipFill>
                    <a:blip r:embed="rId22"/>
                    <a:stretch>
                      <a:fillRect/>
                    </a:stretch>
                  </pic:blipFill>
                  <pic:spPr>
                    <a:xfrm>
                      <a:off x="0" y="0"/>
                      <a:ext cx="5334000" cy="7429500"/>
                    </a:xfrm>
                    <a:prstGeom prst="rect">
                      <a:avLst/>
                    </a:prstGeom>
                    <a:noFill/>
                    <a:ln>
                      <a:noFill/>
                    </a:ln>
                  </pic:spPr>
                </pic:pic>
              </a:graphicData>
            </a:graphic>
          </wp:inline>
        </w:drawing>
      </w:r>
      <w:r>
        <w:rPr>
          <w:color w:val="auto"/>
        </w:rPr>
        <w:drawing>
          <wp:inline distT="0" distB="0" distL="114300" distR="114300">
            <wp:extent cx="5257800" cy="7239000"/>
            <wp:effectExtent l="0" t="0" r="0" b="0"/>
            <wp:docPr id="2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7"/>
                    <pic:cNvPicPr>
                      <a:picLocks noChangeAspect="1"/>
                    </pic:cNvPicPr>
                  </pic:nvPicPr>
                  <pic:blipFill>
                    <a:blip r:embed="rId23"/>
                    <a:stretch>
                      <a:fillRect/>
                    </a:stretch>
                  </pic:blipFill>
                  <pic:spPr>
                    <a:xfrm>
                      <a:off x="0" y="0"/>
                      <a:ext cx="5257800" cy="7239000"/>
                    </a:xfrm>
                    <a:prstGeom prst="rect">
                      <a:avLst/>
                    </a:prstGeom>
                    <a:noFill/>
                    <a:ln>
                      <a:noFill/>
                    </a:ln>
                  </pic:spPr>
                </pic:pic>
              </a:graphicData>
            </a:graphic>
          </wp:inline>
        </w:drawing>
      </w:r>
      <w:r>
        <w:rPr>
          <w:color w:val="auto"/>
        </w:rPr>
        <w:drawing>
          <wp:inline distT="0" distB="0" distL="114300" distR="114300">
            <wp:extent cx="5457825" cy="7191375"/>
            <wp:effectExtent l="0" t="0" r="9525" b="9525"/>
            <wp:docPr id="2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8"/>
                    <pic:cNvPicPr>
                      <a:picLocks noChangeAspect="1"/>
                    </pic:cNvPicPr>
                  </pic:nvPicPr>
                  <pic:blipFill>
                    <a:blip r:embed="rId24"/>
                    <a:stretch>
                      <a:fillRect/>
                    </a:stretch>
                  </pic:blipFill>
                  <pic:spPr>
                    <a:xfrm>
                      <a:off x="0" y="0"/>
                      <a:ext cx="5457825" cy="7191375"/>
                    </a:xfrm>
                    <a:prstGeom prst="rect">
                      <a:avLst/>
                    </a:prstGeom>
                    <a:noFill/>
                    <a:ln>
                      <a:noFill/>
                    </a:ln>
                  </pic:spPr>
                </pic:pic>
              </a:graphicData>
            </a:graphic>
          </wp:inline>
        </w:drawing>
      </w:r>
      <w:r>
        <w:rPr>
          <w:color w:val="auto"/>
        </w:rPr>
        <w:drawing>
          <wp:inline distT="0" distB="0" distL="114300" distR="114300">
            <wp:extent cx="5143500" cy="7267575"/>
            <wp:effectExtent l="0" t="0" r="0" b="9525"/>
            <wp:docPr id="2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9"/>
                    <pic:cNvPicPr>
                      <a:picLocks noChangeAspect="1"/>
                    </pic:cNvPicPr>
                  </pic:nvPicPr>
                  <pic:blipFill>
                    <a:blip r:embed="rId25"/>
                    <a:stretch>
                      <a:fillRect/>
                    </a:stretch>
                  </pic:blipFill>
                  <pic:spPr>
                    <a:xfrm>
                      <a:off x="0" y="0"/>
                      <a:ext cx="5143500" cy="7267575"/>
                    </a:xfrm>
                    <a:prstGeom prst="rect">
                      <a:avLst/>
                    </a:prstGeom>
                    <a:noFill/>
                    <a:ln>
                      <a:noFill/>
                    </a:ln>
                  </pic:spPr>
                </pic:pic>
              </a:graphicData>
            </a:graphic>
          </wp:inline>
        </w:drawing>
      </w:r>
      <w:r>
        <w:rPr>
          <w:color w:val="auto"/>
        </w:rPr>
        <w:drawing>
          <wp:inline distT="0" distB="0" distL="114300" distR="114300">
            <wp:extent cx="5181600" cy="7353300"/>
            <wp:effectExtent l="0" t="0" r="0" b="0"/>
            <wp:docPr id="3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0"/>
                    <pic:cNvPicPr>
                      <a:picLocks noChangeAspect="1"/>
                    </pic:cNvPicPr>
                  </pic:nvPicPr>
                  <pic:blipFill>
                    <a:blip r:embed="rId26"/>
                    <a:stretch>
                      <a:fillRect/>
                    </a:stretch>
                  </pic:blipFill>
                  <pic:spPr>
                    <a:xfrm>
                      <a:off x="0" y="0"/>
                      <a:ext cx="5181600" cy="7353300"/>
                    </a:xfrm>
                    <a:prstGeom prst="rect">
                      <a:avLst/>
                    </a:prstGeom>
                    <a:noFill/>
                    <a:ln>
                      <a:noFill/>
                    </a:ln>
                  </pic:spPr>
                </pic:pic>
              </a:graphicData>
            </a:graphic>
          </wp:inline>
        </w:drawing>
      </w:r>
      <w:r>
        <w:rPr>
          <w:color w:val="auto"/>
        </w:rPr>
        <w:drawing>
          <wp:inline distT="0" distB="0" distL="114300" distR="114300">
            <wp:extent cx="5314950" cy="7381875"/>
            <wp:effectExtent l="0" t="0" r="0" b="9525"/>
            <wp:docPr id="3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1"/>
                    <pic:cNvPicPr>
                      <a:picLocks noChangeAspect="1"/>
                    </pic:cNvPicPr>
                  </pic:nvPicPr>
                  <pic:blipFill>
                    <a:blip r:embed="rId27"/>
                    <a:stretch>
                      <a:fillRect/>
                    </a:stretch>
                  </pic:blipFill>
                  <pic:spPr>
                    <a:xfrm>
                      <a:off x="0" y="0"/>
                      <a:ext cx="5314950" cy="7381875"/>
                    </a:xfrm>
                    <a:prstGeom prst="rect">
                      <a:avLst/>
                    </a:prstGeom>
                    <a:noFill/>
                    <a:ln>
                      <a:noFill/>
                    </a:ln>
                  </pic:spPr>
                </pic:pic>
              </a:graphicData>
            </a:graphic>
          </wp:inline>
        </w:drawing>
      </w:r>
      <w:r>
        <w:rPr>
          <w:color w:val="auto"/>
        </w:rPr>
        <w:drawing>
          <wp:inline distT="0" distB="0" distL="114300" distR="114300">
            <wp:extent cx="5305425" cy="7534275"/>
            <wp:effectExtent l="0" t="0" r="9525" b="9525"/>
            <wp:docPr id="3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2"/>
                    <pic:cNvPicPr>
                      <a:picLocks noChangeAspect="1"/>
                    </pic:cNvPicPr>
                  </pic:nvPicPr>
                  <pic:blipFill>
                    <a:blip r:embed="rId28"/>
                    <a:stretch>
                      <a:fillRect/>
                    </a:stretch>
                  </pic:blipFill>
                  <pic:spPr>
                    <a:xfrm>
                      <a:off x="0" y="0"/>
                      <a:ext cx="5305425" cy="7534275"/>
                    </a:xfrm>
                    <a:prstGeom prst="rect">
                      <a:avLst/>
                    </a:prstGeom>
                    <a:noFill/>
                    <a:ln>
                      <a:noFill/>
                    </a:ln>
                  </pic:spPr>
                </pic:pic>
              </a:graphicData>
            </a:graphic>
          </wp:inline>
        </w:drawing>
      </w:r>
      <w:r>
        <w:rPr>
          <w:color w:val="auto"/>
        </w:rPr>
        <w:drawing>
          <wp:inline distT="0" distB="0" distL="114300" distR="114300">
            <wp:extent cx="5191125" cy="7543800"/>
            <wp:effectExtent l="0" t="0" r="9525" b="0"/>
            <wp:docPr id="3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3"/>
                    <pic:cNvPicPr>
                      <a:picLocks noChangeAspect="1"/>
                    </pic:cNvPicPr>
                  </pic:nvPicPr>
                  <pic:blipFill>
                    <a:blip r:embed="rId29"/>
                    <a:stretch>
                      <a:fillRect/>
                    </a:stretch>
                  </pic:blipFill>
                  <pic:spPr>
                    <a:xfrm>
                      <a:off x="0" y="0"/>
                      <a:ext cx="5191125" cy="7543800"/>
                    </a:xfrm>
                    <a:prstGeom prst="rect">
                      <a:avLst/>
                    </a:prstGeom>
                    <a:noFill/>
                    <a:ln>
                      <a:noFill/>
                    </a:ln>
                  </pic:spPr>
                </pic:pic>
              </a:graphicData>
            </a:graphic>
          </wp:inline>
        </w:drawing>
      </w:r>
    </w:p>
    <w:p w14:paraId="2F7DE799">
      <w:pPr>
        <w:pStyle w:val="8"/>
        <w:ind w:left="0" w:leftChars="0" w:firstLine="0" w:firstLineChars="0"/>
        <w:rPr>
          <w:rFonts w:hint="default"/>
          <w:color w:val="auto"/>
        </w:rPr>
      </w:pPr>
    </w:p>
    <w:p w14:paraId="57D58C22">
      <w:pPr>
        <w:pStyle w:val="10"/>
        <w:numPr>
          <w:ilvl w:val="0"/>
          <w:numId w:val="0"/>
        </w:numPr>
        <w:rPr>
          <w:rFonts w:hint="default"/>
          <w:color w:val="auto"/>
          <w:sz w:val="18"/>
          <w:szCs w:val="20"/>
        </w:rPr>
      </w:pPr>
    </w:p>
    <w:p w14:paraId="561C0F62">
      <w:pPr>
        <w:pStyle w:val="2"/>
        <w:rPr>
          <w:rFonts w:hint="default"/>
          <w:color w:val="auto"/>
        </w:rPr>
      </w:pPr>
      <w:r>
        <w:rPr>
          <w:color w:val="auto"/>
        </w:rPr>
        <w:t>附件4不占文物文件</w:t>
      </w:r>
    </w:p>
    <w:p w14:paraId="1A3088DB">
      <w:pPr>
        <w:ind w:firstLine="0" w:firstLineChars="0"/>
        <w:rPr>
          <w:rFonts w:hint="default"/>
          <w:color w:val="auto"/>
        </w:rPr>
      </w:pPr>
      <w:r>
        <w:rPr>
          <w:color w:val="auto"/>
        </w:rPr>
        <w:drawing>
          <wp:inline distT="0" distB="0" distL="114300" distR="114300">
            <wp:extent cx="5610860" cy="7747000"/>
            <wp:effectExtent l="0" t="0" r="8890" b="635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30"/>
                    <a:stretch>
                      <a:fillRect/>
                    </a:stretch>
                  </pic:blipFill>
                  <pic:spPr>
                    <a:xfrm>
                      <a:off x="0" y="0"/>
                      <a:ext cx="5610860" cy="7747000"/>
                    </a:xfrm>
                    <a:prstGeom prst="rect">
                      <a:avLst/>
                    </a:prstGeom>
                    <a:noFill/>
                    <a:ln>
                      <a:noFill/>
                    </a:ln>
                  </pic:spPr>
                </pic:pic>
              </a:graphicData>
            </a:graphic>
          </wp:inline>
        </w:drawing>
      </w:r>
      <w:r>
        <w:rPr>
          <w:color w:val="auto"/>
        </w:rPr>
        <w:drawing>
          <wp:inline distT="0" distB="0" distL="114300" distR="114300">
            <wp:extent cx="5609590" cy="7670165"/>
            <wp:effectExtent l="0" t="0" r="10160" b="6985"/>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31"/>
                    <a:stretch>
                      <a:fillRect/>
                    </a:stretch>
                  </pic:blipFill>
                  <pic:spPr>
                    <a:xfrm>
                      <a:off x="0" y="0"/>
                      <a:ext cx="5609590" cy="7670165"/>
                    </a:xfrm>
                    <a:prstGeom prst="rect">
                      <a:avLst/>
                    </a:prstGeom>
                    <a:noFill/>
                    <a:ln>
                      <a:noFill/>
                    </a:ln>
                  </pic:spPr>
                </pic:pic>
              </a:graphicData>
            </a:graphic>
          </wp:inline>
        </w:drawing>
      </w:r>
    </w:p>
    <w:p w14:paraId="5AE9D74B">
      <w:pPr>
        <w:pStyle w:val="10"/>
        <w:numPr>
          <w:ilvl w:val="0"/>
          <w:numId w:val="0"/>
        </w:numPr>
        <w:rPr>
          <w:rFonts w:hint="default"/>
          <w:color w:val="auto"/>
          <w:sz w:val="18"/>
          <w:szCs w:val="20"/>
        </w:rPr>
      </w:pPr>
    </w:p>
    <w:p w14:paraId="272F21A8">
      <w:pPr>
        <w:ind w:firstLine="480"/>
        <w:rPr>
          <w:rFonts w:hint="default" w:eastAsia="宋体"/>
          <w:color w:val="auto"/>
        </w:rPr>
        <w:sectPr>
          <w:footerReference r:id="rId10" w:type="default"/>
          <w:pgSz w:w="11906" w:h="16838"/>
          <w:pgMar w:top="1701" w:right="1531" w:bottom="1701" w:left="1531" w:header="1191" w:footer="1191" w:gutter="0"/>
          <w:pgNumType w:fmt="numberInDash"/>
          <w:cols w:space="720" w:num="1"/>
          <w:docGrid w:linePitch="312" w:charSpace="0"/>
        </w:sectPr>
      </w:pPr>
    </w:p>
    <w:p w14:paraId="452F2008">
      <w:pPr>
        <w:pStyle w:val="2"/>
        <w:rPr>
          <w:rFonts w:hint="default"/>
          <w:color w:val="auto"/>
        </w:rPr>
      </w:pPr>
      <w:r>
        <w:rPr>
          <w:rFonts w:hint="default" w:eastAsia="黑体"/>
          <w:color w:val="auto"/>
        </w:rPr>
        <w:t>附图1项目地理位置图</w:t>
      </w:r>
    </w:p>
    <w:p w14:paraId="6349A37E">
      <w:pPr>
        <w:ind w:firstLine="0" w:firstLineChars="0"/>
        <w:rPr>
          <w:rFonts w:hint="default"/>
          <w:color w:val="auto"/>
        </w:rPr>
      </w:pPr>
      <w:r>
        <w:rPr>
          <w:color w:val="auto"/>
          <w:sz w:val="24"/>
        </w:rPr>
        <mc:AlternateContent>
          <mc:Choice Requires="wps">
            <w:drawing>
              <wp:anchor distT="0" distB="0" distL="114300" distR="114300" simplePos="0" relativeHeight="251671552" behindDoc="0" locked="0" layoutInCell="1" allowOverlap="1">
                <wp:simplePos x="0" y="0"/>
                <wp:positionH relativeFrom="column">
                  <wp:posOffset>4169410</wp:posOffset>
                </wp:positionH>
                <wp:positionV relativeFrom="paragraph">
                  <wp:posOffset>985520</wp:posOffset>
                </wp:positionV>
                <wp:extent cx="850265" cy="351790"/>
                <wp:effectExtent l="189230" t="6350" r="8255" b="308610"/>
                <wp:wrapNone/>
                <wp:docPr id="21" name="矩形标注 21"/>
                <wp:cNvGraphicFramePr/>
                <a:graphic xmlns:a="http://schemas.openxmlformats.org/drawingml/2006/main">
                  <a:graphicData uri="http://schemas.microsoft.com/office/word/2010/wordprocessingShape">
                    <wps:wsp>
                      <wps:cNvSpPr/>
                      <wps:spPr>
                        <a:xfrm>
                          <a:off x="5249545" y="2253615"/>
                          <a:ext cx="850265" cy="351790"/>
                        </a:xfrm>
                        <a:prstGeom prst="wedgeRectCallout">
                          <a:avLst>
                            <a:gd name="adj1" fmla="val -67606"/>
                            <a:gd name="adj2" fmla="val 129061"/>
                          </a:avLst>
                        </a:prstGeom>
                      </wps:spPr>
                      <wps:style>
                        <a:lnRef idx="2">
                          <a:schemeClr val="accent1">
                            <a:lumMod val="75000"/>
                          </a:schemeClr>
                        </a:lnRef>
                        <a:fillRef idx="1">
                          <a:schemeClr val="accent1"/>
                        </a:fillRef>
                        <a:effectRef idx="0">
                          <a:srgbClr val="FFFFFF"/>
                        </a:effectRef>
                        <a:fontRef idx="minor">
                          <a:schemeClr val="lt1"/>
                        </a:fontRef>
                      </wps:style>
                      <wps:txbx>
                        <w:txbxContent>
                          <w:p w14:paraId="5C594DE8">
                            <w:pPr>
                              <w:ind w:left="0" w:leftChars="0" w:firstLine="0" w:firstLineChars="0"/>
                              <w:jc w:val="both"/>
                              <w:rPr>
                                <w:rFonts w:hint="default" w:eastAsia="宋体"/>
                                <w:lang w:val="en-US" w:eastAsia="zh-CN"/>
                              </w:rPr>
                            </w:pPr>
                            <w:r>
                              <w:rPr>
                                <w:rFonts w:hint="eastAsia" w:eastAsia="宋体"/>
                                <w:lang w:val="en-US" w:eastAsia="zh-CN"/>
                              </w:rPr>
                              <w:t>项目位置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328.3pt;margin-top:77.6pt;height:27.7pt;width:66.95pt;z-index:251671552;v-text-anchor:middle;mso-width-relative:page;mso-height-relative:page;" fillcolor="#4874CB [3204]" filled="t" stroked="t" coordsize="21600,21600" o:gfxdata="UEsDBAoAAAAAAIdO4kAAAAAAAAAAAAAAAAAEAAAAZHJzL1BLAwQUAAAACACHTuJA/EK8PdcAAAAL&#10;AQAADwAAAGRycy9kb3ducmV2LnhtbE2PwU7DMBBE70j9B2srcaN2IsWUEKdCCMSJA225u/E2CY3X&#10;Uey24e9ZTnBczdPM22oz+0FccIp9IAPZSoFAaoLrqTWw373erUHEZMnZIRAa+MYIm3pxU9nShSt9&#10;4GWbWsElFEtroEtpLKWMTYfexlUYkTg7hsnbxOfUSjfZK5f7QeZKaeltT7zQ2RGfO2xO27M30Gdz&#10;u3vTSX/J4v04uyf18rk+GXO7zNQjiIRz+oPhV5/VoWanQziTi2IwoAutGeWgKHIQTNw/qALEwUCe&#10;KQ2yruT/H+ofUEsDBBQAAAAIAIdO4kBjU+qY0gIAAJMFAAAOAAAAZHJzL2Uyb0RvYy54bWytVM1u&#10;00AQviPxDqu9t/6pnTRRnSokFCEVWlEQ5816/YP2j91NnPICPAaIE5w58ziU12B27bZpy6EHLvaM&#10;Z/zNzDc/R8dbwdGGGdsqWeBkP8aISarKVtYFfvf2ZO8QI+uILAlXkhX4kll8PHv65KjTU5aqRvGS&#10;GQQg0k47XeDGOT2NIksbJojdV5pJMFbKCOJANXVUGtIBuuBRGsejqFOm1EZRZi18XfZGPCCaxwCq&#10;qmopWyq6Fky6HtUwThyUZJtWWzwL2VYVo+6sqixziBcYKnXhCUFAXvlnNDsi09oQ3bR0SIE8JoV7&#10;NQnSSgh6A7UkjqC1aR9AiZYaZVXl9qkSUV9IYASqSOJ73Fw0RLNQC1Bt9Q3p9v/B0tebc4PassBp&#10;gpEkAjr+58uP37++XX39fPXzO4LPwFGn7RRcL/S5GTQLoi94Wxnh31AK2hY4T7NJnuUYXQJimh+M&#10;krznmG0douBwmMfpCOwUHA7yZDwJPYhugbSx7gVTAnmhwB0ra/YG+rggnKu1CyyTzal1ge5yyJmU&#10;HyD/SnDo3oZwtDcaj+LR0N4dp3TXKUkn8SjUB/EHTJCuM/ABrOJtedJyHhRTrxbcIAhQ4OxwnC2e&#10;+Qjwyx03LlEHm5WOY5gySmBHKphNEIUGnq2sMSK8huWjzoRy7vxtd4Okz/NsngQnvhavVNnHHucx&#10;YA+he/+HafgylsQ2/S8hRs+HaB1sMG8FdANwbpC4BBDf6b63XnLb1XZo+EqVlzAqRvU7ZDU9aSHC&#10;KbHunBigHYqFs+LO4FFxBQyoQcKoUebTv757f5hlsGLUwRICOx/XxDCM+EsJUz5JssxvbVCyfJyC&#10;YnYtq12LXIuFgs7AIEB2QfT+jl+LlVHiPVyfuY8KJiIpxO77MCgL1x8HuF+UzefBDTZVE3cqLzT1&#10;4H4SpJqvnapa53vgierZGRTY1dCO4a74Y7CrB6/bWzr7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PxCvD3XAAAACwEAAA8AAAAAAAAAAQAgAAAAIgAAAGRycy9kb3ducmV2LnhtbFBLAQIUABQAAAAI&#10;AIdO4kBjU+qY0gIAAJMFAAAOAAAAAAAAAAEAIAAAACYBAABkcnMvZTJvRG9jLnhtbFBLBQYAAAAA&#10;BgAGAFkBAABqBgAAAAA=&#10;" adj="-3803,38677">
                <v:fill on="t" focussize="0,0"/>
                <v:stroke weight="1pt" color="#2E54A1 [2404]" miterlimit="8" joinstyle="miter"/>
                <v:imagedata o:title=""/>
                <o:lock v:ext="edit" aspectratio="f"/>
                <v:textbox>
                  <w:txbxContent>
                    <w:p w14:paraId="5C594DE8">
                      <w:pPr>
                        <w:ind w:left="0" w:leftChars="0" w:firstLine="0" w:firstLineChars="0"/>
                        <w:jc w:val="both"/>
                        <w:rPr>
                          <w:rFonts w:hint="default" w:eastAsia="宋体"/>
                          <w:lang w:val="en-US" w:eastAsia="zh-CN"/>
                        </w:rPr>
                      </w:pPr>
                      <w:r>
                        <w:rPr>
                          <w:rFonts w:hint="eastAsia" w:eastAsia="宋体"/>
                          <w:lang w:val="en-US" w:eastAsia="zh-CN"/>
                        </w:rPr>
                        <w:t>项目位置</w:t>
                      </w:r>
                    </w:p>
                  </w:txbxContent>
                </v:textbox>
              </v:shape>
            </w:pict>
          </mc:Fallback>
        </mc:AlternateContent>
      </w:r>
      <w:r>
        <w:rPr>
          <w:color w:val="auto"/>
        </w:rPr>
        <w:drawing>
          <wp:inline distT="0" distB="0" distL="114300" distR="114300">
            <wp:extent cx="8530590" cy="5159375"/>
            <wp:effectExtent l="0" t="0" r="3810" b="3175"/>
            <wp:docPr id="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pic:cNvPicPr>
                      <a:picLocks noChangeAspect="1"/>
                    </pic:cNvPicPr>
                  </pic:nvPicPr>
                  <pic:blipFill>
                    <a:blip r:embed="rId32"/>
                    <a:stretch>
                      <a:fillRect/>
                    </a:stretch>
                  </pic:blipFill>
                  <pic:spPr>
                    <a:xfrm>
                      <a:off x="0" y="0"/>
                      <a:ext cx="8530590" cy="5159375"/>
                    </a:xfrm>
                    <a:prstGeom prst="rect">
                      <a:avLst/>
                    </a:prstGeom>
                    <a:noFill/>
                    <a:ln>
                      <a:noFill/>
                    </a:ln>
                  </pic:spPr>
                </pic:pic>
              </a:graphicData>
            </a:graphic>
          </wp:inline>
        </w:drawing>
      </w:r>
      <w:r>
        <w:rPr>
          <w:color w:val="auto"/>
          <w:sz w:val="24"/>
        </w:rPr>
        <mc:AlternateContent>
          <mc:Choice Requires="wps">
            <w:drawing>
              <wp:anchor distT="0" distB="0" distL="114300" distR="114300" simplePos="0" relativeHeight="251670528" behindDoc="0" locked="0" layoutInCell="1" allowOverlap="1">
                <wp:simplePos x="0" y="0"/>
                <wp:positionH relativeFrom="column">
                  <wp:posOffset>3898265</wp:posOffset>
                </wp:positionH>
                <wp:positionV relativeFrom="paragraph">
                  <wp:posOffset>1600200</wp:posOffset>
                </wp:positionV>
                <wp:extent cx="87630" cy="124460"/>
                <wp:effectExtent l="10795" t="18415" r="15875" b="28575"/>
                <wp:wrapNone/>
                <wp:docPr id="20" name="十字星 20"/>
                <wp:cNvGraphicFramePr/>
                <a:graphic xmlns:a="http://schemas.openxmlformats.org/drawingml/2006/main">
                  <a:graphicData uri="http://schemas.microsoft.com/office/word/2010/wordprocessingShape">
                    <wps:wsp>
                      <wps:cNvSpPr/>
                      <wps:spPr>
                        <a:xfrm>
                          <a:off x="4978400" y="2868295"/>
                          <a:ext cx="87630" cy="124460"/>
                        </a:xfrm>
                        <a:prstGeom prst="star4">
                          <a:avLst>
                            <a:gd name="adj" fmla="val 24489"/>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87" type="#_x0000_t187" style="position:absolute;left:0pt;margin-left:306.95pt;margin-top:126pt;height:9.8pt;width:6.9pt;z-index:251670528;v-text-anchor:middle;mso-width-relative:page;mso-height-relative:page;" fillcolor="#4874CB [3204]" filled="t" stroked="t" coordsize="21600,21600" o:gfxdata="UEsDBAoAAAAAAIdO4kAAAAAAAAAAAAAAAAAEAAAAZHJzL1BLAwQUAAAACACHTuJAOflBw9kAAAAL&#10;AQAADwAAAGRycy9kb3ducmV2LnhtbE2PTU/DMAyG70j8h8hIXCqWtIh0lKY7ICEOHBBj3LPGazsa&#10;p2qyD/495sSOth+9ft56dfajOOIch0AG8oUCgdQGN1BnYPP5crcEEZMlZ8dAaOAHI6ya66vaVi6c&#10;6AOP69QJDqFYWQN9SlMlZWx79DYuwoTEt12YvU08zp10sz1xuB9loZSW3g7EH3o74XOP7ff64A28&#10;+68l0V6p/fQ6bXaZz3T2lhlze5OrJxAJz+kfhj99VoeGnbbhQC6K0YDO7x8ZNVA8FFyKCV2UJYgt&#10;b8pcg2xqedmh+QVQSwMEFAAAAAgAh07iQNPWEx+qAgAAUgUAAA4AAABkcnMvZTJvRG9jLnhtbK1U&#10;zW4TMRC+I/EOlu90k7D5adQNCglFSIVWKoiz4/VmF/kP2/kpNx6AM9x4Ah6rPAefvds2LRx64LI7&#10;4xl/M/ONZ05e7JUkW+F8Y3RB+0c9SoTmpmz0uqAf3p8+m1DiA9Mlk0aLgl4JT1/Mnj452dmpGJja&#10;yFI4AhDtpztb0DoEO80yz2uhmD8yVmgYK+MUC1DdOisd2wFdyWzQ642ynXGldYYL73G6bI20Q3SP&#10;ATRV1XCxNHyjhA4tqhOSBZTk68Z6OkvZVpXg4byqvAhEFhSVhvRFEMir+M1mJ2y6dszWDe9SYI9J&#10;4UFNijUaQW+hliwwsnHNX1Cq4c54U4UjblTWFpIYQRX93gNuLmtmRaoFVHt7S7r/f7D83fbCkaYs&#10;6ACUaKbQ8etvX69/ff/94yfBGQjaWT+F36W9cJ3mIcZq95VT8Y86yL6g+fF4kveAcwW4yWgyOB62&#10;BIt9IBwOk/HoOcwc9v4gz0cJPrvDsc6H18IoEoWC4hm6PNHKtmc+JH7LLklWfqKkUhLd2jJJgDY5&#10;jsGA1jlDusGLN72RTXnaSJkUt14tpCO4irQn43zxsrt8z01qsoupjmNRnOG1V3hlEJUFY16vKWFy&#10;jTHiwaU87932h0EGr4b5vJ+c5Ea9NWUbezzsAbvNu/NPNdwDimUsma/bK8nU8qqagFmUjQK1wLlF&#10;khogsW1to6K0MuUVOu1MOwLe8tMGsGfMhwvmwCIqxFYI5/hU0qBs00mU1MZ9+dd59MdThJWSHWYI&#10;lHzeMCcokW80HulxP88BG5KSD8fxiblDy+rQojdqYdCOPvaP5UmM/kHeiJUz6iOWxzxGhYlpjtgt&#10;+Z2yCO1sY/1wMZ8nNwyaZeFMX1oewWP7tZlvgqmaEIm/Y6dTMGqpB91aiLN8qCevu1U4+w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cBQAAW0Nv&#10;bnRlbnRfVHlwZXNdLnhtbFBLAQIUAAoAAAAAAIdO4kAAAAAAAAAAAAAAAAAGAAAAAAAAAAAAEAAA&#10;AP4DAABfcmVscy9QSwECFAAUAAAACACHTuJAihRmPNEAAACUAQAACwAAAAAAAAABACAAAAAiBAAA&#10;X3JlbHMvLnJlbHNQSwECFAAKAAAAAACHTuJAAAAAAAAAAAAAAAAABAAAAAAAAAAAABAAAAAAAAAA&#10;ZHJzL1BLAQIUABQAAAAIAIdO4kA5+UHD2QAAAAsBAAAPAAAAAAAAAAEAIAAAACIAAABkcnMvZG93&#10;bnJldi54bWxQSwECFAAUAAAACACHTuJA09YTH6oCAABSBQAADgAAAAAAAAABACAAAAAoAQAAZHJz&#10;L2Uyb0RvYy54bWxQSwUGAAAAAAYABgBZAQAARAYAAAAA&#10;" adj="5510">
                <v:fill on="t" focussize="0,0"/>
                <v:stroke weight="1pt" color="#2E54A1 [2404]" miterlimit="8" joinstyle="miter"/>
                <v:imagedata o:title=""/>
                <o:lock v:ext="edit" aspectratio="f"/>
              </v:shape>
            </w:pict>
          </mc:Fallback>
        </mc:AlternateContent>
      </w:r>
    </w:p>
    <w:p w14:paraId="2C6E61E0">
      <w:pPr>
        <w:pStyle w:val="2"/>
        <w:rPr>
          <w:rFonts w:hint="default" w:eastAsia="黑体"/>
          <w:color w:val="auto"/>
        </w:rPr>
      </w:pPr>
      <w:r>
        <w:rPr>
          <w:rFonts w:hint="default" w:eastAsia="黑体"/>
          <w:color w:val="auto"/>
        </w:rPr>
        <w:t>附图2环境管控单元图</w:t>
      </w:r>
    </w:p>
    <w:p w14:paraId="4903D69B">
      <w:pPr>
        <w:ind w:firstLine="0" w:firstLineChars="0"/>
        <w:rPr>
          <w:rFonts w:hint="default"/>
          <w:b/>
          <w:color w:val="auto"/>
        </w:rPr>
      </w:pPr>
      <w:r>
        <w:rPr>
          <w:rFonts w:hint="default" w:eastAsia="宋体"/>
          <w:color w:val="auto"/>
        </w:rPr>
        <mc:AlternateContent>
          <mc:Choice Requires="wps">
            <w:drawing>
              <wp:anchor distT="0" distB="0" distL="114300" distR="114300" simplePos="0" relativeHeight="251659264" behindDoc="0" locked="0" layoutInCell="1" allowOverlap="1">
                <wp:simplePos x="0" y="0"/>
                <wp:positionH relativeFrom="column">
                  <wp:posOffset>5106670</wp:posOffset>
                </wp:positionH>
                <wp:positionV relativeFrom="paragraph">
                  <wp:posOffset>2001520</wp:posOffset>
                </wp:positionV>
                <wp:extent cx="1026795" cy="285115"/>
                <wp:effectExtent l="5080" t="4445" r="15875" b="72390"/>
                <wp:wrapNone/>
                <wp:docPr id="1" name="矩形标注 3"/>
                <wp:cNvGraphicFramePr/>
                <a:graphic xmlns:a="http://schemas.openxmlformats.org/drawingml/2006/main">
                  <a:graphicData uri="http://schemas.microsoft.com/office/word/2010/wordprocessingShape">
                    <wps:wsp>
                      <wps:cNvSpPr/>
                      <wps:spPr>
                        <a:xfrm>
                          <a:off x="0" y="0"/>
                          <a:ext cx="1026795" cy="285115"/>
                        </a:xfrm>
                        <a:prstGeom prst="wedgeRectCallout">
                          <a:avLst>
                            <a:gd name="adj1" fmla="val -43750"/>
                            <a:gd name="adj2" fmla="val 70000"/>
                          </a:avLst>
                        </a:prstGeom>
                        <a:solidFill>
                          <a:srgbClr val="FFFFFF"/>
                        </a:solidFill>
                        <a:ln w="9525" cap="flat" cmpd="sng">
                          <a:solidFill>
                            <a:srgbClr val="000000"/>
                          </a:solidFill>
                          <a:prstDash val="solid"/>
                          <a:miter/>
                          <a:headEnd type="none" w="med" len="med"/>
                          <a:tailEnd type="none" w="med" len="med"/>
                        </a:ln>
                      </wps:spPr>
                      <wps:txbx>
                        <w:txbxContent>
                          <w:p w14:paraId="473D26FC">
                            <w:pPr>
                              <w:ind w:firstLine="0" w:firstLineChars="0"/>
                              <w:rPr>
                                <w:rFonts w:hint="default"/>
                              </w:rPr>
                            </w:pPr>
                            <w:r>
                              <w:rPr>
                                <w:rFonts w:hint="default" w:ascii="宋体" w:eastAsia="宋体"/>
                              </w:rPr>
                              <w:t>本项目位置</w:t>
                            </w:r>
                          </w:p>
                        </w:txbxContent>
                      </wps:txbx>
                      <wps:bodyPr vert="horz" wrap="square" anchor="t" anchorCtr="0" upright="1"/>
                    </wps:wsp>
                  </a:graphicData>
                </a:graphic>
              </wp:anchor>
            </w:drawing>
          </mc:Choice>
          <mc:Fallback>
            <w:pict>
              <v:shape id="矩形标注 3" o:spid="_x0000_s1026" o:spt="61" type="#_x0000_t61" style="position:absolute;left:0pt;margin-left:402.1pt;margin-top:157.6pt;height:22.45pt;width:80.85pt;z-index:251659264;mso-width-relative:page;mso-height-relative:page;" fillcolor="#FFFFFF" filled="t" stroked="t" coordsize="21600,21600" o:gfxdata="UEsDBAoAAAAAAIdO4kAAAAAAAAAAAAAAAAAEAAAAZHJzL1BLAwQUAAAACACHTuJAmsSLZdcAAAAL&#10;AQAADwAAAGRycy9kb3ducmV2LnhtbE2PTU7DMBBG90jcwZpK7KidlkZpiFMJpG4qscDlAG48TaLG&#10;4yh223B7hhXs5ufpmzfVbvaDuOEU+0AasqUCgdQE11Or4eu4fy5AxGTJ2SEQavjGCLv68aGypQt3&#10;+sSbSa3gEIql1dClNJZSxqZDb+MyjEi8O4fJ28Tt1Eo32TuH+0GulMqltz3xhc6O+N5hczFXr6Gh&#10;c19IY8xefdA6N/PhbaKD1k+LTL2CSDinPxh+9VkdanY6hSu5KAYNhXpZMaphnW24YGKbb7YgTjzJ&#10;VQayruT/H+ofUEsDBBQAAAAIAIdO4kAVPhEiVgIAAMAEAAAOAAAAZHJzL2Uyb0RvYy54bWytVM1y&#10;0zAQvjPDO2h0b52kpD+ZOD0khAsDHQoPsJFkW4z+kJQ44QV4DJie4MyZx6G8BivZTdNy6QEf7JW0&#10;+vbbb3c9vdxqRTbCB2lNSYfHA0qEYZZLU5f0w/vl0TklIYLhoKwRJd2JQC9nz59NWzcRI9tYxYUn&#10;CGLCpHUlbWJ0k6IIrBEawrF1wuBhZb2GiEtfF9xDi+haFaPB4LRorefOWyZCwN1Fd0h7RP8UQFtV&#10;komFZWstTOxQvVAQMaXQSBfoLLOtKsHi26oKIhJVUsw05jcGQXuV3sVsCpPag2sk6ynAUyg8ykmD&#10;NBh0D7WACGTt5T9QWjJvg63iMbO66BLJimAWw8Ejba4bcCLnglIHtxc9/D9Y9mZz5Ynk2AmUGNBY&#10;8D9ff/z+dXP77cvtz+/kJCnUujBBx2t35ftVQDOlu628Tl9MhGyzqru9qmIbCcPN4WB0enYxpoTh&#10;2eh8PByOE2hxf9v5EF8Jq0kyStoKXot3WLo5KGXXMQsLm9chZoV5zxP4R+RcaYUF24AiRy9OzsZ3&#10;FT1wGh06nQ3w6cP3kEjkjkDCD1ZJvpRK5YWvV3PlCeKXdJmf/vIDN2VIW9KL8ShlCTgUFTYjmtqh&#10;sMHUOYMHN8IhcOK0Z/XALRFbQGg6AvkoxYeJllH4bDUC+EvDSdw5LJ7BmaWJjBacEiVwxJOVPSNI&#10;9RRPFEQZLFAqe1foZMXtaoswyVxZvsOuwZ8IVqux/jNGxBHCVD+twWN8MAy3S4oadOY8djO3dl7W&#10;Dd4aZhkTGDZ2boZ+CNPkHK4zj/sfz+w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msSLZdcAAAAL&#10;AQAADwAAAAAAAAABACAAAAAiAAAAZHJzL2Rvd25yZXYueG1sUEsBAhQAFAAAAAgAh07iQBU+ESJW&#10;AgAAwAQAAA4AAAAAAAAAAQAgAAAAJgEAAGRycy9lMm9Eb2MueG1sUEsFBgAAAAAGAAYAWQEAAO4F&#10;AAAAAA==&#10;" adj="1350,25920">
                <v:fill on="t" focussize="0,0"/>
                <v:stroke color="#000000" joinstyle="miter"/>
                <v:imagedata o:title=""/>
                <o:lock v:ext="edit" aspectratio="f"/>
                <v:textbox>
                  <w:txbxContent>
                    <w:p w14:paraId="473D26FC">
                      <w:pPr>
                        <w:ind w:firstLine="0" w:firstLineChars="0"/>
                        <w:rPr>
                          <w:rFonts w:hint="default"/>
                        </w:rPr>
                      </w:pPr>
                      <w:r>
                        <w:rPr>
                          <w:rFonts w:hint="default" w:ascii="宋体" w:eastAsia="宋体"/>
                        </w:rPr>
                        <w:t>本项目位置</w:t>
                      </w:r>
                    </w:p>
                  </w:txbxContent>
                </v:textbox>
              </v:shape>
            </w:pict>
          </mc:Fallback>
        </mc:AlternateContent>
      </w:r>
      <w:r>
        <w:rPr>
          <w:rFonts w:hint="default" w:eastAsia="宋体"/>
          <w:color w:val="auto"/>
        </w:rPr>
        <w:drawing>
          <wp:inline distT="0" distB="0" distL="114300" distR="114300">
            <wp:extent cx="8590280" cy="5213350"/>
            <wp:effectExtent l="0" t="0" r="1270" b="6350"/>
            <wp:docPr id="52"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14"/>
                    <pic:cNvPicPr>
                      <a:picLocks noChangeAspect="1"/>
                    </pic:cNvPicPr>
                  </pic:nvPicPr>
                  <pic:blipFill>
                    <a:blip r:embed="rId33"/>
                    <a:stretch>
                      <a:fillRect/>
                    </a:stretch>
                  </pic:blipFill>
                  <pic:spPr>
                    <a:xfrm>
                      <a:off x="0" y="0"/>
                      <a:ext cx="8590280" cy="5213350"/>
                    </a:xfrm>
                    <a:prstGeom prst="rect">
                      <a:avLst/>
                    </a:prstGeom>
                    <a:noFill/>
                    <a:ln>
                      <a:noFill/>
                    </a:ln>
                  </pic:spPr>
                </pic:pic>
              </a:graphicData>
            </a:graphic>
          </wp:inline>
        </w:drawing>
      </w:r>
    </w:p>
    <w:p w14:paraId="2D760029">
      <w:pPr>
        <w:pStyle w:val="4"/>
        <w:ind w:left="480"/>
        <w:rPr>
          <w:rFonts w:hint="default"/>
          <w:color w:val="auto"/>
        </w:rPr>
        <w:sectPr>
          <w:pgSz w:w="16838" w:h="11906" w:orient="landscape"/>
          <w:pgMar w:top="1531" w:right="1701" w:bottom="1531" w:left="1701" w:header="1191" w:footer="1191" w:gutter="0"/>
          <w:pgNumType w:fmt="numberInDash"/>
          <w:cols w:space="720" w:num="1"/>
          <w:docGrid w:linePitch="312" w:charSpace="0"/>
        </w:sectPr>
      </w:pPr>
    </w:p>
    <w:p w14:paraId="193F8AB0">
      <w:pPr>
        <w:pStyle w:val="2"/>
        <w:rPr>
          <w:rFonts w:hint="default" w:eastAsia="黑体"/>
          <w:color w:val="auto"/>
        </w:rPr>
      </w:pPr>
      <w:r>
        <w:rPr>
          <w:rFonts w:hint="default" w:eastAsia="黑体"/>
          <w:color w:val="auto"/>
        </w:rPr>
        <w:t>附图3项目平面布置图</w:t>
      </w:r>
    </w:p>
    <w:p w14:paraId="7E90F646">
      <w:pPr>
        <w:ind w:firstLine="0" w:firstLineChars="0"/>
        <w:jc w:val="center"/>
        <w:rPr>
          <w:rFonts w:hint="default" w:eastAsia="宋体"/>
          <w:color w:val="auto"/>
        </w:rPr>
      </w:pPr>
      <w:r>
        <w:rPr>
          <w:color w:val="auto"/>
        </w:rPr>
        <w:drawing>
          <wp:inline distT="0" distB="0" distL="114300" distR="114300">
            <wp:extent cx="6502400" cy="5294630"/>
            <wp:effectExtent l="0" t="0" r="12700" b="1270"/>
            <wp:docPr id="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pic:cNvPicPr>
                      <a:picLocks noChangeAspect="1"/>
                    </pic:cNvPicPr>
                  </pic:nvPicPr>
                  <pic:blipFill>
                    <a:blip r:embed="rId34"/>
                    <a:stretch>
                      <a:fillRect/>
                    </a:stretch>
                  </pic:blipFill>
                  <pic:spPr>
                    <a:xfrm>
                      <a:off x="0" y="0"/>
                      <a:ext cx="6502400" cy="5294630"/>
                    </a:xfrm>
                    <a:prstGeom prst="rect">
                      <a:avLst/>
                    </a:prstGeom>
                    <a:noFill/>
                    <a:ln>
                      <a:noFill/>
                    </a:ln>
                  </pic:spPr>
                </pic:pic>
              </a:graphicData>
            </a:graphic>
          </wp:inline>
        </w:drawing>
      </w:r>
    </w:p>
    <w:p w14:paraId="0FAA44DC">
      <w:pPr>
        <w:pStyle w:val="2"/>
        <w:rPr>
          <w:rFonts w:hint="eastAsia"/>
          <w:color w:val="auto"/>
          <w:lang w:val="en-US" w:eastAsia="zh-CN"/>
        </w:rPr>
      </w:pPr>
      <w:r>
        <w:rPr>
          <w:rFonts w:hint="default" w:eastAsia="宋体"/>
          <w:color w:val="auto"/>
        </w:rPr>
        <w:drawing>
          <wp:anchor distT="0" distB="0" distL="114300" distR="114300" simplePos="0" relativeHeight="251672576" behindDoc="0" locked="0" layoutInCell="1" allowOverlap="1">
            <wp:simplePos x="0" y="0"/>
            <wp:positionH relativeFrom="column">
              <wp:posOffset>6795135</wp:posOffset>
            </wp:positionH>
            <wp:positionV relativeFrom="paragraph">
              <wp:posOffset>287020</wp:posOffset>
            </wp:positionV>
            <wp:extent cx="944880" cy="1021080"/>
            <wp:effectExtent l="0" t="0" r="7620" b="7620"/>
            <wp:wrapNone/>
            <wp:docPr id="3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4"/>
                    <pic:cNvPicPr>
                      <a:picLocks noChangeAspect="1"/>
                    </pic:cNvPicPr>
                  </pic:nvPicPr>
                  <pic:blipFill>
                    <a:blip r:embed="rId35"/>
                    <a:stretch>
                      <a:fillRect/>
                    </a:stretch>
                  </pic:blipFill>
                  <pic:spPr>
                    <a:xfrm>
                      <a:off x="0" y="0"/>
                      <a:ext cx="944880" cy="1021080"/>
                    </a:xfrm>
                    <a:prstGeom prst="rect">
                      <a:avLst/>
                    </a:prstGeom>
                    <a:noFill/>
                    <a:ln>
                      <a:noFill/>
                    </a:ln>
                  </pic:spPr>
                </pic:pic>
              </a:graphicData>
            </a:graphic>
          </wp:anchor>
        </w:drawing>
      </w:r>
      <w:r>
        <w:rPr>
          <w:rFonts w:hint="eastAsia"/>
          <w:color w:val="auto"/>
          <w:lang w:val="en-US" w:eastAsia="zh-CN"/>
        </w:rPr>
        <w:t>附图4本项目位于整个厂区关系图</w:t>
      </w:r>
    </w:p>
    <w:p w14:paraId="7A4D0E19">
      <w:pPr>
        <w:ind w:left="0" w:leftChars="0" w:firstLine="0" w:firstLineChars="0"/>
        <w:jc w:val="center"/>
        <w:rPr>
          <w:rFonts w:hint="default"/>
          <w:color w:val="auto"/>
          <w:lang w:val="en-US" w:eastAsia="zh-CN"/>
        </w:rPr>
      </w:pPr>
      <w:r>
        <w:rPr>
          <w:color w:val="auto"/>
          <w:sz w:val="24"/>
        </w:rPr>
        <mc:AlternateContent>
          <mc:Choice Requires="wps">
            <w:drawing>
              <wp:anchor distT="0" distB="0" distL="114300" distR="114300" simplePos="0" relativeHeight="251675648" behindDoc="0" locked="0" layoutInCell="1" allowOverlap="1">
                <wp:simplePos x="0" y="0"/>
                <wp:positionH relativeFrom="column">
                  <wp:posOffset>4181475</wp:posOffset>
                </wp:positionH>
                <wp:positionV relativeFrom="paragraph">
                  <wp:posOffset>2930525</wp:posOffset>
                </wp:positionV>
                <wp:extent cx="1005840" cy="300990"/>
                <wp:effectExtent l="280035" t="6350" r="9525" b="245110"/>
                <wp:wrapNone/>
                <wp:docPr id="39" name="矩形标注 39"/>
                <wp:cNvGraphicFramePr/>
                <a:graphic xmlns:a="http://schemas.openxmlformats.org/drawingml/2006/main">
                  <a:graphicData uri="http://schemas.microsoft.com/office/word/2010/wordprocessingShape">
                    <wps:wsp>
                      <wps:cNvSpPr/>
                      <wps:spPr>
                        <a:xfrm>
                          <a:off x="0" y="0"/>
                          <a:ext cx="1005840" cy="300990"/>
                        </a:xfrm>
                        <a:prstGeom prst="wedgeRectCallout">
                          <a:avLst>
                            <a:gd name="adj1" fmla="val -73123"/>
                            <a:gd name="adj2" fmla="val 120044"/>
                          </a:avLst>
                        </a:prstGeom>
                      </wps:spPr>
                      <wps:style>
                        <a:lnRef idx="2">
                          <a:schemeClr val="accent1">
                            <a:lumMod val="75000"/>
                          </a:schemeClr>
                        </a:lnRef>
                        <a:fillRef idx="1">
                          <a:schemeClr val="accent1"/>
                        </a:fillRef>
                        <a:effectRef idx="0">
                          <a:srgbClr val="FFFFFF"/>
                        </a:effectRef>
                        <a:fontRef idx="minor">
                          <a:schemeClr val="lt1"/>
                        </a:fontRef>
                      </wps:style>
                      <wps:txbx>
                        <w:txbxContent>
                          <w:p w14:paraId="60364267">
                            <w:pPr>
                              <w:ind w:left="0" w:leftChars="0" w:firstLine="0" w:firstLineChars="0"/>
                              <w:jc w:val="both"/>
                              <w:rPr>
                                <w:rFonts w:hint="default" w:eastAsia="宋体"/>
                                <w:lang w:val="en-US" w:eastAsia="zh-CN"/>
                              </w:rPr>
                            </w:pPr>
                            <w:r>
                              <w:rPr>
                                <w:rFonts w:hint="eastAsia" w:eastAsia="宋体"/>
                                <w:lang w:val="en-US" w:eastAsia="zh-CN"/>
                              </w:rPr>
                              <w:t>本项目位置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329.25pt;margin-top:230.75pt;height:23.7pt;width:79.2pt;z-index:251675648;v-text-anchor:middle;mso-width-relative:page;mso-height-relative:page;" fillcolor="#4874CB [3204]" filled="t" stroked="t" coordsize="21600,21600" o:gfxdata="UEsDBAoAAAAAAIdO4kAAAAAAAAAAAAAAAAAEAAAAZHJzL1BLAwQUAAAACACHTuJA+9PIT9kAAAAL&#10;AQAADwAAAGRycy9kb3ducmV2LnhtbE2PwU7DMAyG70i8Q2QkLhNLgmjUlaYTQgIEpzHgnrWmrWic&#10;0mTd4OkxJ7jZ8q/P31+uj34QM06xD2RBLxUIpDo0PbUWXl/uLnIQMTlq3BAILXxhhHV1elK6ogkH&#10;esZ5m1rBEIqFs9ClNBZSxrpD7+IyjEh8ew+Td4nXqZXN5A4M94O8VMpI73riD50b8bbD+mO79xYy&#10;vTE3i6Tme/c5P3wvnt4efdLWnp9pdQ0i4TH9heFXn9WhYqdd2FMTxWDBZHnGUQtXRvPAiVybFYgd&#10;41W+AlmV8n+H6gdQSwMEFAAAAAgAh07iQO0CysXGAgAAiAUAAA4AAABkcnMvZTJvRG9jLnhtbK1U&#10;zXLTMBC+M8M7aHRvbScO+Zk6nZBQhplCOxSGsyLLsRj9ISlxwgvwGDCc4MyZx6G8BivZTdPCoQcu&#10;9q529a3225+T060UaMOs41oVODtOMWKK6pKrVYHfvjk7GmHkPFElEVqxAu+Yw6fTx49OGjNhPV1r&#10;UTKLAES5SWMKXHtvJkniaM0kccfaMAXGSltJPKh2lZSWNIAuRdJL0ydJo21prKbMOThdtEbcIdqH&#10;AOqq4pQtNF1LpnyLapkgHlJyNTcOT+Nrq4pRf1FVjnkkCgyZ+viFICAvwzeZnpDJyhJTc9o9gTzk&#10;CfdykoQrCLqHWhBP0Nryv6Akp1Y7XfljqmXSJhIZgSyy9B43VzUxLOYCVDuzJ939P1j6anNpES8L&#10;3B9jpIiEiv/+/P3Xz6/XXz5d//iG4Bg4aoybgOuVubSd5kAMCW8rK8MfUkHbyOtuzyvbekThMEvT&#10;wSgHyinY+mk6Hkfik9vbxjr/nGmJglDghpUr9hqKNydC6LWP1JLNufOR47J7KCnfZxhVUkDJNkSg&#10;o2E/6/W7mh449Q6dMmjCPA9OEL/DBOnmBSGA04KXZ1yIqNjVci4sggAFzkfDfP60u3zHTSjUQKa9&#10;YRryJDAYFTQkiNIAuU6tMCJiBRNHvY3p3LntDoP0ng3yWRadxFq+1GUbezhIAbt9d+cfc7gDFNJY&#10;EFe3V6Kp5UNyD2MruCzwCHD2SEIBSChvW9Ag+e1y21V5qcsd9IfV7eA4Q884RDgnzl8SC7RDsrBL&#10;/AV8KqGBAd1JGNXafvzXefCHBgYrRg1MHrDzYU0sw0i8UNDa4ywPveKjkg+GPVDsoWV5aFFrOddQ&#10;GWgEeF0Ug78XN2JltXwHK2cWooKJKAqx2zp0yty3GwGWFmWzWXSD8TTEn6srQwN46ASlZ2uvK+5D&#10;DQJRLTudAgMay9Etk7ABDvXodbtAp38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OAUAAFtDb250ZW50X1R5cGVzXS54bWxQSwECFAAKAAAAAACH&#10;TuJAAAAAAAAAAAAAAAAABgAAAAAAAAAAABAAAAAaBAAAX3JlbHMvUEsBAhQAFAAAAAgAh07iQIoU&#10;ZjzRAAAAlAEAAAsAAAAAAAAAAQAgAAAAPgQAAF9yZWxzLy5yZWxzUEsBAhQACgAAAAAAh07iQAAA&#10;AAAAAAAAAAAAAAQAAAAAAAAAAAAQAAAAAAAAAGRycy9QSwECFAAUAAAACACHTuJA+9PIT9kAAAAL&#10;AQAADwAAAAAAAAABACAAAAAiAAAAZHJzL2Rvd25yZXYueG1sUEsBAhQAFAAAAAgAh07iQO0CysXG&#10;AgAAiAUAAA4AAAAAAAAAAQAgAAAAKAEAAGRycy9lMm9Eb2MueG1sUEsFBgAAAAAGAAYAWQEAAGAG&#10;AAAAAA==&#10;" adj="-4995,36730">
                <v:fill on="t" focussize="0,0"/>
                <v:stroke weight="1pt" color="#2E54A1 [2404]" miterlimit="8" joinstyle="miter"/>
                <v:imagedata o:title=""/>
                <o:lock v:ext="edit" aspectratio="f"/>
                <v:textbox>
                  <w:txbxContent>
                    <w:p w14:paraId="60364267">
                      <w:pPr>
                        <w:ind w:left="0" w:leftChars="0" w:firstLine="0" w:firstLineChars="0"/>
                        <w:jc w:val="both"/>
                        <w:rPr>
                          <w:rFonts w:hint="default" w:eastAsia="宋体"/>
                          <w:lang w:val="en-US" w:eastAsia="zh-CN"/>
                        </w:rPr>
                      </w:pPr>
                      <w:r>
                        <w:rPr>
                          <w:rFonts w:hint="eastAsia" w:eastAsia="宋体"/>
                          <w:lang w:val="en-US" w:eastAsia="zh-CN"/>
                        </w:rPr>
                        <w:t>本项目位置</w:t>
                      </w:r>
                    </w:p>
                  </w:txbxContent>
                </v:textbox>
              </v:shape>
            </w:pict>
          </mc:Fallback>
        </mc:AlternateContent>
      </w:r>
      <w:r>
        <w:rPr>
          <w:color w:val="auto"/>
          <w:sz w:val="24"/>
        </w:rPr>
        <mc:AlternateContent>
          <mc:Choice Requires="wps">
            <w:drawing>
              <wp:anchor distT="0" distB="0" distL="114300" distR="114300" simplePos="0" relativeHeight="251674624" behindDoc="0" locked="0" layoutInCell="1" allowOverlap="1">
                <wp:simplePos x="0" y="0"/>
                <wp:positionH relativeFrom="column">
                  <wp:posOffset>5531485</wp:posOffset>
                </wp:positionH>
                <wp:positionV relativeFrom="paragraph">
                  <wp:posOffset>1649730</wp:posOffset>
                </wp:positionV>
                <wp:extent cx="1062355" cy="300990"/>
                <wp:effectExtent l="293370" t="6350" r="15875" b="245110"/>
                <wp:wrapNone/>
                <wp:docPr id="38" name="矩形标注 38"/>
                <wp:cNvGraphicFramePr/>
                <a:graphic xmlns:a="http://schemas.openxmlformats.org/drawingml/2006/main">
                  <a:graphicData uri="http://schemas.microsoft.com/office/word/2010/wordprocessingShape">
                    <wps:wsp>
                      <wps:cNvSpPr/>
                      <wps:spPr>
                        <a:xfrm>
                          <a:off x="6663055" y="2581275"/>
                          <a:ext cx="1062355" cy="300990"/>
                        </a:xfrm>
                        <a:prstGeom prst="wedgeRectCallout">
                          <a:avLst>
                            <a:gd name="adj1" fmla="val -73123"/>
                            <a:gd name="adj2" fmla="val 120044"/>
                          </a:avLst>
                        </a:prstGeom>
                      </wps:spPr>
                      <wps:style>
                        <a:lnRef idx="2">
                          <a:schemeClr val="accent1">
                            <a:lumMod val="75000"/>
                          </a:schemeClr>
                        </a:lnRef>
                        <a:fillRef idx="1">
                          <a:schemeClr val="accent1"/>
                        </a:fillRef>
                        <a:effectRef idx="0">
                          <a:srgbClr val="FFFFFF"/>
                        </a:effectRef>
                        <a:fontRef idx="minor">
                          <a:schemeClr val="lt1"/>
                        </a:fontRef>
                      </wps:style>
                      <wps:txbx>
                        <w:txbxContent>
                          <w:p w14:paraId="1EC53BF9">
                            <w:pPr>
                              <w:ind w:left="0" w:leftChars="0" w:firstLine="0" w:firstLineChars="0"/>
                              <w:jc w:val="both"/>
                              <w:rPr>
                                <w:rFonts w:hint="default" w:eastAsia="宋体"/>
                                <w:lang w:val="en-US" w:eastAsia="zh-CN"/>
                              </w:rPr>
                            </w:pPr>
                            <w:r>
                              <w:rPr>
                                <w:rFonts w:hint="eastAsia" w:eastAsia="宋体"/>
                                <w:lang w:val="en-US" w:eastAsia="zh-CN"/>
                              </w:rPr>
                              <w:t>维修厂厂界</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435.55pt;margin-top:129.9pt;height:23.7pt;width:83.65pt;z-index:251674624;v-text-anchor:middle;mso-width-relative:page;mso-height-relative:page;" fillcolor="#4874CB [3204]" filled="t" stroked="t" coordsize="21600,21600" o:gfxdata="UEsDBAoAAAAAAIdO4kAAAAAAAAAAAAAAAAAEAAAAZHJzL1BLAwQUAAAACACHTuJA1OLmotsAAAAM&#10;AQAADwAAAGRycy9kb3ducmV2LnhtbE2PwU7DMBBE70j8g7VIXKrWdkrbELKpEBIgOEELdzdZkoh4&#10;HWI3LXw97gmOq32aeZOvj7YTIw2+dYygZwoEcemqlmuEt+39NAXhg+HKdI4J4Zs8rIvzs9xklTvw&#10;K42bUIsYwj4zCE0IfSalLxuyxs9cTxx/H26wJsRzqGU1mEMMt51MlFpKa1qODY3p6a6h8nOztwgL&#10;/bK8nQQ1Ppiv8fFn8vz+ZINGvLzQ6gZEoGP4g+GkH9WhiE47t+fKiw4hXWkdUYRkcR03nAg1T69A&#10;7BDmapWALHL5f0TxC1BLAwQUAAAACACHTuJA44lBXNMCAACUBQAADgAAAGRycy9lMm9Eb2MueG1s&#10;rVTNbtNAEL4j8Q6rvbf+ifPTqE4VEoqQCq0oiPNmvY4X7R+7mzjlBXgMECc4c+ZxKK/B7Npt08KB&#10;Axd7xjP+Zuabn+OTnRRoy6zjWpU4O0wxYorqiqt1id+8Pj2YYOQ8URURWrESXzGHT2aPHx23Zspy&#10;3WhRMYsARLlpa0rceG+mSeJowyRxh9owBcZaW0k8qHadVJa0gC5FkqfpKGm1rYzVlDkHX5edEfeI&#10;9l8AdV1zypaabiRTvkO1TBAPJbmGG4dnMdu6ZtSf17VjHokSQ6U+PiEIyKvwTGbHZLq2xDSc9imQ&#10;f0nhQU2ScAVBb6GWxBO0sfwPKMmp1U7X/pBqmXSFREagiix9wM1lQwyLtQDVztyS7v4fLH25vbCI&#10;VyUeQN8VkdDxX5++/fzx5frzx+vvXxF8Bo5a46bgemkubK85EEPBu9rK8IZS0K7Eo9FokA6HGF2V&#10;OB9Osnw87DhmO48oOGTpKB8EBwoegzQ9OopNSO6QjHX+GdMSBaHELavW7BU0ckGE0BsfaSbbM+cj&#10;31WfNKneZRjVUkD7tkSgg/Egywd9f/ec8n2nDAayKIITxO8xQbrJIARwWvDqlAsRFbteLYRFEKDE&#10;xWRcLJ70P99zEwq1UGk+TmHMKIElqWE4QZQGiHZqjRERa9g+6m0s597fbj9I/nRYzLPoJDbyha66&#10;2ONhCthd3r1/rOEeUChjSVzT/RJNHR+Se1hhwWWJJ4BziyQUgIRWd80Nkt+tdn3HV7q6glmxulsi&#10;Z+gphwhnxPkLYoF2KBbuij+HRy00MKB7CaNG2w9/+x78YZjBilELWwjsvN8QyzASzxWM+VFWFGFt&#10;o1IMxzkodt+y2reojVxo6AwMAmQXxeDvxY1YWy3fwvmZh6hgIopC7K4PvbLw3XWAA0bZfB7dYFUN&#10;8Wfq0tAAHiZB6fnG65r70INAVMdOr8Cyxnb0hyVcg309et0d09l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1OLmotsAAAAMAQAADwAAAAAAAAABACAAAAAiAAAAZHJzL2Rvd25yZXYueG1sUEsBAhQA&#10;FAAAAAgAh07iQOOJQVzTAgAAlAUAAA4AAAAAAAAAAQAgAAAAKgEAAGRycy9lMm9Eb2MueG1sUEsF&#10;BgAAAAAGAAYAWQEAAG8GAAAAAA==&#10;" adj="-4995,36730">
                <v:fill on="t" focussize="0,0"/>
                <v:stroke weight="1pt" color="#2E54A1 [2404]" miterlimit="8" joinstyle="miter"/>
                <v:imagedata o:title=""/>
                <o:lock v:ext="edit" aspectratio="f"/>
                <v:textbox>
                  <w:txbxContent>
                    <w:p w14:paraId="1EC53BF9">
                      <w:pPr>
                        <w:ind w:left="0" w:leftChars="0" w:firstLine="0" w:firstLineChars="0"/>
                        <w:jc w:val="both"/>
                        <w:rPr>
                          <w:rFonts w:hint="default" w:eastAsia="宋体"/>
                          <w:lang w:val="en-US" w:eastAsia="zh-CN"/>
                        </w:rPr>
                      </w:pPr>
                      <w:r>
                        <w:rPr>
                          <w:rFonts w:hint="eastAsia" w:eastAsia="宋体"/>
                          <w:lang w:val="en-US" w:eastAsia="zh-CN"/>
                        </w:rPr>
                        <w:t>维修厂厂界</w:t>
                      </w:r>
                    </w:p>
                  </w:txbxContent>
                </v:textbox>
              </v:shape>
            </w:pict>
          </mc:Fallback>
        </mc:AlternateContent>
      </w:r>
      <w:r>
        <w:rPr>
          <w:color w:val="auto"/>
        </w:rPr>
        <w:drawing>
          <wp:inline distT="0" distB="0" distL="114300" distR="114300">
            <wp:extent cx="6978650" cy="5268595"/>
            <wp:effectExtent l="0" t="0" r="12700" b="8255"/>
            <wp:docPr id="2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
                    <pic:cNvPicPr>
                      <a:picLocks noChangeAspect="1"/>
                    </pic:cNvPicPr>
                  </pic:nvPicPr>
                  <pic:blipFill>
                    <a:blip r:embed="rId36"/>
                    <a:stretch>
                      <a:fillRect/>
                    </a:stretch>
                  </pic:blipFill>
                  <pic:spPr>
                    <a:xfrm>
                      <a:off x="0" y="0"/>
                      <a:ext cx="6978650" cy="5268595"/>
                    </a:xfrm>
                    <a:prstGeom prst="rect">
                      <a:avLst/>
                    </a:prstGeom>
                    <a:noFill/>
                    <a:ln>
                      <a:noFill/>
                    </a:ln>
                  </pic:spPr>
                </pic:pic>
              </a:graphicData>
            </a:graphic>
          </wp:inline>
        </w:drawing>
      </w:r>
    </w:p>
    <w:p w14:paraId="13C50CEA">
      <w:pPr>
        <w:pStyle w:val="2"/>
        <w:rPr>
          <w:rFonts w:hint="default" w:eastAsia="黑体"/>
          <w:color w:val="auto"/>
        </w:rPr>
      </w:pPr>
      <w:r>
        <w:rPr>
          <w:rFonts w:hint="default" w:eastAsia="黑体"/>
          <w:color w:val="auto"/>
        </w:rPr>
        <w:t>附图</w:t>
      </w:r>
      <w:r>
        <w:rPr>
          <w:rFonts w:hint="eastAsia"/>
          <w:color w:val="auto"/>
          <w:lang w:val="en-US" w:eastAsia="zh-CN"/>
        </w:rPr>
        <w:t>5</w:t>
      </w:r>
      <w:r>
        <w:rPr>
          <w:rFonts w:hint="default" w:eastAsia="黑体"/>
          <w:color w:val="auto"/>
        </w:rPr>
        <w:t>项目环境敏感目标图</w:t>
      </w:r>
    </w:p>
    <w:p w14:paraId="7A69875B">
      <w:pPr>
        <w:ind w:left="0" w:leftChars="0" w:firstLine="0" w:firstLineChars="0"/>
        <w:jc w:val="center"/>
        <w:rPr>
          <w:rFonts w:hint="default"/>
          <w:color w:val="auto"/>
        </w:rPr>
      </w:pPr>
      <w:r>
        <w:rPr>
          <w:rFonts w:hint="default" w:eastAsia="宋体"/>
          <w:color w:val="auto"/>
        </w:rPr>
        <w:drawing>
          <wp:anchor distT="0" distB="0" distL="114300" distR="114300" simplePos="0" relativeHeight="251673600" behindDoc="0" locked="0" layoutInCell="1" allowOverlap="1">
            <wp:simplePos x="0" y="0"/>
            <wp:positionH relativeFrom="column">
              <wp:posOffset>6692900</wp:posOffset>
            </wp:positionH>
            <wp:positionV relativeFrom="paragraph">
              <wp:posOffset>27940</wp:posOffset>
            </wp:positionV>
            <wp:extent cx="944880" cy="1021080"/>
            <wp:effectExtent l="0" t="0" r="7620" b="7620"/>
            <wp:wrapNone/>
            <wp:docPr id="3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4"/>
                    <pic:cNvPicPr>
                      <a:picLocks noChangeAspect="1"/>
                    </pic:cNvPicPr>
                  </pic:nvPicPr>
                  <pic:blipFill>
                    <a:blip r:embed="rId35"/>
                    <a:stretch>
                      <a:fillRect/>
                    </a:stretch>
                  </pic:blipFill>
                  <pic:spPr>
                    <a:xfrm>
                      <a:off x="0" y="0"/>
                      <a:ext cx="944880" cy="1021080"/>
                    </a:xfrm>
                    <a:prstGeom prst="rect">
                      <a:avLst/>
                    </a:prstGeom>
                    <a:noFill/>
                    <a:ln>
                      <a:noFill/>
                    </a:ln>
                  </pic:spPr>
                </pic:pic>
              </a:graphicData>
            </a:graphic>
          </wp:anchor>
        </w:drawing>
      </w:r>
      <w:r>
        <w:rPr>
          <w:rFonts w:hint="default" w:eastAsia="宋体"/>
          <w:color w:val="auto"/>
        </w:rPr>
        <mc:AlternateContent>
          <mc:Choice Requires="wps">
            <w:drawing>
              <wp:anchor distT="0" distB="0" distL="114300" distR="114300" simplePos="0" relativeHeight="251666432" behindDoc="0" locked="0" layoutInCell="1" allowOverlap="1">
                <wp:simplePos x="0" y="0"/>
                <wp:positionH relativeFrom="column">
                  <wp:posOffset>3994785</wp:posOffset>
                </wp:positionH>
                <wp:positionV relativeFrom="paragraph">
                  <wp:posOffset>2779395</wp:posOffset>
                </wp:positionV>
                <wp:extent cx="855980" cy="288925"/>
                <wp:effectExtent l="0" t="0" r="1270" b="15875"/>
                <wp:wrapNone/>
                <wp:docPr id="9" name="文本框 40"/>
                <wp:cNvGraphicFramePr/>
                <a:graphic xmlns:a="http://schemas.openxmlformats.org/drawingml/2006/main">
                  <a:graphicData uri="http://schemas.microsoft.com/office/word/2010/wordprocessingShape">
                    <wps:wsp>
                      <wps:cNvSpPr txBox="1"/>
                      <wps:spPr>
                        <a:xfrm>
                          <a:off x="0" y="0"/>
                          <a:ext cx="855980" cy="288925"/>
                        </a:xfrm>
                        <a:prstGeom prst="rect">
                          <a:avLst/>
                        </a:prstGeom>
                        <a:solidFill>
                          <a:srgbClr val="FFFFFF"/>
                        </a:solidFill>
                        <a:ln w="6350">
                          <a:noFill/>
                        </a:ln>
                      </wps:spPr>
                      <wps:txbx>
                        <w:txbxContent>
                          <w:p w14:paraId="529DBE8C">
                            <w:pPr>
                              <w:ind w:firstLine="0" w:firstLineChars="0"/>
                              <w:rPr>
                                <w:rFonts w:hint="default"/>
                              </w:rPr>
                            </w:pPr>
                            <w:r>
                              <w:rPr>
                                <w:rFonts w:hint="default" w:ascii="宋体" w:eastAsia="宋体"/>
                              </w:rPr>
                              <w:t>项目位置</w:t>
                            </w:r>
                          </w:p>
                        </w:txbxContent>
                      </wps:txbx>
                      <wps:bodyPr vert="horz" wrap="square" anchor="t" anchorCtr="0" upright="1"/>
                    </wps:wsp>
                  </a:graphicData>
                </a:graphic>
              </wp:anchor>
            </w:drawing>
          </mc:Choice>
          <mc:Fallback>
            <w:pict>
              <v:shape id="文本框 40" o:spid="_x0000_s1026" o:spt="202" type="#_x0000_t202" style="position:absolute;left:0pt;margin-left:314.55pt;margin-top:218.85pt;height:22.75pt;width:67.4pt;z-index:251666432;mso-width-relative:page;mso-height-relative:page;" fillcolor="#FFFFFF" filled="t" stroked="f" coordsize="21600,21600" o:gfxdata="UEsDBAoAAAAAAIdO4kAAAAAAAAAAAAAAAAAEAAAAZHJzL1BLAwQUAAAACACHTuJAsNXE8NcAAAAL&#10;AQAADwAAAGRycy9kb3ducmV2LnhtbE2Pu27DMAxF9wL9B4EBujXyI7AT13KGAl0LNK9ZsVTLiEQZ&#10;kvL8+rJTO5I8uDy3Xd+cZRcd4uhRQD7PgGnsvRpxELDbfrwugcUkUUnrUQu46wjr7vmplY3yV/zS&#10;l00aGIVgbKQAk9LUcB57o52Mcz9ppNu3D04mGsPAVZBXCneWF1lWcSdHpA9GTvrd6P60OTsBh8E9&#10;Dvt8CkY5u8DPx32786MQL7M8ewOW9C39wfCrT+rQkdPRn1FFZgVUxSonVMCirGtgRNRVuQJ2pM2y&#10;LIB3Lf/fofsBUEsDBBQAAAAIAIdO4kBGd8k25QEAALMDAAAOAAAAZHJzL2Uyb0RvYy54bWytU82O&#10;0zAQviPxDpbvNNlCV2nUdCW2KhcESAsP4DpOYsl/jN0m5QHgDThx4c5z9TkYO9mW3b3sgRyc8cz4&#10;m/k+j1c3g1bkIMBLayp6NcspEYbbWpq2ol8+b18VlPjATM2UNaKiR+Hpzfrli1XvSjG3nVW1AIIg&#10;xpe9q2gXgiuzzPNOaOZn1gmDwcaCZgG30GY1sB7RtcrmeX6d9RZqB5YL79G7GYN0QoTnANqmkVxs&#10;LN9rYcKICkKxgJR8J52n69Rt0wgePjaNF4GoiiLTkFYsgvYurtl6xcoWmOskn1pgz2nhESfNpMGi&#10;Z6gNC4zsQT6B0pKD9bYJM251NhJJiiCLq/yRNncdcyJxQam9O4vu/x8s/3D4BETWFV1SYpjGCz/9&#10;/HH69ef0+zt5k/TpnS8x7c5hYhje2gGnJuoW/R6dkfbQgI5/JEQwjuoez+qKIRCOzmKxWBYY4Ria&#10;F8Vyvogo2eWwAx/eCatJNCoKeHlJU3Z478OYep8Sa3mrZL2VSqUNtLtbBeTA8KK36ZvQH6QpQ/qK&#10;Xr9e5AnZ2Hh+hFYGm7lwilYYdsNEdGfrI/LHd4OddRa+UdLj1FTUf90zEJQww9Fd0XBv3oZxzPYO&#10;ZNvhqSRaqoB3mYhPcxeH5d996uPy1tZ/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LDVxPDXAAAA&#10;CwEAAA8AAAAAAAAAAQAgAAAAIgAAAGRycy9kb3ducmV2LnhtbFBLAQIUABQAAAAIAIdO4kBGd8k2&#10;5QEAALMDAAAOAAAAAAAAAAEAIAAAACYBAABkcnMvZTJvRG9jLnhtbFBLBQYAAAAABgAGAFkBAAB9&#10;BQAAAAA=&#10;">
                <v:fill on="t" focussize="0,0"/>
                <v:stroke on="f" weight="0.5pt"/>
                <v:imagedata o:title=""/>
                <o:lock v:ext="edit" aspectratio="f"/>
                <v:textbox>
                  <w:txbxContent>
                    <w:p w14:paraId="529DBE8C">
                      <w:pPr>
                        <w:ind w:firstLine="0" w:firstLineChars="0"/>
                        <w:rPr>
                          <w:rFonts w:hint="default"/>
                        </w:rPr>
                      </w:pPr>
                      <w:r>
                        <w:rPr>
                          <w:rFonts w:hint="default" w:ascii="宋体" w:eastAsia="宋体"/>
                        </w:rPr>
                        <w:t>项目位置</w:t>
                      </w:r>
                    </w:p>
                  </w:txbxContent>
                </v:textbox>
              </v:shape>
            </w:pict>
          </mc:Fallback>
        </mc:AlternateContent>
      </w:r>
      <w:r>
        <w:rPr>
          <w:color w:val="auto"/>
        </w:rPr>
        <w:drawing>
          <wp:inline distT="0" distB="0" distL="114300" distR="114300">
            <wp:extent cx="6738620" cy="5184775"/>
            <wp:effectExtent l="0" t="0" r="5080" b="15875"/>
            <wp:docPr id="2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3"/>
                    <pic:cNvPicPr>
                      <a:picLocks noChangeAspect="1"/>
                    </pic:cNvPicPr>
                  </pic:nvPicPr>
                  <pic:blipFill>
                    <a:blip r:embed="rId37"/>
                    <a:stretch>
                      <a:fillRect/>
                    </a:stretch>
                  </pic:blipFill>
                  <pic:spPr>
                    <a:xfrm>
                      <a:off x="0" y="0"/>
                      <a:ext cx="6738620" cy="5184775"/>
                    </a:xfrm>
                    <a:prstGeom prst="rect">
                      <a:avLst/>
                    </a:prstGeom>
                    <a:noFill/>
                    <a:ln>
                      <a:noFill/>
                    </a:ln>
                  </pic:spPr>
                </pic:pic>
              </a:graphicData>
            </a:graphic>
          </wp:inline>
        </w:drawing>
      </w:r>
      <w:r>
        <w:rPr>
          <w:rFonts w:hint="default" w:eastAsia="宋体"/>
          <w:color w:val="auto"/>
        </w:rPr>
        <mc:AlternateContent>
          <mc:Choice Requires="wps">
            <w:drawing>
              <wp:anchor distT="0" distB="0" distL="114300" distR="114300" simplePos="0" relativeHeight="251667456" behindDoc="0" locked="0" layoutInCell="1" allowOverlap="1">
                <wp:simplePos x="0" y="0"/>
                <wp:positionH relativeFrom="column">
                  <wp:posOffset>4780915</wp:posOffset>
                </wp:positionH>
                <wp:positionV relativeFrom="paragraph">
                  <wp:posOffset>2072005</wp:posOffset>
                </wp:positionV>
                <wp:extent cx="666115" cy="260350"/>
                <wp:effectExtent l="6350" t="17145" r="13335" b="27305"/>
                <wp:wrapNone/>
                <wp:docPr id="10" name="文本框 41"/>
                <wp:cNvGraphicFramePr/>
                <a:graphic xmlns:a="http://schemas.openxmlformats.org/drawingml/2006/main">
                  <a:graphicData uri="http://schemas.microsoft.com/office/word/2010/wordprocessingShape">
                    <wps:wsp>
                      <wps:cNvSpPr txBox="1"/>
                      <wps:spPr>
                        <a:xfrm rot="-180000">
                          <a:off x="0" y="0"/>
                          <a:ext cx="666115" cy="260350"/>
                        </a:xfrm>
                        <a:prstGeom prst="rect">
                          <a:avLst/>
                        </a:prstGeom>
                        <a:solidFill>
                          <a:srgbClr val="FFFFFF"/>
                        </a:solidFill>
                        <a:ln w="6350">
                          <a:noFill/>
                        </a:ln>
                      </wps:spPr>
                      <wps:txbx>
                        <w:txbxContent>
                          <w:p w14:paraId="50149250">
                            <w:pPr>
                              <w:ind w:firstLine="0" w:firstLineChars="0"/>
                              <w:rPr>
                                <w:rFonts w:hint="default"/>
                                <w:sz w:val="21"/>
                                <w:szCs w:val="21"/>
                              </w:rPr>
                            </w:pPr>
                            <w:r>
                              <w:rPr>
                                <w:rFonts w:hint="default" w:ascii="宋体" w:eastAsia="宋体"/>
                                <w:sz w:val="21"/>
                                <w:szCs w:val="21"/>
                              </w:rPr>
                              <w:t>R=500m</w:t>
                            </w:r>
                          </w:p>
                        </w:txbxContent>
                      </wps:txbx>
                      <wps:bodyPr vert="horz" wrap="square" anchor="t" anchorCtr="0" upright="1"/>
                    </wps:wsp>
                  </a:graphicData>
                </a:graphic>
              </wp:anchor>
            </w:drawing>
          </mc:Choice>
          <mc:Fallback>
            <w:pict>
              <v:shape id="文本框 41" o:spid="_x0000_s1026" o:spt="202" type="#_x0000_t202" style="position:absolute;left:0pt;margin-left:376.45pt;margin-top:163.15pt;height:20.5pt;width:52.45pt;rotation:-196608f;z-index:251667456;mso-width-relative:page;mso-height-relative:page;" fillcolor="#FFFFFF" filled="t" stroked="f" coordsize="21600,21600" o:gfxdata="UEsDBAoAAAAAAIdO4kAAAAAAAAAAAAAAAAAEAAAAZHJzL1BLAwQUAAAACACHTuJAfIBLctsAAAAL&#10;AQAADwAAAGRycy9kb3ducmV2LnhtbE2PTU/DMAyG70j8h8hI3FiyVmu70nRCDITGAcZAnNPWtBWN&#10;U5rsg3+POcHR9qPXz1usTnYQB5x870jDfKZAINWu6anV8PZ6f5WB8MFQYwZHqOEbPazK87PC5I07&#10;0gsedqEVHEI+Nxq6EMZcSl93aI2fuRGJbx9usibwOLWymcyRw+0gI6USaU1P/KEzI952WH/u9lbD&#10;TfW8jDP//vSgNpvH9d3XFpP1VuvLi7m6BhHwFP5g+NVndSjZqXJ7arwYNKSLaMmohjhKYhBMZIuU&#10;y1S8SdIYZFnI/x3KH1BLAwQUAAAACACHTuJAtRVicu8BAADCAwAADgAAAGRycy9lMm9Eb2MueG1s&#10;rVNBjhMxELwj8QfL983MBDZaRZmsxEbhggBp4QGOx5OxZLtN28lMeAD8gBMX7rwr76DtSQLsXvaw&#10;Plh2u1zuqm4vbgdr2F5h0OBqXk1KzpST0Gi3rfnnT+urG85CFK4RBpyq+UEFfrt8+WLR+7maQgem&#10;UciIxIV572vexejnRRFkp6wIE/DK0WELaEWkLW6LBkVP7NYU07KcFT1g4xGkCoGiq/GQnxjxKYTQ&#10;tlqqFcidVS6OrKiMiCQpdNoHvszZtq2S8UPbBhWZqTkpjXmmR2i9SXOxXIj5FoXvtDylIJ6SwgNN&#10;VmhHj16oViIKtkP9iMpqiRCgjRMJthiFZEdIRVU+8Oa+E15lLWR18BfTw/PRyvf7j8h0Q51Aljhh&#10;qeLHH9+PP38ff31jr6tkUO/DnHD3npBxeAMDgc/xQMGke2jRMgTy96q6KWlkN0gfIzQxHy5mqyEy&#10;ScHZbFZV15xJOprOylfXuRjFSJUoPYb4VoFlaVFzpFpmUrF/FyKlRdAzJMEDGN2stTF5g9vNnUG2&#10;F1T3dR4pY7ryH8w41lMm6e10y0G6P+KMI3hSPipMqzhshpMdG2gO5AZ9I8qsA/zKWU9NVPPwZSdQ&#10;cSacpHDN43l5F8eu23nU245uZQvzC1TanNqpDVPv/LvPefz9ess/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fIBLctsAAAALAQAADwAAAAAAAAABACAAAAAiAAAAZHJzL2Rvd25yZXYueG1sUEsBAhQA&#10;FAAAAAgAh07iQLUVYnLvAQAAwgMAAA4AAAAAAAAAAQAgAAAAKgEAAGRycy9lMm9Eb2MueG1sUEsF&#10;BgAAAAAGAAYAWQEAAIsFAAAAAA==&#10;">
                <v:fill on="t" focussize="0,0"/>
                <v:stroke on="f" weight="0.5pt"/>
                <v:imagedata o:title=""/>
                <o:lock v:ext="edit" aspectratio="f"/>
                <v:textbox>
                  <w:txbxContent>
                    <w:p w14:paraId="50149250">
                      <w:pPr>
                        <w:ind w:firstLine="0" w:firstLineChars="0"/>
                        <w:rPr>
                          <w:rFonts w:hint="default"/>
                          <w:sz w:val="21"/>
                          <w:szCs w:val="21"/>
                        </w:rPr>
                      </w:pPr>
                      <w:r>
                        <w:rPr>
                          <w:rFonts w:hint="default" w:ascii="宋体" w:eastAsia="宋体"/>
                          <w:sz w:val="21"/>
                          <w:szCs w:val="21"/>
                        </w:rPr>
                        <w:t>R=500m</w:t>
                      </w:r>
                    </w:p>
                  </w:txbxContent>
                </v:textbox>
              </v:shape>
            </w:pict>
          </mc:Fallback>
        </mc:AlternateContent>
      </w:r>
      <w:r>
        <w:rPr>
          <w:rFonts w:hint="default" w:eastAsia="宋体"/>
          <w:color w:val="auto"/>
        </w:rPr>
        <mc:AlternateContent>
          <mc:Choice Requires="wps">
            <w:drawing>
              <wp:anchor distT="0" distB="0" distL="114300" distR="114300" simplePos="0" relativeHeight="251664384" behindDoc="0" locked="0" layoutInCell="1" allowOverlap="1">
                <wp:simplePos x="0" y="0"/>
                <wp:positionH relativeFrom="column">
                  <wp:posOffset>4313555</wp:posOffset>
                </wp:positionH>
                <wp:positionV relativeFrom="paragraph">
                  <wp:posOffset>2212975</wp:posOffset>
                </wp:positionV>
                <wp:extent cx="1657985" cy="441960"/>
                <wp:effectExtent l="1905" t="6350" r="16510" b="8890"/>
                <wp:wrapNone/>
                <wp:docPr id="7" name="直接连接符 38"/>
                <wp:cNvGraphicFramePr/>
                <a:graphic xmlns:a="http://schemas.openxmlformats.org/drawingml/2006/main">
                  <a:graphicData uri="http://schemas.microsoft.com/office/word/2010/wordprocessingShape">
                    <wps:wsp>
                      <wps:cNvCnPr/>
                      <wps:spPr>
                        <a:xfrm flipV="1">
                          <a:off x="0" y="0"/>
                          <a:ext cx="1657985" cy="441960"/>
                        </a:xfrm>
                        <a:prstGeom prst="line">
                          <a:avLst/>
                        </a:prstGeom>
                        <a:ln w="12700" cap="flat" cmpd="sng">
                          <a:solidFill>
                            <a:srgbClr val="FF0000"/>
                          </a:solidFill>
                          <a:prstDash val="solid"/>
                          <a:miter/>
                          <a:headEnd type="none" w="med" len="med"/>
                          <a:tailEnd type="none" w="med" len="med"/>
                        </a:ln>
                      </wps:spPr>
                      <wps:bodyPr/>
                    </wps:wsp>
                  </a:graphicData>
                </a:graphic>
              </wp:anchor>
            </w:drawing>
          </mc:Choice>
          <mc:Fallback>
            <w:pict>
              <v:line id="直接连接符 38" o:spid="_x0000_s1026" o:spt="20" style="position:absolute;left:0pt;flip:y;margin-left:339.65pt;margin-top:174.25pt;height:34.8pt;width:130.55pt;z-index:251664384;mso-width-relative:page;mso-height-relative:page;" filled="f" stroked="t" coordsize="21600,21600" o:gfxdata="UEsDBAoAAAAAAIdO4kAAAAAAAAAAAAAAAAAEAAAAZHJzL1BLAwQUAAAACACHTuJAmS6wa9oAAAAL&#10;AQAADwAAAGRycy9kb3ducmV2LnhtbE2Py07DMBBF90j8gzVI7KhtYkoaMqkQUjc8FqRl78YmiRLb&#10;wXab8PeYFSxH9+jeM+V2MSM5ax96ZxH4igHRtnGqty3CYb+7yYGEKK2So7Ma4VsH2FaXF6UslJvt&#10;uz7XsSWpxIZCInQxTgWloem0kWHlJm1T9um8kTGdvqXKyzmVm5HeMramRvY2LXRy0k+dbob6ZBD2&#10;2eNb7V9f+DzkbhHPu4F/fRwQr684ewAS9RL/YPjVT+pQJaejO1kVyIiwvt9kCUXIRH4HJBEbwQSQ&#10;I4LgOQdalfT/D9UPUEsDBBQAAAAIAIdO4kDcNu2MAwIAAPMDAAAOAAAAZHJzL2Uyb0RvYy54bWyt&#10;U72OEzEQ7pF4B8s92U24S3KrbK64EBoEJ/HTT/yTteQ/2b5s8hK8ABIdVJT0vA3HYzD2hgBHkwIX&#10;1nhm/M18n8eL673RZCdCVM62dDyqKRGWOa7stqVv36yfzCmJCSwH7axo6UFEer18/GjR+0ZMXOc0&#10;F4EgiI1N71vapeSbqoqsEwbiyHlhMShdMJDwGLYVD9AjutHVpK6nVe8C98ExESN6V0OQHhHDOYBO&#10;SsXEyrE7I2waUIPQkJBS7JSPdFm6lVKw9ErKKBLRLUWmqexYBO1N3qvlApptAN8pdmwBzmnhAScD&#10;ymLRE9QKEpC7oP6BMooFF51MI+ZMNRApiiCLcf1Am9cdeFG4oNTRn0SP/w+WvdzdBqJ4S2eUWDD4&#10;4Pcfvn5//+nHt4+433/5TJ7Os0q9jw0m39jbcDxFfxsy5b0Mhkit/DscpyIC0iL7ovHhpLHYJ8LQ&#10;OZ5ezq7ml5QwjF1cjK+m5RGqASfj+RDTc+EMyUZLtbJZA2hg9yImrI2pv1KyW1vSI+xkVuObMsCJ&#10;lDgJaBqPrKLdlsvRacXXSut8JYbt5kYHsgOcivW6xpUpIvBfabnKCmI35JXQMC9GJZFVgKYTwJ9Z&#10;TtLBo3IWPwzN3RjBKdEC/1e2SmYCpc/JxCa0xV6y3oPC2do4fijCFz/OQun2OLd52P48l9u//+ry&#10;J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JkusGvaAAAACwEAAA8AAAAAAAAAAQAgAAAAIgAAAGRy&#10;cy9kb3ducmV2LnhtbFBLAQIUABQAAAAIAIdO4kDcNu2MAwIAAPMDAAAOAAAAAAAAAAEAIAAAACkB&#10;AABkcnMvZTJvRG9jLnhtbFBLBQYAAAAABgAGAFkBAACeBQAAAAA=&#10;">
                <v:fill on="f" focussize="0,0"/>
                <v:stroke weight="1pt" color="#FF0000" joinstyle="miter"/>
                <v:imagedata o:title=""/>
                <o:lock v:ext="edit" aspectratio="f"/>
              </v:line>
            </w:pict>
          </mc:Fallback>
        </mc:AlternateContent>
      </w:r>
    </w:p>
    <w:p w14:paraId="0EC30988">
      <w:pPr>
        <w:pStyle w:val="2"/>
        <w:rPr>
          <w:rFonts w:hint="default" w:eastAsia="黑体"/>
          <w:color w:val="auto"/>
        </w:rPr>
      </w:pPr>
      <w:r>
        <w:rPr>
          <w:rFonts w:hint="default" w:eastAsia="黑体"/>
          <w:color w:val="auto"/>
        </w:rPr>
        <w:t>附图</w:t>
      </w:r>
      <w:r>
        <w:rPr>
          <w:rFonts w:hint="eastAsia"/>
          <w:color w:val="auto"/>
          <w:lang w:val="en-US" w:eastAsia="zh-CN"/>
        </w:rPr>
        <w:t>6</w:t>
      </w:r>
      <w:r>
        <w:rPr>
          <w:rFonts w:hint="default" w:eastAsia="黑体"/>
          <w:color w:val="auto"/>
        </w:rPr>
        <w:t>项目声环境功能区划图</w:t>
      </w:r>
    </w:p>
    <w:p w14:paraId="055A5908">
      <w:pPr>
        <w:ind w:left="0" w:leftChars="0" w:firstLine="0" w:firstLineChars="0"/>
        <w:jc w:val="center"/>
        <w:rPr>
          <w:color w:val="auto"/>
        </w:rPr>
      </w:pPr>
      <w:r>
        <w:rPr>
          <w:color w:val="auto"/>
          <w:sz w:val="24"/>
        </w:rPr>
        <mc:AlternateContent>
          <mc:Choice Requires="wps">
            <w:drawing>
              <wp:anchor distT="0" distB="0" distL="114300" distR="114300" simplePos="0" relativeHeight="251666432" behindDoc="0" locked="0" layoutInCell="1" allowOverlap="1">
                <wp:simplePos x="0" y="0"/>
                <wp:positionH relativeFrom="column">
                  <wp:posOffset>4091305</wp:posOffset>
                </wp:positionH>
                <wp:positionV relativeFrom="paragraph">
                  <wp:posOffset>3774440</wp:posOffset>
                </wp:positionV>
                <wp:extent cx="857250" cy="336550"/>
                <wp:effectExtent l="53340" t="6350" r="22860" b="247650"/>
                <wp:wrapNone/>
                <wp:docPr id="17" name="圆角矩形标注 17"/>
                <wp:cNvGraphicFramePr/>
                <a:graphic xmlns:a="http://schemas.openxmlformats.org/drawingml/2006/main">
                  <a:graphicData uri="http://schemas.microsoft.com/office/word/2010/wordprocessingShape">
                    <wps:wsp>
                      <wps:cNvSpPr/>
                      <wps:spPr>
                        <a:xfrm>
                          <a:off x="5464810" y="4419600"/>
                          <a:ext cx="857250" cy="336550"/>
                        </a:xfrm>
                        <a:prstGeom prst="wedgeRoundRectCallout">
                          <a:avLst>
                            <a:gd name="adj1" fmla="val -53259"/>
                            <a:gd name="adj2" fmla="val 112641"/>
                            <a:gd name="adj3" fmla="val 16667"/>
                          </a:avLst>
                        </a:prstGeom>
                      </wps:spPr>
                      <wps:style>
                        <a:lnRef idx="2">
                          <a:schemeClr val="accent1">
                            <a:lumMod val="75000"/>
                          </a:schemeClr>
                        </a:lnRef>
                        <a:fillRef idx="1">
                          <a:schemeClr val="accent1"/>
                        </a:fillRef>
                        <a:effectRef idx="0">
                          <a:srgbClr val="FFFFFF"/>
                        </a:effectRef>
                        <a:fontRef idx="minor">
                          <a:schemeClr val="lt1"/>
                        </a:fontRef>
                      </wps:style>
                      <wps:txbx>
                        <w:txbxContent>
                          <w:p w14:paraId="784B4DF0">
                            <w:pPr>
                              <w:ind w:left="0" w:leftChars="0" w:firstLine="0" w:firstLineChars="0"/>
                              <w:jc w:val="both"/>
                              <w:rPr>
                                <w:rFonts w:hint="default" w:eastAsia="宋体"/>
                                <w:lang w:val="en-US" w:eastAsia="zh-CN"/>
                              </w:rPr>
                            </w:pPr>
                            <w:r>
                              <w:rPr>
                                <w:rFonts w:hint="eastAsia" w:eastAsia="宋体"/>
                                <w:lang w:val="en-US" w:eastAsia="zh-CN"/>
                              </w:rPr>
                              <w:t>项目位置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2" type="#_x0000_t62" style="position:absolute;left:0pt;margin-left:322.15pt;margin-top:297.2pt;height:26.5pt;width:67.5pt;z-index:251666432;v-text-anchor:middle;mso-width-relative:page;mso-height-relative:page;" fillcolor="#4874CB [3204]" filled="t" stroked="t" coordsize="21600,21600" o:gfxdata="UEsDBAoAAAAAAIdO4kAAAAAAAAAAAAAAAAAEAAAAZHJzL1BLAwQUAAAACACHTuJA8W5W1NkAAAAL&#10;AQAADwAAAGRycy9kb3ducmV2LnhtbE2PTU/DMAyG70j8h8hI3FjaNaysNJ0Q0pA4bQwQ16z12kLi&#10;lCb74N/jneBov49ePy4XJ2fFAcfQe9KQThIQSLVvemo1vL0ub+5AhGioMdYTavjBAIvq8qI0ReOP&#10;9IKHTWwFl1AojIYuxqGQMtQdOhMmfkDibOdHZyKPYyub0Ry53Fk5TZKZdKYnvtCZAR87rL82e6ch&#10;e1/71K7cw3eY0u7z6Xn1scyk1tdXaXIPIuIp/sFw1md1qNhp6/fUBGE1zJTKGNVwO1cKBBN5PufN&#10;9hzlCmRVyv8/VL9QSwMEFAAAAAgAh07iQMsKClXpAgAAwgUAAA4AAABkcnMvZTJvRG9jLnhtbK1U&#10;zW7TQBC+I/EOq723iRM7SaMmVUgoQiq0akGcN+t1bLQ/ZnfTpDwA3DkjgbgAZ848TguPwee12yYt&#10;Bw5c7BnP+JuZb372D9ZKknNhXWH0iEa7bUqE5iYt9GJEX7443BlQ4jzTKZNGixG9EI4ejB8+2F+V&#10;Q9ExuZGpsAQg2g1X5Yjm3pfDVsvxXCjmdk0pNIyZsYp5qHbRSi1bAV3JVqfd7rVWxqalNVw4h6+z&#10;2kgbRPsvgCbLCi5mhi+V0L5GtUIyj5JcXpSOjkO2WSa4P84yJzyRI4pKfXgiCOR59WyN99lwYVmZ&#10;F7xJgf1LCndqUqzQCHoDNWOekaUt7kGpglvjTOZ3uVGtupDACKqI2ne4OctZKUItoNqVN6S7/wfL&#10;n5+fWFKkmIQ+JZopdPzy47vfXz/8+vT98ueXq8/vr358IzCCqVXphvjhrDyxjeYgVmWvM6uqNwoi&#10;6xFN4l48iMDxxYjGcbTXazdMi7UnHA6DpN9JYOdw6HZ7CWQgtm6BSuv8E2EUqYQRXYl0IU7NUqen&#10;aOmUSWmWPhDOzo+cD8ynTfosfR1RkimJRp4zSXaSbifZazq94dTZdIqiTi+O7jt1t5x6vV4gAok2&#10;cSFdp1ol4Yws0sNCyqDYxXwqLUESoGHQj6ePmiq33KQmK9Df6YMkwhlWKsMoQ1Ql2uL0ghImF9hV&#10;7m0oeetvtxmk8ziJJ1Fwkkv1zKR17H7SrhuAbBv/QPYWUFXGjLm8/iWYajpU4bHwslBoG3BukKQG&#10;SDUS9RBUkl/P181kzE16gcmypl45V/LDAhGOmPMnzKI1KBZXyB/jkUkDBkwjUZIb+/Zv3yt/jD6s&#10;lKyws2DnzZJZQYl8qrEUe1EcA9YHJcaIQbGblvmmRS/V1KAzGBZkF8TK38trMbNGvcKxmlRRYWKa&#10;I3bdh0aZ+vqW4NxxMZkENyx2yfyRPit5BV5NgjaTpTdZ4ashr4iq2WkUrHZoR3OGqtuxqQev29M7&#10;/g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b&#10;BQAAW0NvbnRlbnRfVHlwZXNdLnhtbFBLAQIUAAoAAAAAAIdO4kAAAAAAAAAAAAAAAAAGAAAAAAAA&#10;AAAAEAAAAD0EAABfcmVscy9QSwECFAAUAAAACACHTuJAihRmPNEAAACUAQAACwAAAAAAAAABACAA&#10;AABhBAAAX3JlbHMvLnJlbHNQSwECFAAKAAAAAACHTuJAAAAAAAAAAAAAAAAABAAAAAAAAAAAABAA&#10;AAAAAAAAZHJzL1BLAQIUABQAAAAIAIdO4kDxblbU2QAAAAsBAAAPAAAAAAAAAAEAIAAAACIAAABk&#10;cnMvZG93bnJldi54bWxQSwECFAAUAAAACACHTuJAywoKVekCAADCBQAADgAAAAAAAAABACAAAAAo&#10;AQAAZHJzL2Uyb0RvYy54bWxQSwUGAAAAAAYABgBZAQAAgwYAAAAA&#10;" adj="-704,35130,14400">
                <v:fill on="t" focussize="0,0"/>
                <v:stroke weight="1pt" color="#2E54A1 [2404]" miterlimit="8" joinstyle="miter"/>
                <v:imagedata o:title=""/>
                <o:lock v:ext="edit" aspectratio="f"/>
                <v:textbox>
                  <w:txbxContent>
                    <w:p w14:paraId="784B4DF0">
                      <w:pPr>
                        <w:ind w:left="0" w:leftChars="0" w:firstLine="0" w:firstLineChars="0"/>
                        <w:jc w:val="both"/>
                        <w:rPr>
                          <w:rFonts w:hint="default" w:eastAsia="宋体"/>
                          <w:lang w:val="en-US" w:eastAsia="zh-CN"/>
                        </w:rPr>
                      </w:pPr>
                      <w:r>
                        <w:rPr>
                          <w:rFonts w:hint="eastAsia" w:eastAsia="宋体"/>
                          <w:lang w:val="en-US" w:eastAsia="zh-CN"/>
                        </w:rPr>
                        <w:t>项目位置</w:t>
                      </w:r>
                    </w:p>
                  </w:txbxContent>
                </v:textbox>
              </v:shape>
            </w:pict>
          </mc:Fallback>
        </mc:AlternateContent>
      </w:r>
      <w:r>
        <w:rPr>
          <w:color w:val="auto"/>
          <w:sz w:val="24"/>
        </w:rPr>
        <mc:AlternateContent>
          <mc:Choice Requires="wps">
            <w:drawing>
              <wp:anchor distT="0" distB="0" distL="114300" distR="114300" simplePos="0" relativeHeight="251665408" behindDoc="0" locked="0" layoutInCell="1" allowOverlap="1">
                <wp:simplePos x="0" y="0"/>
                <wp:positionH relativeFrom="column">
                  <wp:posOffset>3981450</wp:posOffset>
                </wp:positionH>
                <wp:positionV relativeFrom="paragraph">
                  <wp:posOffset>4309110</wp:posOffset>
                </wp:positionV>
                <wp:extent cx="75565" cy="109855"/>
                <wp:effectExtent l="21590" t="43180" r="36195" b="56515"/>
                <wp:wrapNone/>
                <wp:docPr id="16" name="十字星 16"/>
                <wp:cNvGraphicFramePr/>
                <a:graphic xmlns:a="http://schemas.openxmlformats.org/drawingml/2006/main">
                  <a:graphicData uri="http://schemas.microsoft.com/office/word/2010/wordprocessingShape">
                    <wps:wsp>
                      <wps:cNvSpPr/>
                      <wps:spPr>
                        <a:xfrm>
                          <a:off x="5083810" y="5569585"/>
                          <a:ext cx="75565" cy="109855"/>
                        </a:xfrm>
                        <a:prstGeom prst="star4">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87" type="#_x0000_t187" style="position:absolute;left:0pt;margin-left:313.5pt;margin-top:339.3pt;height:8.65pt;width:5.95pt;z-index:251665408;v-text-anchor:middle;mso-width-relative:page;mso-height-relative:page;" fillcolor="#4874CB [3204]" filled="t" stroked="t" coordsize="21600,21600" o:gfxdata="UEsDBAoAAAAAAIdO4kAAAAAAAAAAAAAAAAAEAAAAZHJzL1BLAwQUAAAACACHTuJAjgmYEtoAAAAL&#10;AQAADwAAAGRycy9kb3ducmV2LnhtbE2PzU7DMBCE70i8g7VI3KiTItIkjVMhUA9ckGiK1KMbb5MI&#10;ex3F7g88Pcup3Ga0o9lvqtXFWXHCKQyeFKSzBARS681AnYJts37IQYSoyWjrCRV8Y4BVfXtT6dL4&#10;M33gaRM7wSUUSq2gj3EspQxtj06HmR+R+Hbwk9OR7dRJM+kzlzsr50mSSacH4g+9HvGlx/Zrc3QK&#10;dj+xSd+etxO9fjbvhN7uGr1W6v4uTZYgIl7iNQx/+IwONTPt/ZFMEFZBNl/wlshikWcgOJE95gWI&#10;PYviqQBZV/L/hvoXUEsDBBQAAAAIAIdO4kAKkoPRlwIAACYFAAAOAAAAZHJzL2Uyb0RvYy54bWyt&#10;VM1uEzEQviPxDpbvdDch26RRNygkFCEVWqkgzo7Xm7XkP2wnabnxAJzhxhPwWOU5+Na7bdOWQw9c&#10;dmc84+/zfJ7x8atLrchW+CCtKengIKdEGG4radYl/fTx5MWEkhCZqZiyRpT0SgT6avb82fHOTcXQ&#10;NlZVwhOAmDDduZI2MbpplgXeCM3CgXXCIFhbr1mE69dZ5dkO6Fplwzw/zHbWV85bLkLA6rIL0h7R&#10;PwXQ1rXkYmn5RgsTO1QvFIsoKTTSBTpLp61rweNZXQcRiSopKo3pCxLYq/abzY7ZdO2ZayTvj8Ce&#10;coQHNWkmDUhvoZYsMrLx8hGUltzbYOt4wK3OukKSIqhikD/Q5qJhTqRaIHVwt6KH/wfLP2zPPZEV&#10;OuGQEsM0bvz6+7fr3z/+/PxFsAaBdi5MkXfhzn3vBZhttZe11+0fdZDLkhb55OVkAGmvYBeHR8Wk&#10;6AQWl5FwJIyxWlDCER/kR5MihbM7HOdDfCusJq1RUrShHyVZ2fY0RJAj9yan5Q1WyepEKpUcv14t&#10;lCdbhrseTcajxeuWHVvupSlDdqAfjnMclDN0cI3OgakdVAhmTQlTa4wGjz5x39sd9kmGb4rRfJCS&#10;1Ea/t1XHPS5yYPfUXf7jY7RlLFloui2Jo9NKy4j5UlKXdAKcWyRlANJeRSd+a61sdYXb87Zr6+D4&#10;iQTsKQvxnHn0MSrEpMczfGplUbbtLUoa67/+a73NR3shSskOcwFJvmyYF5SodwaNdzQYjQAbkzMq&#10;xkM4fj+y2o+YjV5YXMcAb4rjyWzzo7oxa2/1ZzwI85YVIWY4uDvxe2cRu3nFk8LFfJ7SMDyOxVNz&#10;4XgL3l6/sfNNtLVMbXKnTi8axifdQT/q7Xzu+ynr7nmb/Q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KBQAAW0NvbnRlbnRfVHlwZXNdLnhtbFBL&#10;AQIUAAoAAAAAAIdO4kAAAAAAAAAAAAAAAAAGAAAAAAAAAAAAEAAAAOwDAABfcmVscy9QSwECFAAU&#10;AAAACACHTuJAihRmPNEAAACUAQAACwAAAAAAAAABACAAAAAQBAAAX3JlbHMvLnJlbHNQSwECFAAK&#10;AAAAAACHTuJAAAAAAAAAAAAAAAAABAAAAAAAAAAAABAAAAAAAAAAZHJzL1BLAQIUABQAAAAIAIdO&#10;4kCOCZgS2gAAAAsBAAAPAAAAAAAAAAEAIAAAACIAAABkcnMvZG93bnJldi54bWxQSwECFAAUAAAA&#10;CACHTuJACpKD0ZcCAAAmBQAADgAAAAAAAAABACAAAAApAQAAZHJzL2Uyb0RvYy54bWxQSwUGAAAA&#10;AAYABgBZAQAAMgYAAAAA&#10;" adj="8100">
                <v:fill on="t" focussize="0,0"/>
                <v:stroke weight="1pt" color="#2E54A1 [2404]" miterlimit="8" joinstyle="miter"/>
                <v:imagedata o:title=""/>
                <o:lock v:ext="edit" aspectratio="f"/>
              </v:shape>
            </w:pict>
          </mc:Fallback>
        </mc:AlternateContent>
      </w:r>
      <w:r>
        <w:rPr>
          <w:color w:val="auto"/>
        </w:rPr>
        <w:drawing>
          <wp:inline distT="0" distB="0" distL="114300" distR="114300">
            <wp:extent cx="7682865" cy="5236210"/>
            <wp:effectExtent l="0" t="0" r="13335" b="2540"/>
            <wp:docPr id="1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
                    <pic:cNvPicPr>
                      <a:picLocks noChangeAspect="1"/>
                    </pic:cNvPicPr>
                  </pic:nvPicPr>
                  <pic:blipFill>
                    <a:blip r:embed="rId38"/>
                    <a:stretch>
                      <a:fillRect/>
                    </a:stretch>
                  </pic:blipFill>
                  <pic:spPr>
                    <a:xfrm>
                      <a:off x="0" y="0"/>
                      <a:ext cx="7682865" cy="5236210"/>
                    </a:xfrm>
                    <a:prstGeom prst="rect">
                      <a:avLst/>
                    </a:prstGeom>
                    <a:noFill/>
                    <a:ln>
                      <a:noFill/>
                    </a:ln>
                  </pic:spPr>
                </pic:pic>
              </a:graphicData>
            </a:graphic>
          </wp:inline>
        </w:drawing>
      </w:r>
    </w:p>
    <w:sectPr>
      <w:pgSz w:w="16838" w:h="11906" w:orient="landscape"/>
      <w:pgMar w:top="1531" w:right="1701" w:bottom="1531" w:left="1701" w:header="1191" w:footer="1191" w:gutter="0"/>
      <w:pgNumType w:fmt="numberInDash"/>
      <w:cols w:space="720"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0D"/>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Malgun Gothic Semilight"/>
    <w:panose1 w:val="020B0604020202020204"/>
    <w:charset w:val="86"/>
    <w:family w:val="swiss"/>
    <w:pitch w:val="default"/>
    <w:sig w:usb0="00000000" w:usb1="00000000" w:usb2="0000003F" w:usb3="00000000" w:csb0="603F01FF" w:csb1="FFFF0000"/>
  </w:font>
  <w:font w:name="Malgun Gothic Semilight">
    <w:panose1 w:val="020B0502040204020203"/>
    <w:charset w:val="86"/>
    <w:family w:val="auto"/>
    <w:pitch w:val="default"/>
    <w:sig w:usb0="900002AF" w:usb1="01D77CFB" w:usb2="00000012" w:usb3="00000000" w:csb0="203E01BD"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CCE9B3">
    <w:pPr>
      <w:pStyle w:val="11"/>
      <w:ind w:right="360" w:firstLine="360"/>
      <w:rPr>
        <w:rFonts w:hint="defau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C7733E">
    <w:pPr>
      <w:pStyle w:val="11"/>
      <w:ind w:right="360" w:firstLine="0" w:firstLineChars="0"/>
      <w:rPr>
        <w:rFonts w:hint="default"/>
      </w:rPr>
    </w:pPr>
    <w:r>
      <w:rPr>
        <w:rFonts w:hint="default" w:eastAsia="宋体"/>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66"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527D17C">
                          <w:pPr>
                            <w:pStyle w:val="11"/>
                            <w:ind w:firstLine="0" w:firstLineChars="0"/>
                            <w:rPr>
                              <w:rFonts w:hint="default"/>
                            </w:rPr>
                          </w:pPr>
                          <w:r>
                            <w:fldChar w:fldCharType="begin"/>
                          </w:r>
                          <w:r>
                            <w:instrText xml:space="preserve"> PAGE  \* MERGEFORMAT </w:instrText>
                          </w:r>
                          <w:r>
                            <w:fldChar w:fldCharType="separate"/>
                          </w:r>
                          <w:r>
                            <w:rPr>
                              <w:rFonts w:hint="default"/>
                            </w:rPr>
                            <w:t>- 1 -</w:t>
                          </w:r>
                          <w:r>
                            <w:fldChar w:fldCharType="end"/>
                          </w:r>
                        </w:p>
                      </w:txbxContent>
                    </wps:txbx>
                    <wps:bodyPr vert="horz" wrap="none" lIns="0" tIns="0" rIns="0" bIns="0" anchor="t" anchorCtr="0" upright="1">
                      <a:spAutoFit/>
                    </wps:bodyPr>
                  </wps:wsp>
                </a:graphicData>
              </a:graphic>
            </wp:anchor>
          </w:drawing>
        </mc:Choice>
        <mc:Fallback>
          <w:pict>
            <v:shape id="文本框 11"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n6cg98BAADAAwAADgAAAGRycy9lMm9Eb2MueG1srVPNjtMwEL4j8Q6W&#10;7zRJD1UV1V0tVIuQECAtPIDrOI0l/8njNikPAG/AiQt3nqvPwdhJurB72QOXZDwz/ma+b8abm8Fo&#10;cpIBlLOMVouSEmmFa5Q9MPrl892rNSUQuW24dlYyepZAb7YvX2x6X8ul65xuZCAIYqHuPaNdjL4u&#10;ChCdNBwWzkuLwdYFwyMew6FoAu8R3ehiWZaroneh8cEJCYDe3RikE2J4DqBrWyXkzomjkTaOqEFq&#10;HpESdMoD3eZu21aK+LFtQUaiGUWmMX+xCNr79C22G14fAvedElML/DktPOJkuLJY9Aq145GTY1BP&#10;oIwSwYFr40I4U4xEsiLIoiofaXPfcS8zF5Qa/FV0+H+w4sPpUyCqYXS1osRygxO//Ph++fn78usb&#10;qaokUO+hxrx7j5lxeO0GXJvZD+hMvIc2mPRHRgTjKO/5Kq8cIhHp0nq5XpcYEhibD4hfPFz3AeJb&#10;6QxJBqMB55dl5af3EMfUOSVVs+5OaZ1nqO0/DsRMniL1PvaYrDjsh4nQ3jVn5IMPAet0LnylpMc1&#10;YNTi1lOi31lUOW3MbITZ2M8GtwIvMhopGc03cdysow/q0CFulZsHf3uM2GkmkNoYa0/d4WCzBNMS&#10;ps35+5yzHh7e9g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mn6cg98BAADAAwAADgAAAAAA&#10;AAABACAAAAAeAQAAZHJzL2Uyb0RvYy54bWxQSwUGAAAAAAYABgBZAQAAbwUAAAAA&#10;">
              <v:fill on="f" focussize="0,0"/>
              <v:stroke on="f"/>
              <v:imagedata o:title=""/>
              <o:lock v:ext="edit" aspectratio="f"/>
              <v:textbox inset="0mm,0mm,0mm,0mm" style="mso-fit-shape-to-text:t;">
                <w:txbxContent>
                  <w:p w14:paraId="5527D17C">
                    <w:pPr>
                      <w:pStyle w:val="11"/>
                      <w:ind w:firstLine="0" w:firstLineChars="0"/>
                      <w:rPr>
                        <w:rFonts w:hint="default"/>
                      </w:rPr>
                    </w:pPr>
                    <w:r>
                      <w:fldChar w:fldCharType="begin"/>
                    </w:r>
                    <w:r>
                      <w:instrText xml:space="preserve"> PAGE  \* MERGEFORMAT </w:instrText>
                    </w:r>
                    <w:r>
                      <w:fldChar w:fldCharType="separate"/>
                    </w:r>
                    <w:r>
                      <w:rPr>
                        <w:rFonts w:hint="default"/>
                      </w:rPr>
                      <w:t>- 1 -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86E8AA">
    <w:pPr>
      <w:pStyle w:val="11"/>
      <w:ind w:right="360" w:firstLine="0" w:firstLineChars="0"/>
      <w:rPr>
        <w:rFonts w:hint="default"/>
      </w:rPr>
    </w:pPr>
    <w:r>
      <w:rPr>
        <w:rFonts w:hint="default" w:eastAsia="宋体"/>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9B80A3E">
                          <w:pPr>
                            <w:pStyle w:val="11"/>
                            <w:ind w:firstLine="0" w:firstLineChars="0"/>
                            <w:rPr>
                              <w:rFonts w:hint="default"/>
                            </w:rPr>
                          </w:pPr>
                          <w:r>
                            <w:fldChar w:fldCharType="begin"/>
                          </w:r>
                          <w:r>
                            <w:instrText xml:space="preserve"> PAGE  \* MERGEFORMAT </w:instrText>
                          </w:r>
                          <w:r>
                            <w:fldChar w:fldCharType="separate"/>
                          </w:r>
                          <w:r>
                            <w:rPr>
                              <w:rFonts w:hint="default"/>
                            </w:rPr>
                            <w:t>- 21 -</w:t>
                          </w:r>
                          <w:r>
                            <w:fldChar w:fldCharType="end"/>
                          </w:r>
                        </w:p>
                      </w:txbxContent>
                    </wps:txbx>
                    <wps:bodyPr vert="horz" wrap="none" lIns="0" tIns="0" rIns="0" bIns="0" anchor="t" anchorCtr="0" upright="1">
                      <a:spAutoFit/>
                    </wps:bodyPr>
                  </wps:wsp>
                </a:graphicData>
              </a:graphic>
            </wp:anchor>
          </w:drawing>
        </mc:Choice>
        <mc:Fallback>
          <w:pict>
            <v:shape id="文本框 11"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BpKft4BAADAAwAADgAAAGRycy9lMm9Eb2MueG1srVPBjtMwEL0j8Q+W&#10;7zRND6iKmq6AahESAqSFD3Adp7FkeyyP26R8APwBJy7c+a5+B2Mn6S7LZQ9ckvHM+M28N+PNzWAN&#10;O6mAGlzNy8WSM+UkNNodav7l8+2LNWcYhWuEAadqflbIb7bPn216X6kVdGAaFRiBOKx6X/MuRl8V&#10;BcpOWYEL8MpRsIVgRaRjOBRNED2hW1OslsuXRQ+h8QGkQiTvbgzyCTE8BRDaVku1A3m0ysURNSgj&#10;IlHCTnvk29xt2yoZP7YtqshMzYlpzF8qQvY+fYvtRlSHIHyn5dSCeEoLjzhZoR0VvULtRBTsGPQ/&#10;UFbLAAhtXEiwxUgkK0IsyuUjbe464VXmQlKjv4qO/w9Wfjh9Ckw3tAk0dycsTfzy4/vl5+/Lr2+s&#10;LJNAvceK8u48ZcbhNQyUPPuRnIn30Aab/sSIUZzkPV/lVUNkMl1ar9brJYUkxeYD4Rf3133A+FaB&#10;ZcmoeaD5ZVnF6T3GMXVOSdUc3Gpj8gyN+8tBmMlTpN7HHpMVh/0wEdpDcyY+9BCoTgfhK2c9rUHN&#10;HW09Z+adI5XTxsxGmI39bAgn6WLNI2ej+SaOm3X0QR86wi1z8+hfHSN1mgmkNsbaU3c02CzBtIRp&#10;cx6ec9b9w9v+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DwGkp+3gEAAMADAAAOAAAAAAAA&#10;AAEAIAAAAB4BAABkcnMvZTJvRG9jLnhtbFBLBQYAAAAABgAGAFkBAABuBQAAAAA=&#10;">
              <v:fill on="f" focussize="0,0"/>
              <v:stroke on="f"/>
              <v:imagedata o:title=""/>
              <o:lock v:ext="edit" aspectratio="f"/>
              <v:textbox inset="0mm,0mm,0mm,0mm" style="mso-fit-shape-to-text:t;">
                <w:txbxContent>
                  <w:p w14:paraId="39B80A3E">
                    <w:pPr>
                      <w:pStyle w:val="11"/>
                      <w:ind w:firstLine="0" w:firstLineChars="0"/>
                      <w:rPr>
                        <w:rFonts w:hint="default"/>
                      </w:rPr>
                    </w:pPr>
                    <w:r>
                      <w:fldChar w:fldCharType="begin"/>
                    </w:r>
                    <w:r>
                      <w:instrText xml:space="preserve"> PAGE  \* MERGEFORMAT </w:instrText>
                    </w:r>
                    <w:r>
                      <w:fldChar w:fldCharType="separate"/>
                    </w:r>
                    <w:r>
                      <w:rPr>
                        <w:rFonts w:hint="default"/>
                      </w:rPr>
                      <w:t>- 21 -</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5BE234">
    <w:pPr>
      <w:pStyle w:val="11"/>
      <w:ind w:right="360" w:firstLine="0" w:firstLineChars="0"/>
      <w:rPr>
        <w:rFonts w:hint="default"/>
      </w:rPr>
    </w:pPr>
    <w:r>
      <w:rPr>
        <w:rFonts w:hint="default" w:eastAsia="宋体"/>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7"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AF096FB">
                          <w:pPr>
                            <w:pStyle w:val="11"/>
                            <w:ind w:firstLine="0" w:firstLineChars="0"/>
                            <w:rPr>
                              <w:rFonts w:hint="default"/>
                            </w:rPr>
                          </w:pPr>
                          <w:r>
                            <w:fldChar w:fldCharType="begin"/>
                          </w:r>
                          <w:r>
                            <w:instrText xml:space="preserve"> PAGE  \* MERGEFORMAT </w:instrText>
                          </w:r>
                          <w:r>
                            <w:fldChar w:fldCharType="separate"/>
                          </w:r>
                          <w:r>
                            <w:rPr>
                              <w:rFonts w:hint="default"/>
                            </w:rPr>
                            <w:t>- 21 -</w:t>
                          </w:r>
                          <w:r>
                            <w:fldChar w:fldCharType="end"/>
                          </w:r>
                        </w:p>
                      </w:txbxContent>
                    </wps:txbx>
                    <wps:bodyPr vert="horz" wrap="none" lIns="0" tIns="0" rIns="0" bIns="0" anchor="t" anchorCtr="0" upright="1">
                      <a:spAutoFit/>
                    </wps:bodyPr>
                  </wps:wsp>
                </a:graphicData>
              </a:graphic>
            </wp:anchor>
          </w:drawing>
        </mc:Choice>
        <mc:Fallback>
          <w:pict>
            <v:shape id="文本框 1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bW6i+ABAADAAwAADgAAAGRycy9lMm9Eb2MueG1srVPBjtMwEL0j8Q+W&#10;7zRJJaCK6q6AahESAqSFD3Adp7FkeyzbbVI+AP6AExfufFe/Y8dO0oXdyx72koxnxm/mvRmvrwaj&#10;yVH6oMAyWi1KSqQV0Ci7Z/Tb1+sXK0pC5LbhGqxk9CQDvdo8f7buXS2X0IFupCcIYkPdO0a7GF1d&#10;FEF00vCwACctBlvwhkc8+n3ReN4jutHFsixfFT34xnkQMgT0bscgnRD9YwChbZWQWxAHI20cUb3U&#10;PCKl0CkX6CZ327ZSxM9tG2QkmlFkGvMXi6C9S99is+b13nPXKTG1wB/Twj1OhiuLRS9QWx45OXj1&#10;AMoo4SFAGxcCTDESyYogi6q8p81Nx53MXFDq4C6ih6eDFZ+OXzxRDaMvX1NiucGJn3/9PP/+e/7z&#10;g1RVEqh3oca8G4eZcXgLA67N7A/oTLyH1pv0R0YE4yjv6SKvHCIR6dJquVqVGBIYmw+IX9xddz7E&#10;9xIMSQajHueXZeXHjyGOqXNKqmbhWmmdZ6jtfw7ETJ4i9T72mKw47IaJ0A6aE/LBh4B1OvDfKelx&#10;DRi1uPWU6A8WVU4bMxt+Nnazwa3Ai4xGSkbzXRw36+C82neIW+Xmg3tziNhpJpDaGGtP3eFgswTT&#10;EqbN+fecs+4e3uYW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KG1uovgAQAAwAMAAA4AAAAA&#10;AAAAAQAgAAAAHgEAAGRycy9lMm9Eb2MueG1sUEsFBgAAAAAGAAYAWQEAAHAFAAAAAA==&#10;">
              <v:fill on="f" focussize="0,0"/>
              <v:stroke on="f"/>
              <v:imagedata o:title=""/>
              <o:lock v:ext="edit" aspectratio="f"/>
              <v:textbox inset="0mm,0mm,0mm,0mm" style="mso-fit-shape-to-text:t;">
                <w:txbxContent>
                  <w:p w14:paraId="5AF096FB">
                    <w:pPr>
                      <w:pStyle w:val="11"/>
                      <w:ind w:firstLine="0" w:firstLineChars="0"/>
                      <w:rPr>
                        <w:rFonts w:hint="default"/>
                      </w:rPr>
                    </w:pPr>
                    <w:r>
                      <w:fldChar w:fldCharType="begin"/>
                    </w:r>
                    <w:r>
                      <w:instrText xml:space="preserve"> PAGE  \* MERGEFORMAT </w:instrText>
                    </w:r>
                    <w:r>
                      <w:fldChar w:fldCharType="separate"/>
                    </w:r>
                    <w:r>
                      <w:rPr>
                        <w:rFonts w:hint="default"/>
                      </w:rPr>
                      <w:t>- 21 -</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3DB911">
    <w:pPr>
      <w:pStyle w:val="11"/>
      <w:ind w:right="360" w:firstLine="360"/>
      <w:rPr>
        <w:rFonts w:hint="default"/>
      </w:rPr>
    </w:pPr>
    <w:r>
      <w:rPr>
        <w:rFonts w:hint="default" w:eastAsia="宋体"/>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8"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915129F">
                          <w:pPr>
                            <w:pStyle w:val="11"/>
                            <w:ind w:firstLine="360"/>
                            <w:rPr>
                              <w:rFonts w:hint="default"/>
                            </w:rPr>
                          </w:pPr>
                          <w:r>
                            <w:fldChar w:fldCharType="begin"/>
                          </w:r>
                          <w:r>
                            <w:instrText xml:space="preserve"> PAGE  \* MERGEFORMAT </w:instrText>
                          </w:r>
                          <w:r>
                            <w:fldChar w:fldCharType="separate"/>
                          </w:r>
                          <w:r>
                            <w:rPr>
                              <w:rFonts w:hint="default"/>
                            </w:rPr>
                            <w:t>- 56 -</w:t>
                          </w:r>
                          <w:r>
                            <w:fldChar w:fldCharType="end"/>
                          </w:r>
                        </w:p>
                      </w:txbxContent>
                    </wps:txbx>
                    <wps:bodyPr vert="horz" wrap="none" lIns="0" tIns="0" rIns="0" bIns="0" anchor="t" anchorCtr="0" upright="1">
                      <a:spAutoFit/>
                    </wps:bodyPr>
                  </wps:wsp>
                </a:graphicData>
              </a:graphic>
            </wp:anchor>
          </w:drawing>
        </mc:Choice>
        <mc:Fallback>
          <w:pict>
            <v:shape id="文本框 14"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l1L5uABAADAAwAADgAAAGRycy9lMm9Eb2MueG1srVPNjtMwEL4j8Q6W&#10;7zRpBaiqmq6AahESAqSFB3Adp7HkP3mmTcoDwBtw4sKd5+pz7NhJurB72cNekvHM+Jv5vhmvr3pr&#10;2FFF0N5VfD4rOVNO+lq7fcW/fb1+seQMULhaGO9UxU8K+NXm+bN1F1Zq4VtvahUZgThYdaHiLWJY&#10;FQXIVlkBMx+Uo2DjoxVIx7gv6ig6QremWJTl66LzsQ7RSwVA3u0Q5CNifAygbxot1dbLg1UOB9So&#10;jECiBK0OwDe526ZREj83DShkpuLEFPOXipC9S99isxarfRSh1XJsQTymhXucrNCOil6gtgIFO0T9&#10;AMpqGT34BmfS22IgkhUhFvPynjY3rQgqcyGpIVxEh6eDlZ+OXyLTdcVf0dydsDTx86+f599/z39+&#10;sPnLJFAXYEV5N4EysX/re1qbyQ/kTLz7Jtr0J0aM4iTv6SKv6pHJdGm5WC5LCkmKTQfCL+6uhwj4&#10;XnnLklHxSPPLsorjR8AhdUpJ1Zy/1sbkGRr3n4Mwk6dIvQ89Jgv7XT8S2vn6RHzoIVCd1sfvnHW0&#10;BhV3tPWcmQ+OVE4bMxlxMnaTIZykixVHzgbzHQ6bdQhR71vCnefmIbw5IHWaCaQ2htpjdzTYLMG4&#10;hGlz/j3nrLuHt7k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LpdS+bgAQAAwAMAAA4AAAAA&#10;AAAAAQAgAAAAHgEAAGRycy9lMm9Eb2MueG1sUEsFBgAAAAAGAAYAWQEAAHAFAAAAAA==&#10;">
              <v:fill on="f" focussize="0,0"/>
              <v:stroke on="f"/>
              <v:imagedata o:title=""/>
              <o:lock v:ext="edit" aspectratio="f"/>
              <v:textbox inset="0mm,0mm,0mm,0mm" style="mso-fit-shape-to-text:t;">
                <w:txbxContent>
                  <w:p w14:paraId="7915129F">
                    <w:pPr>
                      <w:pStyle w:val="11"/>
                      <w:ind w:firstLine="360"/>
                      <w:rPr>
                        <w:rFonts w:hint="default"/>
                      </w:rPr>
                    </w:pPr>
                    <w:r>
                      <w:fldChar w:fldCharType="begin"/>
                    </w:r>
                    <w:r>
                      <w:instrText xml:space="preserve"> PAGE  \* MERGEFORMAT </w:instrText>
                    </w:r>
                    <w:r>
                      <w:fldChar w:fldCharType="separate"/>
                    </w:r>
                    <w:r>
                      <w:rPr>
                        <w:rFonts w:hint="default"/>
                      </w:rPr>
                      <w:t>- 56 -</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47E81E">
    <w:pPr>
      <w:pStyle w:val="11"/>
      <w:ind w:right="360" w:firstLine="360"/>
      <w:rPr>
        <w:rFonts w:hint="default"/>
      </w:rPr>
    </w:pPr>
    <w:r>
      <w:rPr>
        <w:rFonts w:hint="default" w:eastAsia="宋体"/>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9"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C2FE8F1">
                          <w:pPr>
                            <w:pStyle w:val="11"/>
                            <w:ind w:firstLine="0" w:firstLineChars="0"/>
                            <w:rPr>
                              <w:rFonts w:hint="default"/>
                            </w:rPr>
                          </w:pPr>
                          <w:r>
                            <w:fldChar w:fldCharType="begin"/>
                          </w:r>
                          <w:r>
                            <w:instrText xml:space="preserve"> PAGE  \* MERGEFORMAT </w:instrText>
                          </w:r>
                          <w:r>
                            <w:fldChar w:fldCharType="separate"/>
                          </w:r>
                          <w:r>
                            <w:rPr>
                              <w:rFonts w:hint="default"/>
                            </w:rPr>
                            <w:t>- 79 -</w:t>
                          </w:r>
                          <w:r>
                            <w:fldChar w:fldCharType="end"/>
                          </w:r>
                        </w:p>
                      </w:txbxContent>
                    </wps:txbx>
                    <wps:bodyPr vert="horz" wrap="none" lIns="0" tIns="0" rIns="0" bIns="0" anchor="t" anchorCtr="0" upright="1">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OL9IN8BAAC/AwAADgAAAGRycy9lMm9Eb2MueG1srVPNjtMwEL4j8Q6W&#10;7zRpJValaroCqkVICJAWHsB1nMaS/zTjNikPAG/AiQt3nqvPwdhJuuzuZQ9ckvHM+Jv5vhmvr3tr&#10;2FEBau8qPp+VnCknfa3dvuJfv9y8WHKGUbhaGO9UxU8K+fXm+bN1F1Zq4VtvagWMQByuulDxNsaw&#10;KgqUrbICZz4oR8HGgxWRjrAvahAdoVtTLMryqug81AG8VIjk3Q5BPiLCUwB902iptl4erHJxQAVl&#10;RCRK2OqAfJO7bRol46emQRWZqTgxjflLRcjepW+xWYvVHkRotRxbEE9p4QEnK7SjoheorYiCHUA/&#10;grJagkffxJn0thiIZEWIxbx8oM1tK4LKXEhqDBfR8f/Byo/Hz8B0XfGXrzhzwtLEzz9/nH/9Of/+&#10;zq6SPl3AFaXdBkqM/Rvf09ZMfiRnot03YNOfCDGKk7qni7qqj0ymS8vFcllSSFJsOhB+cXc9AMZ3&#10;yluWjIoDjS+rKo4fMA6pU0qq5vyNNiaP0Lh7DsJMniL1PvSYrNjv+pHQztcn4kPvgOq0Hr5x1tEW&#10;VNzR0nNm3jsSOS3MZMBk7CZDOEkXKx45G8y3cVisQwC9bwl3npvH8PoQqdNMILUx1B67o7lmCcYd&#10;TIvz7zln3b27zV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DOL9IN8BAAC/AwAADgAAAAAA&#10;AAABACAAAAAeAQAAZHJzL2Uyb0RvYy54bWxQSwUGAAAAAAYABgBZAQAAbwUAAAAA&#10;">
              <v:fill on="f" focussize="0,0"/>
              <v:stroke on="f"/>
              <v:imagedata o:title=""/>
              <o:lock v:ext="edit" aspectratio="f"/>
              <v:textbox inset="0mm,0mm,0mm,0mm" style="mso-fit-shape-to-text:t;">
                <w:txbxContent>
                  <w:p w14:paraId="7C2FE8F1">
                    <w:pPr>
                      <w:pStyle w:val="11"/>
                      <w:ind w:firstLine="0" w:firstLineChars="0"/>
                      <w:rPr>
                        <w:rFonts w:hint="default"/>
                      </w:rPr>
                    </w:pPr>
                    <w:r>
                      <w:fldChar w:fldCharType="begin"/>
                    </w:r>
                    <w:r>
                      <w:instrText xml:space="preserve"> PAGE  \* MERGEFORMAT </w:instrText>
                    </w:r>
                    <w:r>
                      <w:fldChar w:fldCharType="separate"/>
                    </w:r>
                    <w:r>
                      <w:rPr>
                        <w:rFonts w:hint="default"/>
                      </w:rPr>
                      <w:t>- 79 -</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068546"/>
    <w:multiLevelType w:val="singleLevel"/>
    <w:tmpl w:val="98068546"/>
    <w:lvl w:ilvl="0" w:tentative="0">
      <w:start w:val="1"/>
      <w:numFmt w:val="bullet"/>
      <w:pStyle w:val="10"/>
      <w:lvlText w:val=""/>
      <w:lvlJc w:val="left"/>
      <w:pPr>
        <w:tabs>
          <w:tab w:val="left" w:pos="2040"/>
        </w:tabs>
        <w:ind w:left="204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1972B0"/>
    <w:rsid w:val="0B1972B0"/>
    <w:rsid w:val="0E2959C0"/>
    <w:rsid w:val="131B26D6"/>
    <w:rsid w:val="22755C70"/>
    <w:rsid w:val="33AC595F"/>
    <w:rsid w:val="38D80DEC"/>
    <w:rsid w:val="59D269DE"/>
    <w:rsid w:val="60BA487A"/>
    <w:rsid w:val="614965FC"/>
    <w:rsid w:val="67F93B99"/>
    <w:rsid w:val="693001AE"/>
    <w:rsid w:val="716C57B3"/>
    <w:rsid w:val="7B0018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nhideWhenUsed/>
    <w:qFormat/>
    <w:uiPriority w:val="0"/>
    <w:pPr>
      <w:widowControl w:val="0"/>
      <w:spacing w:line="360" w:lineRule="auto"/>
      <w:ind w:firstLine="720" w:firstLineChars="200"/>
      <w:jc w:val="both"/>
    </w:pPr>
    <w:rPr>
      <w:rFonts w:hint="eastAsia" w:ascii="Times New Roman" w:hAnsi="Times New Roman" w:eastAsia="Times New Roman" w:cs="Times New Roman"/>
      <w:kern w:val="2"/>
      <w:sz w:val="24"/>
      <w:szCs w:val="24"/>
      <w:lang w:val="en-US" w:eastAsia="zh-CN" w:bidi="ar-SA"/>
    </w:rPr>
  </w:style>
  <w:style w:type="paragraph" w:styleId="2">
    <w:name w:val="heading 1"/>
    <w:basedOn w:val="1"/>
    <w:next w:val="1"/>
    <w:qFormat/>
    <w:uiPriority w:val="0"/>
    <w:pPr>
      <w:keepNext/>
      <w:overflowPunct w:val="0"/>
      <w:snapToGrid w:val="0"/>
      <w:spacing w:line="360" w:lineRule="auto"/>
      <w:ind w:left="0" w:firstLine="0" w:firstLineChars="0"/>
      <w:outlineLvl w:val="0"/>
    </w:pPr>
    <w:rPr>
      <w:rFonts w:ascii="Times New Roman" w:hAnsi="Times New Roman" w:eastAsia="黑体"/>
      <w:b/>
      <w:bCs/>
      <w:color w:val="000000"/>
      <w:kern w:val="44"/>
      <w:sz w:val="24"/>
      <w:szCs w:val="30"/>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3">
    <w:name w:val="Normal Indent"/>
    <w:basedOn w:val="1"/>
    <w:next w:val="4"/>
    <w:qFormat/>
    <w:uiPriority w:val="0"/>
    <w:pPr>
      <w:ind w:firstLine="602"/>
    </w:pPr>
    <w:rPr>
      <w:rFonts w:ascii="Calibri" w:hAnsi="Calibri"/>
      <w:b/>
      <w:sz w:val="24"/>
      <w:szCs w:val="20"/>
    </w:rPr>
  </w:style>
  <w:style w:type="paragraph" w:styleId="4">
    <w:name w:val="Body Text First Indent 2"/>
    <w:basedOn w:val="5"/>
    <w:next w:val="6"/>
    <w:unhideWhenUsed/>
    <w:qFormat/>
    <w:uiPriority w:val="0"/>
    <w:pPr>
      <w:tabs>
        <w:tab w:val="left" w:pos="0"/>
      </w:tabs>
      <w:spacing w:line="240" w:lineRule="auto"/>
      <w:ind w:firstLine="420"/>
    </w:pPr>
    <w:rPr>
      <w:sz w:val="21"/>
    </w:rPr>
  </w:style>
  <w:style w:type="paragraph" w:styleId="5">
    <w:name w:val="Body Text Indent"/>
    <w:basedOn w:val="1"/>
    <w:next w:val="1"/>
    <w:unhideWhenUsed/>
    <w:qFormat/>
    <w:uiPriority w:val="0"/>
    <w:pPr>
      <w:spacing w:after="120"/>
      <w:ind w:left="420" w:leftChars="200"/>
    </w:pPr>
    <w:rPr>
      <w:kern w:val="0"/>
      <w:szCs w:val="20"/>
    </w:rPr>
  </w:style>
  <w:style w:type="paragraph" w:styleId="6">
    <w:name w:val="Body Text First Indent"/>
    <w:basedOn w:val="1"/>
    <w:next w:val="1"/>
    <w:qFormat/>
    <w:uiPriority w:val="0"/>
    <w:pPr>
      <w:spacing w:after="120" w:line="240" w:lineRule="auto"/>
      <w:ind w:firstLine="420" w:firstLineChars="100"/>
    </w:pPr>
    <w:rPr>
      <w:sz w:val="21"/>
    </w:rPr>
  </w:style>
  <w:style w:type="paragraph" w:styleId="7">
    <w:name w:val="annotation text"/>
    <w:basedOn w:val="1"/>
    <w:next w:val="1"/>
    <w:semiHidden/>
    <w:qFormat/>
    <w:uiPriority w:val="0"/>
    <w:pPr>
      <w:jc w:val="left"/>
    </w:pPr>
    <w:rPr>
      <w:kern w:val="0"/>
      <w:sz w:val="24"/>
      <w:szCs w:val="20"/>
    </w:rPr>
  </w:style>
  <w:style w:type="paragraph" w:styleId="8">
    <w:name w:val="Body Text"/>
    <w:basedOn w:val="1"/>
    <w:next w:val="9"/>
    <w:unhideWhenUsed/>
    <w:qFormat/>
    <w:uiPriority w:val="0"/>
    <w:pPr>
      <w:widowControl/>
      <w:snapToGrid w:val="0"/>
      <w:spacing w:before="60" w:after="160" w:line="259" w:lineRule="auto"/>
      <w:ind w:right="113"/>
    </w:pPr>
    <w:rPr>
      <w:kern w:val="0"/>
      <w:sz w:val="18"/>
      <w:szCs w:val="20"/>
    </w:rPr>
  </w:style>
  <w:style w:type="paragraph" w:customStyle="1" w:styleId="9">
    <w:name w:val="xl27"/>
    <w:basedOn w:val="1"/>
    <w:next w:val="7"/>
    <w:qFormat/>
    <w:uiPriority w:val="0"/>
    <w:pPr>
      <w:widowControl/>
      <w:pBdr>
        <w:bottom w:val="single" w:color="auto" w:sz="4" w:space="0"/>
        <w:right w:val="single" w:color="auto" w:sz="4" w:space="0"/>
      </w:pBdr>
      <w:adjustRightInd w:val="0"/>
      <w:snapToGrid w:val="0"/>
      <w:spacing w:before="100" w:beforeAutospacing="1" w:after="100" w:afterAutospacing="1" w:line="500" w:lineRule="exact"/>
      <w:jc w:val="center"/>
    </w:pPr>
    <w:rPr>
      <w:rFonts w:eastAsia="Arial Unicode MS"/>
      <w:kern w:val="0"/>
      <w:szCs w:val="21"/>
    </w:rPr>
  </w:style>
  <w:style w:type="paragraph" w:styleId="10">
    <w:name w:val="List Bullet 5"/>
    <w:basedOn w:val="1"/>
    <w:qFormat/>
    <w:uiPriority w:val="0"/>
    <w:pPr>
      <w:numPr>
        <w:ilvl w:val="0"/>
        <w:numId w:val="1"/>
      </w:numPr>
    </w:pPr>
  </w:style>
  <w:style w:type="paragraph" w:styleId="11">
    <w:name w:val="footer"/>
    <w:basedOn w:val="1"/>
    <w:next w:val="1"/>
    <w:unhideWhenUsed/>
    <w:qFormat/>
    <w:uiPriority w:val="99"/>
    <w:pPr>
      <w:tabs>
        <w:tab w:val="center" w:pos="4153"/>
        <w:tab w:val="right" w:pos="8306"/>
      </w:tabs>
      <w:snapToGrid w:val="0"/>
      <w:jc w:val="left"/>
    </w:pPr>
    <w:rPr>
      <w:kern w:val="0"/>
      <w:sz w:val="18"/>
      <w:szCs w:val="20"/>
    </w:rPr>
  </w:style>
  <w:style w:type="paragraph" w:styleId="12">
    <w:name w:val="Normal (Web)"/>
    <w:basedOn w:val="1"/>
    <w:unhideWhenUsed/>
    <w:qFormat/>
    <w:uiPriority w:val="0"/>
    <w:pPr>
      <w:widowControl/>
      <w:spacing w:before="100" w:beforeAutospacing="1" w:after="100" w:afterAutospacing="1"/>
      <w:jc w:val="left"/>
    </w:pPr>
    <w:rPr>
      <w:rFonts w:hint="default" w:ascii="宋体" w:hAnsi="宋体" w:eastAsia="宋体"/>
      <w:kern w:val="0"/>
      <w:szCs w:val="20"/>
    </w:rPr>
  </w:style>
  <w:style w:type="paragraph" w:styleId="13">
    <w:name w:val="Title"/>
    <w:basedOn w:val="1"/>
    <w:next w:val="1"/>
    <w:unhideWhenUsed/>
    <w:qFormat/>
    <w:uiPriority w:val="0"/>
    <w:pPr>
      <w:spacing w:before="60" w:after="60" w:line="576" w:lineRule="auto"/>
      <w:ind w:firstLine="0" w:firstLineChars="0"/>
      <w:jc w:val="left"/>
      <w:outlineLvl w:val="0"/>
    </w:pPr>
    <w:rPr>
      <w:b/>
      <w:sz w:val="36"/>
      <w:szCs w:val="32"/>
      <w:lang w:val="zh-CN"/>
    </w:rPr>
  </w:style>
  <w:style w:type="table" w:styleId="15">
    <w:name w:val="Table Grid"/>
    <w:basedOn w:val="1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annotation reference"/>
    <w:unhideWhenUsed/>
    <w:qFormat/>
    <w:uiPriority w:val="0"/>
    <w:rPr>
      <w:rFonts w:hint="default"/>
      <w:sz w:val="21"/>
      <w:szCs w:val="24"/>
    </w:rPr>
  </w:style>
  <w:style w:type="paragraph" w:customStyle="1" w:styleId="18">
    <w:name w:val="Default"/>
    <w:basedOn w:val="19"/>
    <w:next w:val="20"/>
    <w:qFormat/>
    <w:uiPriority w:val="0"/>
    <w:pPr>
      <w:adjustRightInd w:val="0"/>
    </w:pPr>
    <w:rPr>
      <w:rFonts w:ascii="黑体" w:eastAsia="黑体" w:cs="黑体"/>
      <w:color w:val="000000"/>
      <w:lang w:val="en-US"/>
    </w:rPr>
  </w:style>
  <w:style w:type="paragraph" w:customStyle="1" w:styleId="19">
    <w:name w:val="文本"/>
    <w:basedOn w:val="1"/>
    <w:next w:val="1"/>
    <w:qFormat/>
    <w:uiPriority w:val="0"/>
    <w:pPr>
      <w:autoSpaceDE w:val="0"/>
      <w:autoSpaceDN w:val="0"/>
      <w:ind w:firstLine="480"/>
    </w:pPr>
    <w:rPr>
      <w:lang w:val="zh-CN"/>
    </w:rPr>
  </w:style>
  <w:style w:type="paragraph" w:customStyle="1" w:styleId="20">
    <w:name w:val="表格文字"/>
    <w:basedOn w:val="8"/>
    <w:next w:val="1"/>
    <w:qFormat/>
    <w:uiPriority w:val="0"/>
    <w:pPr>
      <w:widowControl w:val="0"/>
      <w:adjustRightInd w:val="0"/>
      <w:snapToGrid/>
      <w:spacing w:before="0" w:after="0" w:line="240" w:lineRule="auto"/>
      <w:ind w:right="0"/>
      <w:jc w:val="center"/>
      <w:textAlignment w:val="baseline"/>
    </w:pPr>
    <w:rPr>
      <w:kern w:val="2"/>
      <w:sz w:val="21"/>
      <w:szCs w:val="21"/>
    </w:rPr>
  </w:style>
  <w:style w:type="paragraph" w:customStyle="1" w:styleId="21">
    <w:name w:val="0-正文"/>
    <w:unhideWhenUsed/>
    <w:qFormat/>
    <w:uiPriority w:val="0"/>
    <w:pPr>
      <w:spacing w:line="360" w:lineRule="auto"/>
      <w:ind w:firstLine="200" w:firstLineChars="200"/>
      <w:jc w:val="both"/>
    </w:pPr>
    <w:rPr>
      <w:rFonts w:hint="eastAsia" w:ascii="Times New Roman" w:hAnsi="Times New Roman" w:eastAsia="Times New Roman" w:cs="Times New Roman"/>
      <w:sz w:val="24"/>
      <w:szCs w:val="24"/>
      <w:lang w:val="en-US" w:eastAsia="zh-CN" w:bidi="ar-SA"/>
    </w:rPr>
  </w:style>
  <w:style w:type="paragraph" w:customStyle="1" w:styleId="22">
    <w:name w:val="⑤表、图头"/>
    <w:basedOn w:val="13"/>
    <w:unhideWhenUsed/>
    <w:qFormat/>
    <w:uiPriority w:val="0"/>
    <w:pPr>
      <w:spacing w:before="25" w:beforeLines="25" w:after="25" w:afterLines="25" w:line="360" w:lineRule="auto"/>
      <w:outlineLvl w:val="5"/>
    </w:pPr>
    <w:rPr>
      <w:sz w:val="24"/>
    </w:rPr>
  </w:style>
  <w:style w:type="paragraph" w:customStyle="1" w:styleId="23">
    <w:name w:val="高-正文"/>
    <w:basedOn w:val="1"/>
    <w:unhideWhenUsed/>
    <w:qFormat/>
    <w:uiPriority w:val="0"/>
    <w:pPr>
      <w:topLinePunct/>
      <w:adjustRightInd w:val="0"/>
      <w:snapToGrid w:val="0"/>
      <w:ind w:firstLine="600"/>
    </w:pPr>
    <w:rPr>
      <w:snapToGrid w:val="0"/>
      <w:kern w:val="0"/>
      <w:szCs w:val="20"/>
    </w:rPr>
  </w:style>
  <w:style w:type="paragraph" w:customStyle="1" w:styleId="24">
    <w:name w:val="表格"/>
    <w:basedOn w:val="1"/>
    <w:next w:val="1"/>
    <w:unhideWhenUsed/>
    <w:qFormat/>
    <w:uiPriority w:val="0"/>
    <w:pPr>
      <w:adjustRightInd w:val="0"/>
      <w:snapToGrid w:val="0"/>
      <w:spacing w:beforeLines="10" w:afterLines="10" w:line="259" w:lineRule="auto"/>
      <w:jc w:val="center"/>
    </w:pPr>
    <w:rPr>
      <w:rFonts w:hint="default" w:ascii="宋体" w:eastAsia="宋体"/>
      <w:kern w:val="0"/>
      <w:szCs w:val="20"/>
    </w:rPr>
  </w:style>
  <w:style w:type="paragraph" w:customStyle="1" w:styleId="25">
    <w:name w:val="样式 样式 样式 四号 左侧:  1.53 厘米 + 首行缩进:  2 字符 + 居中 左侧:  2 字符 首行缩进:  2..."/>
    <w:basedOn w:val="26"/>
    <w:qFormat/>
    <w:uiPriority w:val="0"/>
    <w:pPr>
      <w:jc w:val="center"/>
    </w:pPr>
  </w:style>
  <w:style w:type="paragraph" w:customStyle="1" w:styleId="26">
    <w:name w:val="样式 样式 四号 左侧:  1.53 厘米 + 首行缩进:  2 字符"/>
    <w:basedOn w:val="27"/>
    <w:qFormat/>
    <w:uiPriority w:val="0"/>
    <w:pPr>
      <w:ind w:left="200" w:leftChars="200"/>
    </w:pPr>
    <w:rPr>
      <w:szCs w:val="20"/>
    </w:rPr>
  </w:style>
  <w:style w:type="paragraph" w:customStyle="1" w:styleId="27">
    <w:name w:val="样式 四号 左侧:  1.53 厘米"/>
    <w:basedOn w:val="1"/>
    <w:qFormat/>
    <w:uiPriority w:val="0"/>
    <w:pPr>
      <w:adjustRightInd w:val="0"/>
    </w:pPr>
    <w:rPr>
      <w:w w:val="90"/>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2" Type="http://schemas.openxmlformats.org/officeDocument/2006/relationships/fontTable" Target="fontTable.xml"/><Relationship Id="rId41" Type="http://schemas.openxmlformats.org/officeDocument/2006/relationships/customXml" Target="../customXml/item2.xml"/><Relationship Id="rId40" Type="http://schemas.openxmlformats.org/officeDocument/2006/relationships/numbering" Target="numbering.xml"/><Relationship Id="rId4" Type="http://schemas.openxmlformats.org/officeDocument/2006/relationships/endnotes" Target="endnotes.xml"/><Relationship Id="rId39" Type="http://schemas.openxmlformats.org/officeDocument/2006/relationships/customXml" Target="../customXml/item1.xml"/><Relationship Id="rId38" Type="http://schemas.openxmlformats.org/officeDocument/2006/relationships/image" Target="media/image27.png"/><Relationship Id="rId37" Type="http://schemas.openxmlformats.org/officeDocument/2006/relationships/image" Target="media/image26.png"/><Relationship Id="rId36" Type="http://schemas.openxmlformats.org/officeDocument/2006/relationships/image" Target="media/image25.png"/><Relationship Id="rId35" Type="http://schemas.openxmlformats.org/officeDocument/2006/relationships/image" Target="media/image24.png"/><Relationship Id="rId34" Type="http://schemas.openxmlformats.org/officeDocument/2006/relationships/image" Target="media/image23.png"/><Relationship Id="rId33" Type="http://schemas.openxmlformats.org/officeDocument/2006/relationships/image" Target="media/image22.png"/><Relationship Id="rId32" Type="http://schemas.openxmlformats.org/officeDocument/2006/relationships/image" Target="media/image21.png"/><Relationship Id="rId31" Type="http://schemas.openxmlformats.org/officeDocument/2006/relationships/image" Target="media/image20.png"/><Relationship Id="rId30" Type="http://schemas.openxmlformats.org/officeDocument/2006/relationships/image" Target="media/image19.png"/><Relationship Id="rId3" Type="http://schemas.openxmlformats.org/officeDocument/2006/relationships/footnotes" Target="footnotes.xml"/><Relationship Id="rId29" Type="http://schemas.openxmlformats.org/officeDocument/2006/relationships/image" Target="media/image18.png"/><Relationship Id="rId28" Type="http://schemas.openxmlformats.org/officeDocument/2006/relationships/image" Target="media/image17.png"/><Relationship Id="rId27" Type="http://schemas.openxmlformats.org/officeDocument/2006/relationships/image" Target="media/image16.png"/><Relationship Id="rId26" Type="http://schemas.openxmlformats.org/officeDocument/2006/relationships/image" Target="media/image15.png"/><Relationship Id="rId25" Type="http://schemas.openxmlformats.org/officeDocument/2006/relationships/image" Target="media/image14.png"/><Relationship Id="rId24" Type="http://schemas.openxmlformats.org/officeDocument/2006/relationships/image" Target="media/image13.png"/><Relationship Id="rId23" Type="http://schemas.openxmlformats.org/officeDocument/2006/relationships/image" Target="media/image12.png"/><Relationship Id="rId22" Type="http://schemas.openxmlformats.org/officeDocument/2006/relationships/image" Target="media/image11.png"/><Relationship Id="rId21" Type="http://schemas.openxmlformats.org/officeDocument/2006/relationships/image" Target="media/image10.png"/><Relationship Id="rId20" Type="http://schemas.openxmlformats.org/officeDocument/2006/relationships/image" Target="media/image9.png"/><Relationship Id="rId2" Type="http://schemas.openxmlformats.org/officeDocument/2006/relationships/settings" Target="settings.xml"/><Relationship Id="rId19" Type="http://schemas.openxmlformats.org/officeDocument/2006/relationships/image" Target="media/image8.jpeg"/><Relationship Id="rId18" Type="http://schemas.openxmlformats.org/officeDocument/2006/relationships/image" Target="media/image7.jpeg"/><Relationship Id="rId17" Type="http://schemas.openxmlformats.org/officeDocument/2006/relationships/image" Target="media/image6.jpeg"/><Relationship Id="rId16" Type="http://schemas.openxmlformats.org/officeDocument/2006/relationships/image" Target="media/image5.png"/><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9e56f6f6-3039-456c-9e89-86640baa1129</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1166E567</paraID>
      <start>66</start>
      <end>67</end>
      <status>unmodified</status>
      <modifiedWord/>
      <trackRevisions>false</trackRevisions>
    </reviewItem>
    <reviewItem>
      <errorID>8431becd-d762-4228-a5a8-85a2d961cbff</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1EBA66D4</paraID>
      <start>54</start>
      <end>55</end>
      <status>unmodified</status>
      <modifiedWord/>
      <trackRevisions>false</trackRevisions>
    </reviewItem>
    <reviewItem>
      <errorID>6e4f2eca-e4bf-4fb0-9d43-bf4c6c469117</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65A21007</paraID>
      <start>66</start>
      <end>67</end>
      <status>unmodified</status>
      <modifiedWord/>
      <trackRevisions>false</trackRevisions>
    </reviewItem>
    <reviewItem>
      <errorID>4bdbdd8d-3c8b-4694-8f78-33acb81e7e26</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4ED13EBF</paraID>
      <start>30</start>
      <end>31</end>
      <status>unmodified</status>
      <modifiedWord/>
      <trackRevisions>false</trackRevisions>
    </reviewItem>
    <reviewItem>
      <errorID>a80f37f8-fe12-4cc2-ba1c-987efcaf021a</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7DC070A5</paraID>
      <start>34</start>
      <end>35</end>
      <status>unmodified</status>
      <modifiedWord/>
      <trackRevisions>false</trackRevisions>
    </reviewItem>
    <reviewItem>
      <errorID>f4a0619e-2ba1-411d-adaa-aa8747975bf3</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67E62C14</paraID>
      <start>28</start>
      <end>29</end>
      <status>unmodified</status>
      <modifiedWord/>
      <trackRevisions>false</trackRevisions>
    </reviewItem>
    <reviewItem>
      <errorID>456c51d7-f28f-436d-973a-91f1590f037d</errorID>
      <errorWord>“双碳”战略</errorWord>
      <group>L1_Word</group>
      <groupName>字词问题</groupName>
      <ability>L2_Typo</ability>
      <abilityName>字词错误</abilityName>
      <candidateList>
        <item>“双碳”目标</item>
      </candidateList>
      <explain/>
      <paraID>1CD0A0E1</paraID>
      <start>10</start>
      <end>16</end>
      <status>modified</status>
      <modifiedWord>“双碳”目标</modifiedWord>
      <trackRevisions>false</trackRevisions>
    </reviewItem>
    <reviewItem>
      <errorID>e8d85d64-ab66-450d-8bf3-a5a2a41252f4</errorID>
      <errorWord>“双碳”战略</errorWord>
      <group>L1_Word</group>
      <groupName>字词问题</groupName>
      <ability>L2_Typo</ability>
      <abilityName>字词错误</abilityName>
      <candidateList>
        <item>“双碳”目标</item>
      </candidateList>
      <explain/>
      <paraID>1CD0A0E1</paraID>
      <start>132</start>
      <end>138</end>
      <status>modified</status>
      <modifiedWord>“双碳”目标</modifiedWord>
      <trackRevisions>false</trackRevisions>
    </reviewItem>
    <reviewItem>
      <errorID>73fee8a1-3a77-471b-82ef-6ae18e46e86d</errorID>
      <errorWord>“</errorWord>
      <group>L1_Punc</group>
      <groupName>标点问题</groupName>
      <ability>L2_Punc_CN</ability>
      <abilityName/>
      <candidateList/>
      <explain>此处标点可能未正确匹配，请检查句子中是否存在标点冗余、缺失或使用错误的情况。</explain>
      <paraID>2A9922B4</paraID>
      <start>6</start>
      <end>7</end>
      <status>unmodified</status>
      <modifiedWord/>
      <trackRevisions>false</trackRevisions>
    </reviewItem>
    <reviewItem>
      <errorID>aecb1ecd-f9f2-4105-aa5a-295d6e74adcd</errorID>
      <errorWord>“</errorWord>
      <group>L1_Punc</group>
      <groupName>标点问题</groupName>
      <ability>L2_Punc_CN</ability>
      <abilityName/>
      <candidateList/>
      <explain>此处标点可能未正确匹配，请检查句子中是否存在标点冗余、缺失或使用错误的情况。</explain>
      <paraID>2A9922B4</paraID>
      <start>397</start>
      <end>398</end>
      <status>unmodified</status>
      <modifiedWord/>
      <trackRevisions>false</trackRevisions>
    </reviewItem>
    <reviewItem>
      <errorID>f011fbce-f832-45af-88ab-ad3ceb4390ea</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63CDEDBE</paraID>
      <start>91</start>
      <end>92</end>
      <status>unmodified</status>
      <modifiedWord/>
      <trackRevisions>false</trackRevisions>
    </reviewItem>
    <reviewItem>
      <errorID>2d7b74bc-879f-40bb-b1a1-01454bd56dcb</errorID>
      <errorWord>当地其它</errorWord>
      <group>L1_Word</group>
      <groupName>字词问题</groupName>
      <ability>L2_Alias</ability>
      <abilityName>也作/曾用词</abilityName>
      <candidateList>
        <item>当地其他</item>
      </candidateList>
      <explain>词汇[当地其它]为不规范表述或旧称，其规范书面表述为[当地其他]。</explain>
      <paraID>31D45784</paraID>
      <start>66</start>
      <end>70</end>
      <status>modified</status>
      <modifiedWord>当地其他</modifiedWord>
      <trackRevisions>false</trackRevisions>
    </reviewItem>
    <reviewItem>
      <errorID>a11e9419-f800-417c-8130-bbf9af4917f8</errorID>
      <errorWord>(</errorWord>
      <group>L1_Format</group>
      <groupName>格式问题</groupName>
      <ability>L2_HalfPunc_CN</ability>
      <abilityName/>
      <candidateList>
        <item>（</item>
      </candidateList>
      <explain>文本全半角错误。</explain>
      <paraID>31D45784</paraID>
      <start>110</start>
      <end>111</end>
      <status>unmodified</status>
      <modifiedWord/>
      <trackRevisions>false</trackRevisions>
    </reviewItem>
    <reviewItem>
      <errorID>57ed8e8c-4f9b-4b68-92f1-9e5674db5180</errorID>
      <errorWord>)</errorWord>
      <group>L1_Format</group>
      <groupName>格式问题</groupName>
      <ability>L2_HalfPunc_CN</ability>
      <abilityName/>
      <candidateList>
        <item>）</item>
      </candidateList>
      <explain>文本全半角错误。</explain>
      <paraID>31D45784</paraID>
      <start>123</start>
      <end>124</end>
      <status>unmodified</status>
      <modifiedWord/>
      <trackRevisions>false</trackRevisions>
    </reviewItem>
    <reviewItem>
      <errorID>54cf64b4-257b-467d-a241-f022bdcc5ba8</errorID>
      <errorWord>(</errorWord>
      <group>L1_Format</group>
      <groupName>格式问题</groupName>
      <ability>L2_HalfPunc_CN</ability>
      <abilityName/>
      <candidateList>
        <item>（</item>
      </candidateList>
      <explain>文本全半角错误。</explain>
      <paraID>31D45784</paraID>
      <start>168</start>
      <end>169</end>
      <status>unmodified</status>
      <modifiedWord/>
      <trackRevisions>false</trackRevisions>
    </reviewItem>
    <reviewItem>
      <errorID>6255bba4-b0e3-4576-be6b-80cd3a577043</errorID>
      <errorWord>)</errorWord>
      <group>L1_Format</group>
      <groupName>格式问题</groupName>
      <ability>L2_HalfPunc_CN</ability>
      <abilityName/>
      <candidateList>
        <item>）</item>
      </candidateList>
      <explain>文本全半角错误。</explain>
      <paraID>31D45784</paraID>
      <start>182</start>
      <end>183</end>
      <status>unmodified</status>
      <modifiedWord/>
      <trackRevisions>false</trackRevisions>
    </reviewItem>
    <reviewItem>
      <errorID>bed350d5-7dad-455b-a2e9-0e1abad96515</errorID>
      <errorWord>，</errorWord>
      <group>L1_Word</group>
      <groupName>字词问题</groupName>
      <ability>L2_Typo</ability>
      <abilityName>字词错误</abilityName>
      <candidateList>
        <item>，在</item>
      </candidateList>
      <explain/>
      <paraID>19A127BC</paraID>
      <start>38</start>
      <end>40</end>
      <status>modified</status>
      <modifiedWord>，在</modifiedWord>
      <trackRevisions>false</trackRevisions>
    </reviewItem>
    <reviewItem>
      <errorID>12dd4058-96b0-4aa1-8058-9c6773c1ce63</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19A127BC</paraID>
      <start>104</start>
      <end>105</end>
      <status>unmodified</status>
      <modifiedWord/>
      <trackRevisions>false</trackRevisions>
    </reviewItem>
    <reviewItem>
      <errorID>af495c93-6b59-4b4a-afba-2049379b3ffd</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19A127BC</paraID>
      <start>138</start>
      <end>139</end>
      <status>unmodified</status>
      <modifiedWord/>
      <trackRevisions>false</trackRevisions>
    </reviewItem>
    <reviewItem>
      <errorID>ab5f4014-0624-4199-b6a9-6c1ca6c0081e</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43620708</paraID>
      <start>37</start>
      <end>38</end>
      <status>unmodified</status>
      <modifiedWord/>
      <trackRevisions>false</trackRevisions>
    </reviewItem>
    <reviewItem>
      <errorID>e313cac9-e756-4016-8b6f-3d0c903e7c91</errorID>
      <errorWord>《产业结构调整指导目录》（2024年本）</errorWord>
      <group>L1_Knowledge</group>
      <groupName>知识性问题</groupName>
      <ability>L2_Knowledge</ability>
      <abilityName>其他知识</abilityName>
      <candidateList>
        <item>《产业结构调整指导目录（2024年本）》</item>
      </candidateList>
      <explain>疑似政策文件、法律法规名称等书写不规范，请注意检查。</explain>
      <paraID>5C5A2B67</paraID>
      <start>58</start>
      <end>78</end>
      <status>modified</status>
      <modifiedWord>《产业结构调整指导目录（2024年本）》</modifiedWord>
      <trackRevisions>false</trackRevisions>
    </reviewItem>
    <reviewItem>
      <errorID>e1ea71b2-6e00-4ce7-b1ce-08f81a765cb1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6BBFE2E3</paraID>
      <start>0</start>
      <end>2</end>
      <status>unmodified</status>
      <modifiedWord/>
      <trackRevisions>false</trackRevisions>
    </reviewItem>
    <reviewItem>
      <errorID>d583bc4a-a1fd-4d4c-b933-0570a087f6d3</errorID>
      <errorWord>-</errorWord>
      <group>L1_Format</group>
      <groupName>格式问题</groupName>
      <ability>L2_HalfPunc_CN</ability>
      <abilityName/>
      <candidateList>
        <item>－</item>
      </candidateList>
      <explain>文本全半角错误。</explain>
      <paraID>267A0FD1</paraID>
      <start>186</start>
      <end>187</end>
      <status>unmodified</status>
      <modifiedWord/>
      <trackRevisions>false</trackRevisions>
    </reviewItem>
    <reviewItem>
      <errorID>07b1152a-cbcf-4ec1-93e7-e3c3fc4263e9</errorID>
      <errorWord>，</errorWord>
      <group>L1_Word</group>
      <groupName>字词问题</groupName>
      <ability>L2_Typo</ability>
      <abilityName>字词错误</abilityName>
      <candidateList>
        <item>，在</item>
      </candidateList>
      <explain/>
      <paraID>13F5539A</paraID>
      <start>28</start>
      <end>30</end>
      <status>modified</status>
      <modifiedWord>，在</modifiedWord>
      <trackRevisions>false</trackRevisions>
    </reviewItem>
    <reviewItem>
      <errorID>f9fc50d2-f2f1-4f6c-a0e9-7a14c45db539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5212D677</paraID>
      <start>0</start>
      <end>2</end>
      <status>unmodified</status>
      <modifiedWord/>
      <trackRevisions>false</trackRevisions>
    </reviewItem>
    <reviewItem>
      <errorID>09c727c3-dbbf-4756-a495-819665c28e0e</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21B3D495</paraID>
      <start>60</start>
      <end>61</end>
      <status>unmodified</status>
      <modifiedWord/>
      <trackRevisions>false</trackRevisions>
    </reviewItem>
    <reviewItem>
      <errorID>b7ab5193-7820-49c1-8ef4-c5741788470b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43F2D743</paraID>
      <start>0</start>
      <end>2</end>
      <status>unmodified</status>
      <modifiedWord/>
      <trackRevisions>false</trackRevisions>
    </reviewItem>
    <reviewItem>
      <errorID>5558e42d-a3b0-444b-8ecb-de9e6b4b3859</errorID>
      <errorWord>上线</errorWord>
      <group>L1_Word</group>
      <groupName>字词问题</groupName>
      <ability>L2_Typo</ability>
      <abilityName>字词错误</abilityName>
      <candidateList>
        <item>上限</item>
      </candidateList>
      <explain>存在发音相同字词的误用。</explain>
      <paraID>43F2D743</paraID>
      <start>6</start>
      <end>8</end>
      <status>unmodified</status>
      <modifiedWord/>
      <trackRevisions>false</trackRevisions>
    </reviewItem>
    <reviewItem>
      <errorID>0a3cc31a-73bb-4d90-a900-703b1f2009b6</errorID>
      <errorWord>上线</errorWord>
      <group>L1_Word</group>
      <groupName>字词问题</groupName>
      <ability>L2_Typo</ability>
      <abilityName>字词错误</abilityName>
      <candidateList>
        <item>上限</item>
      </candidateList>
      <explain/>
      <paraID>7BE70111</paraID>
      <start>142</start>
      <end>144</end>
      <status>unmodified</status>
      <modifiedWord/>
      <trackRevisions>false</trackRevisions>
    </reviewItem>
    <reviewItem>
      <errorID>883bcdd9-364b-4594-804d-35d4002f2d65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5C35D466</paraID>
      <start>0</start>
      <end>2</end>
      <status>unmodified</status>
      <modifiedWord/>
      <trackRevisions>false</trackRevisions>
    </reviewItem>
    <reviewItem>
      <errorID>52585125-6ff0-4c36-b2d0-a0cbafcbd8a6</errorID>
      <errorWord>，</errorWord>
      <group>L1_Word</group>
      <groupName>字词问题</groupName>
      <ability>L2_Typo</ability>
      <abilityName>字词错误</abilityName>
      <candidateList>
        <item>，在</item>
      </candidateList>
      <explain/>
      <paraID>6C3A8931</paraID>
      <start>46</start>
      <end>48</end>
      <status>modified</status>
      <modifiedWord>，在</modifiedWord>
      <trackRevisions>false</trackRevisions>
    </reviewItem>
    <reviewItem>
      <errorID>b9bbd2e3-1d72-4af9-8d48-1154892f7fe0</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60EC1BE6</paraID>
      <start>8</start>
      <end>11</end>
      <status>unmodified</status>
      <modifiedWord/>
      <trackRevisions>false</trackRevisions>
    </reviewItem>
    <reviewItem>
      <errorID>fedf384b-ca0b-4928-a31e-ba8a7106f091</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60EC1BE6</paraID>
      <start>15</start>
      <end>18</end>
      <status>unmodified</status>
      <modifiedWord/>
      <trackRevisions>false</trackRevisions>
    </reviewItem>
    <reviewItem>
      <errorID>7005d1c3-ce4e-42fe-80a2-112e15ad92b9</errorID>
      <errorWord>，</errorWord>
      <group>L1_Word</group>
      <groupName>字词问题</groupName>
      <ability>L2_Typo</ability>
      <abilityName>字词错误</abilityName>
      <candidateList>
        <item>，在</item>
      </candidateList>
      <explain/>
      <paraID> 55E6EE5</paraID>
      <start>35</start>
      <end>37</end>
      <status>modified</status>
      <modifiedWord>，在</modifiedWord>
      <trackRevisions>false</trackRevisions>
    </reviewItem>
    <reviewItem>
      <errorID>b8ccf7a1-c60e-4a97-bee4-1dfa51b7571c</errorID>
      <errorWord>发</errorWord>
      <group>L1_Word</group>
      <groupName>字词问题</groupName>
      <ability>L2_Typo</ability>
      <abilityName>字词错误</abilityName>
      <candidateList>
        <item>发区</item>
      </candidateList>
      <explain/>
      <paraID>65650E4A</paraID>
      <start>31</start>
      <end>33</end>
      <status>modified</status>
      <modifiedWord>发区</modifiedWord>
      <trackRevisions>false</trackRevisions>
    </reviewItem>
    <reviewItem>
      <errorID>8960eb2f-d564-4a60-a3ab-9b534bd5bf11</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4A33D92D</paraID>
      <start>149</start>
      <end>150</end>
      <status>unmodified</status>
      <modifiedWord/>
      <trackRevisions>false</trackRevisions>
    </reviewItem>
    <reviewItem>
      <errorID>637edaf4-dfad-40e7-9cc6-1523c2ba73de</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4A33D92D</paraID>
      <start>186</start>
      <end>187</end>
      <status>unmodified</status>
      <modifiedWord/>
      <trackRevisions>false</trackRevisions>
    </reviewItem>
    <reviewItem>
      <errorID>23cba122-4539-45c5-b189-5a204f0a8f38</errorID>
      <errorWord>桶装</errorWord>
      <group>L1_Word</group>
      <groupName>字词问题</groupName>
      <ability>L2_Typo</ability>
      <abilityName>字词错误</abilityName>
      <candidateList>
        <item>桶</item>
      </candidateList>
      <explain/>
      <paraID>1312C74A</paraID>
      <start>78</start>
      <end>80</end>
      <status>unmodified</status>
      <modifiedWord/>
      <trackRevisions>false</trackRevisions>
    </reviewItem>
    <reviewItem>
      <errorID>5fad0cf1-8a14-4d08-a764-dc96f6b2b567</errorID>
      <errorWord>程</errorWord>
      <group>L1_Word</group>
      <groupName>字词问题</groupName>
      <ability>L2_Typo</ability>
      <abilityName>字词错误</abilityName>
      <candidateList>
        <item>程中</item>
      </candidateList>
      <explain/>
      <paraID>4DAB7543</paraID>
      <start>7</start>
      <end>9</end>
      <status>modified</status>
      <modifiedWord>程中</modifiedWord>
      <trackRevisions>false</trackRevisions>
    </reviewItem>
    <reviewItem>
      <errorID>2c1084cc-b9bd-4f6d-a7fc-554ed603b952</errorID>
      <errorWord>程</errorWord>
      <group>L1_Word</group>
      <groupName>字词问题</groupName>
      <ability>L2_Typo</ability>
      <abilityName>字词错误</abilityName>
      <candidateList>
        <item>程中</item>
      </candidateList>
      <explain/>
      <paraID>3EF68E72</paraID>
      <start>95</start>
      <end>97</end>
      <status>modified</status>
      <modifiedWord>程中</modifiedWord>
      <trackRevisions>false</trackRevisions>
    </reviewItem>
    <reviewItem>
      <errorID>a019bcd8-4dbf-46fe-a7eb-af440810575f</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3EF68E72</paraID>
      <start>190</start>
      <end>191</end>
      <status>unmodified</status>
      <modifiedWord/>
      <trackRevisions>false</trackRevisions>
    </reviewItem>
    <reviewItem>
      <errorID>9f420025-2e3a-4e53-98bc-c24c917ab24c</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3EF68E72</paraID>
      <start>227</start>
      <end>228</end>
      <status>unmodified</status>
      <modifiedWord/>
      <trackRevisions>false</trackRevisions>
    </reviewItem>
    <reviewItem>
      <errorID>476a9fc9-e9e3-45a4-8e57-e0ea8c82280d</errorID>
      <errorWord>程</errorWord>
      <group>L1_Word</group>
      <groupName>字词问题</groupName>
      <ability>L2_Typo</ability>
      <abilityName>字词错误</abilityName>
      <candidateList>
        <item>程中</item>
      </candidateList>
      <explain/>
      <paraID>1FE22632</paraID>
      <start>145</start>
      <end>147</end>
      <status>modified</status>
      <modifiedWord>程中</modifiedWord>
      <trackRevisions>false</trackRevisions>
    </reviewItem>
    <reviewItem>
      <errorID>3594bf56-7613-454b-9227-c17726caa656</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1FE22632</paraID>
      <start>240</start>
      <end>241</end>
      <status>unmodified</status>
      <modifiedWord/>
      <trackRevisions>false</trackRevisions>
    </reviewItem>
    <reviewItem>
      <errorID>b5e5d489-c540-4b3c-88c7-c7e10aad3c8f</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1FE22632</paraID>
      <start>277</start>
      <end>278</end>
      <status>unmodified</status>
      <modifiedWord/>
      <trackRevisions>false</trackRevisions>
    </reviewItem>
    <reviewItem>
      <errorID>e03bb242-675a-4ad6-ae48-be4518a797c8</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29EE2DFE</paraID>
      <start>122</start>
      <end>123</end>
      <status>unmodified</status>
      <modifiedWord/>
      <trackRevisions>false</trackRevisions>
    </reviewItem>
    <reviewItem>
      <errorID>40476740-732e-41d3-b973-2d7f8a77216b</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29EE2DFE</paraID>
      <start>159</start>
      <end>160</end>
      <status>unmodified</status>
      <modifiedWord/>
      <trackRevisions>false</trackRevisions>
    </reviewItem>
    <reviewItem>
      <errorID>a2bea888-fbae-42b4-8af1-7abd25942675</errorID>
      <errorWord>设防</errorWord>
      <group>L1_Word</group>
      <groupName>字词问题</groupName>
      <ability>L2_Typo</ability>
      <abilityName>字词错误</abilityName>
      <candidateList>
        <item>设置</item>
      </candidateList>
      <explain>〈动〉❶设立：这座剧院是为儿童～的。❷安放；安装：～障碍。</explain>
      <paraID>2E59E0D1</paraID>
      <start>7</start>
      <end>9</end>
      <status>modified</status>
      <modifiedWord>设置</modifiedWord>
      <trackRevisions>false</trackRevisions>
    </reviewItem>
    <reviewItem>
      <errorID>18152684-ad0a-4be7-a329-65b785f3145b</errorID>
      <errorWord>程</errorWord>
      <group>L1_Word</group>
      <groupName>字词问题</groupName>
      <ability>L2_Typo</ability>
      <abilityName>字词错误</abilityName>
      <candidateList>
        <item>程中</item>
      </candidateList>
      <explain/>
      <paraID>2E59E0D1</paraID>
      <start>47</start>
      <end>49</end>
      <status>modified</status>
      <modifiedWord>程中</modifiedWord>
      <trackRevisions>false</trackRevisions>
    </reviewItem>
    <reviewItem>
      <errorID>008a0d7e-5a6c-4e72-9229-15f017ebea6a</errorID>
      <errorWord>桶装</errorWord>
      <group>L1_Word</group>
      <groupName>字词问题</groupName>
      <ability>L2_Typo</ability>
      <abilityName>字词错误</abilityName>
      <candidateList>
        <item>桶</item>
      </candidateList>
      <explain/>
      <paraID>62526BD2</paraID>
      <start>40</start>
      <end>42</end>
      <status>unmodified</status>
      <modifiedWord/>
      <trackRevisions>false</trackRevisions>
    </reviewItem>
    <reviewItem>
      <errorID>149a549b-4a24-462b-aa6d-98c385603692</errorID>
      <errorWord>桶装</errorWord>
      <group>L1_Word</group>
      <groupName>字词问题</groupName>
      <ability>L2_Typo</ability>
      <abilityName>字词错误</abilityName>
      <candidateList>
        <item>桶</item>
      </candidateList>
      <explain/>
      <paraID>660E2490</paraID>
      <start>40</start>
      <end>42</end>
      <status>unmodified</status>
      <modifiedWord/>
      <trackRevisions>false</trackRevisions>
    </reviewItem>
    <reviewItem>
      <errorID>a8be6381-fd64-47ed-b43a-a3422e4d94a9</errorID>
      <errorWord>桶装</errorWord>
      <group>L1_Word</group>
      <groupName>字词问题</groupName>
      <ability>L2_Typo</ability>
      <abilityName>字词错误</abilityName>
      <candidateList>
        <item>桶</item>
      </candidateList>
      <explain/>
      <paraID>408B585F</paraID>
      <start>40</start>
      <end>42</end>
      <status>unmodified</status>
      <modifiedWord/>
      <trackRevisions>false</trackRevisions>
    </reviewItem>
    <reviewItem>
      <errorID>702a2e9a-94ff-4349-b082-9ad5f333b1c5</errorID>
      <errorWord>2014年03月28日</errorWord>
      <group>L1_Knowledge</group>
      <groupName>知识性问题</groupName>
      <ability>L2_Time</ability>
      <abilityName>日期时间</abilityName>
      <candidateList>
        <item>2014年3月28日</item>
      </candidateList>
      <explain>根据日常书写习惯，月份一般会省略前导零。</explain>
      <paraID>74CE7A83</paraID>
      <start>25</start>
      <end>35</end>
      <status>modified</status>
      <modifiedWord>2014年3月28日</modifiedWord>
      <trackRevisions>false</trackRevisions>
    </reviewItem>
    <reviewItem>
      <errorID>4dd4b7fc-addc-4c58-b716-97fad31f3c57</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492BD729</paraID>
      <start>15</start>
      <end>18</end>
      <status>unmodified</status>
      <modifiedWord/>
      <trackRevisions>false</trackRevisions>
    </reviewItem>
    <reviewItem>
      <errorID>fb5d7db1-b85c-4489-9122-d99fbebd4d23</errorID>
      <errorWord>法律、法规</errorWord>
      <group>L1_Word</group>
      <groupName>字词问题</groupName>
      <ability>L2_Typo</ability>
      <abilityName>字词错误</abilityName>
      <candidateList>
        <item>法律法规</item>
      </candidateList>
      <explain/>
      <paraID>492BD729</paraID>
      <start>61</start>
      <end>65</end>
      <status>modified</status>
      <modifiedWord>法律法规</modifiedWord>
      <trackRevisions>false</trackRevisions>
    </reviewItem>
    <reviewItem>
      <errorID>21e7b056-50b6-430f-a81e-9d4ff6beafc0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187B386A</paraID>
      <start>0</start>
      <end>2</end>
      <status>unmodified</status>
      <modifiedWord/>
      <trackRevisions>false</trackRevisions>
    </reviewItem>
    <reviewItem>
      <errorID>1e62f980-9fee-4eea-87f3-4d6f39d1259e</errorID>
      <errorWord>，</errorWord>
      <group>L1_Word</group>
      <groupName>字词问题</groupName>
      <ability>L2_Typo</ability>
      <abilityName>字词错误</abilityName>
      <candidateList>
        <item>，在</item>
      </candidateList>
      <explain/>
      <paraID>6FB15ED8</paraID>
      <start>28</start>
      <end>30</end>
      <status>modified</status>
      <modifiedWord>，在</modifiedWord>
      <trackRevisions>false</trackRevisions>
    </reviewItem>
    <reviewItem>
      <errorID>ef2aae84-721f-440b-9307-d2d9e1013298</errorID>
      <errorWord>程</errorWord>
      <group>L1_Word</group>
      <groupName>字词问题</groupName>
      <ability>L2_Typo</ability>
      <abilityName>字词错误</abilityName>
      <candidateList>
        <item>程中</item>
      </candidateList>
      <explain/>
      <paraID>3EC31444</paraID>
      <start>32</start>
      <end>34</end>
      <status>modified</status>
      <modifiedWord>程中</modifiedWord>
      <trackRevisions>false</trackRevisions>
    </reviewItem>
    <reviewItem>
      <errorID>f79f9987-72b0-4963-83ae-fb21a3ad2b00</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3EC31444</paraID>
      <start>127</start>
      <end>128</end>
      <status>unmodified</status>
      <modifiedWord/>
      <trackRevisions>false</trackRevisions>
    </reviewItem>
    <reviewItem>
      <errorID>086da762-00b2-4eb2-8815-e1cb12e0f37a</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3EC31444</paraID>
      <start>164</start>
      <end>165</end>
      <status>unmodified</status>
      <modifiedWord/>
      <trackRevisions>false</trackRevisions>
    </reviewItem>
    <reviewItem>
      <errorID>a6794511-1b57-4418-93ff-3a28ce6f6341</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BC26436</paraID>
      <start>86</start>
      <end>87</end>
      <status>unmodified</status>
      <modifiedWord/>
      <trackRevisions>false</trackRevisions>
    </reviewItem>
    <reviewItem>
      <errorID>f0b3ec86-13b4-4267-82d4-c7195708765a</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BC26436</paraID>
      <start>123</start>
      <end>124</end>
      <status>unmodified</status>
      <modifiedWord/>
      <trackRevisions>false</trackRevisions>
    </reviewItem>
    <reviewItem>
      <errorID>6ab8ffa6-5002-4882-a38a-20f61aceeffb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44C55108</paraID>
      <start>0</start>
      <end>2</end>
      <status>unmodified</status>
      <modifiedWord/>
      <trackRevisions>false</trackRevisions>
    </reviewItem>
    <reviewItem>
      <errorID>ba3ec43b-4d20-45c7-80c3-d6fc7a81fd8f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220E9592</paraID>
      <start>0</start>
      <end>2</end>
      <status>unmodified</status>
      <modifiedWord/>
      <trackRevisions>false</trackRevisions>
    </reviewItem>
    <reviewItem>
      <errorID>6427bdcd-fa90-43db-871d-cf260e4c04de</errorID>
      <errorWord>，</errorWord>
      <group>L1_Format</group>
      <groupName>格式问题</groupName>
      <ability>L2_HalfPunc_CN</ability>
      <abilityName/>
      <candidateList>
        <item>, </item>
      </candidateList>
      <explain>文本全半角错误。</explain>
      <paraID>124CA9B0</paraID>
      <start>1</start>
      <end>2</end>
      <status>unmodified</status>
      <modifiedWord/>
      <trackRevisions>false</trackRevisions>
    </reviewItem>
    <reviewItem>
      <errorID>53930f2f-c45c-4bd3-8ac2-0f1a4e515baf</errorID>
      <errorWord>，</errorWord>
      <group>L1_Format</group>
      <groupName>格式问题</groupName>
      <ability>L2_HalfPunc_CN</ability>
      <abilityName/>
      <candidateList>
        <item>, </item>
      </candidateList>
      <explain>文本全半角错误。</explain>
      <paraID>6008E2D2</paraID>
      <start>1</start>
      <end>2</end>
      <status>unmodified</status>
      <modifiedWord/>
      <trackRevisions>false</trackRevisions>
    </reviewItem>
    <reviewItem>
      <errorID>b86c7a65-4dc9-4b3c-873a-74314fbcab4e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433902CF</paraID>
      <start>0</start>
      <end>2</end>
      <status>unmodified</status>
      <modifiedWord/>
      <trackRevisions>false</trackRevisions>
    </reviewItem>
    <reviewItem>
      <errorID>7874c848-9195-43ae-92af-b2113f220080</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1BEEF050</paraID>
      <start>87</start>
      <end>88</end>
      <status>unmodified</status>
      <modifiedWord/>
      <trackRevisions>false</trackRevisions>
    </reviewItem>
    <reviewItem>
      <errorID>26b80dd3-a40f-4cca-96be-9ead34161622</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1BEEF050</paraID>
      <start>124</start>
      <end>125</end>
      <status>unmodified</status>
      <modifiedWord/>
      <trackRevisions>false</trackRevisions>
    </reviewItem>
    <reviewItem>
      <errorID>910104f6-7b80-4ff4-9d4e-fb46e2cd0cd2</errorID>
      <errorWord>桶装</errorWord>
      <group>L1_Word</group>
      <groupName>字词问题</groupName>
      <ability>L2_Typo</ability>
      <abilityName>字词错误</abilityName>
      <candidateList>
        <item>桶</item>
      </candidateList>
      <explain/>
      <paraID> 6EF3828</paraID>
      <start>117</start>
      <end>119</end>
      <status>unmodified</status>
      <modifiedWord/>
      <trackRevisions>false</trackRevisions>
    </reviewItem>
    <reviewItem>
      <errorID>11f12252-0659-4333-9e3b-4a1598c0837a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F2C1ED6</paraID>
      <start>0</start>
      <end>2</end>
      <status>unmodified</status>
      <modifiedWord/>
      <trackRevisions>false</trackRevisions>
    </reviewItem>
    <reviewItem>
      <errorID>54a2d635-5030-4994-a799-ae681be5aa9f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2C4FD1EE</paraID>
      <start>0</start>
      <end>2</end>
      <status>unmodified</status>
      <modifiedWord/>
      <trackRevisions>false</trackRevisions>
    </reviewItem>
    <reviewItem>
      <errorID>7ff247f7-c272-4f84-855c-bf6bdeb164ad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6C99D2E8</paraID>
      <start>0</start>
      <end>2</end>
      <status>unmodified</status>
      <modifiedWord/>
      <trackRevisions>false</trackRevisions>
    </reviewItem>
    <reviewItem>
      <errorID>e4afd713-b0b3-4482-8d3e-50cdacb0e4c3</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4EFC164</paraID>
      <start>0</start>
      <end>2</end>
      <status>unmodified</status>
      <modifiedWord/>
      <trackRevisions>false</trackRevisions>
    </reviewItem>
    <reviewItem>
      <errorID>2d1a33c8-1788-48e8-b0cb-479ae34d0019</errorID>
      <errorWord>，</errorWord>
      <group>L1_Word</group>
      <groupName>字词问题</groupName>
      <ability>L2_Typo</ability>
      <abilityName>字词错误</abilityName>
      <candidateList>
        <item>，在</item>
      </candidateList>
      <explain/>
      <paraID>55C2F7FE</paraID>
      <start>28</start>
      <end>30</end>
      <status>modified</status>
      <modifiedWord>，在</modifiedWord>
      <trackRevisions>false</trackRevisions>
    </reviewItem>
    <reviewItem>
      <errorID>7d91f7ab-8625-4cf3-b7e2-c1f7818a09d1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698E2958</paraID>
      <start>0</start>
      <end>2</end>
      <status>unmodified</status>
      <modifiedWord/>
      <trackRevisions>false</trackRevisions>
    </reviewItem>
    <reviewItem>
      <errorID>269ea281-67e8-43f7-a0d5-6b5e7659917a</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729F0317</paraID>
      <start>28</start>
      <end>29</end>
      <status>unmodified</status>
      <modifiedWord/>
      <trackRevisions>false</trackRevisions>
    </reviewItem>
    <reviewItem>
      <errorID>9d2ac403-e36a-4eb7-a2bd-797d24b62d76</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729F0317</paraID>
      <start>65</start>
      <end>66</end>
      <status>unmodified</status>
      <modifiedWord/>
      <trackRevisions>false</trackRevisions>
    </reviewItem>
    <reviewItem>
      <errorID>a970575c-017c-4d8b-bd02-ba32cdd75875</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729F0317</paraID>
      <start>139</start>
      <end>140</end>
      <status>unmodified</status>
      <modifiedWord/>
      <trackRevisions>false</trackRevisions>
    </reviewItem>
    <reviewItem>
      <errorID>3cc8ec8f-0e87-41bd-bdc0-33d392933b8a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4AF9F48</paraID>
      <start>0</start>
      <end>2</end>
      <status>unmodified</status>
      <modifiedWord/>
      <trackRevisions>false</trackRevisions>
    </reviewItem>
    <reviewItem>
      <errorID>4bc1274c-3e99-4100-bae2-1b4082414de0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500413C5</paraID>
      <start>0</start>
      <end>2</end>
      <status>unmodified</status>
      <modifiedWord/>
      <trackRevisions>false</trackRevisions>
    </reviewItem>
    <reviewItem>
      <errorID>0b13be43-858e-40ab-83b9-d8564988e509</errorID>
      <errorWord>桶装</errorWord>
      <group>L1_Word</group>
      <groupName>字词问题</groupName>
      <ability>L2_Typo</ability>
      <abilityName>字词错误</abilityName>
      <candidateList>
        <item>桶</item>
      </candidateList>
      <explain/>
      <paraID>5FF98691</paraID>
      <start>65</start>
      <end>67</end>
      <status>unmodified</status>
      <modifiedWord/>
      <trackRevisions>false</trackRevisions>
    </reviewItem>
    <reviewItem>
      <errorID>c03552f3-2316-4f5e-b35d-00ec23920841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E9DA8BD</paraID>
      <start>0</start>
      <end>2</end>
      <status>unmodified</status>
      <modifiedWord/>
      <trackRevisions>false</trackRevisions>
    </reviewItem>
    <reviewItem>
      <errorID>fa7d2cb7-4772-4e0a-96c8-0c1ea57f163f</errorID>
      <errorWord>桶装</errorWord>
      <group>L1_Word</group>
      <groupName>字词问题</groupName>
      <ability>L2_Typo</ability>
      <abilityName>字词错误</abilityName>
      <candidateList>
        <item>桶</item>
      </candidateList>
      <explain/>
      <paraID>4DB1F020</paraID>
      <start>46</start>
      <end>48</end>
      <status>unmodified</status>
      <modifiedWord/>
      <trackRevisions>false</trackRevisions>
    </reviewItem>
    <reviewItem>
      <errorID>71485e04-c82e-4d57-becd-27825cba473a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2095096B</paraID>
      <start>0</start>
      <end>2</end>
      <status>unmodified</status>
      <modifiedWord/>
      <trackRevisions>false</trackRevisions>
    </reviewItem>
    <reviewItem>
      <errorID>1c4c6045-316b-4e84-b2cb-02726eba4b20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2FFC1755</paraID>
      <start>0</start>
      <end>2</end>
      <status>unmodified</status>
      <modifiedWord/>
      <trackRevisions>false</trackRevisions>
    </reviewItem>
    <reviewItem>
      <errorID>6619bab4-bd84-4e29-a11d-6633d512d6af</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72F5BEBE</paraID>
      <start>258</start>
      <end>259</end>
      <status>unmodified</status>
      <modifiedWord/>
      <trackRevisions>false</trackRevisions>
    </reviewItem>
    <reviewItem>
      <errorID>1ccaa9a2-982b-4f1a-8527-a581fcb88ca7</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1CF9339C</paraID>
      <start>10</start>
      <end>11</end>
      <status>unmodified</status>
      <modifiedWord/>
      <trackRevisions>false</trackRevisions>
    </reviewItem>
    <reviewItem>
      <errorID>3850d9db-42ee-4acc-9a39-43c01683dc3b</errorID>
      <errorWord>》（试行）</errorWord>
      <group>L1_Word</group>
      <groupName>字词问题</groupName>
      <ability>L2_Typo</ability>
      <abilityName>字词错误</abilityName>
      <candidateList>
        <item>（试行）》</item>
      </candidateList>
      <explain/>
      <paraID>7976EDED</paraID>
      <start>27</start>
      <end>32</end>
      <status>modified</status>
      <modifiedWord>（试行）》</modifiedWord>
      <trackRevisions>false</trackRevisions>
    </reviewItem>
    <reviewItem>
      <errorID>2e0aab1f-62e8-4f56-85aa-9aa5adf6a404</errorID>
      <errorWord>，</errorWord>
      <group>L1_Word</group>
      <groupName>字词问题</groupName>
      <ability>L2_Typo</ability>
      <abilityName>字词错误</abilityName>
      <candidateList>
        <item>，在</item>
      </candidateList>
      <explain/>
      <paraID>7976EDED</paraID>
      <start>155</start>
      <end>157</end>
      <status>modified</status>
      <modifiedWord>，在</modifiedWord>
      <trackRevisions>false</trackRevisions>
    </reviewItem>
    <reviewItem>
      <errorID>73b8094c-bbc3-4451-9b48-4a6c4e070cf1</errorID>
      <errorWord>》（试行）</errorWord>
      <group>L1_Word</group>
      <groupName>字词问题</groupName>
      <ability>L2_Typo</ability>
      <abilityName>字词错误</abilityName>
      <candidateList>
        <item>（试行）》</item>
      </candidateList>
      <explain/>
      <paraID>62F29446</paraID>
      <start>27</start>
      <end>32</end>
      <status>modified</status>
      <modifiedWord>（试行）》</modifiedWord>
      <trackRevisions>false</trackRevisions>
    </reviewItem>
    <reviewItem>
      <errorID>4ad3b884-b1e6-4d48-946b-ff3b77bcc894</errorID>
      <errorWord>桶装</errorWord>
      <group>L1_Word</group>
      <groupName>字词问题</groupName>
      <ability>L2_Typo</ability>
      <abilityName>字词错误</abilityName>
      <candidateList>
        <item>桶</item>
      </candidateList>
      <explain/>
      <paraID>62F29446</paraID>
      <start>146</start>
      <end>148</end>
      <status>unmodified</status>
      <modifiedWord/>
      <trackRevisions>false</trackRevisions>
    </reviewItem>
    <reviewItem>
      <errorID>0bad5f93-7c45-4c18-bb05-36b47b1e3c6a</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62F29446</paraID>
      <start>254</start>
      <end>255</end>
      <status>unmodified</status>
      <modifiedWord/>
      <trackRevisions>false</trackRevisions>
    </reviewItem>
    <reviewItem>
      <errorID>01440f2f-d23e-4eb6-88aa-4ce6101e6de2</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62F29446</paraID>
      <start>291</start>
      <end>292</end>
      <status>unmodified</status>
      <modifiedWord/>
      <trackRevisions>false</trackRevisions>
    </reviewItem>
    <reviewItem>
      <errorID>f2a14590-917f-4c47-8c6f-b388460101bc</errorID>
      <errorWord>，</errorWord>
      <group>L1_Word</group>
      <groupName>字词问题</groupName>
      <ability>L2_Typo</ability>
      <abilityName>字词错误</abilityName>
      <candidateList>
        <item>，在</item>
      </candidateList>
      <explain/>
      <paraID>2853CA89</paraID>
      <start>28</start>
      <end>30</end>
      <status>modified</status>
      <modifiedWord>，在</modifiedWord>
      <trackRevisions>false</trackRevisions>
    </reviewItem>
    <reviewItem>
      <errorID>320ed71e-d94c-4cb8-8435-d742fdbf1c9c</errorID>
      <errorWord>》</errorWord>
      <group>L1_Punc</group>
      <groupName>标点问题</groupName>
      <ability>L2_Punc_CN</ability>
      <abilityName/>
      <candidateList/>
      <explain>此处标点可能未正确匹配，请检查句子中是否存在标点冗余、缺失或使用错误的情况。</explain>
      <paraID>58D4048F</paraID>
      <start>7</start>
      <end>8</end>
      <status>unmodified</status>
      <modifiedWord/>
      <trackRevisions>false</trackRevisions>
    </reviewItem>
    <reviewItem>
      <errorID>2a043ff7-b03d-483f-9719-60cf72f59694</errorID>
      <errorWord>程</errorWord>
      <group>L1_Word</group>
      <groupName>字词问题</groupName>
      <ability>L2_Typo</ability>
      <abilityName>字词错误</abilityName>
      <candidateList>
        <item>程中</item>
      </candidateList>
      <explain/>
      <paraID>6E9AF0E2</paraID>
      <start>65</start>
      <end>67</end>
      <status>modified</status>
      <modifiedWord>程中</modifiedWord>
      <trackRevisions>false</trackRevisions>
    </reviewItem>
    <reviewItem>
      <errorID>6c004dda-73d4-4061-8858-84ffcaf80434</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6E9AF0E2</paraID>
      <start>252</start>
      <end>253</end>
      <status>unmodified</status>
      <modifiedWord/>
      <trackRevisions>false</trackRevisions>
    </reviewItem>
    <reviewItem>
      <errorID>41f92880-2125-4d1e-a6e7-f7dcd47318b8</errorID>
      <errorWord>抛洒</errorWord>
      <group>L1_Word</group>
      <groupName>字词问题</groupName>
      <ability>L2_Typo</ability>
      <abilityName>字词错误</abilityName>
      <candidateList>
        <item>抛撒</item>
      </candidateList>
      <explain/>
      <paraID>764E7E54</paraID>
      <start>67</start>
      <end>69</end>
      <status>modified</status>
      <modifiedWord>抛撒</modifiedWord>
      <trackRevisions>false</trackRevisions>
    </reviewItem>
    <reviewItem>
      <errorID>c83fb651-a13d-4aa8-a252-0e1bb1354958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730A2FB2</paraID>
      <start>0</start>
      <end>2</end>
      <status>unmodified</status>
      <modifiedWord/>
      <trackRevisions>false</trackRevisions>
    </reviewItem>
    <reviewItem>
      <errorID>bbb1a0f2-45a1-40bb-b363-9d227d1c96cb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41E7BCE</paraID>
      <start>0</start>
      <end>2</end>
      <status>unmodified</status>
      <modifiedWord/>
      <trackRevisions>false</trackRevisions>
    </reviewItem>
    <reviewItem>
      <errorID>a1ea2c38-70c7-4684-bd3d-9f617b91837a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5A1438DC</paraID>
      <start>0</start>
      <end>2</end>
      <status>unmodified</status>
      <modifiedWord/>
      <trackRevisions>false</trackRevisions>
    </reviewItem>
    <reviewItem>
      <errorID>ed10baaf-09be-47a2-aafb-000747964371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74BFBD56</paraID>
      <start>0</start>
      <end>2</end>
      <status>unmodified</status>
      <modifiedWord/>
      <trackRevisions>false</trackRevisions>
    </reviewItem>
    <reviewItem>
      <errorID>201b3b5a-07b8-47fb-8ee7-ea891e23a184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6471E250</paraID>
      <start>0</start>
      <end>2</end>
      <status>unmodified</status>
      <modifiedWord/>
      <trackRevisions>false</trackRevisions>
    </reviewItem>
    <reviewItem>
      <errorID>e45881c9-6f50-4c53-96f3-9ad8e80df8ac</errorID>
      <errorWord>车</errorWord>
      <group>L1_Word</group>
      <groupName>字词问题</groupName>
      <ability>L2_Typo</ability>
      <abilityName>字词错误</abilityName>
      <candidateList>
        <item>车辆</item>
      </candidateList>
      <explain>〈名〉各种车的总称。</explain>
      <paraID> B51BF89</paraID>
      <start>124</start>
      <end>126</end>
      <status>modified</status>
      <modifiedWord>车辆</modifiedWord>
      <trackRevisions>false</trackRevisions>
    </reviewItem>
    <reviewItem>
      <errorID>53add29c-3ec8-4f1c-a51c-cb6e991e96b0</errorID>
      <errorWord>-</errorWord>
      <group>L1_Format</group>
      <groupName>格式问题</groupName>
      <ability>L2_HalfPunc_CN</ability>
      <abilityName/>
      <candidateList>
        <item>－</item>
      </candidateList>
      <explain>文本全半角错误。</explain>
      <paraID>694D5608</paraID>
      <start>6</start>
      <end>7</end>
      <status>unmodified</status>
      <modifiedWord/>
      <trackRevisions>false</trackRevisions>
    </reviewItem>
    <reviewItem>
      <errorID>ba6b4128-28ba-4486-b033-49d8410648bc</errorID>
      <errorWord>-</errorWord>
      <group>L1_Format</group>
      <groupName>格式问题</groupName>
      <ability>L2_HalfPunc_CN</ability>
      <abilityName/>
      <candidateList>
        <item>－</item>
      </candidateList>
      <explain>文本全半角错误。</explain>
      <paraID> 28F0BB8</paraID>
      <start>2</start>
      <end>3</end>
      <status>unmodified</status>
      <modifiedWord/>
      <trackRevisions>false</trackRevisions>
    </reviewItem>
    <reviewItem>
      <errorID>cfa27f34-40f6-4f59-a1d1-84f62b76e92d</errorID>
      <errorWord>-</errorWord>
      <group>L1_Format</group>
      <groupName>格式问题</groupName>
      <ability>L2_HalfPunc_CN</ability>
      <abilityName/>
      <candidateList>
        <item>－</item>
      </candidateList>
      <explain>文本全半角错误。</explain>
      <paraID>6F1F9A93</paraID>
      <start>2</start>
      <end>3</end>
      <status>unmodified</status>
      <modifiedWord/>
      <trackRevisions>false</trackRevisions>
    </reviewItem>
    <reviewItem>
      <errorID>785759e6-6658-463f-9a2c-9defc18aae7f</errorID>
      <errorWord>-</errorWord>
      <group>L1_Format</group>
      <groupName>格式问题</groupName>
      <ability>L2_HalfPunc_CN</ability>
      <abilityName/>
      <candidateList>
        <item>－</item>
      </candidateList>
      <explain>文本全半角错误。</explain>
      <paraID>14F12D60</paraID>
      <start>2</start>
      <end>3</end>
      <status>unmodified</status>
      <modifiedWord/>
      <trackRevisions>false</trackRevisions>
    </reviewItem>
    <reviewItem>
      <errorID>401201fb-2940-4c43-b027-beabb8b08caf</errorID>
      <errorWord>-</errorWord>
      <group>L1_Format</group>
      <groupName>格式问题</groupName>
      <ability>L2_HalfPunc_CN</ability>
      <abilityName/>
      <candidateList>
        <item>－</item>
      </candidateList>
      <explain>文本全半角错误。</explain>
      <paraID>7FCFFBCE</paraID>
      <start>2</start>
      <end>3</end>
      <status>unmodified</status>
      <modifiedWord/>
      <trackRevisions>false</trackRevisions>
    </reviewItem>
    <reviewItem>
      <errorID>67dfa7d5-d0a3-4a61-abb7-06b5dbc37e12</errorID>
      <errorWord>程</errorWord>
      <group>L1_Word</group>
      <groupName>字词问题</groupName>
      <ability>L2_Typo</ability>
      <abilityName>字词错误</abilityName>
      <candidateList>
        <item>程中</item>
      </candidateList>
      <explain/>
      <paraID>650040D7</paraID>
      <start>12</start>
      <end>14</end>
      <status>modified</status>
      <modifiedWord>程中</modifiedWord>
      <trackRevisions>false</trackRevisions>
    </reviewItem>
    <reviewItem>
      <errorID>a453377b-0b11-45e1-b7a4-dc162d460915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7CBB710D</paraID>
      <start>0</start>
      <end>2</end>
      <status>unmodified</status>
      <modifiedWord/>
      <trackRevisions>false</trackRevisions>
    </reviewItem>
    <reviewItem>
      <errorID>947eeb91-19bb-48a3-9a8f-9e642fae8132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2578FF9C</paraID>
      <start>0</start>
      <end>2</end>
      <status>unmodified</status>
      <modifiedWord/>
      <trackRevisions>false</trackRevisions>
    </reviewItem>
    <reviewItem>
      <errorID>b5393028-6e32-439f-9509-1ab1731d1710</errorID>
      <errorWord>(</errorWord>
      <group>L1_Format</group>
      <groupName>格式问题</groupName>
      <ability>L2_HalfPunc_CN</ability>
      <abilityName/>
      <candidateList>
        <item>（</item>
      </candidateList>
      <explain>文本全半角错误。</explain>
      <paraID>572B5680</paraID>
      <start>30</start>
      <end>31</end>
      <status>unmodified</status>
      <modifiedWord/>
      <trackRevisions>false</trackRevisions>
    </reviewItem>
    <reviewItem>
      <errorID>2195f1ff-59f4-4753-bd20-d22391b28282</errorID>
      <errorWord>)</errorWord>
      <group>L1_Format</group>
      <groupName>格式问题</groupName>
      <ability>L2_HalfPunc_CN</ability>
      <abilityName/>
      <candidateList>
        <item>）</item>
      </candidateList>
      <explain>文本全半角错误。</explain>
      <paraID>572B5680</paraID>
      <start>34</start>
      <end>35</end>
      <status>unmodified</status>
      <modifiedWord/>
      <trackRevisions>false</trackRevisions>
    </reviewItem>
    <reviewItem>
      <errorID>c1e2b73c-aa45-4ee6-b193-f1ccfa8daabd</errorID>
      <errorWord>)</errorWord>
      <group>L1_Format</group>
      <groupName>格式问题</groupName>
      <ability>L2_HalfPunc_CN</ability>
      <abilityName/>
      <candidateList>
        <item>）</item>
      </candidateList>
      <explain>文本全半角错误。</explain>
      <paraID>60F4F8B2</paraID>
      <start>29</start>
      <end>30</end>
      <status>unmodified</status>
      <modifiedWord/>
      <trackRevisions>false</trackRevisions>
    </reviewItem>
    <reviewItem>
      <errorID>6ec981b5-ffc2-422b-bea3-9b3488f0a473</errorID>
      <errorWord>)</errorWord>
      <group>L1_Format</group>
      <groupName>格式问题</groupName>
      <ability>L2_HalfPunc_CN</ability>
      <abilityName/>
      <candidateList>
        <item>）</item>
      </candidateList>
      <explain>文本全半角错误。</explain>
      <paraID>7869F891</paraID>
      <start>28</start>
      <end>29</end>
      <status>unmodified</status>
      <modifiedWord/>
      <trackRevisions>false</trackRevisions>
    </reviewItem>
    <reviewItem>
      <errorID>114f198b-1133-42fc-ac57-5c256bd9fdab</errorID>
      <errorWord>)</errorWord>
      <group>L1_Format</group>
      <groupName>格式问题</groupName>
      <ability>L2_HalfPunc_CN</ability>
      <abilityName/>
      <candidateList>
        <item>）</item>
      </candidateList>
      <explain>文本全半角错误。</explain>
      <paraID>1E103330</paraID>
      <start>32</start>
      <end>33</end>
      <status>unmodified</status>
      <modifiedWord/>
      <trackRevisions>false</trackRevisions>
    </reviewItem>
    <reviewItem>
      <errorID>5cee9679-033c-4d71-9a1b-16a9de85b23f</errorID>
      <errorWord>)</errorWord>
      <group>L1_Format</group>
      <groupName>格式问题</groupName>
      <ability>L2_HalfPunc_CN</ability>
      <abilityName/>
      <candidateList>
        <item>）</item>
      </candidateList>
      <explain>文本全半角错误。</explain>
      <paraID> AD21383</paraID>
      <start>23</start>
      <end>24</end>
      <status>unmodified</status>
      <modifiedWord/>
      <trackRevisions>false</trackRevisions>
    </reviewItem>
    <reviewItem>
      <errorID>1d4e1932-1df9-4636-a080-364d6b9f0b92</errorID>
      <errorWord>)</errorWord>
      <group>L1_Format</group>
      <groupName>格式问题</groupName>
      <ability>L2_HalfPunc_CN</ability>
      <abilityName/>
      <candidateList>
        <item>）</item>
      </candidateList>
      <explain>文本全半角错误。</explain>
      <paraID> A1D6860</paraID>
      <start>31</start>
      <end>32</end>
      <status>unmodified</status>
      <modifiedWord/>
      <trackRevisions>false</trackRevisions>
    </reviewItem>
    <reviewItem>
      <errorID>c0bd2873-8571-4143-b086-a34be4a8a5dc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25C472C</paraID>
      <start>0</start>
      <end>2</end>
      <status>unmodified</status>
      <modifiedWord/>
      <trackRevisions>false</trackRevisions>
    </reviewItem>
    <reviewItem>
      <errorID>1b1c3792-b3a0-4ff8-846d-72c93e515f7f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3EC7EC9C</paraID>
      <start>0</start>
      <end>2</end>
      <status>unmodified</status>
      <modifiedWord/>
      <trackRevisions>false</trackRevisions>
    </reviewItem>
    <reviewItem>
      <errorID>3784729a-1106-4ca5-baa6-e12571b866d9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19BE22F</paraID>
      <start>0</start>
      <end>2</end>
      <status>unmodified</status>
      <modifiedWord/>
      <trackRevisions>false</trackRevisions>
    </reviewItem>
    <reviewItem>
      <errorID>f4f17687-0f01-434c-b132-5cec7018097a</errorID>
      <errorWord>、</errorWord>
      <group>L1_Punc</group>
      <groupName>标点问题</groupName>
      <ability>L2_Punc_CN</ability>
      <abilityName/>
      <candidateList>
        <item>.</item>
      </candidateList>
      <explain/>
      <paraID>4AD3EE29</paraID>
      <start>1</start>
      <end>2</end>
      <status>unmodified</status>
      <modifiedWord/>
      <trackRevisions>false</trackRevisions>
    </reviewItem>
    <reviewItem>
      <errorID>c8b4d96b-5fe9-4cd0-8eb9-8dfb91dd04b9</errorID>
      <errorWord>、</errorWord>
      <group>L1_Punc</group>
      <groupName>标点问题</groupName>
      <ability>L2_Punc_CN</ability>
      <abilityName/>
      <candidateList>
        <item>.</item>
      </candidateList>
      <explain/>
      <paraID>6DDC7CA5</paraID>
      <start>1</start>
      <end>2</end>
      <status>unmodified</status>
      <modifiedWord/>
      <trackRevisions>false</trackRevisions>
    </reviewItem>
    <reviewItem>
      <errorID>c9e54e3b-7e48-4b57-a37d-d3462f4fe117</errorID>
      <errorWord>、</errorWord>
      <group>L1_Punc</group>
      <groupName>标点问题</groupName>
      <ability>L2_Punc_CN</ability>
      <abilityName/>
      <candidateList>
        <item>.</item>
      </candidateList>
      <explain/>
      <paraID>5A55B409</paraID>
      <start>1</start>
      <end>2</end>
      <status>unmodified</status>
      <modifiedWord/>
      <trackRevisions>false</trackRevisions>
    </reviewItem>
    <reviewItem>
      <errorID>c55c9aeb-92f5-4e68-9a9a-af4898c93efe</errorID>
      <errorWord>、</errorWord>
      <group>L1_Punc</group>
      <groupName>标点问题</groupName>
      <ability>L2_Punc_CN</ability>
      <abilityName/>
      <candidateList>
        <item>.</item>
      </candidateList>
      <explain/>
      <paraID>624A6A71</paraID>
      <start>1</start>
      <end>2</end>
      <status>unmodified</status>
      <modifiedWord/>
      <trackRevisions>false</trackRevisions>
    </reviewItem>
    <reviewItem>
      <errorID>86eb252a-c28f-42ce-9a40-9d35a195f775</errorID>
      <errorWord>、</errorWord>
      <group>L1_Punc</group>
      <groupName>标点问题</groupName>
      <ability>L2_Punc_CN</ability>
      <abilityName/>
      <candidateList>
        <item>.</item>
      </candidateList>
      <explain/>
      <paraID>36E9B972</paraID>
      <start>1</start>
      <end>2</end>
      <status>unmodified</status>
      <modifiedWord/>
      <trackRevisions>false</trackRevisions>
    </reviewItem>
    <reviewItem>
      <errorID>1350512d-de42-4f8e-a5d3-e999ce2604c6</errorID>
      <errorWord>、</errorWord>
      <group>L1_Punc</group>
      <groupName>标点问题</groupName>
      <ability>L2_Punc_CN</ability>
      <abilityName/>
      <candidateList>
        <item>.</item>
      </candidateList>
      <explain/>
      <paraID>22DD9192</paraID>
      <start>1</start>
      <end>2</end>
      <status>unmodified</status>
      <modifiedWord/>
      <trackRevisions>false</trackRevisions>
    </reviewItem>
    <reviewItem>
      <errorID>d35caaa1-1211-4eee-a395-aa408e6e7589</errorID>
      <errorWord>、</errorWord>
      <group>L1_Punc</group>
      <groupName>标点问题</groupName>
      <ability>L2_Punc_CN</ability>
      <abilityName/>
      <candidateList>
        <item>.</item>
      </candidateList>
      <explain/>
      <paraID>12362E65</paraID>
      <start>1</start>
      <end>2</end>
      <status>unmodified</status>
      <modifiedWord/>
      <trackRevisions>false</trackRevisions>
    </reviewItem>
    <reviewItem>
      <errorID>1bd72f6a-181d-4c67-967c-65eb665b847d</errorID>
      <errorWord>、</errorWord>
      <group>L1_Punc</group>
      <groupName>标点问题</groupName>
      <ability>L2_Punc_CN</ability>
      <abilityName/>
      <candidateList>
        <item>.</item>
      </candidateList>
      <explain/>
      <paraID>33EC30C5</paraID>
      <start>1</start>
      <end>2</end>
      <status>unmodified</status>
      <modifiedWord/>
      <trackRevisions>false</trackRevisions>
    </reviewItem>
    <reviewItem>
      <errorID>fa486185-5c4e-4614-b3dc-ffe22792b76c</errorID>
      <errorWord>、</errorWord>
      <group>L1_Punc</group>
      <groupName>标点问题</groupName>
      <ability>L2_Punc_CN</ability>
      <abilityName/>
      <candidateList>
        <item>.</item>
      </candidateList>
      <explain/>
      <paraID>1A43D34D</paraID>
      <start>1</start>
      <end>2</end>
      <status>unmodified</status>
      <modifiedWord/>
      <trackRevisions>false</trackRevisions>
    </reviewItem>
    <reviewItem>
      <errorID>05514aa6-d0c7-41d1-9dee-0a47d1e45296</errorID>
      <errorWord>、</errorWord>
      <group>L1_Punc</group>
      <groupName>标点问题</groupName>
      <ability>L2_Punc_CN</ability>
      <abilityName/>
      <candidateList>
        <item>.</item>
      </candidateList>
      <explain/>
      <paraID>53F9AE93</paraID>
      <start>1</start>
      <end>2</end>
      <status>unmodified</status>
      <modifiedWord/>
      <trackRevisions>false</trackRevisions>
    </reviewItem>
    <reviewItem>
      <errorID>822a4e12-7a68-4d23-9dae-f818e2c654f3</errorID>
      <errorWord>、</errorWord>
      <group>L1_Punc</group>
      <groupName>标点问题</groupName>
      <ability>L2_Punc_CN</ability>
      <abilityName/>
      <candidateList>
        <item>.</item>
      </candidateList>
      <explain/>
      <paraID>5606F354</paraID>
      <start>1</start>
      <end>2</end>
      <status>unmodified</status>
      <modifiedWord/>
      <trackRevisions>false</trackRevisions>
    </reviewItem>
    <reviewItem>
      <errorID>642c5107-5deb-4a15-a931-08f814a27b01</errorID>
      <errorWord>、</errorWord>
      <group>L1_Punc</group>
      <groupName>标点问题</groupName>
      <ability>L2_Punc_CN</ability>
      <abilityName/>
      <candidateList>
        <item>.</item>
      </candidateList>
      <explain/>
      <paraID>2F61B1B4</paraID>
      <start>1</start>
      <end>2</end>
      <status>unmodified</status>
      <modifiedWord/>
      <trackRevisions>false</trackRevisions>
    </reviewItem>
    <reviewItem>
      <errorID>692df49a-f7fb-4399-8ccf-c483b36e4065</errorID>
      <errorWord>、</errorWord>
      <group>L1_Punc</group>
      <groupName>标点问题</groupName>
      <ability>L2_Punc_CN</ability>
      <abilityName/>
      <candidateList>
        <item>.</item>
      </candidateList>
      <explain/>
      <paraID>27199196</paraID>
      <start>1</start>
      <end>2</end>
      <status>unmodified</status>
      <modifiedWord/>
      <trackRevisions>false</trackRevisions>
    </reviewItem>
    <reviewItem>
      <errorID>3432ca35-4300-4cf6-9625-e04293aeb93c</errorID>
      <errorWord>车</errorWord>
      <group>L1_Word</group>
      <groupName>字词问题</groupName>
      <ability>L2_Typo</ability>
      <abilityName>字词错误</abilityName>
      <candidateList>
        <item>车辆</item>
      </candidateList>
      <explain>〈名〉各种车的总称。</explain>
      <paraID>27199196</paraID>
      <start>5</start>
      <end>7</end>
      <status>modified</status>
      <modifiedWord>车辆</modifiedWord>
      <trackRevisions>false</trackRevisions>
    </reviewItem>
    <reviewItem>
      <errorID>c160f36a-ea11-49dd-ade8-60cd323c4057</errorID>
      <errorWord>、</errorWord>
      <group>L1_Punc</group>
      <groupName>标点问题</groupName>
      <ability>L2_Punc_CN</ability>
      <abilityName/>
      <candidateList>
        <item>.</item>
      </candidateList>
      <explain/>
      <paraID>47222FE7</paraID>
      <start>1</start>
      <end>2</end>
      <status>unmodified</status>
      <modifiedWord/>
      <trackRevisions>false</trackRevisions>
    </reviewItem>
    <reviewItem>
      <errorID>ee8f1408-e189-4714-a5dd-f4399ed042d7</errorID>
      <errorWord>、</errorWord>
      <group>L1_Punc</group>
      <groupName>标点问题</groupName>
      <ability>L2_Punc_CN</ability>
      <abilityName/>
      <candidateList>
        <item>.</item>
      </candidateList>
      <explain/>
      <paraID>373B9296</paraID>
      <start>1</start>
      <end>2</end>
      <status>unmodified</status>
      <modifiedWord/>
      <trackRevisions>false</trackRevisions>
    </reviewItem>
    <reviewItem>
      <errorID>5472a54b-5f17-455e-a4e5-a0c15ec08d55</errorID>
      <errorWord>、</errorWord>
      <group>L1_Punc</group>
      <groupName>标点问题</groupName>
      <ability>L2_Punc_CN</ability>
      <abilityName/>
      <candidateList>
        <item>.</item>
      </candidateList>
      <explain/>
      <paraID>5F089092</paraID>
      <start>1</start>
      <end>2</end>
      <status>unmodified</status>
      <modifiedWord/>
      <trackRevisions>false</trackRevisions>
    </reviewItem>
    <reviewItem>
      <errorID>58cb9ddd-7157-49be-af6a-3b9e6f3f3f34</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5F089092</paraID>
      <start>59</start>
      <end>60</end>
      <status>unmodified</status>
      <modifiedWord/>
      <trackRevisions>false</trackRevisions>
    </reviewItem>
    <reviewItem>
      <errorID>83d69a80-3be0-444a-8d85-7af3c27a99c7</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5F089092</paraID>
      <start>96</start>
      <end>97</end>
      <status>unmodified</status>
      <modifiedWord/>
      <trackRevisions>false</trackRevisions>
    </reviewItem>
    <reviewItem>
      <errorID>3ef2094c-ae82-4c45-b91f-1ce7532182ab</errorID>
      <errorWord>、</errorWord>
      <group>L1_Punc</group>
      <groupName>标点问题</groupName>
      <ability>L2_Punc_CN</ability>
      <abilityName/>
      <candidateList>
        <item>.</item>
      </candidateList>
      <explain/>
      <paraID> ED83FF2</paraID>
      <start>1</start>
      <end>2</end>
      <status>unmodified</status>
      <modifiedWord/>
      <trackRevisions>false</trackRevisions>
    </reviewItem>
    <reviewItem>
      <errorID>a09a1c9a-6f40-4f2b-91ab-aacb9ac95eb4</errorID>
      <errorWord>、</errorWord>
      <group>L1_Punc</group>
      <groupName>标点问题</groupName>
      <ability>L2_Punc_CN</ability>
      <abilityName/>
      <candidateList>
        <item>.</item>
      </candidateList>
      <explain/>
      <paraID> A9D5F17</paraID>
      <start>1</start>
      <end>2</end>
      <status>unmodified</status>
      <modifiedWord/>
      <trackRevisions>false</trackRevisions>
    </reviewItem>
    <reviewItem>
      <errorID>a2481447-dcd4-4430-99fb-41ae0c548ca3</errorID>
      <errorWord>表明</errorWord>
      <group>L1_Word</group>
      <groupName>字词问题</groupName>
      <ability>L2_Typo</ability>
      <abilityName>字词错误</abilityName>
      <candidateList>
        <item>标明</item>
      </candidateList>
      <explain>〈动〉做出记号或写出文字使人知道：～号码｜车站的时刻表上～由上海来的快车在四点钟到达。</explain>
      <paraID> A9D5F17</paraID>
      <start>61</start>
      <end>63</end>
      <status>modified</status>
      <modifiedWord>标明</modifiedWord>
      <trackRevisions>false</trackRevisions>
    </reviewItem>
    <reviewItem>
      <errorID>2fad8cf4-842e-412d-a0de-cff356eebe35</errorID>
      <errorWord>、</errorWord>
      <group>L1_Punc</group>
      <groupName>标点问题</groupName>
      <ability>L2_Punc_CN</ability>
      <abilityName/>
      <candidateList>
        <item>.</item>
      </candidateList>
      <explain/>
      <paraID>7519C7AA</paraID>
      <start>1</start>
      <end>2</end>
      <status>unmodified</status>
      <modifiedWord/>
      <trackRevisions>false</trackRevisions>
    </reviewItem>
    <reviewItem>
      <errorID>194c9262-3f2b-416b-8859-1e4e9315d1b7</errorID>
      <errorWord>、</errorWord>
      <group>L1_Punc</group>
      <groupName>标点问题</groupName>
      <ability>L2_Punc_CN</ability>
      <abilityName/>
      <candidateList>
        <item>.</item>
      </candidateList>
      <explain/>
      <paraID>7FC709F6</paraID>
      <start>1</start>
      <end>2</end>
      <status>unmodified</status>
      <modifiedWord/>
      <trackRevisions>false</trackRevisions>
    </reviewItem>
    <reviewItem>
      <errorID>90418780-c460-42c0-b1ea-7a4671b6166e</errorID>
      <errorWord>作好</errorWord>
      <group>L1_Word</group>
      <groupName>字词问题</groupName>
      <ability>L2_Typo</ability>
      <abilityName>字词错误</abilityName>
      <candidateList>
        <item>做好</item>
      </candidateList>
      <explain>存在发音相同字词的误用。</explain>
      <paraID>7FC709F6</paraID>
      <start>13</start>
      <end>15</end>
      <status>modified</status>
      <modifiedWord>做好</modifiedWord>
      <trackRevisions>false</trackRevisions>
    </reviewItem>
    <reviewItem>
      <errorID>57ffd329-3ac5-4390-b43a-22f549b6abe7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5F928947</paraID>
      <start>0</start>
      <end>2</end>
      <status>unmodified</status>
      <modifiedWord/>
      <trackRevisions>false</trackRevisions>
    </reviewItem>
    <reviewItem>
      <errorID>e3f8c457-c419-43f8-9222-0426395285a9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77630B6B</paraID>
      <start>0</start>
      <end>2</end>
      <status>unmodified</status>
      <modifiedWord/>
      <trackRevisions>false</trackRevisions>
    </reviewItem>
    <reviewItem>
      <errorID>b6001c02-d978-4970-8a33-974194be2d0b</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1168DE2B</paraID>
      <start>65</start>
      <end>66</end>
      <status>unmodified</status>
      <modifiedWord/>
      <trackRevisions>false</trackRevisions>
    </reviewItem>
    <reviewItem>
      <errorID>258ed15b-a933-4f1b-b0b2-cfa5626b9677</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1168DE2B</paraID>
      <start>102</start>
      <end>103</end>
      <status>unmodified</status>
      <modifiedWord/>
      <trackRevisions>false</trackRevisions>
    </reviewItem>
    <reviewItem>
      <errorID>c05fe792-5a31-49f1-8b9f-834036bdcc7d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6D73E4FC</paraID>
      <start>0</start>
      <end>2</end>
      <status>unmodified</status>
      <modifiedWord/>
      <trackRevisions>false</trackRevisions>
    </reviewItem>
    <reviewItem>
      <errorID>f1cf73ba-7ca3-4003-a6f1-95de8dc0f002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6CE72A53</paraID>
      <start>0</start>
      <end>2</end>
      <status>unmodified</status>
      <modifiedWord/>
      <trackRevisions>false</trackRevisions>
    </reviewItem>
    <reviewItem>
      <errorID>104ddc3e-31e4-4f82-9a2d-7f8411c74649</errorID>
      <errorWord>,</errorWord>
      <group>L1_Format</group>
      <groupName>格式问题</groupName>
      <ability>L2_HalfPunc_CN</ability>
      <abilityName/>
      <candidateList>
        <item>，</item>
      </candidateList>
      <explain>文本全半角错误。</explain>
      <paraID>37C2C733</paraID>
      <start>49</start>
      <end>50</end>
      <status>unmodified</status>
      <modifiedWord/>
      <trackRevisions>false</trackRevisions>
    </reviewItem>
    <reviewItem>
      <errorID>a4713635-be35-41cb-862c-d73f916e626a</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3719A304</paraID>
      <start>92</start>
      <end>95</end>
      <status>modified</status>
      <modifiedWord>刺激征</modifiedWord>
      <trackRevisions>false</trackRevisions>
    </reviewItem>
    <reviewItem>
      <errorID>47aa49ca-7d9f-41bc-a223-5ba2b38d409c</errorID>
      <errorWord>嗅</errorWord>
      <group>L1_Word</group>
      <groupName>字词问题</groupName>
      <ability>L2_Typo</ability>
      <abilityName>字词错误</abilityName>
      <candidateList>
        <item>臭</item>
      </candidateList>
      <explain>存在字形相近字词的误用。</explain>
      <paraID>2146AAFC</paraID>
      <start>7</start>
      <end>8</end>
      <status>modified</status>
      <modifiedWord>臭</modifiedWord>
      <trackRevisions>false</trackRevisions>
    </reviewItem>
    <reviewItem>
      <errorID>ffe30183-ba4a-4831-bfc5-8b77059a95df</errorID>
      <errorWord>,</errorWord>
      <group>L1_Format</group>
      <groupName>格式问题</groupName>
      <ability>L2_HalfPunc_CN</ability>
      <abilityName/>
      <candidateList>
        <item>，</item>
      </candidateList>
      <explain>文本全半角错误。</explain>
      <paraID>2146AAFC</paraID>
      <start>114</start>
      <end>115</end>
      <status>unmodified</status>
      <modifiedWord/>
      <trackRevisions>false</trackRevisions>
    </reviewItem>
    <reviewItem>
      <errorID>785ea169-aa7d-4b94-8404-ce053e81bde4</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4E2CDEC2</paraID>
      <start>157</start>
      <end>160</end>
      <status>modified</status>
      <modifiedWord>刺激征</modifiedWord>
      <trackRevisions>false</trackRevisions>
    </reviewItem>
    <reviewItem>
      <errorID>054b825f-eacf-458c-8dea-ece6a92d6847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1F381B6E</paraID>
      <start>0</start>
      <end>2</end>
      <status>unmodified</status>
      <modifiedWord/>
      <trackRevisions>false</trackRevisions>
    </reviewItem>
    <reviewItem>
      <errorID>a49dc73e-412e-4ff7-bcdd-0c4e17a62b97</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8876F2D</paraID>
      <start>89</start>
      <end>90</end>
      <status>unmodified</status>
      <modifiedWord/>
      <trackRevisions>false</trackRevisions>
    </reviewItem>
    <reviewItem>
      <errorID>a6efc442-f12b-42ae-b58d-a121f23a3fbd</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8876F2D</paraID>
      <start>126</start>
      <end>127</end>
      <status>unmodified</status>
      <modifiedWord/>
      <trackRevisions>false</trackRevisions>
    </reviewItem>
    <reviewItem>
      <errorID>ebab9cc7-3bef-4109-8a3c-6ad5c0e2720d</errorID>
      <errorWord>，</errorWord>
      <group>L1_Word</group>
      <groupName>字词问题</groupName>
      <ability>L2_Typo</ability>
      <abilityName>字词错误</abilityName>
      <candidateList>
        <item>，在</item>
      </candidateList>
      <explain/>
      <paraID>4481BA05</paraID>
      <start>91</start>
      <end>93</end>
      <status>modified</status>
      <modifiedWord>，在</modifiedWord>
      <trackRevisions>false</trackRevisions>
    </reviewItem>
    <reviewItem>
      <errorID>0c163ec5-9186-42c9-857b-386f0e70f204</errorID>
      <errorWord>程</errorWord>
      <group>L1_Word</group>
      <groupName>字词问题</groupName>
      <ability>L2_Typo</ability>
      <abilityName>字词错误</abilityName>
      <candidateList>
        <item>程中</item>
      </candidateList>
      <explain/>
      <paraID>6E267C59</paraID>
      <start>140</start>
      <end>142</end>
      <status>modified</status>
      <modifiedWord>程中</modifiedWord>
      <trackRevisions>false</trackRevisions>
    </reviewItem>
    <reviewItem>
      <errorID>c2bb642c-ec41-4770-8211-56bddfeed2dc</errorID>
      <errorWord>区</errorWord>
      <group>L1_Word</group>
      <groupName>字词问题</groupName>
      <ability>L2_Typo</ability>
      <abilityName>字词错误</abilityName>
      <candidateList>
        <item>区域</item>
      </candidateList>
      <explain/>
      <paraID>16248D0E</paraID>
      <start>9</start>
      <end>11</end>
      <status>modified</status>
      <modifiedWord>区域</modifiedWord>
      <trackRevisions>false</trackRevisions>
    </reviewItem>
    <reviewItem>
      <errorID>74b422fc-fdc2-40f3-8ead-fdbe2540d9c0</errorID>
      <errorWord>临近</errorWord>
      <group>L1_Word</group>
      <groupName>字词问题</groupName>
      <ability>L2_Typo</ability>
      <abilityName>字词错误</abilityName>
      <candidateList>
        <item>邻近</item>
      </candidateList>
      <explain>存在发音相同字词的误用。</explain>
      <paraID>4DA02CEC</paraID>
      <start>25</start>
      <end>27</end>
      <status>modified</status>
      <modifiedWord>邻近</modifiedWord>
      <trackRevisions>false</trackRevisions>
    </reviewItem>
    <reviewItem>
      <errorID>9c621fa9-2d00-42f4-bf41-4178429db96d</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784BAB8F</paraID>
      <start>90</start>
      <end>91</end>
      <status>unmodified</status>
      <modifiedWord/>
      <trackRevisions>false</trackRevisions>
    </reviewItem>
    <reviewItem>
      <errorID>5b0c0467-6bcd-4eed-8c5d-a40bac7dbe74</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784BAB8F</paraID>
      <start>127</start>
      <end>128</end>
      <status>unmodified</status>
      <modifiedWord/>
      <trackRevisions>false</trackRevisions>
    </reviewItem>
    <reviewItem>
      <errorID>27beae3b-74c3-43b7-94e2-2780543b3761</errorID>
      <errorWord>接受</errorWord>
      <group>L1_Word</group>
      <groupName>字词问题</groupName>
      <ability>L2_Typo</ability>
      <abilityName>字词错误</abilityName>
      <candidateList>
        <item>接收</item>
      </candidateList>
      <explain>存在发音相同字词的误用。</explain>
      <paraID>3BE9BC13</paraID>
      <start>20</start>
      <end>22</end>
      <status>modified</status>
      <modifiedWord>接收</modifiedWord>
      <trackRevisions>false</trackRevisions>
    </reviewItem>
    <reviewItem>
      <errorID>61524e53-4161-4f31-a076-c0a87a425d8d</errorID>
      <errorWord>二日</errorWord>
      <group>L1_Word</group>
      <groupName>字词问题</groupName>
      <ability>L2_Typo</ability>
      <abilityName>字词错误</abilityName>
      <candidateList>
        <item>两日</item>
      </candidateList>
      <explain/>
      <paraID>3BE9BC13</paraID>
      <start>132</start>
      <end>134</end>
      <status>modified</status>
      <modifiedWord>两日</modifiedWord>
      <trackRevisions>false</trackRevisions>
    </reviewItem>
    <reviewItem>
      <errorID>7dffe552-2f8d-44c1-8e92-ee4043fe2d05</errorID>
      <errorWord>位于整个厂区的位置</errorWord>
      <group>L1_Grammar</group>
      <groupName>语法问题</groupName>
      <ability>L2_Grammar</ability>
      <abilityName>语法错误</abilityName>
      <candidateList>
        <item>位于整个厂区</item>
      </candidateList>
      <explain/>
      <paraID> FAA44DC</paraID>
      <start>7</start>
      <end>13</end>
      <status>modified</status>
      <modifiedWord>位于整个厂区</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810f87-4a35-403c-a757-25d4c4ec6f80}">
  <ds:schemaRefs/>
</ds:datastoreItem>
</file>

<file path=docProps/app.xml><?xml version="1.0" encoding="utf-8"?>
<Properties xmlns="http://schemas.openxmlformats.org/officeDocument/2006/extended-properties" xmlns:vt="http://schemas.openxmlformats.org/officeDocument/2006/docPropsVTypes">
  <Template>Normal.dotm</Template>
  <Pages>79</Pages>
  <Words>4458</Words>
  <Characters>4646</Characters>
  <Lines>0</Lines>
  <Paragraphs>0</Paragraphs>
  <TotalTime>1095</TotalTime>
  <ScaleCrop>false</ScaleCrop>
  <LinksUpToDate>false</LinksUpToDate>
  <CharactersWithSpaces>4646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2026-03-23T08:06:00Z</dcterms:created>
  <dc:creator>IKL</dc:creator>
  <cp:lastModifiedBy>初心す</cp:lastModifiedBy>
  <dcterms:modified xsi:type="dcterms:W3CDTF">2026-05-22T03:51:24Z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9E0763D6CFCF45869F3197A1E82E5D1C_13</vt:lpwstr>
  </property>
  <property fmtid="{D5CDD505-2E9C-101B-9397-08002B2CF9AE}" pid="4" name="KSOTemplateDocerSaveRecord">
    <vt:lpwstr>eyJoZGlkIjoiM2EyOWVkMDQ1ZDJiMmU2YTY0Y2RjZjk2MTY4MmNjZTAiLCJ1c2VySWQiOiIzMTQyNjY5OTIifQ==</vt:lpwstr>
  </property>
</Properties>
</file>