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B42F0">
      <w:pPr>
        <w:pStyle w:val="27"/>
        <w:ind w:left="0" w:leftChars="0" w:firstLine="0" w:firstLineChars="0"/>
        <w:jc w:val="center"/>
        <w:rPr>
          <w:rFonts w:hint="default" w:ascii="Times New Roman" w:hAnsi="Times New Roman" w:cs="Times New Roman"/>
          <w:color w:val="auto"/>
          <w:highlight w:val="none"/>
        </w:rPr>
      </w:pPr>
    </w:p>
    <w:p w14:paraId="7092AA59">
      <w:pPr>
        <w:jc w:val="center"/>
        <w:rPr>
          <w:rFonts w:hint="default" w:ascii="Times New Roman" w:hAnsi="Times New Roman" w:eastAsia="仿宋_GB2312" w:cs="Times New Roman"/>
          <w:color w:val="auto"/>
          <w:sz w:val="36"/>
          <w:szCs w:val="36"/>
          <w:highlight w:val="none"/>
        </w:rPr>
      </w:pPr>
    </w:p>
    <w:p w14:paraId="35CEC2D6">
      <w:pPr>
        <w:jc w:val="center"/>
        <w:rPr>
          <w:rFonts w:hint="default" w:ascii="Times New Roman" w:hAnsi="Times New Roman" w:eastAsia="仿宋_GB2312" w:cs="Times New Roman"/>
          <w:color w:val="auto"/>
          <w:sz w:val="36"/>
          <w:szCs w:val="36"/>
          <w:highlight w:val="none"/>
        </w:rPr>
      </w:pPr>
    </w:p>
    <w:p w14:paraId="076212A4">
      <w:pPr>
        <w:jc w:val="center"/>
        <w:rPr>
          <w:rFonts w:hint="default" w:ascii="Times New Roman" w:hAnsi="Times New Roman" w:eastAsia="仿宋_GB2312" w:cs="Times New Roman"/>
          <w:color w:val="auto"/>
          <w:sz w:val="36"/>
          <w:szCs w:val="36"/>
          <w:highlight w:val="none"/>
        </w:rPr>
      </w:pPr>
    </w:p>
    <w:p w14:paraId="05DE33E7">
      <w:pPr>
        <w:jc w:val="center"/>
        <w:rPr>
          <w:rFonts w:hint="default" w:ascii="Times New Roman" w:hAnsi="Times New Roman" w:eastAsia="仿宋_GB2312" w:cs="Times New Roman"/>
          <w:color w:val="auto"/>
          <w:sz w:val="36"/>
          <w:szCs w:val="36"/>
          <w:highlight w:val="none"/>
        </w:rPr>
      </w:pPr>
    </w:p>
    <w:p w14:paraId="64C38E9E">
      <w:pPr>
        <w:adjustRightInd w:val="0"/>
        <w:snapToGrid w:val="0"/>
        <w:jc w:val="center"/>
        <w:outlineLvl w:val="0"/>
        <w:rPr>
          <w:rFonts w:hint="default" w:ascii="Times New Roman" w:hAnsi="Times New Roman" w:cs="Times New Roman"/>
          <w:bCs/>
          <w:color w:val="auto"/>
          <w:sz w:val="72"/>
          <w:szCs w:val="72"/>
          <w:highlight w:val="none"/>
        </w:rPr>
      </w:pPr>
      <w:r>
        <w:rPr>
          <w:rFonts w:hint="default" w:ascii="Times New Roman" w:hAnsi="Times New Roman" w:cs="Times New Roman"/>
          <w:bCs/>
          <w:color w:val="auto"/>
          <w:sz w:val="72"/>
          <w:szCs w:val="72"/>
          <w:highlight w:val="none"/>
        </w:rPr>
        <w:t>建设项目环境影响报告表</w:t>
      </w:r>
    </w:p>
    <w:p w14:paraId="6F2E4B27">
      <w:pPr>
        <w:adjustRightInd w:val="0"/>
        <w:snapToGrid w:val="0"/>
        <w:spacing w:before="249"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752296E6">
      <w:pPr>
        <w:jc w:val="center"/>
        <w:rPr>
          <w:rFonts w:hint="default" w:ascii="Times New Roman" w:hAnsi="Times New Roman" w:cs="Times New Roman"/>
          <w:color w:val="auto"/>
          <w:highlight w:val="none"/>
        </w:rPr>
      </w:pPr>
    </w:p>
    <w:p w14:paraId="1FE3E452">
      <w:pPr>
        <w:jc w:val="center"/>
        <w:rPr>
          <w:rFonts w:hint="default" w:ascii="Times New Roman" w:hAnsi="Times New Roman" w:eastAsia="仿宋" w:cs="Times New Roman"/>
          <w:color w:val="auto"/>
          <w:sz w:val="52"/>
          <w:szCs w:val="52"/>
          <w:highlight w:val="none"/>
        </w:rPr>
      </w:pPr>
    </w:p>
    <w:p w14:paraId="7E2A8CA8">
      <w:pPr>
        <w:jc w:val="center"/>
        <w:rPr>
          <w:rFonts w:hint="default" w:ascii="Times New Roman" w:hAnsi="Times New Roman" w:eastAsia="仿宋" w:cs="Times New Roman"/>
          <w:color w:val="auto"/>
          <w:sz w:val="44"/>
          <w:szCs w:val="44"/>
          <w:highlight w:val="none"/>
        </w:rPr>
      </w:pPr>
    </w:p>
    <w:p w14:paraId="2D51728B">
      <w:pPr>
        <w:pStyle w:val="5"/>
        <w:ind w:left="0" w:leftChars="0" w:firstLine="0" w:firstLineChars="0"/>
        <w:jc w:val="both"/>
        <w:rPr>
          <w:rFonts w:hint="default" w:ascii="Times New Roman" w:hAnsi="Times New Roman" w:cs="Times New Roman"/>
          <w:color w:val="auto"/>
          <w:highlight w:val="none"/>
        </w:rPr>
      </w:pPr>
    </w:p>
    <w:p w14:paraId="0590E29E">
      <w:pPr>
        <w:pStyle w:val="5"/>
        <w:ind w:left="0" w:leftChars="0" w:firstLine="0" w:firstLineChars="0"/>
        <w:jc w:val="both"/>
        <w:rPr>
          <w:rFonts w:hint="default" w:ascii="Times New Roman" w:hAnsi="Times New Roman" w:cs="Times New Roman"/>
          <w:color w:val="auto"/>
          <w:highlight w:val="none"/>
        </w:rPr>
      </w:pPr>
    </w:p>
    <w:p w14:paraId="61ED86EA">
      <w:pPr>
        <w:pStyle w:val="5"/>
        <w:ind w:left="0" w:leftChars="0" w:firstLine="0" w:firstLineChars="0"/>
        <w:jc w:val="both"/>
        <w:rPr>
          <w:rFonts w:hint="default" w:ascii="Times New Roman" w:hAnsi="Times New Roman" w:cs="Times New Roman"/>
          <w:color w:val="auto"/>
          <w:highlight w:val="none"/>
        </w:rPr>
      </w:pPr>
    </w:p>
    <w:p w14:paraId="44D2C1B8">
      <w:pPr>
        <w:pStyle w:val="5"/>
        <w:ind w:left="0" w:leftChars="0" w:firstLine="0" w:firstLineChars="0"/>
        <w:jc w:val="both"/>
        <w:rPr>
          <w:rFonts w:hint="default" w:ascii="Times New Roman" w:hAnsi="Times New Roman" w:cs="Times New Roman"/>
          <w:color w:val="auto"/>
          <w:highlight w:val="none"/>
        </w:rPr>
      </w:pPr>
    </w:p>
    <w:p w14:paraId="13054A83">
      <w:pPr>
        <w:pStyle w:val="5"/>
        <w:ind w:left="0" w:leftChars="0" w:firstLine="0" w:firstLineChars="0"/>
        <w:jc w:val="both"/>
        <w:rPr>
          <w:rFonts w:hint="default" w:ascii="Times New Roman" w:hAnsi="Times New Roman" w:cs="Times New Roman"/>
          <w:color w:val="auto"/>
          <w:highlight w:val="none"/>
        </w:rPr>
      </w:pPr>
    </w:p>
    <w:p w14:paraId="4CD69A84">
      <w:pPr>
        <w:pStyle w:val="5"/>
        <w:ind w:left="0" w:leftChars="0" w:firstLine="0" w:firstLineChars="0"/>
        <w:jc w:val="center"/>
        <w:rPr>
          <w:rFonts w:hint="default" w:ascii="Times New Roman" w:hAnsi="Times New Roman" w:cs="Times New Roman"/>
          <w:color w:val="auto"/>
          <w:highlight w:val="none"/>
        </w:rPr>
      </w:pPr>
    </w:p>
    <w:p w14:paraId="73CF22E7">
      <w:pPr>
        <w:pStyle w:val="5"/>
        <w:ind w:left="0" w:leftChars="0" w:firstLine="0" w:firstLineChars="0"/>
        <w:jc w:val="center"/>
        <w:rPr>
          <w:rFonts w:hint="default" w:ascii="Times New Roman" w:hAnsi="Times New Roman" w:cs="Times New Roman"/>
          <w:color w:val="auto"/>
          <w:highlight w:val="none"/>
        </w:rPr>
      </w:pPr>
    </w:p>
    <w:p w14:paraId="0EDF98E1">
      <w:pPr>
        <w:pStyle w:val="5"/>
        <w:ind w:left="0" w:leftChars="0" w:firstLine="0" w:firstLineChars="0"/>
        <w:jc w:val="center"/>
        <w:rPr>
          <w:rFonts w:hint="default" w:ascii="Times New Roman" w:hAnsi="Times New Roman" w:cs="Times New Roman"/>
          <w:color w:val="auto"/>
          <w:highlight w:val="none"/>
        </w:rPr>
      </w:pPr>
    </w:p>
    <w:p w14:paraId="49B40309">
      <w:pPr>
        <w:keepNext w:val="0"/>
        <w:keepLines w:val="0"/>
        <w:pageBreakBefore w:val="0"/>
        <w:widowControl w:val="0"/>
        <w:tabs>
          <w:tab w:val="left" w:pos="4459"/>
        </w:tabs>
        <w:kinsoku/>
        <w:wordWrap/>
        <w:overflowPunct/>
        <w:topLinePunct w:val="0"/>
        <w:autoSpaceDE w:val="0"/>
        <w:autoSpaceDN w:val="0"/>
        <w:bidi w:val="0"/>
        <w:adjustRightInd/>
        <w:snapToGrid w:val="0"/>
        <w:spacing w:line="480" w:lineRule="auto"/>
        <w:ind w:left="2518" w:leftChars="342" w:hanging="1800" w:hangingChars="500"/>
        <w:textAlignment w:val="auto"/>
        <w:rPr>
          <w:rFonts w:hint="default" w:ascii="Times New Roman" w:hAnsi="Times New Roman" w:eastAsia="仿宋" w:cs="Times New Roman"/>
          <w:color w:val="auto"/>
          <w:sz w:val="36"/>
          <w:highlight w:val="none"/>
          <w:u w:val="single"/>
          <w:lang w:val="en-US" w:eastAsia="zh-CN"/>
        </w:rPr>
      </w:pPr>
      <w:r>
        <w:rPr>
          <w:rFonts w:hint="default" w:ascii="Times New Roman" w:hAnsi="Times New Roman" w:eastAsia="仿宋" w:cs="Times New Roman"/>
          <w:color w:val="auto"/>
          <w:sz w:val="36"/>
          <w:highlight w:val="none"/>
        </w:rPr>
        <w:t>项目名称：</w:t>
      </w:r>
      <w:r>
        <w:rPr>
          <w:rFonts w:hint="eastAsia" w:eastAsia="仿宋" w:cs="Times New Roman"/>
          <w:color w:val="auto"/>
          <w:sz w:val="36"/>
          <w:highlight w:val="none"/>
          <w:u w:val="single"/>
          <w:lang w:val="en-US" w:eastAsia="zh-CN"/>
        </w:rPr>
        <w:t>伊金霍洛旗纳林塔纳林沟</w:t>
      </w:r>
      <w:r>
        <w:rPr>
          <w:rFonts w:hint="default" w:ascii="Times New Roman" w:hAnsi="Times New Roman" w:eastAsia="仿宋" w:cs="Times New Roman"/>
          <w:color w:val="auto"/>
          <w:sz w:val="36"/>
          <w:highlight w:val="none"/>
          <w:u w:val="single"/>
          <w:lang w:val="en-US" w:eastAsia="zh-CN"/>
        </w:rPr>
        <w:t>煤矿危废库暂存库建设项目</w:t>
      </w:r>
      <w:r>
        <w:rPr>
          <w:rFonts w:hint="eastAsia" w:eastAsia="仿宋" w:cs="Times New Roman"/>
          <w:color w:val="auto"/>
          <w:sz w:val="36"/>
          <w:highlight w:val="none"/>
          <w:u w:val="single"/>
          <w:lang w:val="en-US" w:eastAsia="zh-CN"/>
        </w:rPr>
        <w:t xml:space="preserve">                                      </w:t>
      </w:r>
    </w:p>
    <w:p w14:paraId="18D8FD51">
      <w:pPr>
        <w:keepNext w:val="0"/>
        <w:keepLines w:val="0"/>
        <w:pageBreakBefore w:val="0"/>
        <w:widowControl w:val="0"/>
        <w:tabs>
          <w:tab w:val="left" w:pos="4459"/>
        </w:tabs>
        <w:kinsoku/>
        <w:wordWrap/>
        <w:overflowPunct/>
        <w:topLinePunct w:val="0"/>
        <w:autoSpaceDE w:val="0"/>
        <w:autoSpaceDN w:val="0"/>
        <w:bidi w:val="0"/>
        <w:adjustRightInd/>
        <w:snapToGrid w:val="0"/>
        <w:spacing w:line="480" w:lineRule="auto"/>
        <w:ind w:left="3958" w:leftChars="342" w:hanging="3240" w:hangingChars="900"/>
        <w:textAlignment w:val="auto"/>
        <w:rPr>
          <w:rFonts w:hint="default" w:ascii="Times New Roman" w:hAnsi="Times New Roman" w:eastAsia="仿宋_GB2312" w:cs="Times New Roman"/>
          <w:color w:val="auto"/>
          <w:sz w:val="36"/>
          <w:highlight w:val="none"/>
          <w:u w:val="single"/>
          <w:lang w:val="en-US" w:eastAsia="zh-CN"/>
        </w:rPr>
      </w:pPr>
      <w:r>
        <w:rPr>
          <w:rFonts w:hint="default" w:ascii="Times New Roman" w:hAnsi="Times New Roman" w:eastAsia="仿宋" w:cs="Times New Roman"/>
          <w:color w:val="auto"/>
          <w:sz w:val="36"/>
          <w:highlight w:val="none"/>
        </w:rPr>
        <w:t>建设单位</w:t>
      </w:r>
      <w:r>
        <w:rPr>
          <w:rFonts w:hint="default" w:ascii="Times New Roman" w:hAnsi="Times New Roman" w:eastAsia="仿宋" w:cs="Times New Roman"/>
          <w:color w:val="auto"/>
          <w:sz w:val="36"/>
          <w:highlight w:val="none"/>
          <w:lang w:eastAsia="zh-CN"/>
        </w:rPr>
        <w:t>（盖章）</w:t>
      </w:r>
      <w:r>
        <w:rPr>
          <w:rFonts w:hint="default" w:ascii="Times New Roman" w:hAnsi="Times New Roman" w:eastAsia="仿宋" w:cs="Times New Roman"/>
          <w:color w:val="auto"/>
          <w:sz w:val="36"/>
          <w:highlight w:val="none"/>
        </w:rPr>
        <w:t>：</w:t>
      </w:r>
      <w:r>
        <w:rPr>
          <w:rFonts w:hint="eastAsia" w:eastAsia="仿宋" w:cs="Times New Roman"/>
          <w:color w:val="auto"/>
          <w:sz w:val="36"/>
          <w:highlight w:val="none"/>
          <w:u w:val="single"/>
          <w:lang w:val="en-US" w:eastAsia="zh-CN"/>
        </w:rPr>
        <w:t xml:space="preserve">内蒙古向荣矿业有限公司            </w:t>
      </w:r>
    </w:p>
    <w:p w14:paraId="29C752B3">
      <w:pPr>
        <w:keepNext w:val="0"/>
        <w:keepLines w:val="0"/>
        <w:pageBreakBefore w:val="0"/>
        <w:widowControl w:val="0"/>
        <w:tabs>
          <w:tab w:val="left" w:pos="4459"/>
        </w:tabs>
        <w:kinsoku/>
        <w:wordWrap/>
        <w:overflowPunct/>
        <w:topLinePunct w:val="0"/>
        <w:autoSpaceDE w:val="0"/>
        <w:autoSpaceDN w:val="0"/>
        <w:bidi w:val="0"/>
        <w:adjustRightInd/>
        <w:snapToGrid w:val="0"/>
        <w:spacing w:line="480" w:lineRule="auto"/>
        <w:ind w:firstLine="720" w:firstLineChars="200"/>
        <w:textAlignment w:val="auto"/>
        <w:rPr>
          <w:rFonts w:hint="default" w:ascii="Times New Roman" w:hAnsi="Times New Roman" w:cs="Times New Roman"/>
          <w:color w:val="auto"/>
          <w:sz w:val="20"/>
          <w:highlight w:val="none"/>
        </w:rPr>
      </w:pPr>
      <w:r>
        <w:rPr>
          <w:rFonts w:hint="default" w:ascii="Times New Roman" w:hAnsi="Times New Roman" w:eastAsia="仿宋" w:cs="Times New Roman"/>
          <w:color w:val="auto"/>
          <w:sz w:val="36"/>
          <w:highlight w:val="none"/>
        </w:rPr>
        <w:t>编制日期：</w:t>
      </w:r>
      <w:r>
        <w:rPr>
          <w:rFonts w:hint="default" w:ascii="Times New Roman" w:hAnsi="Times New Roman" w:eastAsia="仿宋" w:cs="Times New Roman"/>
          <w:color w:val="auto"/>
          <w:sz w:val="36"/>
          <w:highlight w:val="none"/>
          <w:u w:val="single"/>
          <w:lang w:val="en-US"/>
        </w:rPr>
        <w:t>202</w:t>
      </w:r>
      <w:r>
        <w:rPr>
          <w:rFonts w:hint="eastAsia" w:eastAsia="仿宋" w:cs="Times New Roman"/>
          <w:color w:val="auto"/>
          <w:sz w:val="36"/>
          <w:highlight w:val="none"/>
          <w:u w:val="single"/>
          <w:lang w:val="en-US" w:eastAsia="zh-CN"/>
        </w:rPr>
        <w:t>5</w:t>
      </w:r>
      <w:r>
        <w:rPr>
          <w:rFonts w:hint="default" w:ascii="Times New Roman" w:hAnsi="Times New Roman" w:eastAsia="仿宋" w:cs="Times New Roman"/>
          <w:color w:val="auto"/>
          <w:sz w:val="36"/>
          <w:highlight w:val="none"/>
          <w:u w:val="single"/>
          <w:lang w:val="en-US"/>
        </w:rPr>
        <w:t>年</w:t>
      </w:r>
      <w:r>
        <w:rPr>
          <w:rFonts w:hint="eastAsia" w:eastAsia="仿宋" w:cs="Times New Roman"/>
          <w:color w:val="auto"/>
          <w:sz w:val="36"/>
          <w:highlight w:val="none"/>
          <w:u w:val="single"/>
          <w:lang w:val="en-US" w:eastAsia="zh-CN"/>
        </w:rPr>
        <w:t>11</w:t>
      </w:r>
      <w:r>
        <w:rPr>
          <w:rFonts w:hint="default" w:ascii="Times New Roman" w:hAnsi="Times New Roman" w:eastAsia="仿宋" w:cs="Times New Roman"/>
          <w:color w:val="auto"/>
          <w:sz w:val="36"/>
          <w:highlight w:val="none"/>
          <w:u w:val="single"/>
          <w:lang w:val="en-US"/>
        </w:rPr>
        <w:t>月</w:t>
      </w:r>
      <w:r>
        <w:rPr>
          <w:rFonts w:hint="eastAsia" w:eastAsia="仿宋" w:cs="Times New Roman"/>
          <w:color w:val="auto"/>
          <w:sz w:val="36"/>
          <w:highlight w:val="none"/>
          <w:u w:val="single"/>
          <w:lang w:val="en-US" w:eastAsia="zh-CN"/>
        </w:rPr>
        <w:t xml:space="preserve">                                 </w:t>
      </w:r>
    </w:p>
    <w:p w14:paraId="264E6E4B">
      <w:pPr>
        <w:pStyle w:val="10"/>
        <w:numPr>
          <w:ilvl w:val="0"/>
          <w:numId w:val="0"/>
        </w:numPr>
        <w:rPr>
          <w:rFonts w:hint="default"/>
          <w:color w:val="auto"/>
          <w:highlight w:val="none"/>
        </w:rPr>
      </w:pPr>
    </w:p>
    <w:p w14:paraId="33D41423">
      <w:pPr>
        <w:pStyle w:val="9"/>
        <w:spacing w:before="1"/>
        <w:jc w:val="center"/>
        <w:rPr>
          <w:rFonts w:hint="default" w:ascii="Times New Roman" w:hAnsi="Times New Roman" w:cs="Times New Roman"/>
          <w:color w:val="auto"/>
          <w:sz w:val="15"/>
          <w:highlight w:val="none"/>
        </w:rPr>
      </w:pPr>
    </w:p>
    <w:p w14:paraId="4BF676AE">
      <w:pPr>
        <w:jc w:val="center"/>
        <w:rPr>
          <w:rFonts w:hint="default" w:ascii="Times New Roman" w:hAnsi="Times New Roman" w:cs="Times New Roman"/>
          <w:color w:val="auto"/>
          <w:highlight w:val="none"/>
        </w:rPr>
      </w:pPr>
      <w:r>
        <w:rPr>
          <w:rFonts w:hint="default" w:ascii="Times New Roman" w:hAnsi="Times New Roman" w:eastAsia="楷体" w:cs="Times New Roman"/>
          <w:color w:val="auto"/>
          <w:sz w:val="36"/>
          <w:highlight w:val="none"/>
        </w:rPr>
        <w:t>中华人民共和国生态环境部</w:t>
      </w:r>
    </w:p>
    <w:p w14:paraId="2D6246C4">
      <w:pPr>
        <w:spacing w:before="50"/>
        <w:ind w:left="442" w:right="464"/>
        <w:jc w:val="center"/>
        <w:rPr>
          <w:rFonts w:hint="default" w:ascii="Times New Roman" w:hAnsi="Times New Roman" w:eastAsia="楷体" w:cs="Times New Roman"/>
          <w:color w:val="auto"/>
          <w:sz w:val="36"/>
          <w:highlight w:val="none"/>
        </w:rPr>
        <w:sectPr>
          <w:footerReference r:id="rId3" w:type="default"/>
          <w:footerReference r:id="rId4" w:type="even"/>
          <w:pgSz w:w="11910" w:h="16840"/>
          <w:pgMar w:top="1580" w:right="879" w:bottom="1240" w:left="900" w:header="0" w:footer="1043" w:gutter="0"/>
          <w:pgBorders>
            <w:top w:val="none" w:sz="0" w:space="0"/>
            <w:left w:val="none" w:sz="0" w:space="0"/>
            <w:bottom w:val="none" w:sz="0" w:space="0"/>
            <w:right w:val="none" w:sz="0" w:space="0"/>
          </w:pgBorders>
          <w:pgNumType w:fmt="numberInDash" w:start="1"/>
          <w:cols w:space="720" w:num="1"/>
        </w:sectPr>
      </w:pPr>
    </w:p>
    <w:p w14:paraId="71F12401">
      <w:pPr>
        <w:pStyle w:val="31"/>
        <w:widowControl/>
        <w:numPr>
          <w:ilvl w:val="0"/>
          <w:numId w:val="2"/>
        </w:numPr>
        <w:spacing w:before="100" w:beforeAutospacing="1" w:after="100" w:afterAutospacing="1"/>
        <w:ind w:firstLineChars="0"/>
        <w:jc w:val="center"/>
        <w:outlineLvl w:val="0"/>
        <w:rPr>
          <w:rFonts w:hint="default" w:ascii="Times New Roman" w:hAnsi="Times New Roman" w:cs="Times New Roman"/>
          <w:b/>
          <w:bCs/>
          <w:snapToGrid w:val="0"/>
          <w:color w:val="auto"/>
          <w:kern w:val="0"/>
          <w:sz w:val="30"/>
          <w:szCs w:val="30"/>
          <w:highlight w:val="none"/>
        </w:rPr>
      </w:pPr>
      <w:r>
        <w:rPr>
          <w:rFonts w:hint="default" w:ascii="Times New Roman" w:hAnsi="Times New Roman" w:cs="Times New Roman"/>
          <w:b/>
          <w:bCs/>
          <w:snapToGrid w:val="0"/>
          <w:color w:val="auto"/>
          <w:kern w:val="0"/>
          <w:sz w:val="30"/>
          <w:szCs w:val="30"/>
          <w:highlight w:val="none"/>
        </w:rPr>
        <w:t>建设项目基本情况</w:t>
      </w:r>
    </w:p>
    <w:tbl>
      <w:tblPr>
        <w:tblStyle w:val="20"/>
        <w:tblW w:w="91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31"/>
        <w:gridCol w:w="1927"/>
        <w:gridCol w:w="2147"/>
        <w:gridCol w:w="3277"/>
      </w:tblGrid>
      <w:tr w14:paraId="47BD60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2FD62FC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建设项目名称</w:t>
            </w:r>
          </w:p>
        </w:tc>
        <w:tc>
          <w:tcPr>
            <w:tcW w:w="7351" w:type="dxa"/>
            <w:gridSpan w:val="3"/>
            <w:vAlign w:val="center"/>
          </w:tcPr>
          <w:p w14:paraId="0D04316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伊金霍洛旗纳林塔纳林沟煤矿配套危废暂存库建设项目</w:t>
            </w:r>
          </w:p>
        </w:tc>
      </w:tr>
      <w:tr w14:paraId="520F18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742BF84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项目代码</w:t>
            </w:r>
          </w:p>
        </w:tc>
        <w:tc>
          <w:tcPr>
            <w:tcW w:w="7351" w:type="dxa"/>
            <w:gridSpan w:val="3"/>
            <w:vAlign w:val="center"/>
          </w:tcPr>
          <w:p w14:paraId="0F5066A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tc>
      </w:tr>
      <w:tr w14:paraId="56B7F6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3783A87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建设单位联系人</w:t>
            </w:r>
          </w:p>
        </w:tc>
        <w:tc>
          <w:tcPr>
            <w:tcW w:w="1927" w:type="dxa"/>
            <w:vAlign w:val="center"/>
          </w:tcPr>
          <w:p w14:paraId="111655F9">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szCs w:val="24"/>
                <w:highlight w:val="none"/>
                <w:lang w:val="en-US" w:eastAsia="zh-CN"/>
              </w:rPr>
              <w:t>李二平</w:t>
            </w:r>
          </w:p>
        </w:tc>
        <w:tc>
          <w:tcPr>
            <w:tcW w:w="2147" w:type="dxa"/>
            <w:vAlign w:val="center"/>
          </w:tcPr>
          <w:p w14:paraId="7F09B58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lang w:val="en-US" w:eastAsia="zh-CN"/>
              </w:rPr>
              <w:t>联系方式</w:t>
            </w:r>
          </w:p>
        </w:tc>
        <w:tc>
          <w:tcPr>
            <w:tcW w:w="3277" w:type="dxa"/>
            <w:vAlign w:val="center"/>
          </w:tcPr>
          <w:p w14:paraId="223E25A2">
            <w:pPr>
              <w:adjustRightInd w:val="0"/>
              <w:snapToGrid w:val="0"/>
              <w:jc w:val="center"/>
              <w:rPr>
                <w:rFonts w:hint="default" w:ascii="Times New Roman" w:hAnsi="Times New Roman" w:cs="Times New Roman"/>
                <w:color w:val="auto"/>
                <w:sz w:val="24"/>
                <w:highlight w:val="none"/>
                <w:lang w:val="en-US"/>
              </w:rPr>
            </w:pPr>
            <w:r>
              <w:rPr>
                <w:rFonts w:hint="eastAsia" w:cs="Times New Roman"/>
                <w:color w:val="auto"/>
                <w:sz w:val="24"/>
                <w:szCs w:val="24"/>
                <w:highlight w:val="none"/>
                <w:lang w:val="en-US" w:eastAsia="zh-CN"/>
              </w:rPr>
              <w:t>15149404000</w:t>
            </w:r>
          </w:p>
        </w:tc>
      </w:tr>
      <w:tr w14:paraId="331DFC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151B7B7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w:t>
            </w:r>
          </w:p>
        </w:tc>
        <w:tc>
          <w:tcPr>
            <w:tcW w:w="7351" w:type="dxa"/>
            <w:gridSpan w:val="3"/>
            <w:vAlign w:val="center"/>
          </w:tcPr>
          <w:p w14:paraId="74DCD2B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szCs w:val="24"/>
                <w:highlight w:val="none"/>
                <w:lang w:val="en-US" w:eastAsia="zh-CN"/>
              </w:rPr>
              <w:t>内蒙古自治区鄂尔多斯市伊金霍洛旗</w:t>
            </w:r>
            <w:r>
              <w:rPr>
                <w:rFonts w:hint="eastAsia" w:cs="Times New Roman"/>
                <w:color w:val="auto"/>
                <w:sz w:val="24"/>
                <w:szCs w:val="24"/>
                <w:highlight w:val="none"/>
                <w:lang w:val="en-US" w:eastAsia="zh-CN"/>
              </w:rPr>
              <w:t>纳林陶亥镇伊金霍洛旗纳林塔纳林沟煤矿矿区范围内</w:t>
            </w:r>
          </w:p>
        </w:tc>
      </w:tr>
      <w:tr w14:paraId="7F81C8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0D3E3DF5">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7351" w:type="dxa"/>
            <w:gridSpan w:val="3"/>
            <w:vAlign w:val="center"/>
          </w:tcPr>
          <w:p w14:paraId="4D6D8CCE">
            <w:pPr>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东经</w:t>
            </w:r>
            <w:r>
              <w:rPr>
                <w:rFonts w:hint="default" w:ascii="Times New Roman" w:hAnsi="Times New Roman" w:eastAsia="宋体" w:cs="Times New Roman"/>
                <w:color w:val="auto"/>
                <w:sz w:val="24"/>
                <w:highlight w:val="none"/>
                <w:lang w:val="en-US" w:eastAsia="zh-CN"/>
              </w:rPr>
              <w:t>110</w:t>
            </w:r>
            <w:r>
              <w:rPr>
                <w:rFonts w:hint="default" w:ascii="Times New Roman" w:hAnsi="Times New Roman" w:eastAsia="宋体" w:cs="Times New Roman"/>
                <w:color w:val="auto"/>
                <w:sz w:val="24"/>
                <w:highlight w:val="none"/>
              </w:rPr>
              <w:t>度</w:t>
            </w:r>
            <w:r>
              <w:rPr>
                <w:rFonts w:hint="eastAsia" w:cs="Times New Roman"/>
                <w:color w:val="auto"/>
                <w:sz w:val="24"/>
                <w:highlight w:val="none"/>
                <w:lang w:val="en-US" w:eastAsia="zh-CN"/>
              </w:rPr>
              <w:t>16</w:t>
            </w:r>
            <w:r>
              <w:rPr>
                <w:rFonts w:hint="default" w:ascii="Times New Roman" w:hAnsi="Times New Roman" w:eastAsia="宋体" w:cs="Times New Roman"/>
                <w:color w:val="auto"/>
                <w:sz w:val="24"/>
                <w:highlight w:val="none"/>
              </w:rPr>
              <w:t>分</w:t>
            </w:r>
            <w:r>
              <w:rPr>
                <w:rFonts w:hint="eastAsia" w:cs="Times New Roman"/>
                <w:color w:val="auto"/>
                <w:sz w:val="24"/>
                <w:highlight w:val="none"/>
                <w:lang w:val="en-US" w:eastAsia="zh-CN"/>
              </w:rPr>
              <w:t>34.520</w:t>
            </w:r>
            <w:r>
              <w:rPr>
                <w:rFonts w:hint="default" w:ascii="Times New Roman" w:hAnsi="Times New Roman" w:eastAsia="宋体" w:cs="Times New Roman"/>
                <w:color w:val="auto"/>
                <w:sz w:val="24"/>
                <w:highlight w:val="none"/>
              </w:rPr>
              <w:t>秒，北纬39度</w:t>
            </w:r>
            <w:r>
              <w:rPr>
                <w:rFonts w:hint="eastAsia" w:cs="Times New Roman"/>
                <w:color w:val="auto"/>
                <w:sz w:val="24"/>
                <w:highlight w:val="none"/>
                <w:lang w:val="en-US" w:eastAsia="zh-CN"/>
              </w:rPr>
              <w:t>35</w:t>
            </w:r>
            <w:r>
              <w:rPr>
                <w:rFonts w:hint="default" w:ascii="Times New Roman" w:hAnsi="Times New Roman" w:eastAsia="宋体" w:cs="Times New Roman"/>
                <w:color w:val="auto"/>
                <w:sz w:val="24"/>
                <w:highlight w:val="none"/>
              </w:rPr>
              <w:t>分</w:t>
            </w:r>
            <w:r>
              <w:rPr>
                <w:rFonts w:hint="eastAsia" w:cs="Times New Roman"/>
                <w:color w:val="auto"/>
                <w:sz w:val="24"/>
                <w:highlight w:val="none"/>
                <w:lang w:val="en-US" w:eastAsia="zh-CN"/>
              </w:rPr>
              <w:t>17.383</w:t>
            </w:r>
            <w:r>
              <w:rPr>
                <w:rFonts w:hint="default" w:ascii="Times New Roman" w:hAnsi="Times New Roman" w:eastAsia="宋体" w:cs="Times New Roman"/>
                <w:color w:val="auto"/>
                <w:sz w:val="24"/>
                <w:highlight w:val="none"/>
              </w:rPr>
              <w:t>秒</w:t>
            </w:r>
          </w:p>
        </w:tc>
      </w:tr>
      <w:tr w14:paraId="080F4A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31" w:type="dxa"/>
            <w:tcMar>
              <w:top w:w="16" w:type="dxa"/>
              <w:left w:w="16" w:type="dxa"/>
              <w:right w:w="16" w:type="dxa"/>
            </w:tcMar>
            <w:vAlign w:val="center"/>
          </w:tcPr>
          <w:p w14:paraId="56A887E4">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国民经济</w:t>
            </w:r>
          </w:p>
          <w:p w14:paraId="63BE0430">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p>
        </w:tc>
        <w:tc>
          <w:tcPr>
            <w:tcW w:w="1927" w:type="dxa"/>
            <w:vAlign w:val="center"/>
          </w:tcPr>
          <w:p w14:paraId="2F9347B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N7724危险废物治理</w:t>
            </w:r>
          </w:p>
        </w:tc>
        <w:tc>
          <w:tcPr>
            <w:tcW w:w="2147" w:type="dxa"/>
            <w:vAlign w:val="center"/>
          </w:tcPr>
          <w:p w14:paraId="7C67604D">
            <w:pPr>
              <w:adjustRightInd w:val="0"/>
              <w:snapToGrid w:val="0"/>
              <w:jc w:val="center"/>
              <w:rPr>
                <w:rFonts w:hint="default" w:ascii="Times New Roman" w:hAnsi="Times New Roman" w:cs="Times New Roman"/>
                <w:color w:val="auto"/>
                <w:sz w:val="24"/>
                <w:highlight w:val="none"/>
              </w:rPr>
            </w:pPr>
            <w:bookmarkStart w:id="0" w:name="_Hlk49843745"/>
            <w:r>
              <w:rPr>
                <w:rFonts w:hint="default" w:ascii="Times New Roman" w:hAnsi="Times New Roman" w:cs="Times New Roman"/>
                <w:color w:val="auto"/>
                <w:sz w:val="24"/>
                <w:highlight w:val="none"/>
              </w:rPr>
              <w:t>建设项目</w:t>
            </w:r>
          </w:p>
          <w:p w14:paraId="3D6DB4A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bookmarkEnd w:id="0"/>
          </w:p>
        </w:tc>
        <w:tc>
          <w:tcPr>
            <w:tcW w:w="3277" w:type="dxa"/>
            <w:vAlign w:val="center"/>
          </w:tcPr>
          <w:p w14:paraId="3200DEA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四十七、生态保护和环境治理 业101、危险废物（不含医疗废物）利用及处置-其他</w:t>
            </w:r>
          </w:p>
        </w:tc>
      </w:tr>
      <w:tr w14:paraId="59A326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31" w:type="dxa"/>
            <w:tcMar>
              <w:top w:w="16" w:type="dxa"/>
              <w:left w:w="16" w:type="dxa"/>
              <w:right w:w="16" w:type="dxa"/>
            </w:tcMar>
            <w:vAlign w:val="center"/>
          </w:tcPr>
          <w:p w14:paraId="4EF5C61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建设性质</w:t>
            </w:r>
          </w:p>
        </w:tc>
        <w:tc>
          <w:tcPr>
            <w:tcW w:w="1927" w:type="dxa"/>
            <w:vAlign w:val="center"/>
          </w:tcPr>
          <w:p w14:paraId="416048A8">
            <w:pPr>
              <w:jc w:val="left"/>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新建</w:t>
            </w:r>
          </w:p>
          <w:p w14:paraId="6DCB6A14">
            <w:pPr>
              <w:jc w:val="left"/>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改建</w:t>
            </w:r>
          </w:p>
          <w:p w14:paraId="016F2CE7">
            <w:pPr>
              <w:jc w:val="left"/>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扩建</w:t>
            </w:r>
          </w:p>
          <w:p w14:paraId="6BC566E7">
            <w:pPr>
              <w:jc w:val="left"/>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技术改造</w:t>
            </w:r>
          </w:p>
        </w:tc>
        <w:tc>
          <w:tcPr>
            <w:tcW w:w="2147" w:type="dxa"/>
            <w:vAlign w:val="center"/>
          </w:tcPr>
          <w:p w14:paraId="6486FCA5">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w:t>
            </w:r>
          </w:p>
          <w:p w14:paraId="7B55F7C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申报情形</w:t>
            </w:r>
          </w:p>
        </w:tc>
        <w:tc>
          <w:tcPr>
            <w:tcW w:w="3277" w:type="dxa"/>
            <w:vAlign w:val="center"/>
          </w:tcPr>
          <w:p w14:paraId="5F992D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√首次申报项目</w:t>
            </w:r>
          </w:p>
          <w:p w14:paraId="460A2D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不予批准后再次申报项目</w:t>
            </w:r>
          </w:p>
          <w:p w14:paraId="40946C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超五年重新审核项目</w:t>
            </w:r>
          </w:p>
          <w:p w14:paraId="130FB1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重大变动重新报批项目</w:t>
            </w:r>
          </w:p>
        </w:tc>
      </w:tr>
      <w:tr w14:paraId="4CF72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31" w:type="dxa"/>
            <w:tcMar>
              <w:top w:w="16" w:type="dxa"/>
              <w:left w:w="16" w:type="dxa"/>
              <w:right w:w="16" w:type="dxa"/>
            </w:tcMar>
            <w:vAlign w:val="center"/>
          </w:tcPr>
          <w:p w14:paraId="5132011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项目审批（核准/备案）部门（选填）</w:t>
            </w:r>
          </w:p>
        </w:tc>
        <w:tc>
          <w:tcPr>
            <w:tcW w:w="1927" w:type="dxa"/>
            <w:vAlign w:val="center"/>
          </w:tcPr>
          <w:p w14:paraId="739FB7F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tc>
        <w:tc>
          <w:tcPr>
            <w:tcW w:w="2147" w:type="dxa"/>
            <w:vAlign w:val="center"/>
          </w:tcPr>
          <w:p w14:paraId="3F7A37B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项目审批（核准/备案）文号（选填）</w:t>
            </w:r>
          </w:p>
        </w:tc>
        <w:tc>
          <w:tcPr>
            <w:tcW w:w="3277" w:type="dxa"/>
            <w:vAlign w:val="center"/>
          </w:tcPr>
          <w:p w14:paraId="11C9D62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tc>
      </w:tr>
      <w:tr w14:paraId="27A8A1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1F98B7E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总投资（万元）</w:t>
            </w:r>
          </w:p>
        </w:tc>
        <w:tc>
          <w:tcPr>
            <w:tcW w:w="1927" w:type="dxa"/>
            <w:vAlign w:val="center"/>
          </w:tcPr>
          <w:p w14:paraId="407A5CD5">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6</w:t>
            </w:r>
          </w:p>
        </w:tc>
        <w:tc>
          <w:tcPr>
            <w:tcW w:w="2147" w:type="dxa"/>
            <w:tcMar>
              <w:top w:w="16" w:type="dxa"/>
              <w:left w:w="16" w:type="dxa"/>
              <w:right w:w="16" w:type="dxa"/>
            </w:tcMar>
            <w:vAlign w:val="center"/>
          </w:tcPr>
          <w:p w14:paraId="69EBC086">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3277" w:type="dxa"/>
            <w:vAlign w:val="center"/>
          </w:tcPr>
          <w:p w14:paraId="238BDE2B">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6</w:t>
            </w:r>
          </w:p>
        </w:tc>
      </w:tr>
      <w:tr w14:paraId="7D350E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268FB65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环保投资占比（%）</w:t>
            </w:r>
          </w:p>
        </w:tc>
        <w:tc>
          <w:tcPr>
            <w:tcW w:w="1927" w:type="dxa"/>
            <w:vAlign w:val="center"/>
          </w:tcPr>
          <w:p w14:paraId="64E1334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100</w:t>
            </w:r>
          </w:p>
        </w:tc>
        <w:tc>
          <w:tcPr>
            <w:tcW w:w="2147" w:type="dxa"/>
            <w:tcMar>
              <w:top w:w="16" w:type="dxa"/>
              <w:left w:w="16" w:type="dxa"/>
              <w:right w:w="16" w:type="dxa"/>
            </w:tcMar>
            <w:vAlign w:val="center"/>
          </w:tcPr>
          <w:p w14:paraId="0A4EEAC4">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3277" w:type="dxa"/>
            <w:vAlign w:val="center"/>
          </w:tcPr>
          <w:p w14:paraId="3816F031">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tc>
      </w:tr>
      <w:tr w14:paraId="4A342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31" w:type="dxa"/>
            <w:tcMar>
              <w:top w:w="16" w:type="dxa"/>
              <w:left w:w="16" w:type="dxa"/>
              <w:right w:w="16" w:type="dxa"/>
            </w:tcMar>
            <w:vAlign w:val="center"/>
          </w:tcPr>
          <w:p w14:paraId="0103823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是否开工建设</w:t>
            </w:r>
          </w:p>
        </w:tc>
        <w:tc>
          <w:tcPr>
            <w:tcW w:w="1927" w:type="dxa"/>
            <w:vAlign w:val="center"/>
          </w:tcPr>
          <w:p w14:paraId="0137E4EA">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√否</w:t>
            </w:r>
          </w:p>
          <w:p w14:paraId="23121E9F">
            <w:pPr>
              <w:adjustRightInd w:val="0"/>
              <w:snapToGrid w:val="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是：</w:t>
            </w:r>
          </w:p>
        </w:tc>
        <w:tc>
          <w:tcPr>
            <w:tcW w:w="2147" w:type="dxa"/>
            <w:tcMar>
              <w:top w:w="16" w:type="dxa"/>
              <w:left w:w="16" w:type="dxa"/>
              <w:right w:w="16" w:type="dxa"/>
            </w:tcMar>
            <w:vAlign w:val="center"/>
          </w:tcPr>
          <w:p w14:paraId="68A7AE12">
            <w:pPr>
              <w:adjustRightInd w:val="0"/>
              <w:snapToGrid w:val="0"/>
              <w:jc w:val="center"/>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sz w:val="24"/>
                <w:highlight w:val="none"/>
              </w:rPr>
              <w:t>用地（用海）</w:t>
            </w:r>
          </w:p>
          <w:p w14:paraId="62830C4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pacing w:val="-6"/>
                <w:sz w:val="24"/>
                <w:highlight w:val="none"/>
              </w:rPr>
              <w:t>面积（m</w:t>
            </w:r>
            <w:r>
              <w:rPr>
                <w:rFonts w:hint="default" w:ascii="Times New Roman" w:hAnsi="Times New Roman" w:cs="Times New Roman"/>
                <w:color w:val="auto"/>
                <w:spacing w:val="-6"/>
                <w:sz w:val="24"/>
                <w:highlight w:val="none"/>
                <w:vertAlign w:val="superscript"/>
              </w:rPr>
              <w:t>2</w:t>
            </w:r>
            <w:r>
              <w:rPr>
                <w:rFonts w:hint="default" w:ascii="Times New Roman" w:hAnsi="Times New Roman" w:cs="Times New Roman"/>
                <w:color w:val="auto"/>
                <w:spacing w:val="-6"/>
                <w:sz w:val="24"/>
                <w:highlight w:val="none"/>
              </w:rPr>
              <w:t>）</w:t>
            </w:r>
          </w:p>
        </w:tc>
        <w:tc>
          <w:tcPr>
            <w:tcW w:w="3277" w:type="dxa"/>
            <w:vAlign w:val="center"/>
          </w:tcPr>
          <w:p w14:paraId="6B2E4636">
            <w:pPr>
              <w:adjustRightInd w:val="0"/>
              <w:snapToGrid w:val="0"/>
              <w:jc w:val="center"/>
              <w:rPr>
                <w:rFonts w:hint="default" w:ascii="Times New Roman" w:hAnsi="Times New Roman" w:cs="Times New Roman"/>
                <w:color w:val="auto"/>
                <w:sz w:val="24"/>
                <w:highlight w:val="none"/>
              </w:rPr>
            </w:pPr>
            <w:r>
              <w:rPr>
                <w:rFonts w:hint="eastAsia" w:cs="Times New Roman"/>
                <w:color w:val="auto"/>
                <w:sz w:val="24"/>
                <w:highlight w:val="none"/>
                <w:lang w:val="en-US" w:eastAsia="zh-CN"/>
              </w:rPr>
              <w:t>16.1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2</w:t>
            </w:r>
          </w:p>
        </w:tc>
      </w:tr>
      <w:tr w14:paraId="34C0B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1" w:type="dxa"/>
            <w:vAlign w:val="center"/>
          </w:tcPr>
          <w:p w14:paraId="6B4AE7DA">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专项评价设置情况</w:t>
            </w:r>
          </w:p>
        </w:tc>
        <w:tc>
          <w:tcPr>
            <w:tcW w:w="7351" w:type="dxa"/>
            <w:gridSpan w:val="3"/>
            <w:vAlign w:val="center"/>
          </w:tcPr>
          <w:p w14:paraId="0A8EFDD7">
            <w:pPr>
              <w:autoSpaceDE w:val="0"/>
              <w:autoSpaceDN w:val="0"/>
              <w:adjustRightInd w:val="0"/>
              <w:snapToGrid w:val="0"/>
              <w:spacing w:line="360" w:lineRule="auto"/>
              <w:jc w:val="center"/>
              <w:rPr>
                <w:rFonts w:hint="eastAsia" w:ascii="Times New Roman" w:hAnsi="Times New Roman" w:eastAsia="宋体" w:cs="Times New Roman"/>
                <w:color w:val="auto"/>
                <w:kern w:val="0"/>
                <w:sz w:val="24"/>
                <w:highlight w:val="none"/>
                <w:lang w:val="en-US" w:eastAsia="zh-CN"/>
              </w:rPr>
            </w:pPr>
            <w:r>
              <w:rPr>
                <w:rFonts w:hint="eastAsia" w:cs="Times New Roman"/>
                <w:color w:val="auto"/>
                <w:kern w:val="0"/>
                <w:sz w:val="24"/>
                <w:highlight w:val="none"/>
                <w:lang w:val="en-US" w:eastAsia="zh-CN"/>
              </w:rPr>
              <w:t>无</w:t>
            </w:r>
          </w:p>
        </w:tc>
      </w:tr>
      <w:tr w14:paraId="029481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1" w:type="dxa"/>
            <w:vAlign w:val="center"/>
          </w:tcPr>
          <w:p w14:paraId="69C853F1">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规划情况</w:t>
            </w:r>
          </w:p>
        </w:tc>
        <w:tc>
          <w:tcPr>
            <w:tcW w:w="7351" w:type="dxa"/>
            <w:gridSpan w:val="3"/>
            <w:vAlign w:val="center"/>
          </w:tcPr>
          <w:p w14:paraId="0B2D79CF">
            <w:pPr>
              <w:spacing w:line="360" w:lineRule="auto"/>
              <w:ind w:firstLine="480" w:firstLineChars="200"/>
              <w:jc w:val="left"/>
              <w:rPr>
                <w:rFonts w:hint="default" w:ascii="Times New Roman" w:hAnsi="Times New Roman" w:cs="Times New Roman"/>
                <w:color w:val="auto"/>
                <w:kern w:val="0"/>
                <w:sz w:val="24"/>
                <w:highlight w:val="none"/>
              </w:rPr>
            </w:pPr>
            <w:r>
              <w:rPr>
                <w:rFonts w:hint="eastAsia"/>
                <w:color w:val="auto"/>
                <w:kern w:val="0"/>
                <w:sz w:val="24"/>
                <w:highlight w:val="none"/>
              </w:rPr>
              <w:t>2008年6月4日，国家发展和改革委员会以“改能源〔2008〕1304号”对《内蒙古自治区鄂尔多斯神东矿区东胜区总体规划》进行了批复。</w:t>
            </w:r>
            <w:r>
              <w:rPr>
                <w:color w:val="auto"/>
                <w:sz w:val="24"/>
                <w:highlight w:val="none"/>
              </w:rPr>
              <w:t>2022</w:t>
            </w:r>
            <w:r>
              <w:rPr>
                <w:rFonts w:hint="eastAsia"/>
                <w:color w:val="auto"/>
                <w:sz w:val="24"/>
                <w:highlight w:val="none"/>
              </w:rPr>
              <w:t>年</w:t>
            </w:r>
            <w:r>
              <w:rPr>
                <w:color w:val="auto"/>
                <w:sz w:val="24"/>
                <w:highlight w:val="none"/>
              </w:rPr>
              <w:t>2</w:t>
            </w:r>
            <w:r>
              <w:rPr>
                <w:rFonts w:hint="eastAsia"/>
                <w:color w:val="auto"/>
                <w:sz w:val="24"/>
                <w:highlight w:val="none"/>
              </w:rPr>
              <w:t>月中煤科工集团北京华宇工程有限公司编制《内蒙古自治区鄂尔多斯神东矿区东胜区总体规划（修编）》，正在修编中，尚未审批。</w:t>
            </w:r>
          </w:p>
        </w:tc>
      </w:tr>
      <w:tr w14:paraId="2E0F6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831" w:type="dxa"/>
            <w:vAlign w:val="center"/>
          </w:tcPr>
          <w:p w14:paraId="5F998FA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规划环境影响评价情况</w:t>
            </w:r>
          </w:p>
        </w:tc>
        <w:tc>
          <w:tcPr>
            <w:tcW w:w="7351" w:type="dxa"/>
            <w:gridSpan w:val="3"/>
            <w:vAlign w:val="center"/>
          </w:tcPr>
          <w:p w14:paraId="0B5E84C1">
            <w:pPr>
              <w:keepNext w:val="0"/>
              <w:keepLines w:val="0"/>
              <w:pageBreakBefore w:val="0"/>
              <w:widowControl w:val="0"/>
              <w:kinsoku/>
              <w:wordWrap/>
              <w:overflowPunct/>
              <w:topLinePunct w:val="0"/>
              <w:autoSpaceDE/>
              <w:autoSpaceDN/>
              <w:bidi w:val="0"/>
              <w:adjustRightInd w:val="0"/>
              <w:snapToGrid w:val="0"/>
              <w:spacing w:line="360" w:lineRule="auto"/>
              <w:ind w:left="1200" w:hanging="1200" w:hanging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文件名称：《</w:t>
            </w:r>
            <w:r>
              <w:rPr>
                <w:rFonts w:hint="eastAsia" w:ascii="Times New Roman" w:hAnsi="Times New Roman" w:eastAsia="宋体" w:cs="Times New Roman"/>
                <w:color w:val="auto"/>
                <w:sz w:val="24"/>
                <w:szCs w:val="24"/>
                <w:highlight w:val="none"/>
                <w:lang w:val="en-US" w:eastAsia="zh-CN"/>
              </w:rPr>
              <w:t>内蒙古自治区鄂尔多斯神东矿区东胜区总体规划（修编）规划环境影响报告书</w:t>
            </w:r>
            <w:r>
              <w:rPr>
                <w:rFonts w:hint="default" w:ascii="Times New Roman" w:hAnsi="Times New Roman" w:eastAsia="宋体" w:cs="Times New Roman"/>
                <w:color w:val="auto"/>
                <w:sz w:val="24"/>
                <w:szCs w:val="24"/>
                <w:highlight w:val="none"/>
                <w:lang w:val="en-US" w:eastAsia="zh-CN"/>
              </w:rPr>
              <w:t>》</w:t>
            </w:r>
          </w:p>
          <w:p w14:paraId="64A113D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审查机关：</w:t>
            </w:r>
            <w:r>
              <w:rPr>
                <w:rFonts w:hint="eastAsia" w:ascii="Times New Roman" w:hAnsi="Times New Roman" w:eastAsia="宋体" w:cs="Times New Roman"/>
                <w:color w:val="auto"/>
                <w:sz w:val="24"/>
                <w:szCs w:val="24"/>
                <w:highlight w:val="none"/>
                <w:lang w:val="en-US" w:eastAsia="zh-CN"/>
              </w:rPr>
              <w:t>中华人民共和国生态环境部</w:t>
            </w:r>
          </w:p>
          <w:p w14:paraId="7B9FC27B">
            <w:pPr>
              <w:keepNext w:val="0"/>
              <w:keepLines w:val="0"/>
              <w:pageBreakBefore w:val="0"/>
              <w:widowControl w:val="0"/>
              <w:kinsoku/>
              <w:wordWrap/>
              <w:overflowPunct/>
              <w:topLinePunct w:val="0"/>
              <w:autoSpaceDE/>
              <w:autoSpaceDN/>
              <w:bidi w:val="0"/>
              <w:adjustRightInd w:val="0"/>
              <w:snapToGrid w:val="0"/>
              <w:spacing w:line="360" w:lineRule="auto"/>
              <w:ind w:left="1440" w:hanging="1440" w:hangingChars="600"/>
              <w:jc w:val="both"/>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审批文件名称：关于《</w:t>
            </w:r>
            <w:r>
              <w:rPr>
                <w:rFonts w:hint="eastAsia" w:ascii="Times New Roman" w:hAnsi="Times New Roman" w:eastAsia="宋体" w:cs="Times New Roman"/>
                <w:color w:val="auto"/>
                <w:sz w:val="24"/>
                <w:szCs w:val="24"/>
                <w:highlight w:val="none"/>
                <w:lang w:val="en-US" w:eastAsia="zh-CN"/>
              </w:rPr>
              <w:t>内蒙古自治区鄂尔多斯神东矿区东胜区总体规划（修编）规划环境影响报告书</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的审查意见</w:t>
            </w:r>
          </w:p>
          <w:p w14:paraId="3DBC70E4">
            <w:pPr>
              <w:spacing w:line="360" w:lineRule="auto"/>
              <w:jc w:val="left"/>
              <w:rPr>
                <w:rFonts w:hint="default" w:ascii="Times New Roman" w:hAnsi="Times New Roman" w:cs="Times New Roman"/>
                <w:color w:val="auto"/>
                <w:kern w:val="0"/>
                <w:sz w:val="24"/>
                <w:highlight w:val="none"/>
              </w:rPr>
            </w:pPr>
            <w:r>
              <w:rPr>
                <w:rFonts w:hint="eastAsia" w:ascii="Times New Roman" w:hAnsi="Times New Roman" w:eastAsia="宋体" w:cs="Times New Roman"/>
                <w:color w:val="auto"/>
                <w:sz w:val="24"/>
                <w:szCs w:val="24"/>
                <w:highlight w:val="none"/>
                <w:lang w:val="en-US" w:eastAsia="zh-CN"/>
              </w:rPr>
              <w:t>审批文号：环审</w:t>
            </w:r>
            <w:r>
              <w:rPr>
                <w:rFonts w:hint="eastAsia" w:ascii="宋体" w:hAnsi="宋体" w:eastAsia="宋体" w:cs="宋体"/>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2023</w:t>
            </w:r>
            <w:r>
              <w:rPr>
                <w:rFonts w:hint="eastAsia" w:ascii="宋体" w:hAnsi="宋体" w:eastAsia="宋体" w:cs="宋体"/>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73号</w:t>
            </w:r>
          </w:p>
        </w:tc>
      </w:tr>
      <w:tr w14:paraId="42518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1" w:type="dxa"/>
            <w:vAlign w:val="center"/>
          </w:tcPr>
          <w:p w14:paraId="0EAEF170">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规划及规划环境影响评价符合性分析</w:t>
            </w:r>
          </w:p>
        </w:tc>
        <w:tc>
          <w:tcPr>
            <w:tcW w:w="7351" w:type="dxa"/>
            <w:gridSpan w:val="3"/>
            <w:vAlign w:val="center"/>
          </w:tcPr>
          <w:p w14:paraId="425DAAC4">
            <w:pPr>
              <w:pStyle w:val="48"/>
              <w:spacing w:line="360" w:lineRule="auto"/>
              <w:ind w:left="420" w:leftChars="20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1、与规划符合性分析：</w:t>
            </w:r>
          </w:p>
          <w:p w14:paraId="42AFC6E9">
            <w:pPr>
              <w:pStyle w:val="48"/>
              <w:spacing w:line="360" w:lineRule="auto"/>
              <w:ind w:left="0" w:right="0" w:firstLine="456"/>
              <w:rPr>
                <w:rFonts w:hint="default" w:ascii="Times New Roman" w:hAnsi="Times New Roman" w:cs="Times New Roman"/>
                <w:color w:val="auto"/>
                <w:szCs w:val="24"/>
                <w:highlight w:val="none"/>
              </w:rPr>
            </w:pPr>
            <w:r>
              <w:rPr>
                <w:rFonts w:hint="eastAsia" w:ascii="Times New Roman" w:hAnsi="Times New Roman" w:cs="Times New Roman"/>
                <w:color w:val="auto"/>
                <w:szCs w:val="24"/>
                <w:highlight w:val="none"/>
                <w:lang w:val="en-US" w:eastAsia="zh-CN"/>
              </w:rPr>
              <w:t>伊金霍洛旗纳林塔纳林沟煤矿</w:t>
            </w:r>
            <w:r>
              <w:rPr>
                <w:rFonts w:hint="default" w:ascii="Times New Roman" w:hAnsi="Times New Roman" w:eastAsia="宋体" w:cs="Times New Roman"/>
                <w:color w:val="auto"/>
                <w:szCs w:val="24"/>
                <w:highlight w:val="none"/>
              </w:rPr>
              <w:t>位于内蒙古自治区鄂尔多斯市伊金霍洛旗境内，行政区划隶属伊金霍洛旗</w:t>
            </w:r>
            <w:r>
              <w:rPr>
                <w:rFonts w:hint="default" w:ascii="Times New Roman" w:hAnsi="Times New Roman" w:eastAsia="宋体" w:cs="Times New Roman"/>
                <w:color w:val="auto"/>
                <w:szCs w:val="24"/>
                <w:highlight w:val="none"/>
                <w:lang w:val="en-US" w:eastAsia="zh-CN"/>
              </w:rPr>
              <w:t>纳林陶亥镇</w:t>
            </w:r>
            <w:r>
              <w:rPr>
                <w:rFonts w:hint="default" w:ascii="Times New Roman" w:hAnsi="Times New Roman" w:eastAsia="宋体" w:cs="Times New Roman"/>
                <w:color w:val="auto"/>
                <w:szCs w:val="24"/>
                <w:highlight w:val="none"/>
              </w:rPr>
              <w:t>管辖</w:t>
            </w:r>
            <w:r>
              <w:rPr>
                <w:rFonts w:hint="eastAsia" w:ascii="Times New Roman" w:hAnsi="Times New Roman" w:cs="Times New Roman"/>
                <w:color w:val="auto"/>
                <w:szCs w:val="24"/>
                <w:highlight w:val="none"/>
                <w:lang w:eastAsia="zh-CN"/>
              </w:rPr>
              <w:t>，</w:t>
            </w:r>
            <w:r>
              <w:rPr>
                <w:rFonts w:hint="default" w:ascii="Times New Roman" w:hAnsi="Times New Roman" w:eastAsia="宋体" w:cs="Times New Roman"/>
                <w:color w:val="auto"/>
                <w:szCs w:val="24"/>
                <w:highlight w:val="none"/>
                <w:lang w:val="en-US" w:eastAsia="zh-CN"/>
              </w:rPr>
              <w:t>目前煤矿生产能力</w:t>
            </w:r>
            <w:r>
              <w:rPr>
                <w:rFonts w:hint="default" w:ascii="Times New Roman" w:hAnsi="Times New Roman" w:cs="Times New Roman"/>
                <w:color w:val="auto"/>
                <w:szCs w:val="24"/>
                <w:highlight w:val="none"/>
              </w:rPr>
              <w:t>为</w:t>
            </w:r>
            <w:r>
              <w:rPr>
                <w:rFonts w:hint="eastAsia" w:ascii="Times New Roman" w:hAnsi="Times New Roman" w:cs="Times New Roman"/>
                <w:color w:val="auto"/>
                <w:szCs w:val="24"/>
                <w:highlight w:val="none"/>
                <w:lang w:val="en-US" w:eastAsia="zh-CN"/>
              </w:rPr>
              <w:t>0.6</w:t>
            </w:r>
            <w:r>
              <w:rPr>
                <w:rFonts w:hint="default" w:ascii="Times New Roman" w:hAnsi="Times New Roman" w:cs="Times New Roman"/>
                <w:color w:val="auto"/>
                <w:szCs w:val="24"/>
                <w:highlight w:val="none"/>
              </w:rPr>
              <w:t>Mt/a</w:t>
            </w:r>
            <w:r>
              <w:rPr>
                <w:rFonts w:hint="default" w:ascii="Times New Roman" w:hAnsi="Times New Roman" w:eastAsia="宋体" w:cs="Times New Roman"/>
                <w:color w:val="auto"/>
                <w:szCs w:val="24"/>
                <w:highlight w:val="none"/>
                <w:lang w:val="en-US" w:eastAsia="zh-CN"/>
              </w:rPr>
              <w:t>，矿区面积</w:t>
            </w:r>
            <w:r>
              <w:rPr>
                <w:rFonts w:hint="eastAsia" w:ascii="Times New Roman" w:hAnsi="Times New Roman" w:cs="Times New Roman"/>
                <w:color w:val="auto"/>
                <w:szCs w:val="24"/>
                <w:highlight w:val="none"/>
                <w:lang w:val="en-US" w:eastAsia="zh-CN"/>
              </w:rPr>
              <w:t>3.8h</w:t>
            </w:r>
            <w:r>
              <w:rPr>
                <w:rFonts w:hint="default" w:ascii="Times New Roman" w:hAnsi="Times New Roman" w:eastAsia="宋体" w:cs="Times New Roman"/>
                <w:color w:val="auto"/>
                <w:szCs w:val="24"/>
                <w:highlight w:val="none"/>
                <w:lang w:val="en-US" w:eastAsia="zh-CN"/>
              </w:rPr>
              <w:t>m</w:t>
            </w:r>
            <w:r>
              <w:rPr>
                <w:rFonts w:hint="default" w:ascii="Times New Roman" w:hAnsi="Times New Roman" w:eastAsia="宋体" w:cs="Times New Roman"/>
                <w:color w:val="auto"/>
                <w:szCs w:val="24"/>
                <w:highlight w:val="none"/>
                <w:vertAlign w:val="superscript"/>
                <w:lang w:val="en-US" w:eastAsia="zh-CN"/>
              </w:rPr>
              <w:t>2</w:t>
            </w:r>
            <w:r>
              <w:rPr>
                <w:rFonts w:hint="default" w:ascii="Times New Roman" w:hAnsi="Times New Roman" w:eastAsia="宋体" w:cs="Times New Roman"/>
                <w:color w:val="auto"/>
                <w:szCs w:val="24"/>
                <w:highlight w:val="none"/>
                <w:lang w:val="en-US" w:eastAsia="zh-CN"/>
              </w:rPr>
              <w:t>。伊金霍洛旗纳林塔纳林沟煤矿</w:t>
            </w:r>
            <w:r>
              <w:rPr>
                <w:rFonts w:hint="default" w:ascii="Times New Roman" w:hAnsi="Times New Roman" w:cs="Times New Roman"/>
                <w:color w:val="auto"/>
                <w:szCs w:val="24"/>
                <w:highlight w:val="none"/>
              </w:rPr>
              <w:t>位于鄂尔多斯市神东矿区东胜区总体规划范围内。内蒙古自治区能源局已组织编制《内蒙古自治区鄂尔多斯神东矿区东胜区总体规划（修编）》，并同步开展环境影响评价；目前该规划正在修编中。</w:t>
            </w:r>
          </w:p>
          <w:p w14:paraId="7432B631">
            <w:pPr>
              <w:pStyle w:val="48"/>
              <w:spacing w:line="360" w:lineRule="auto"/>
              <w:ind w:left="0" w:right="0"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本项目为</w:t>
            </w:r>
            <w:r>
              <w:rPr>
                <w:rFonts w:hint="default" w:ascii="Times New Roman" w:hAnsi="Times New Roman" w:cs="Times New Roman"/>
                <w:color w:val="auto"/>
                <w:sz w:val="24"/>
                <w:highlight w:val="none"/>
                <w:lang w:val="en-US" w:eastAsia="zh-CN"/>
              </w:rPr>
              <w:t>伊金霍洛旗纳林塔纳林沟煤矿配套危废暂存库建设项目</w:t>
            </w:r>
            <w:r>
              <w:rPr>
                <w:rFonts w:hint="default" w:ascii="Times New Roman" w:hAnsi="Times New Roman" w:cs="Times New Roman"/>
                <w:color w:val="auto"/>
                <w:szCs w:val="24"/>
                <w:highlight w:val="none"/>
              </w:rPr>
              <w:t>，建设地点位于</w:t>
            </w:r>
            <w:r>
              <w:rPr>
                <w:rFonts w:hint="default" w:ascii="Times New Roman" w:hAnsi="Times New Roman" w:eastAsia="宋体" w:cs="Times New Roman"/>
                <w:color w:val="auto"/>
                <w:szCs w:val="24"/>
                <w:highlight w:val="none"/>
                <w:lang w:val="en-US" w:eastAsia="zh-CN"/>
              </w:rPr>
              <w:t>伊金霍洛旗纳林塔纳林沟煤矿</w:t>
            </w:r>
            <w:r>
              <w:rPr>
                <w:rFonts w:hint="eastAsia" w:ascii="Times New Roman" w:hAnsi="Times New Roman" w:eastAsia="宋体" w:cs="Times New Roman"/>
                <w:color w:val="auto"/>
                <w:szCs w:val="24"/>
                <w:highlight w:val="none"/>
                <w:lang w:val="en-US" w:eastAsia="zh-CN"/>
              </w:rPr>
              <w:t>矿</w:t>
            </w:r>
            <w:r>
              <w:rPr>
                <w:rFonts w:hint="default" w:ascii="Times New Roman" w:hAnsi="Times New Roman" w:cs="Times New Roman"/>
                <w:color w:val="auto"/>
                <w:szCs w:val="24"/>
                <w:highlight w:val="none"/>
              </w:rPr>
              <w:t>区范围内，不新增占地。项目主体工程为煤炭开采，属于规划环评中的主导产业，而本项目为主体工程配套建设的</w:t>
            </w:r>
            <w:r>
              <w:rPr>
                <w:rFonts w:hint="default" w:ascii="Times New Roman" w:hAnsi="Times New Roman" w:cs="Times New Roman"/>
                <w:color w:val="auto"/>
                <w:szCs w:val="24"/>
                <w:highlight w:val="none"/>
                <w:lang w:val="en-US" w:eastAsia="zh-CN"/>
              </w:rPr>
              <w:t>环保工程</w:t>
            </w:r>
            <w:r>
              <w:rPr>
                <w:rFonts w:hint="default" w:ascii="Times New Roman" w:hAnsi="Times New Roman" w:cs="Times New Roman"/>
                <w:color w:val="auto"/>
                <w:szCs w:val="24"/>
                <w:highlight w:val="none"/>
              </w:rPr>
              <w:t>，因此本项目符合矿区总体规划的要求。</w:t>
            </w:r>
          </w:p>
          <w:p w14:paraId="18956A38">
            <w:pPr>
              <w:spacing w:line="500" w:lineRule="exact"/>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2、与规划环境影响评价结论的符合性分析</w:t>
            </w:r>
          </w:p>
          <w:p w14:paraId="18074272">
            <w:pPr>
              <w:adjustRightInd w:val="0"/>
              <w:snapToGrid w:val="0"/>
              <w:spacing w:line="5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根据《内蒙古自治区鄂尔多斯神东</w:t>
            </w:r>
            <w:r>
              <w:rPr>
                <w:rFonts w:hint="eastAsia" w:cs="Times New Roman"/>
                <w:color w:val="auto"/>
                <w:sz w:val="24"/>
                <w:highlight w:val="none"/>
                <w:lang w:eastAsia="zh-CN"/>
              </w:rPr>
              <w:t>矿区</w:t>
            </w:r>
            <w:r>
              <w:rPr>
                <w:rFonts w:hint="default" w:ascii="Times New Roman" w:hAnsi="Times New Roman" w:cs="Times New Roman"/>
                <w:color w:val="auto"/>
                <w:sz w:val="24"/>
                <w:highlight w:val="none"/>
              </w:rPr>
              <w:t>东胜区总体规划（修编）环境影响报告书》，本项目与规划环境影响评价结论的符合性分析见表1-</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rPr>
              <w:t>。</w:t>
            </w:r>
          </w:p>
          <w:p w14:paraId="56F549C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表1-</w:t>
            </w:r>
            <w:r>
              <w:rPr>
                <w:rFonts w:hint="eastAsia" w:cs="Times New Roman"/>
                <w:b/>
                <w:bCs/>
                <w:color w:val="auto"/>
                <w:sz w:val="21"/>
                <w:szCs w:val="21"/>
                <w:highlight w:val="none"/>
                <w:lang w:val="en-US" w:eastAsia="zh-CN"/>
              </w:rPr>
              <w:t>1</w:t>
            </w:r>
            <w:r>
              <w:rPr>
                <w:rFonts w:hint="default" w:ascii="Times New Roman" w:hAnsi="Times New Roman" w:cs="Times New Roman"/>
                <w:b/>
                <w:bCs/>
                <w:color w:val="auto"/>
                <w:sz w:val="21"/>
                <w:szCs w:val="21"/>
                <w:highlight w:val="none"/>
              </w:rPr>
              <w:t xml:space="preserve">    本项目与规划环境影响评价结论的符合性分析</w:t>
            </w:r>
          </w:p>
          <w:tbl>
            <w:tblPr>
              <w:tblStyle w:val="20"/>
              <w:tblW w:w="4999" w:type="pct"/>
              <w:tblInd w:w="0" w:type="dxa"/>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4743"/>
              <w:gridCol w:w="1715"/>
              <w:gridCol w:w="676"/>
            </w:tblGrid>
            <w:tr w14:paraId="7BD28429">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0144AE60">
                  <w:pPr>
                    <w:adjustRightInd w:val="0"/>
                    <w:snapToGrid w:val="0"/>
                    <w:ind w:left="-105" w:leftChars="-50" w:right="-105" w:rightChars="-50"/>
                    <w:jc w:val="center"/>
                    <w:rPr>
                      <w:rFonts w:hint="default" w:ascii="Times New Roman" w:hAnsi="Times New Roman" w:cs="Times New Roman"/>
                      <w:b/>
                      <w:bCs/>
                      <w:color w:val="auto"/>
                      <w:sz w:val="24"/>
                      <w:szCs w:val="21"/>
                      <w:highlight w:val="none"/>
                    </w:rPr>
                  </w:pPr>
                  <w:r>
                    <w:rPr>
                      <w:rFonts w:hint="default" w:ascii="Times New Roman" w:hAnsi="Times New Roman" w:cs="Times New Roman"/>
                      <w:b/>
                      <w:bCs/>
                      <w:color w:val="auto"/>
                      <w:szCs w:val="21"/>
                      <w:highlight w:val="none"/>
                      <w:lang w:bidi="ar"/>
                    </w:rPr>
                    <w:t>规划环评结论（摘录相关）</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7D3BD930">
                  <w:pPr>
                    <w:adjustRightInd w:val="0"/>
                    <w:snapToGrid w:val="0"/>
                    <w:ind w:left="-105" w:leftChars="-50" w:right="-105" w:rightChars="-50"/>
                    <w:jc w:val="center"/>
                    <w:rPr>
                      <w:rFonts w:hint="default" w:ascii="Times New Roman" w:hAnsi="Times New Roman" w:cs="Times New Roman"/>
                      <w:b/>
                      <w:bCs/>
                      <w:color w:val="auto"/>
                      <w:sz w:val="24"/>
                      <w:szCs w:val="21"/>
                      <w:highlight w:val="none"/>
                    </w:rPr>
                  </w:pPr>
                  <w:r>
                    <w:rPr>
                      <w:rFonts w:hint="default" w:ascii="Times New Roman" w:hAnsi="Times New Roman" w:cs="Times New Roman"/>
                      <w:b/>
                      <w:bCs/>
                      <w:color w:val="auto"/>
                      <w:szCs w:val="21"/>
                      <w:highlight w:val="none"/>
                      <w:lang w:bidi="ar"/>
                    </w:rPr>
                    <w:t>本项目落实情况</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6D91ACBE">
                  <w:pPr>
                    <w:adjustRightInd w:val="0"/>
                    <w:snapToGrid w:val="0"/>
                    <w:ind w:left="-105" w:leftChars="-50" w:right="-105" w:rightChars="-50"/>
                    <w:jc w:val="center"/>
                    <w:rPr>
                      <w:rFonts w:hint="default" w:ascii="Times New Roman" w:hAnsi="Times New Roman" w:cs="Times New Roman"/>
                      <w:b/>
                      <w:bCs/>
                      <w:color w:val="auto"/>
                      <w:sz w:val="24"/>
                      <w:szCs w:val="21"/>
                      <w:highlight w:val="none"/>
                    </w:rPr>
                  </w:pPr>
                  <w:r>
                    <w:rPr>
                      <w:rFonts w:hint="default" w:ascii="Times New Roman" w:hAnsi="Times New Roman" w:cs="Times New Roman"/>
                      <w:b/>
                      <w:bCs/>
                      <w:color w:val="auto"/>
                      <w:szCs w:val="21"/>
                      <w:highlight w:val="none"/>
                      <w:lang w:bidi="ar"/>
                    </w:rPr>
                    <w:t>相符性</w:t>
                  </w:r>
                </w:p>
              </w:tc>
            </w:tr>
            <w:tr w14:paraId="6EBDE03C">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36EA3603">
                  <w:pPr>
                    <w:adjustRightInd w:val="0"/>
                    <w:snapToGrid w:val="0"/>
                    <w:ind w:left="-105" w:leftChars="-50" w:right="-105" w:rightChars="-50"/>
                    <w:jc w:val="left"/>
                    <w:rPr>
                      <w:rFonts w:hint="default" w:ascii="Times New Roman" w:hAnsi="Times New Roman" w:cs="Times New Roman"/>
                      <w:b/>
                      <w:bCs/>
                      <w:color w:val="auto"/>
                      <w:szCs w:val="21"/>
                      <w:highlight w:val="none"/>
                      <w:lang w:bidi="ar"/>
                    </w:rPr>
                  </w:pPr>
                  <w:r>
                    <w:rPr>
                      <w:rFonts w:hint="default" w:ascii="Times New Roman" w:hAnsi="Times New Roman" w:cs="Times New Roman"/>
                      <w:b/>
                      <w:bCs/>
                      <w:color w:val="auto"/>
                      <w:szCs w:val="21"/>
                      <w:highlight w:val="none"/>
                      <w:lang w:bidi="ar"/>
                    </w:rPr>
                    <w:t>一、环境影响预测的情景设置</w:t>
                  </w:r>
                </w:p>
              </w:tc>
            </w:tr>
            <w:tr w14:paraId="70A12C9A">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3B632BFF">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次神东矿区东胜区总体规划（修编）共规划133个矿井，均为已开发煤矿，无新建煤矿。根据总规，2022~2025年，矿区内规划的整合、扩建、改建的煤矿、规划新建的洗煤厂全部建成投产，生产煤矿133座，矿区总规模达到323.7Mt/a；本次环评根据矿区规划方案设置预测及评价情景，</w:t>
                  </w:r>
                  <w:r>
                    <w:rPr>
                      <w:rFonts w:hint="eastAsia" w:cs="Times New Roman"/>
                      <w:color w:val="auto"/>
                      <w:sz w:val="21"/>
                      <w:szCs w:val="21"/>
                      <w:highlight w:val="none"/>
                      <w:lang w:val="en-US" w:eastAsia="zh-CN"/>
                    </w:rPr>
                    <w:t>截至</w:t>
                  </w:r>
                  <w:r>
                    <w:rPr>
                      <w:rFonts w:hint="default" w:ascii="Times New Roman" w:hAnsi="Times New Roman" w:cs="Times New Roman"/>
                      <w:color w:val="auto"/>
                      <w:sz w:val="21"/>
                      <w:szCs w:val="21"/>
                      <w:highlight w:val="none"/>
                      <w:lang w:val="en-US" w:eastAsia="zh-CN"/>
                    </w:rPr>
                    <w:t>2025年，所有矿井全部开发建设，矿区总开发规模为323.7Mt/a。</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58AC7951">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本项目为伊金霍洛旗纳林塔纳林沟煤矿配套环保设施建设项目，建设地点位于伊金霍洛旗纳林塔纳林沟煤矿工业场地范围内，煤矿开采方式、产能及矿区范围均未发生变化。</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60761175">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302E7917">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506B542C">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bidi="ar"/>
                    </w:rPr>
                    <w:t>二、地表沉陷影响</w:t>
                  </w:r>
                </w:p>
              </w:tc>
            </w:tr>
            <w:tr w14:paraId="5F308CC9">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6E8FF1EB">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矿区开采煤层多，累计开采厚度大，煤层受重复开采的影响，将会使地表长期处于不稳定状态。由于本矿区属缓倾斜，煤炭开采后地表不会出现明显的沉陷盆地，但在埋藏较浅的地段，地表可能产生大小不等、深浅不一的塌陷坑；随着煤层的开采，对地下围岩的破坏可能</w:t>
                  </w:r>
                  <w:r>
                    <w:rPr>
                      <w:rFonts w:hint="eastAsia" w:cs="Times New Roman"/>
                      <w:color w:val="auto"/>
                      <w:sz w:val="21"/>
                      <w:szCs w:val="21"/>
                      <w:highlight w:val="none"/>
                      <w:lang w:val="en-US" w:eastAsia="zh-CN"/>
                    </w:rPr>
                    <w:t>波及</w:t>
                  </w:r>
                  <w:r>
                    <w:rPr>
                      <w:rFonts w:hint="default" w:ascii="Times New Roman" w:hAnsi="Times New Roman" w:cs="Times New Roman"/>
                      <w:color w:val="auto"/>
                      <w:sz w:val="21"/>
                      <w:szCs w:val="21"/>
                      <w:highlight w:val="none"/>
                      <w:lang w:val="en-US" w:eastAsia="zh-CN"/>
                    </w:rPr>
                    <w:t>地表，引起地表形态发生变化，将会造成不同程度的地表塌陷和裂缝。按照“三下”采煤规范煤柱留设原则，结合地下水影响范围预测：①补连塔铁路、包神铁路、新街红进塔铁路、巴准铁路、准东铁路、准神铁路两侧留设煤柱109~119m；阿大一级公路、矿区环线公路、巴苏公路、S214、G18荣乌高速、包神府公路、包府公路（G336）、边贾公路两侧留设煤柱99~105m。②矿区边界</w:t>
                  </w:r>
                  <w:r>
                    <w:rPr>
                      <w:rFonts w:hint="eastAsia" w:cs="Times New Roman"/>
                      <w:color w:val="auto"/>
                      <w:sz w:val="21"/>
                      <w:szCs w:val="21"/>
                      <w:highlight w:val="none"/>
                      <w:lang w:val="en-US" w:eastAsia="zh-CN"/>
                    </w:rPr>
                    <w:t>对</w:t>
                  </w:r>
                  <w:r>
                    <w:rPr>
                      <w:rFonts w:hint="default" w:ascii="Times New Roman" w:hAnsi="Times New Roman" w:cs="Times New Roman"/>
                      <w:color w:val="auto"/>
                      <w:sz w:val="21"/>
                      <w:szCs w:val="21"/>
                      <w:highlight w:val="none"/>
                      <w:lang w:val="en-US" w:eastAsia="zh-CN"/>
                    </w:rPr>
                    <w:t>乌兰木伦河、勃牛川、哈什拉川留设了保护煤柱，煤柱留设为95m~116m；③矿区对鄂尔多斯市城市规划区划定为禁采区，并留设足够的保护煤柱，煤柱留设为91m~121m；④矿区对成吉思汗国家、阿贵庙森林公园、动物化石地质遗址自然保护区留设足够的保护煤柱；⑤矿区对准格尔召、战国秦长城、朱开沟遗址、阿亥召四个文物留设保护煤柱，留设106m~126m。</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208211B9">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伊金霍洛旗纳林塔纳林沟煤矿配套环保设施建设项目，建设地点位于伊金霍洛旗纳林塔纳林沟煤矿工业场地范围内，煤矿产能、矿区范围、开拓方式均未发生变化，不属于煤矿开采项目，不会造成地表沉陷的影响。</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1BEEDA2E">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2EAAE12A">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2F289DBB">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bidi="ar"/>
                    </w:rPr>
                    <w:t>三、生态环境影响</w:t>
                  </w:r>
                </w:p>
              </w:tc>
            </w:tr>
            <w:tr w14:paraId="52D6EB0D">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0855E507">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（1）规划项目占地对植被的影响</w:t>
                  </w:r>
                  <w:r>
                    <w:rPr>
                      <w:rFonts w:hint="eastAsia" w:cs="Times New Roman"/>
                      <w:color w:val="auto"/>
                      <w:sz w:val="21"/>
                      <w:szCs w:val="21"/>
                      <w:highlight w:val="none"/>
                      <w:lang w:val="en-US" w:eastAsia="zh-CN"/>
                    </w:rPr>
                    <w:t>：规划</w:t>
                  </w:r>
                  <w:r>
                    <w:rPr>
                      <w:rFonts w:hint="default" w:ascii="Times New Roman" w:hAnsi="Times New Roman" w:cs="Times New Roman"/>
                      <w:color w:val="auto"/>
                      <w:sz w:val="21"/>
                      <w:szCs w:val="21"/>
                      <w:highlight w:val="none"/>
                      <w:lang w:val="en-US" w:eastAsia="zh-CN"/>
                    </w:rPr>
                    <w:t>资源整合、改扩建矿井（田）工业场地新增占地面积311.7hm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，矿区开发后项目占地将造成天然牧草地、人工牧草地、灌木林地和乔木林地面积分别减少182.26hm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、53.67hm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、39.74hm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、6.74hm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。这部分面积将全部转化为采矿用地。</w:t>
                  </w:r>
                </w:p>
              </w:tc>
              <w:tc>
                <w:tcPr>
                  <w:tcW w:w="1202" w:type="pct"/>
                  <w:vMerge w:val="restart"/>
                  <w:tcBorders>
                    <w:top w:val="nil"/>
                    <w:left w:val="single" w:color="auto" w:sz="4" w:space="0"/>
                    <w:right w:val="single" w:color="auto" w:sz="4" w:space="0"/>
                  </w:tcBorders>
                  <w:noWrap w:val="0"/>
                  <w:vAlign w:val="center"/>
                </w:tcPr>
                <w:p w14:paraId="36898DED">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本项目为伊金霍洛旗纳林塔纳林沟煤矿配套环保设施建设项目，建设地点位于伊金霍洛旗纳林塔纳林沟煤矿工业场地范围内，不新增占地面积。</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33C067E2">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2ACC00DC">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46C4CB7E">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（2）矿区开发对植被及生态系统功能的影响</w:t>
                  </w:r>
                  <w:r>
                    <w:rPr>
                      <w:rFonts w:hint="eastAsia" w:cs="Times New Roman"/>
                      <w:color w:val="auto"/>
                      <w:sz w:val="21"/>
                      <w:szCs w:val="21"/>
                      <w:highlight w:val="none"/>
                      <w:lang w:val="en-US" w:eastAsia="zh-CN"/>
                    </w:rPr>
                    <w:t>：本</w:t>
                  </w:r>
                  <w:r>
                    <w:rPr>
                      <w:rFonts w:hint="default" w:ascii="Times New Roman" w:hAnsi="Times New Roman" w:cs="Times New Roman"/>
                      <w:color w:val="auto"/>
                      <w:sz w:val="21"/>
                      <w:szCs w:val="21"/>
                      <w:highlight w:val="none"/>
                      <w:lang w:val="en-US" w:eastAsia="zh-CN"/>
                    </w:rPr>
                    <w:t>项目为煤矿矿区规划项目，规划实施后各项地面工程占地，井下煤开采引起的地表形态变化等，将改变局部区域原有生态系统的生态功能、景观生态格局，对评价区生态完整性产生一定影响。从项目占地对环境的影响分析可知，规划新增占地使天然牧草地面积减少235.93h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，减少比例为0.17%；林地减少46.48hm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减少比例为0.04%，可见规划实施不会对其优势度产生大的不利影响。井工开采对地表的生态系统影响很小，除井工开采的工业场地等占地造成的影响外，地表沉陷导致地表的地形的变化，从而改变了沉陷区现有的土壤水分的水平分布状态，造成</w:t>
                  </w:r>
                  <w:r>
                    <w:rPr>
                      <w:rFonts w:hint="eastAsia" w:ascii="Times New Roman" w:hAnsi="Times New Roman" w:cs="Times New Roman"/>
                      <w:color w:val="auto"/>
                      <w:sz w:val="21"/>
                      <w:szCs w:val="21"/>
                      <w:highlight w:val="none"/>
                      <w:lang w:val="en-US" w:eastAsia="zh-CN"/>
                    </w:rPr>
                    <w:t>地表植被</w:t>
                  </w:r>
                  <w:r>
                    <w:rPr>
                      <w:rFonts w:hint="default" w:ascii="Times New Roman" w:hAnsi="Times New Roman" w:cs="Times New Roman"/>
                      <w:color w:val="auto"/>
                      <w:sz w:val="21"/>
                      <w:szCs w:val="21"/>
                      <w:highlight w:val="none"/>
                      <w:lang w:val="en-US" w:eastAsia="zh-CN"/>
                    </w:rPr>
                    <w:t>也随之发生变化，即凹陷地由于水分的汇聚，植物的多样性及生长状态会好于凸出的地块，但这种变化不会导致生态系统的退化，只是改变了生态系统内的植物的水平分布状态。露天矿开采直接挖损地表，草地受到破坏。因此露天矿开采将造成局部区域生态功能完全丧失。近期开发露天矿时应及时进行生态整治工作，尽快内排，并把工作重点放在排土场的复垦工作上，边采边复，恢复原地貌。就整个评价区而言，矿区开发加剧了人类对自然系统的干扰程度，景观破碎化增加，不过随着矿区复垦整治措施的及时实施，矿区开发对评价区生态系统完整性的影响是有限的。对此，应加强沉陷区土地治理水土流失的防治以及尽可能恢复植被，维持各景观的生态功能，合理规划布置各项生态工程建设，避免破坏敏感或关键的生态单元和廊道，维持区域生态系统的完整性。</w:t>
                  </w:r>
                </w:p>
              </w:tc>
              <w:tc>
                <w:tcPr>
                  <w:tcW w:w="1202" w:type="pct"/>
                  <w:vMerge w:val="continue"/>
                  <w:tcBorders>
                    <w:left w:val="single" w:color="auto" w:sz="4" w:space="0"/>
                    <w:right w:val="single" w:color="auto" w:sz="4" w:space="0"/>
                  </w:tcBorders>
                  <w:noWrap w:val="0"/>
                  <w:vAlign w:val="center"/>
                </w:tcPr>
                <w:p w14:paraId="1225D834">
                  <w:pPr>
                    <w:pStyle w:val="14"/>
                    <w:ind w:left="-105" w:leftChars="-50" w:right="-105" w:rightChars="-50"/>
                    <w:rPr>
                      <w:rFonts w:hint="default" w:ascii="Times New Roman" w:hAnsi="Times New Roman" w:cs="Times New Roman"/>
                      <w:color w:val="auto"/>
                      <w:sz w:val="21"/>
                      <w:szCs w:val="21"/>
                      <w:highlight w:val="none"/>
                      <w:lang w:val="en-US" w:eastAsia="zh-CN"/>
                    </w:rPr>
                  </w:pPr>
                </w:p>
              </w:tc>
              <w:tc>
                <w:tcPr>
                  <w:tcW w:w="473" w:type="pct"/>
                  <w:tcBorders>
                    <w:top w:val="single" w:color="auto" w:sz="4" w:space="0"/>
                    <w:left w:val="single" w:color="auto" w:sz="4" w:space="0"/>
                    <w:bottom w:val="single" w:color="auto" w:sz="4" w:space="0"/>
                    <w:right w:val="single" w:color="auto" w:sz="4" w:space="0"/>
                  </w:tcBorders>
                  <w:noWrap w:val="0"/>
                  <w:vAlign w:val="center"/>
                </w:tcPr>
                <w:p w14:paraId="4205FFDE">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02803A0D">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3C6376F8">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（3）矿区开发对植被生产力影响</w:t>
                  </w:r>
                  <w:r>
                    <w:rPr>
                      <w:rFonts w:hint="eastAsia" w:cs="Times New Roman"/>
                      <w:color w:val="auto"/>
                      <w:sz w:val="21"/>
                      <w:szCs w:val="21"/>
                      <w:highlight w:val="none"/>
                      <w:lang w:val="en-US" w:eastAsia="zh-CN"/>
                    </w:rPr>
                    <w:t>：规划</w:t>
                  </w:r>
                  <w:r>
                    <w:rPr>
                      <w:rFonts w:hint="default" w:ascii="Times New Roman" w:hAnsi="Times New Roman" w:cs="Times New Roman"/>
                      <w:color w:val="auto"/>
                      <w:sz w:val="21"/>
                      <w:szCs w:val="21"/>
                      <w:highlight w:val="none"/>
                      <w:lang w:val="en-US" w:eastAsia="zh-CN"/>
                    </w:rPr>
                    <w:t>矿井全部开采后最大受沉陷影响耕地面积为11.09km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这些耕地主要分布在矿区内主要河流两岸，主要农作物有豆类、土豆、玉米、糜、谷等，粮食年产玉米约200～250kg/亩，糜谷约100～150kg/亩。耕地受影响的主要表现为在沉陷区边缘受拉发生裂缝、坍塌、漏水漏肥，不利于耕作。按评价区内土地利用状况和当地农业种植情况估算，这种影响在一段时间内会使粮食减产约25%～30%，矿区开发后，最大将使当地粮食减产约398.1t/a，对当地农业生产有一定不利影响，尤其是矿区内的农业生产受影响程度较大，对此，各规划矿井今后在开发过程中，需要按照土地复垦方案切实做好受损农田的综合整治工作，最大限度恢复受损农田，减轻粮食产量下降对区域农业生产的影响，对受影响的农民也应采取合理经济补偿措施。</w:t>
                  </w:r>
                </w:p>
              </w:tc>
              <w:tc>
                <w:tcPr>
                  <w:tcW w:w="1202" w:type="pct"/>
                  <w:vMerge w:val="continue"/>
                  <w:tcBorders>
                    <w:left w:val="single" w:color="auto" w:sz="4" w:space="0"/>
                    <w:right w:val="single" w:color="auto" w:sz="4" w:space="0"/>
                  </w:tcBorders>
                  <w:noWrap w:val="0"/>
                  <w:vAlign w:val="center"/>
                </w:tcPr>
                <w:p w14:paraId="52ABEB02">
                  <w:pPr>
                    <w:pStyle w:val="14"/>
                    <w:ind w:left="-105" w:leftChars="-50" w:right="-105" w:rightChars="-50"/>
                    <w:rPr>
                      <w:rFonts w:hint="default" w:ascii="Times New Roman" w:hAnsi="Times New Roman" w:cs="Times New Roman"/>
                      <w:color w:val="auto"/>
                      <w:sz w:val="21"/>
                      <w:szCs w:val="21"/>
                      <w:highlight w:val="none"/>
                      <w:lang w:val="en-US" w:eastAsia="zh-CN"/>
                    </w:rPr>
                  </w:pPr>
                </w:p>
              </w:tc>
              <w:tc>
                <w:tcPr>
                  <w:tcW w:w="473" w:type="pct"/>
                  <w:tcBorders>
                    <w:top w:val="single" w:color="auto" w:sz="4" w:space="0"/>
                    <w:left w:val="single" w:color="auto" w:sz="4" w:space="0"/>
                    <w:bottom w:val="single" w:color="auto" w:sz="4" w:space="0"/>
                    <w:right w:val="single" w:color="auto" w:sz="4" w:space="0"/>
                  </w:tcBorders>
                  <w:noWrap w:val="0"/>
                  <w:vAlign w:val="center"/>
                </w:tcPr>
                <w:p w14:paraId="2C965A71">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41223B55">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3A352D7C">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（4）矿区开发对土地利用的影响</w:t>
                  </w:r>
                  <w:r>
                    <w:rPr>
                      <w:rFonts w:hint="eastAsia" w:cs="Times New Roman"/>
                      <w:color w:val="auto"/>
                      <w:sz w:val="21"/>
                      <w:szCs w:val="21"/>
                      <w:highlight w:val="none"/>
                      <w:lang w:val="en-US" w:eastAsia="zh-CN"/>
                    </w:rPr>
                    <w:t>：矿区</w:t>
                  </w:r>
                  <w:r>
                    <w:rPr>
                      <w:rFonts w:hint="default" w:ascii="Times New Roman" w:hAnsi="Times New Roman" w:cs="Times New Roman"/>
                      <w:color w:val="auto"/>
                      <w:sz w:val="21"/>
                      <w:szCs w:val="21"/>
                      <w:highlight w:val="none"/>
                      <w:lang w:val="en-US" w:eastAsia="zh-CN"/>
                    </w:rPr>
                    <w:t>规划实施后评价区内天然牧草地面积明显减少，由原来1243.00km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（41.43%）下降至1224.00km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（40.80%）；采矿用地明显增加，由原来的179.75km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（5.99%）增加至202.37km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（6.75%）。矿区开发后边开采边复垦，采取合理有效的生态整治措施后，评价区内天然牧草地面积下降，但随之增加的大面积的人工牧草地，天然牧草地面积由原来的1243.00km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（41.43%）下降至1224.14km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（40.80%），人工牧草地由原来的143.06km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（4.77%）增加至265.84km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（8.86%）。</w:t>
                  </w:r>
                </w:p>
              </w:tc>
              <w:tc>
                <w:tcPr>
                  <w:tcW w:w="1202" w:type="pct"/>
                  <w:vMerge w:val="continue"/>
                  <w:tcBorders>
                    <w:left w:val="single" w:color="auto" w:sz="4" w:space="0"/>
                    <w:right w:val="single" w:color="auto" w:sz="4" w:space="0"/>
                  </w:tcBorders>
                  <w:noWrap w:val="0"/>
                  <w:vAlign w:val="center"/>
                </w:tcPr>
                <w:p w14:paraId="0515EAF4">
                  <w:pPr>
                    <w:pStyle w:val="14"/>
                    <w:ind w:left="-105" w:leftChars="-50" w:right="-105" w:rightChars="-50"/>
                    <w:rPr>
                      <w:rFonts w:hint="default" w:ascii="Times New Roman" w:hAnsi="Times New Roman" w:cs="Times New Roman"/>
                      <w:color w:val="auto"/>
                      <w:sz w:val="21"/>
                      <w:szCs w:val="21"/>
                      <w:highlight w:val="none"/>
                      <w:lang w:val="en-US" w:eastAsia="zh-CN"/>
                    </w:rPr>
                  </w:pPr>
                </w:p>
              </w:tc>
              <w:tc>
                <w:tcPr>
                  <w:tcW w:w="473" w:type="pct"/>
                  <w:tcBorders>
                    <w:top w:val="single" w:color="auto" w:sz="4" w:space="0"/>
                    <w:left w:val="single" w:color="auto" w:sz="4" w:space="0"/>
                    <w:bottom w:val="single" w:color="auto" w:sz="4" w:space="0"/>
                    <w:right w:val="single" w:color="auto" w:sz="4" w:space="0"/>
                  </w:tcBorders>
                  <w:noWrap w:val="0"/>
                  <w:vAlign w:val="center"/>
                </w:tcPr>
                <w:p w14:paraId="006059AC">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64F13B18">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3F0CE3F5">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（5）矿区开发对土地损毁程度的预测</w:t>
                  </w:r>
                  <w:r>
                    <w:rPr>
                      <w:rFonts w:hint="eastAsia" w:cs="Times New Roman"/>
                      <w:color w:val="auto"/>
                      <w:sz w:val="21"/>
                      <w:szCs w:val="21"/>
                      <w:highlight w:val="none"/>
                      <w:lang w:val="en-US" w:eastAsia="zh-CN"/>
                    </w:rPr>
                    <w:t>：矿区</w:t>
                  </w:r>
                  <w:r>
                    <w:rPr>
                      <w:rFonts w:hint="default" w:ascii="Times New Roman" w:hAnsi="Times New Roman" w:cs="Times New Roman"/>
                      <w:color w:val="auto"/>
                      <w:sz w:val="21"/>
                      <w:szCs w:val="21"/>
                      <w:highlight w:val="none"/>
                      <w:lang w:val="en-US" w:eastAsia="zh-CN"/>
                    </w:rPr>
                    <w:t>开发主要造成土地轻度损毁，土地破坏轻微，基本不影响土地功能，占沉陷总面积47.59%，占矿区总面积的23.38%；部分土地为中度损毁，造成土地破坏比较严重，影响土地功能，占沉陷总面积13.88%，占矿区总面积的6.82%；部分土地为重度损毁，造成土地严重破坏，丧失原有功能，占沉陷总面积38.53%，占矿区总面积的18.93%。</w:t>
                  </w:r>
                </w:p>
              </w:tc>
              <w:tc>
                <w:tcPr>
                  <w:tcW w:w="1202" w:type="pct"/>
                  <w:vMerge w:val="continue"/>
                  <w:tcBorders>
                    <w:left w:val="single" w:color="auto" w:sz="4" w:space="0"/>
                    <w:right w:val="single" w:color="auto" w:sz="4" w:space="0"/>
                  </w:tcBorders>
                  <w:noWrap w:val="0"/>
                  <w:vAlign w:val="center"/>
                </w:tcPr>
                <w:p w14:paraId="5387A286">
                  <w:pPr>
                    <w:pStyle w:val="14"/>
                    <w:ind w:left="-105" w:leftChars="-50" w:right="-105" w:rightChars="-50"/>
                    <w:rPr>
                      <w:rFonts w:hint="default" w:ascii="Times New Roman" w:hAnsi="Times New Roman" w:cs="Times New Roman"/>
                      <w:color w:val="auto"/>
                      <w:sz w:val="21"/>
                      <w:szCs w:val="21"/>
                      <w:highlight w:val="none"/>
                      <w:lang w:val="en-US" w:eastAsia="zh-CN"/>
                    </w:rPr>
                  </w:pPr>
                </w:p>
              </w:tc>
              <w:tc>
                <w:tcPr>
                  <w:tcW w:w="473" w:type="pct"/>
                  <w:tcBorders>
                    <w:top w:val="single" w:color="auto" w:sz="4" w:space="0"/>
                    <w:left w:val="single" w:color="auto" w:sz="4" w:space="0"/>
                    <w:bottom w:val="single" w:color="auto" w:sz="4" w:space="0"/>
                    <w:right w:val="single" w:color="auto" w:sz="4" w:space="0"/>
                  </w:tcBorders>
                  <w:noWrap w:val="0"/>
                  <w:vAlign w:val="center"/>
                </w:tcPr>
                <w:p w14:paraId="01D07C86">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0BCB1546">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00920FCE">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（6）矿区开发对野生动物影响矿区开发后地表沉陷影响造成植被类型及盖度发生变化。矿区内食物和水源缺乏，不是大型野生动物的栖息地，动物的种类和出现的</w:t>
                  </w:r>
                  <w:r>
                    <w:rPr>
                      <w:rFonts w:hint="eastAsia" w:cs="Times New Roman"/>
                      <w:color w:val="auto"/>
                      <w:sz w:val="21"/>
                      <w:szCs w:val="21"/>
                      <w:highlight w:val="none"/>
                      <w:lang w:val="en-US" w:eastAsia="zh-CN"/>
                    </w:rPr>
                    <w:t>概率</w:t>
                  </w:r>
                  <w:r>
                    <w:rPr>
                      <w:rFonts w:hint="default" w:ascii="Times New Roman" w:hAnsi="Times New Roman" w:cs="Times New Roman"/>
                      <w:color w:val="auto"/>
                      <w:sz w:val="21"/>
                      <w:szCs w:val="21"/>
                      <w:highlight w:val="none"/>
                      <w:lang w:val="en-US" w:eastAsia="zh-CN"/>
                    </w:rPr>
                    <w:t>都较小，矿区开发不会影响到这些动物的栖息地和山区觅食地，对野生动物食物源的影响较小。生产期间人类生活生产活动主要集中在工业场地、井下和运输道路附近，根据前述分析，矿区不是大型野生动物的栖息地，动物的种类和出现的几率都较小。即使偶尔出现在矿区，由于野生动物一般警惕性很强，因工业场地人员活动也会迅速远离，且其出现几率本来就较小，人类活动对野生动物的影响较小。</w:t>
                  </w:r>
                </w:p>
              </w:tc>
              <w:tc>
                <w:tcPr>
                  <w:tcW w:w="1202" w:type="pct"/>
                  <w:vMerge w:val="continue"/>
                  <w:tcBorders>
                    <w:left w:val="single" w:color="auto" w:sz="4" w:space="0"/>
                    <w:bottom w:val="single" w:color="auto" w:sz="4" w:space="0"/>
                    <w:right w:val="single" w:color="auto" w:sz="4" w:space="0"/>
                  </w:tcBorders>
                  <w:noWrap w:val="0"/>
                  <w:vAlign w:val="center"/>
                </w:tcPr>
                <w:p w14:paraId="66A3D28A">
                  <w:pPr>
                    <w:pStyle w:val="14"/>
                    <w:ind w:right="-105" w:rightChars="-50"/>
                    <w:rPr>
                      <w:rFonts w:hint="default" w:ascii="Times New Roman" w:hAnsi="Times New Roman" w:cs="Times New Roman"/>
                      <w:color w:val="auto"/>
                      <w:sz w:val="21"/>
                      <w:szCs w:val="21"/>
                      <w:highlight w:val="none"/>
                      <w:lang w:val="en-US" w:eastAsia="zh-CN"/>
                    </w:rPr>
                  </w:pPr>
                </w:p>
              </w:tc>
              <w:tc>
                <w:tcPr>
                  <w:tcW w:w="473" w:type="pct"/>
                  <w:tcBorders>
                    <w:top w:val="single" w:color="auto" w:sz="4" w:space="0"/>
                    <w:left w:val="single" w:color="auto" w:sz="4" w:space="0"/>
                    <w:bottom w:val="single" w:color="auto" w:sz="4" w:space="0"/>
                    <w:right w:val="single" w:color="auto" w:sz="4" w:space="0"/>
                  </w:tcBorders>
                  <w:noWrap w:val="0"/>
                  <w:vAlign w:val="center"/>
                </w:tcPr>
                <w:p w14:paraId="25BA3385">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064581D8">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182C9DDD">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bidi="ar"/>
                    </w:rPr>
                    <w:t>四、地表水环境影响</w:t>
                  </w:r>
                </w:p>
              </w:tc>
            </w:tr>
            <w:tr w14:paraId="7994B85E">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31828BAB">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矿井水、生活污水处理后经矿区内部和外部回用后可以使矿区内的污废水全部综合利用不外排，矿区无污废水排放，不会对周围的地表水环境造成不利影响。</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3BA6346D">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本项目为伊金霍洛旗纳林塔纳林沟煤矿配套环保设施建设项目，运营期不新增劳动定员，不产生生活污水和生产废水，因此本项目不会对周围地表水环境造成不利影响。</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6A79588F">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365BFE63">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19CF2D5D">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bidi="ar"/>
                    </w:rPr>
                    <w:t>五、地下水环境影响</w:t>
                  </w:r>
                </w:p>
              </w:tc>
            </w:tr>
            <w:tr w14:paraId="1669B754">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69212349">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矿区开采导水裂隙带虽</w:t>
                  </w:r>
                  <w:r>
                    <w:rPr>
                      <w:rFonts w:hint="eastAsia" w:cs="Times New Roman"/>
                      <w:color w:val="auto"/>
                      <w:sz w:val="21"/>
                      <w:szCs w:val="21"/>
                      <w:highlight w:val="none"/>
                      <w:lang w:val="en-US" w:eastAsia="zh-CN"/>
                    </w:rPr>
                    <w:t>不致</w:t>
                  </w:r>
                  <w:r>
                    <w:rPr>
                      <w:rFonts w:hint="default" w:ascii="Times New Roman" w:hAnsi="Times New Roman" w:cs="Times New Roman"/>
                      <w:color w:val="auto"/>
                      <w:sz w:val="21"/>
                      <w:szCs w:val="21"/>
                      <w:highlight w:val="none"/>
                      <w:lang w:val="en-US" w:eastAsia="zh-CN"/>
                    </w:rPr>
                    <w:t>发育至志丹群含水层，但由于在开采情况下白垩系志丹群组含水层与安定-直罗组含水层之间存在一定的水力联系，随着下伏含水层（安定-直罗组）受煤炭开采水位下降，白垩系志丹群及第四系含水层亦将对下伏含水层产生一定越流补给，本次环评预测径流补给量约占矿井涌水量的30%。对于煤系地层下伏延长组含水层，因其与上部煤系地层之间有隔水层（延安组底部隔水层）相隔，受开采影响较小。第四系潜水不受导通影响，主要受径流补给井下排水和沉陷积水区潜水出露造成蒸发损失影响，导致区域潜水位出现下降，同时积水区对生态植被造成影响，开采结束地表沉陷稳定后，潜水会接受大气降水补给，地下水重新平衡，沉陷“盆地”底部潜水位会逐渐恢复。矿区开采地表沉陷对安定组-直罗组、志丹群组含水层流场影响很小，对第四系潜水在小面积积水区的流场有一定影响，但对矿区整体第四系潜水流场影响较小。矿区开发期内，潜水水资源量会受地表沉陷影响而减少，地表沉陷稳定后潜水位会逐渐恢复，从长远来看，潜水水资源量受影响较小。矿区污废水全部回用，不外排，不会对第四系潜水水质产生影响。矿区矸石属于第Ⅰ类一般工业固体废物，矸石堆存产生的淋滤液不会对第四系潜水水质产生明显影响。在矿区开发过程中，各井田应对白垩系下统志丹群、第四系含水层段建立地下水监测系统，监测项目包括水位、水质等，以保护具有饮用水开发利用价值的地下水资源。通过实践，确定保水采煤对上部白垩系、第四系含水层的影响。对于零散居民用水，对受开采沉陷影响的零散居民进行搬迁并由城镇供水系统统一供给，对各勘查区内暂不搬迁的零散居民，密切关注居民水井供水情况，一旦出现水位降低或干涸而影响其供水，及时为其延深水井或新建水井，或者采取水车等其他供水方式，采取上述措施后，矿区开发对零散居民生活用水影响较小。</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6197B3F7">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伊金霍洛旗纳林塔纳林沟煤矿配套环保设施建设项目，不涉及煤炭的开采，煤矿产能、矿区范围、开拓方式均未发生变化；本项目运营期不新增劳动定员，不产生生活污水和生产废水，因此本项目不会对地下水产生影响。</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0FB74CB6">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18237D2C">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1B07401B">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bidi="ar"/>
                    </w:rPr>
                    <w:t>六、大气环境影响</w:t>
                  </w:r>
                </w:p>
              </w:tc>
            </w:tr>
            <w:tr w14:paraId="79ACDA47">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61B74157">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神东矿区东胜区开发历史较长，矿区内规划煤矿项目多为已生产项目，东胜区开发现状与规划项目有组织大气污染源变化较大，但多为取消燃煤锅炉，改为电采暖和燃气锅炉，有组织污染物产生量将大幅下降。根据鄂尔多斯市环境空气质量例行监测数据，2018～2020年各年份鄂尔多斯市SO</w:t>
                  </w:r>
                  <w:r>
                    <w:rPr>
                      <w:rFonts w:hint="default" w:ascii="Times New Roman" w:hAnsi="Times New Roman" w:cs="Times New Roman"/>
                      <w:color w:val="auto"/>
                      <w:sz w:val="21"/>
                      <w:szCs w:val="21"/>
                      <w:highlight w:val="none"/>
                      <w:vertAlign w:val="subscript"/>
                      <w:lang w:val="en-US" w:eastAsia="zh-CN"/>
                    </w:rPr>
                    <w:t>2</w:t>
                  </w:r>
                  <w:r>
                    <w:rPr>
                      <w:rFonts w:hint="default" w:ascii="Times New Roman" w:hAnsi="Times New Roman" w:cs="Times New Roman"/>
                      <w:color w:val="auto"/>
                      <w:sz w:val="21"/>
                      <w:szCs w:val="21"/>
                      <w:highlight w:val="none"/>
                      <w:lang w:val="en-US" w:eastAsia="zh-CN"/>
                    </w:rPr>
                    <w:t>和NO</w:t>
                  </w:r>
                  <w:r>
                    <w:rPr>
                      <w:rFonts w:hint="default" w:ascii="Times New Roman" w:hAnsi="Times New Roman" w:cs="Times New Roman"/>
                      <w:color w:val="auto"/>
                      <w:sz w:val="21"/>
                      <w:szCs w:val="21"/>
                      <w:highlight w:val="none"/>
                      <w:vertAlign w:val="subscript"/>
                      <w:lang w:val="en-US" w:eastAsia="zh-CN"/>
                    </w:rPr>
                    <w:t>2</w:t>
                  </w:r>
                  <w:r>
                    <w:rPr>
                      <w:rFonts w:hint="default" w:ascii="Times New Roman" w:hAnsi="Times New Roman" w:cs="Times New Roman"/>
                      <w:color w:val="auto"/>
                      <w:sz w:val="21"/>
                      <w:szCs w:val="21"/>
                      <w:highlight w:val="none"/>
                      <w:lang w:val="en-US" w:eastAsia="zh-CN"/>
                    </w:rPr>
                    <w:t>的年均浓度均优于《环境空气质量标准》（GB3095-2012）中二级标准限值，环境空气质量良好。由此类比分析，矿区规划项目有组织大气污染源对周边环境质量影响亦不大，不会改变区域环境空气功能区。</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69607E2C">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本项目运营期产生少量挥发性有机废气，通过危废库排气系统无组织排放。</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1F447650">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51D155E1">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3DF776F1">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bidi="ar"/>
                    </w:rPr>
                    <w:t>七、固体废物环境影响</w:t>
                  </w:r>
                </w:p>
              </w:tc>
            </w:tr>
            <w:tr w14:paraId="144C7596">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6E259BDD">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矿区产生的固体废物主要为矿井矸石（包括建井期掘进矸石、生产期掘进矸石、生产期洗选矸石），锅炉灰渣、矿井水处理站常规处理系统产生的煤泥、污水处理站产生的污泥、生产服务人员的生活垃圾等。</w:t>
                  </w:r>
                </w:p>
                <w:p w14:paraId="7399D87E">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矿区内掘进矸石不出井，洗选矸石全部综合利用；剥离土岩全部运往排土场，露天矿矸石优先综合利用，其余的进行内排；矿井水处理站煤泥晾干后可与产品煤一起外售；生活污水处理站剩余污泥和生活垃圾收集后由环卫部门统一处置；废机油为危险废物需交由有资质企业安全处置；锅炉灰渣为很好的建材原料，推荐用于制造水泥、制作建材等综合利用项目。</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01631B9E">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0000FF"/>
                      <w:sz w:val="21"/>
                      <w:szCs w:val="21"/>
                      <w:highlight w:val="none"/>
                      <w:lang w:val="en-US" w:eastAsia="zh-CN"/>
                    </w:rPr>
                    <w:t>本项</w:t>
                  </w:r>
                  <w:r>
                    <w:rPr>
                      <w:rFonts w:hint="default" w:ascii="Times New Roman" w:hAnsi="Times New Roman" w:eastAsia="宋体" w:cs="Times New Roman"/>
                      <w:color w:val="0000FF"/>
                      <w:sz w:val="21"/>
                      <w:szCs w:val="21"/>
                      <w:highlight w:val="none"/>
                      <w:lang w:val="en-US" w:eastAsia="zh-CN"/>
                    </w:rPr>
                    <w:t>目在运营期</w:t>
                  </w:r>
                  <w:r>
                    <w:rPr>
                      <w:rFonts w:hint="eastAsia" w:ascii="Times New Roman" w:hAnsi="Times New Roman" w:eastAsia="宋体" w:cs="Times New Roman"/>
                      <w:color w:val="0000FF"/>
                      <w:sz w:val="21"/>
                      <w:szCs w:val="21"/>
                      <w:highlight w:val="none"/>
                      <w:lang w:val="en-US" w:eastAsia="zh-CN"/>
                    </w:rPr>
                    <w:t>产生的</w:t>
                  </w:r>
                  <w:r>
                    <w:rPr>
                      <w:rFonts w:hint="default" w:ascii="Times New Roman" w:hAnsi="Times New Roman" w:eastAsia="宋体" w:cs="Times New Roman"/>
                      <w:color w:val="0000FF"/>
                      <w:sz w:val="21"/>
                      <w:szCs w:val="21"/>
                      <w:highlight w:val="none"/>
                      <w:lang w:val="en-US" w:eastAsia="zh-CN"/>
                    </w:rPr>
                    <w:t>危险废物的废弃油桶收集暂存于危险废物暂存库，委托有资质单位处理。根据《国家危险废物名录》（2025年版），全部环节未分类收集的沾染废矿物油的劳保用品全过程不按危险废物管理，因此统一收集后由环卫部门统一清理。</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402C2654">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r w14:paraId="06A65721">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03461F76">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bCs/>
                      <w:color w:val="auto"/>
                      <w:kern w:val="2"/>
                      <w:sz w:val="21"/>
                      <w:szCs w:val="21"/>
                      <w:highlight w:val="none"/>
                      <w:lang w:val="en-US" w:eastAsia="zh-CN" w:bidi="ar"/>
                    </w:rPr>
                    <w:t>八、土壤环境影响</w:t>
                  </w:r>
                </w:p>
              </w:tc>
            </w:tr>
            <w:tr w14:paraId="3D62198C">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283" w:hRule="atLeast"/>
              </w:trPr>
              <w:tc>
                <w:tcPr>
                  <w:tcW w:w="3324" w:type="pct"/>
                  <w:tcBorders>
                    <w:top w:val="single" w:color="auto" w:sz="4" w:space="0"/>
                    <w:left w:val="single" w:color="auto" w:sz="4" w:space="0"/>
                    <w:bottom w:val="single" w:color="auto" w:sz="4" w:space="0"/>
                    <w:right w:val="single" w:color="auto" w:sz="4" w:space="0"/>
                  </w:tcBorders>
                  <w:noWrap w:val="0"/>
                  <w:vAlign w:val="center"/>
                </w:tcPr>
                <w:p w14:paraId="7D0ECF5F">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矿区规划矿井开采后，沉陷区地表发生下沉，由于矿区第四系多属于透水而不含水层，因此开采沉陷后沉陷区仍主要是透水不含水状态，沉陷区土壤盐化的影响因素仍然主要是干燥度、土壤本底含盐量及土壤质地三个因素，这三个因素在开采沉陷后一般而言基本不变，根据预测结果，规划矿井开发后土壤盐化情况由轻度盐化转变为中度盐化，对土壤环境有一定影响。通过种植耐盐的植物，或者是种植牧草、绿肥、造林，尽可能</w:t>
                  </w:r>
                  <w:r>
                    <w:rPr>
                      <w:rFonts w:hint="eastAsia" w:cs="Times New Roman"/>
                      <w:color w:val="auto"/>
                      <w:sz w:val="21"/>
                      <w:szCs w:val="21"/>
                      <w:highlight w:val="none"/>
                      <w:lang w:val="en-US" w:eastAsia="zh-CN"/>
                    </w:rPr>
                    <w:t>地</w:t>
                  </w:r>
                  <w:r>
                    <w:rPr>
                      <w:rFonts w:hint="default" w:ascii="Times New Roman" w:hAnsi="Times New Roman" w:cs="Times New Roman"/>
                      <w:color w:val="auto"/>
                      <w:sz w:val="21"/>
                      <w:szCs w:val="21"/>
                      <w:highlight w:val="none"/>
                      <w:lang w:val="en-US" w:eastAsia="zh-CN"/>
                    </w:rPr>
                    <w:t>增加土壤中的有机质含量，改善土壤的理化性质，减轻土壤盐化程度，可以使土壤环境达到《土壤环境质量 农用地土壤污染风险管控标准（试行）》（GB15618-2018）和《土壤环境质量 建设用地土壤污染风险管控标准（试行）》（GB36600-2018）标准要求。</w:t>
                  </w:r>
                </w:p>
              </w:tc>
              <w:tc>
                <w:tcPr>
                  <w:tcW w:w="1202" w:type="pct"/>
                  <w:tcBorders>
                    <w:top w:val="single" w:color="auto" w:sz="4" w:space="0"/>
                    <w:left w:val="single" w:color="auto" w:sz="4" w:space="0"/>
                    <w:bottom w:val="single" w:color="auto" w:sz="4" w:space="0"/>
                    <w:right w:val="single" w:color="auto" w:sz="4" w:space="0"/>
                  </w:tcBorders>
                  <w:noWrap w:val="0"/>
                  <w:vAlign w:val="center"/>
                </w:tcPr>
                <w:p w14:paraId="34DD7D11">
                  <w:pPr>
                    <w:pStyle w:val="14"/>
                    <w:ind w:left="-105" w:leftChars="-50" w:right="-105" w:rightChars="-5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本项目为伊金霍洛旗纳林塔纳林沟煤矿配套环保设施建设项目，不涉及煤炭开采地表沉陷，亦不会对地下水造成影响，不会对土壤造成生态影响。</w:t>
                  </w:r>
                </w:p>
              </w:tc>
              <w:tc>
                <w:tcPr>
                  <w:tcW w:w="473" w:type="pct"/>
                  <w:tcBorders>
                    <w:top w:val="single" w:color="auto" w:sz="4" w:space="0"/>
                    <w:left w:val="single" w:color="auto" w:sz="4" w:space="0"/>
                    <w:bottom w:val="single" w:color="auto" w:sz="4" w:space="0"/>
                    <w:right w:val="single" w:color="auto" w:sz="4" w:space="0"/>
                  </w:tcBorders>
                  <w:noWrap w:val="0"/>
                  <w:vAlign w:val="center"/>
                </w:tcPr>
                <w:p w14:paraId="7452CCCE">
                  <w:pPr>
                    <w:pStyle w:val="14"/>
                    <w:ind w:left="-105" w:leftChars="-50" w:right="-105" w:rightChars="-5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符合</w:t>
                  </w:r>
                </w:p>
              </w:tc>
            </w:tr>
          </w:tbl>
          <w:p w14:paraId="5B24D7F8">
            <w:pPr>
              <w:spacing w:line="500" w:lineRule="atLeast"/>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本项目为</w:t>
            </w:r>
            <w:r>
              <w:rPr>
                <w:rFonts w:hint="default" w:ascii="Times New Roman" w:hAnsi="Times New Roman" w:cs="Times New Roman"/>
                <w:color w:val="auto"/>
                <w:sz w:val="24"/>
                <w:highlight w:val="none"/>
                <w:lang w:val="en-US" w:eastAsia="zh-CN"/>
              </w:rPr>
              <w:t>伊金霍洛旗纳林塔纳林沟煤矿配套危废暂存库建设项目</w:t>
            </w:r>
            <w:r>
              <w:rPr>
                <w:rFonts w:hint="default" w:ascii="Times New Roman" w:hAnsi="Times New Roman" w:cs="Times New Roman"/>
                <w:color w:val="auto"/>
                <w:sz w:val="24"/>
                <w:highlight w:val="none"/>
              </w:rPr>
              <w:t>，建设地点位于</w:t>
            </w:r>
            <w:r>
              <w:rPr>
                <w:rFonts w:hint="default" w:ascii="Times New Roman" w:hAnsi="Times New Roman" w:cs="Times New Roman"/>
                <w:color w:val="auto"/>
                <w:sz w:val="24"/>
                <w:highlight w:val="none"/>
                <w:lang w:val="en-US" w:eastAsia="zh-CN"/>
              </w:rPr>
              <w:t>伊金霍洛旗纳林塔纳林沟煤矿工业场地范围内</w:t>
            </w:r>
            <w:r>
              <w:rPr>
                <w:rFonts w:hint="default" w:ascii="Times New Roman" w:hAnsi="Times New Roman" w:cs="Times New Roman"/>
                <w:color w:val="auto"/>
                <w:sz w:val="24"/>
                <w:highlight w:val="none"/>
              </w:rPr>
              <w:t>，不新增占地，不涉及煤炭开采，由上表分析可知项目运营</w:t>
            </w:r>
            <w:r>
              <w:rPr>
                <w:rFonts w:hint="eastAsia" w:cs="Times New Roman"/>
                <w:color w:val="auto"/>
                <w:sz w:val="24"/>
                <w:highlight w:val="none"/>
                <w:lang w:eastAsia="zh-CN"/>
              </w:rPr>
              <w:t>期间</w:t>
            </w:r>
            <w:r>
              <w:rPr>
                <w:rFonts w:hint="default" w:ascii="Times New Roman" w:hAnsi="Times New Roman" w:cs="Times New Roman"/>
                <w:color w:val="auto"/>
                <w:sz w:val="24"/>
                <w:highlight w:val="none"/>
              </w:rPr>
              <w:t>废气主要为</w:t>
            </w:r>
            <w:r>
              <w:rPr>
                <w:rFonts w:hint="eastAsia" w:ascii="Times New Roman" w:hAnsi="Times New Roman" w:eastAsia="宋体" w:cs="Times New Roman"/>
                <w:color w:val="auto"/>
                <w:sz w:val="24"/>
                <w:highlight w:val="none"/>
                <w:lang w:val="en-US" w:eastAsia="zh-CN"/>
              </w:rPr>
              <w:t>少量</w:t>
            </w:r>
            <w:r>
              <w:rPr>
                <w:rFonts w:hint="default" w:ascii="Times New Roman" w:hAnsi="Times New Roman" w:eastAsia="宋体" w:cs="Times New Roman"/>
                <w:color w:val="auto"/>
                <w:sz w:val="24"/>
                <w:highlight w:val="none"/>
                <w:lang w:val="en-US" w:eastAsia="zh-CN"/>
              </w:rPr>
              <w:t>非甲烷总烃，通过危废库排气系统无组织排放；本项目不新增劳动定员，不产生生</w:t>
            </w:r>
            <w:r>
              <w:rPr>
                <w:rFonts w:hint="default" w:ascii="Times New Roman" w:hAnsi="Times New Roman" w:eastAsia="宋体" w:cs="Times New Roman"/>
                <w:color w:val="auto"/>
                <w:sz w:val="24"/>
                <w:highlight w:val="none"/>
              </w:rPr>
              <w:t>活污水和生产废水；</w:t>
            </w:r>
            <w:r>
              <w:rPr>
                <w:rFonts w:hint="default" w:ascii="Times New Roman" w:hAnsi="Times New Roman" w:cs="Times New Roman"/>
                <w:color w:val="auto"/>
                <w:sz w:val="24"/>
                <w:highlight w:val="none"/>
              </w:rPr>
              <w:t>本项目运营期固体废物均合理处置，对周围环境影响较小，因此本项目亦符合矿区总体规划环境影响评价结论要求。</w:t>
            </w:r>
          </w:p>
          <w:p w14:paraId="485247B1">
            <w:pPr>
              <w:spacing w:line="500" w:lineRule="exact"/>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3、建设项目与审查意见的符合性分析</w:t>
            </w:r>
          </w:p>
          <w:p w14:paraId="254799A0">
            <w:pPr>
              <w:spacing w:line="500" w:lineRule="atLeast"/>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根据“关于《内蒙古自治区鄂尔多斯神东项目东胜区总体规划（修编）环境影响报告书》的审查意见”，文件号为环审〔2023〕73号，本项目与审查意见的符合性分析见表1-</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rPr>
              <w:t>。</w:t>
            </w:r>
          </w:p>
          <w:p w14:paraId="6ECDDA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w:t>
            </w: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 xml:space="preserve">  本项目与规划环评审查意见（摘录相关）相符性分析</w:t>
            </w:r>
          </w:p>
          <w:tbl>
            <w:tblPr>
              <w:tblStyle w:val="20"/>
              <w:tblW w:w="7119" w:type="dxa"/>
              <w:tblInd w:w="0" w:type="dxa"/>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4216"/>
              <w:gridCol w:w="2234"/>
              <w:gridCol w:w="669"/>
            </w:tblGrid>
            <w:tr w14:paraId="2943EB0F">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257D2201">
                  <w:pPr>
                    <w:adjustRightInd w:val="0"/>
                    <w:snapToGrid w:val="0"/>
                    <w:ind w:left="-105" w:leftChars="-50" w:right="-105" w:rightChars="-50"/>
                    <w:jc w:val="center"/>
                    <w:rPr>
                      <w:rFonts w:hint="default" w:ascii="Times New Roman" w:hAnsi="Times New Roman" w:cs="Times New Roman"/>
                      <w:b/>
                      <w:bCs/>
                      <w:color w:val="auto"/>
                      <w:sz w:val="24"/>
                      <w:szCs w:val="21"/>
                      <w:highlight w:val="none"/>
                    </w:rPr>
                  </w:pPr>
                  <w:r>
                    <w:rPr>
                      <w:rFonts w:hint="default" w:ascii="Times New Roman" w:hAnsi="Times New Roman" w:cs="Times New Roman"/>
                      <w:b/>
                      <w:bCs/>
                      <w:color w:val="auto"/>
                      <w:szCs w:val="21"/>
                      <w:highlight w:val="none"/>
                      <w:lang w:bidi="ar"/>
                    </w:rPr>
                    <w:t>规划环评审查意见（摘录相关）</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4AFC0B39">
                  <w:pPr>
                    <w:adjustRightInd w:val="0"/>
                    <w:snapToGrid w:val="0"/>
                    <w:ind w:left="-105" w:leftChars="-50" w:right="-105" w:rightChars="-50"/>
                    <w:jc w:val="center"/>
                    <w:rPr>
                      <w:rFonts w:hint="default" w:ascii="Times New Roman" w:hAnsi="Times New Roman" w:cs="Times New Roman"/>
                      <w:b/>
                      <w:bCs/>
                      <w:color w:val="auto"/>
                      <w:sz w:val="24"/>
                      <w:szCs w:val="21"/>
                      <w:highlight w:val="none"/>
                    </w:rPr>
                  </w:pPr>
                  <w:r>
                    <w:rPr>
                      <w:rFonts w:hint="default" w:ascii="Times New Roman" w:hAnsi="Times New Roman" w:cs="Times New Roman"/>
                      <w:b/>
                      <w:bCs/>
                      <w:color w:val="auto"/>
                      <w:szCs w:val="21"/>
                      <w:highlight w:val="none"/>
                      <w:lang w:bidi="ar"/>
                    </w:rPr>
                    <w:t>本项目落实情况</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603B9E08">
                  <w:pPr>
                    <w:adjustRightInd w:val="0"/>
                    <w:snapToGrid w:val="0"/>
                    <w:ind w:left="-105" w:leftChars="-50" w:right="-105" w:rightChars="-50"/>
                    <w:jc w:val="center"/>
                    <w:rPr>
                      <w:rFonts w:hint="default" w:ascii="Times New Roman" w:hAnsi="Times New Roman" w:cs="Times New Roman"/>
                      <w:b/>
                      <w:bCs/>
                      <w:color w:val="auto"/>
                      <w:sz w:val="24"/>
                      <w:szCs w:val="21"/>
                      <w:highlight w:val="none"/>
                    </w:rPr>
                  </w:pPr>
                  <w:r>
                    <w:rPr>
                      <w:rFonts w:hint="default" w:ascii="Times New Roman" w:hAnsi="Times New Roman" w:cs="Times New Roman"/>
                      <w:b/>
                      <w:bCs/>
                      <w:color w:val="auto"/>
                      <w:szCs w:val="21"/>
                      <w:highlight w:val="none"/>
                      <w:lang w:bidi="ar"/>
                    </w:rPr>
                    <w:t>相符性</w:t>
                  </w:r>
                </w:p>
              </w:tc>
            </w:tr>
            <w:tr w14:paraId="16DE6BBF">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13989FBC">
                  <w:pPr>
                    <w:adjustRightInd w:val="0"/>
                    <w:snapToGrid w:val="0"/>
                    <w:ind w:left="-105" w:leftChars="-50" w:right="-105" w:rightChars="-50"/>
                    <w:jc w:val="left"/>
                    <w:rPr>
                      <w:rFonts w:hint="default" w:ascii="Times New Roman" w:hAnsi="Times New Roman" w:cs="Times New Roman"/>
                      <w:b/>
                      <w:bCs/>
                      <w:color w:val="auto"/>
                      <w:szCs w:val="21"/>
                      <w:highlight w:val="none"/>
                      <w:lang w:bidi="ar"/>
                    </w:rPr>
                  </w:pPr>
                  <w:r>
                    <w:rPr>
                      <w:rFonts w:hint="default" w:ascii="Times New Roman" w:hAnsi="Times New Roman" w:cs="Times New Roman"/>
                      <w:b/>
                      <w:bCs/>
                      <w:color w:val="auto"/>
                      <w:szCs w:val="21"/>
                      <w:highlight w:val="none"/>
                      <w:lang w:bidi="ar"/>
                    </w:rPr>
                    <w:t>一、规划概况和对《报告书》的总体评价</w:t>
                  </w:r>
                </w:p>
              </w:tc>
            </w:tr>
            <w:tr w14:paraId="183CA05B">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1C1B05BC">
                  <w:pPr>
                    <w:adjustRightInd w:val="0"/>
                    <w:snapToGrid w:val="0"/>
                    <w:ind w:left="-105" w:leftChars="-50" w:right="-105" w:rightChars="-50"/>
                    <w:jc w:val="left"/>
                    <w:rPr>
                      <w:rFonts w:hint="default" w:ascii="Times New Roman" w:hAnsi="Times New Roman" w:cs="Times New Roman"/>
                      <w:b/>
                      <w:bCs/>
                      <w:color w:val="auto"/>
                      <w:szCs w:val="21"/>
                      <w:highlight w:val="none"/>
                      <w:lang w:bidi="ar"/>
                    </w:rPr>
                  </w:pPr>
                  <w:r>
                    <w:rPr>
                      <w:rFonts w:hint="default" w:ascii="Times New Roman" w:hAnsi="Times New Roman" w:cs="Times New Roman"/>
                      <w:color w:val="auto"/>
                      <w:szCs w:val="21"/>
                      <w:highlight w:val="none"/>
                      <w:lang w:bidi="ar"/>
                    </w:rPr>
                    <w:t>洗选矸石规划用于发电、建材制造、井下充填、塌陷区治理、采坑回填等。产品煤主要采用铁路运输方式外运，部分汽车运输。矿区矿井水及生活污水全部回用，不外排。</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50FEFBE7">
                  <w:pPr>
                    <w:adjustRightInd w:val="0"/>
                    <w:snapToGrid w:val="0"/>
                    <w:ind w:left="-105" w:leftChars="-50" w:right="-105" w:rightChars="-50"/>
                    <w:jc w:val="left"/>
                    <w:rPr>
                      <w:rFonts w:hint="default" w:ascii="Times New Roman" w:hAnsi="Times New Roman" w:cs="Times New Roman"/>
                      <w:color w:val="auto"/>
                      <w:sz w:val="24"/>
                      <w:highlight w:val="none"/>
                    </w:rPr>
                  </w:pPr>
                  <w:r>
                    <w:rPr>
                      <w:rFonts w:hint="default" w:ascii="Times New Roman" w:hAnsi="Times New Roman" w:cs="Times New Roman"/>
                      <w:color w:val="auto"/>
                      <w:szCs w:val="21"/>
                      <w:highlight w:val="none"/>
                    </w:rPr>
                    <w:t>不涉及。</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570FEDE6">
                  <w:pPr>
                    <w:adjustRightInd w:val="0"/>
                    <w:snapToGrid w:val="0"/>
                    <w:ind w:left="-105" w:leftChars="-50" w:right="-105" w:rightChars="-50"/>
                    <w:jc w:val="center"/>
                    <w:rPr>
                      <w:rFonts w:hint="default" w:ascii="Times New Roman" w:hAnsi="Times New Roman" w:cs="Times New Roman"/>
                      <w:b/>
                      <w:bCs/>
                      <w:color w:val="auto"/>
                      <w:szCs w:val="21"/>
                      <w:highlight w:val="none"/>
                      <w:lang w:bidi="ar"/>
                    </w:rPr>
                  </w:pPr>
                  <w:r>
                    <w:rPr>
                      <w:rFonts w:hint="default" w:ascii="Times New Roman" w:hAnsi="Times New Roman" w:cs="Times New Roman"/>
                      <w:b/>
                      <w:bCs/>
                      <w:color w:val="auto"/>
                      <w:szCs w:val="21"/>
                      <w:highlight w:val="none"/>
                      <w:lang w:bidi="ar"/>
                    </w:rPr>
                    <w:t>/</w:t>
                  </w:r>
                </w:p>
              </w:tc>
            </w:tr>
            <w:tr w14:paraId="2C2A630E">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6B5334D7">
                  <w:pPr>
                    <w:adjustRightInd w:val="0"/>
                    <w:snapToGrid w:val="0"/>
                    <w:ind w:left="-105" w:leftChars="-50" w:right="-105" w:rightChars="-50"/>
                    <w:jc w:val="left"/>
                    <w:rPr>
                      <w:rFonts w:hint="default" w:ascii="Times New Roman" w:hAnsi="Times New Roman" w:cs="Times New Roman"/>
                      <w:b/>
                      <w:bCs/>
                      <w:color w:val="auto"/>
                      <w:szCs w:val="21"/>
                      <w:highlight w:val="none"/>
                      <w:lang w:bidi="ar"/>
                    </w:rPr>
                  </w:pPr>
                  <w:r>
                    <w:rPr>
                      <w:rFonts w:hint="default" w:ascii="Times New Roman" w:hAnsi="Times New Roman" w:cs="Times New Roman"/>
                      <w:b/>
                      <w:bCs/>
                      <w:color w:val="auto"/>
                      <w:szCs w:val="21"/>
                      <w:highlight w:val="none"/>
                      <w:lang w:bidi="ar"/>
                    </w:rPr>
                    <w:t>二、对《规划》的总体评价</w:t>
                  </w:r>
                </w:p>
              </w:tc>
            </w:tr>
            <w:tr w14:paraId="1C69AB66">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73014D31">
                  <w:pPr>
                    <w:adjustRightInd w:val="0"/>
                    <w:snapToGrid w:val="0"/>
                    <w:ind w:left="-105" w:leftChars="-50" w:right="-105" w:rightChars="-50"/>
                    <w:jc w:val="left"/>
                    <w:rPr>
                      <w:rFonts w:hint="default" w:ascii="Times New Roman" w:hAnsi="Times New Roman" w:cs="Times New Roman"/>
                      <w:b/>
                      <w:bCs/>
                      <w:color w:val="auto"/>
                      <w:szCs w:val="21"/>
                      <w:highlight w:val="none"/>
                      <w:lang w:bidi="ar"/>
                    </w:rPr>
                  </w:pPr>
                  <w:r>
                    <w:rPr>
                      <w:rFonts w:hint="default" w:ascii="Times New Roman" w:hAnsi="Times New Roman" w:cs="Times New Roman"/>
                      <w:color w:val="auto"/>
                      <w:szCs w:val="21"/>
                      <w:highlight w:val="none"/>
                    </w:rPr>
                    <w:t>矿区地处黄河流域一级支流窟野河上游，位于鄂尔多斯高原典型草原沙漠化控制生态功能区和准格尔黄土丘陵沟壑农田草原水土保持生态功能区，属于水土流失重点监督区和重点治理区。矿区周边分布有阿贵庙自治区级森林公园、内蒙古准格尔古哺乳动物类化石自治区级自然保护区、黄土高原北麓水土保持生态保护红线、内蒙古成吉思汗国家森林公园等4处生态保护红线；矿区内分布有基本农田、基本草原、二级国家级公益林、乌兰木伦河和特牛川等地表水体、战国秦长城、朱开沟遗址、乌兰木伦镇等环境保护目标，生态环境敏感。上一轮规划实施以来，井工开采已形成采空区约368平方公里、露天开采已损毁地表面积约150平方公里，分别有约96.9平方公里和42.23平方公里面积尚未治理，生态治理修复滞后；煤炭开采造成乌兰木伦河部分河段潜水含水层结构破坏，导致乌兰木伦河在该区域基本断流；露天开采改变流域水文下垫面条件，造成悖牛川河谷汇流减少；矿区矿井水外排、回用于农田灌溉等导致区域地表水氟化物和矿化度浓度升高；小煤矿开采区露天开采扬尘防治效果差，柳塔、乌兰满来梁等煤矿燃煤锅炉大气污染物超标排放；煤矸石综合利用率低，原煤与矸石露天大量堆存。矿区开发已对区域生态、地下水环境、地表水环境、大气环境等产生了一定的影响，《规划》实施将进一步加剧对区域生态、地表水环境、地下水环境、大气环境等的不良影响。在依据《报告书》和审查小组意见进一步优化调整《规划》方案，完善并落实各项生态环境保护对策措施，有效预防和减轻《规划》实施可能产生的不良环境影响的基础上，从环境影响角度分析，《规划》总体可行。</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144F0DE4">
                  <w:pPr>
                    <w:adjustRightInd w:val="0"/>
                    <w:snapToGrid w:val="0"/>
                    <w:ind w:left="-105" w:leftChars="-50" w:right="-105" w:rightChars="-50"/>
                    <w:jc w:val="left"/>
                    <w:rPr>
                      <w:rFonts w:hint="default" w:ascii="Times New Roman" w:hAnsi="Times New Roman" w:cs="Times New Roman"/>
                      <w:b/>
                      <w:bCs/>
                      <w:color w:val="auto"/>
                      <w:szCs w:val="21"/>
                      <w:highlight w:val="none"/>
                      <w:lang w:bidi="ar"/>
                    </w:rPr>
                  </w:pPr>
                  <w:r>
                    <w:rPr>
                      <w:rFonts w:hint="default" w:ascii="Times New Roman" w:hAnsi="Times New Roman" w:cs="Times New Roman"/>
                      <w:color w:val="auto"/>
                      <w:sz w:val="21"/>
                      <w:szCs w:val="21"/>
                      <w:highlight w:val="none"/>
                      <w:lang w:val="en-US" w:eastAsia="zh-CN"/>
                    </w:rPr>
                    <w:t>本项目为伊金霍洛旗纳林塔纳林沟煤矿配套危废暂存库建设项目</w:t>
                  </w:r>
                  <w:r>
                    <w:rPr>
                      <w:rFonts w:hint="default" w:ascii="Times New Roman" w:hAnsi="Times New Roman" w:cs="Times New Roman"/>
                      <w:color w:val="auto"/>
                      <w:szCs w:val="21"/>
                      <w:highlight w:val="none"/>
                    </w:rPr>
                    <w:t>，建设地点位于</w:t>
                  </w:r>
                  <w:r>
                    <w:rPr>
                      <w:rFonts w:hint="default" w:ascii="Times New Roman" w:hAnsi="Times New Roman" w:cs="Times New Roman"/>
                      <w:color w:val="auto"/>
                      <w:szCs w:val="21"/>
                      <w:highlight w:val="none"/>
                      <w:lang w:eastAsia="zh-CN"/>
                    </w:rPr>
                    <w:t>伊金霍洛旗纳林塔纳林沟煤矿工业场地范围内</w:t>
                  </w:r>
                  <w:r>
                    <w:rPr>
                      <w:rFonts w:hint="default" w:ascii="Times New Roman" w:hAnsi="Times New Roman" w:cs="Times New Roman"/>
                      <w:color w:val="auto"/>
                      <w:szCs w:val="21"/>
                      <w:highlight w:val="none"/>
                    </w:rPr>
                    <w:t>，不新增用地。</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1D48E852">
                  <w:pPr>
                    <w:adjustRightInd w:val="0"/>
                    <w:snapToGrid w:val="0"/>
                    <w:ind w:left="-105" w:leftChars="-50" w:right="-105" w:rightChars="-50"/>
                    <w:jc w:val="center"/>
                    <w:rPr>
                      <w:rFonts w:hint="default" w:ascii="Times New Roman" w:hAnsi="Times New Roman" w:cs="Times New Roman"/>
                      <w:b/>
                      <w:bCs/>
                      <w:color w:val="auto"/>
                      <w:szCs w:val="21"/>
                      <w:highlight w:val="none"/>
                      <w:lang w:bidi="ar"/>
                    </w:rPr>
                  </w:pPr>
                  <w:r>
                    <w:rPr>
                      <w:rFonts w:hint="default" w:ascii="Times New Roman" w:hAnsi="Times New Roman" w:cs="Times New Roman"/>
                      <w:color w:val="auto"/>
                      <w:szCs w:val="21"/>
                      <w:highlight w:val="none"/>
                      <w:lang w:bidi="ar"/>
                    </w:rPr>
                    <w:t>符合</w:t>
                  </w:r>
                </w:p>
              </w:tc>
            </w:tr>
            <w:tr w14:paraId="14376F69">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396E4997">
                  <w:pPr>
                    <w:adjustRightInd w:val="0"/>
                    <w:snapToGrid w:val="0"/>
                    <w:ind w:left="-105" w:leftChars="-50" w:right="-105" w:rightChars="-50"/>
                    <w:rPr>
                      <w:rFonts w:hint="default" w:ascii="Times New Roman" w:hAnsi="Times New Roman" w:cs="Times New Roman"/>
                      <w:b/>
                      <w:bCs/>
                      <w:color w:val="auto"/>
                      <w:szCs w:val="21"/>
                      <w:highlight w:val="none"/>
                      <w:lang w:bidi="ar"/>
                    </w:rPr>
                  </w:pPr>
                  <w:r>
                    <w:rPr>
                      <w:rFonts w:hint="default" w:ascii="Times New Roman" w:hAnsi="Times New Roman" w:cs="Times New Roman"/>
                      <w:b/>
                      <w:bCs/>
                      <w:color w:val="auto"/>
                      <w:szCs w:val="21"/>
                      <w:highlight w:val="none"/>
                      <w:lang w:bidi="ar"/>
                    </w:rPr>
                    <w:t>三、《规划》优化调整和实施的意见</w:t>
                  </w:r>
                </w:p>
              </w:tc>
            </w:tr>
            <w:tr w14:paraId="163C339C">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3857C7BB">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一）坚持生态优先、节约集约、绿色低碳发展。坚持以习近平生态文明思想为指导，严格落实习近平总书记关于内蒙古生态环境保护、黄河流域生态保护和高质量发展的重要指示批示精神，根据区域主体功能定位，将严守生态保护红线、严格维护防风固沙主导生态功能、保护河流良好水生态功能等内容纳入《规划》的生态环境目标，并进一步明确和细化。切实落实《报告书》提出的各项《规划》优化调整建议和生态环境保护对策措施，促进矿区开发与生态环境保护相协调，改善区域生态环境质量，维护区域生态安全。</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64F0B53B">
                  <w:pPr>
                    <w:adjustRightInd w:val="0"/>
                    <w:snapToGrid w:val="0"/>
                    <w:ind w:left="-105" w:leftChars="-50" w:right="-105" w:rightChars="-50"/>
                    <w:jc w:val="left"/>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rPr>
                    <w:t>不涉及。</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72D52AE0">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r w14:paraId="49E9AC0B">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0F13CC25">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二）严格保护生态空间，优化矿区开发布局。主动对接内蒙古自治区和鄂尔多斯市国土空间规划，加强《规划》与生态环境分区管控方案、主体功能区规划、生态功能区划、内蒙古自治区“十四五”矿产资源总体规划及规划环评等的协调衔接，确保符合相关管控要求。矿区与《鄂尔多斯市国土空间规划》城镇开发区和乌兰木伦镇、纳林陶亥镇、准格尔召镇、纳日松镇城镇集中建设区重叠区域应实施禁采。上湾煤矿与《鄂尔多斯市城市总体规划（2011-2030）》（2015年修改）划定的煤矿禁采区重叠区域原则应实施禁采。神伊、德隆、华能井煤矿禁止开采河道管理范围内（神伊39.71公顷、德隆181.35公顷、华能井88.62公顷）的剩余煤炭资源，乌兰木伦河西岸上湾煤矿留设600米保护煤柱；乌兰木伦河东岸的转龙湾、柳塔和石圪台煤矿及西侧的金峰寸草塔、裕隆富祥、寸草塔、霍洛湾、呼和乌素、补连塔等9个煤矿沿河道留设不小于最大沉陷影响半径的足够保护煤柱，并采取有效措施恢复乌兰木伦河矿区段河流生态系统功能。河道管理范围外资源开采应留设足够的安全距离，切实减缓对河道的不良影响。对矿区规划井田涉及的文物保护单位、大型村庄、乌兰木伦河等重要河流、铁路、公路、输电线路、水利设施等按照规范留设足够保护煤柱。</w:t>
                  </w:r>
                </w:p>
                <w:p w14:paraId="55BBF811">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食联、锦邦等露天矿以及羊市塔一矿（含整合的羊市塔二矿）、山贵、山不拉等井工矿与国家一级公益林重叠区域，荣恒等露天矿与基本农田重叠区域划为禁采区。纳入国家发展改革委保供煤矿清单的项目，确有必要在相关区域开采的，应在符合相关法律法规的前提下，取得林业主管部门意见，并采取有效措施减缓不良影响。基本农田外开采应留设足够的安全距离，切实减缓对基本农田的不良影响。碾房塔纳林沟、伊泰纳林庙、李家渠、昶旭、忠华、闫家渠、伊丰、瑞德二矿、宏亚、敖劳不拉、三界沟、兴旺、朝阳、石场湾、炭窑渠、宏景塔一矿、四道柳、东圪堵、石湾子、宝丰、西乌素、敖家沟西梁、赛蒙特尔等23个涉及井工转露天的煤矿，应符合《内蒙古自治区煤炭管理条例》第九条“具备井工开采条件的矿区，严格控制露天开采煤炭”的规定；忠华、三界沟、兴旺、炭窑渠等4个井工转露天的煤矿以及碾房塔纳林沟、兰家塔富源、伊泰自家梁、天隆武家塔、南梁、乌兰满来梁、常青、古城、阳堡渠、吴家梁、卓正、瑞德、壕赖梁、川宏、东达、通福、五圪图、大庙渠等18个规划扩大露天开采区域的煤矿均涉及基本草原，项目实施应符合《内蒙古自治区煤炭管理条例》第九条“禁止在生态保护红线内草原区规划煤炭开发项目，严格控制在生态保护红线外草原区规划建设新的煤炭开发项目、扩大露天开采区域，确有特殊需要的，由自治区人民政府依照国家和自治区有关规定审批”的规定，否则不得开采。按照法律法规和主管部门要求，做好基本草原、基本农田、国家级公益林等的保护、修复和补偿，确保其生态功能不降低。</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DC66711">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不涉及</w:t>
                  </w:r>
                  <w:r>
                    <w:rPr>
                      <w:rFonts w:hint="default" w:ascii="Times New Roman" w:hAnsi="Times New Roman" w:cs="Times New Roman"/>
                      <w:color w:val="auto"/>
                      <w:szCs w:val="21"/>
                      <w:highlight w:val="none"/>
                      <w:lang w:bidi="ar"/>
                    </w:rPr>
                    <w:t>。</w:t>
                  </w:r>
                </w:p>
                <w:p w14:paraId="6990AF88">
                  <w:pPr>
                    <w:adjustRightInd w:val="0"/>
                    <w:snapToGrid w:val="0"/>
                    <w:ind w:left="-105" w:leftChars="-50" w:right="-105" w:rightChars="-50"/>
                    <w:jc w:val="left"/>
                    <w:rPr>
                      <w:rFonts w:hint="default" w:ascii="Times New Roman" w:hAnsi="Times New Roman" w:eastAsia="微软雅黑" w:cs="Times New Roman"/>
                      <w:color w:val="auto"/>
                      <w:sz w:val="24"/>
                      <w:highlight w:val="none"/>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39B7F57B">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r w14:paraId="6B777D09">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23D4239B">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三）严格生态环境准入。全面落实各项资源环境指标要求，矿区煤炭开采污染物排放以及生产用水、能耗、物耗应达到清洁生产一级指标。相关项目应符合国家法律法规要求，依法履行环境影响评价等相关手续。按相关法律法规要求，改扩建煤矿应配套煤炭洗选设施，已建成的煤矿按要求补建煤炭洗选设施。因地制宜加强矿井水回用和矸石综合利用力度，鼓励优先将矸石井下充填，确保矸石综合利用率符合相关规定。优化露天矿开发方案和内部运输结构，尽早实现内排。加强矿区煤炭及矸石贮存、转载、装卸等环节和煤炭开采的扬尘污染防治，确保符合区域环境空气质量改善要求。加强温室气体管控，做好矿井乏风余热利用，实施煤矿瓦斯监测、牡采及利用，对甲烷体积浓度在2%（含）至8%的牡采瓦斯以及乏风瓦斯，进一步探索乏风氧化等方式的综合利用、降低温室气体排放和固碳等措施和技术，并进行推广应用。进一步优化运输结构，加大铁路、全封闭栈桥等清洁运输比例，矿区总体清洁运输比例应在2025年达到70%。</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6F3495C6">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不涉及</w:t>
                  </w:r>
                  <w:r>
                    <w:rPr>
                      <w:rFonts w:hint="default" w:ascii="Times New Roman" w:hAnsi="Times New Roman" w:cs="Times New Roman"/>
                      <w:color w:val="auto"/>
                      <w:szCs w:val="21"/>
                      <w:highlight w:val="none"/>
                      <w:lang w:bidi="ar"/>
                    </w:rPr>
                    <w:t>。</w:t>
                  </w:r>
                </w:p>
                <w:p w14:paraId="3BF9128C">
                  <w:pPr>
                    <w:adjustRightInd w:val="0"/>
                    <w:snapToGrid w:val="0"/>
                    <w:ind w:left="-105" w:leftChars="-50" w:right="-105" w:rightChars="-50"/>
                    <w:jc w:val="left"/>
                    <w:rPr>
                      <w:rFonts w:hint="default" w:ascii="Times New Roman" w:hAnsi="Times New Roman" w:eastAsia="微软雅黑" w:cs="Times New Roman"/>
                      <w:color w:val="auto"/>
                      <w:highlight w:val="none"/>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73887A7D">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r w14:paraId="5F4A52F0">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0BF0F955">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四）加强生态修复设计，强化区域生态环境综合整治和生态修复。严格控制矿区开发扰动范围，加大环境治理和生态修复力度，切实预防或者减轻规划实施导致的生态环境影响。编制矿区整体生态修复治理规划，提出适合</w:t>
                  </w:r>
                  <w:r>
                    <w:rPr>
                      <w:rFonts w:hint="eastAsia" w:ascii="Times New Roman" w:hAnsi="Times New Roman" w:cs="Times New Roman"/>
                      <w:color w:val="auto"/>
                      <w:szCs w:val="21"/>
                      <w:highlight w:val="none"/>
                      <w:lang w:eastAsia="zh-CN" w:bidi="ar"/>
                    </w:rPr>
                    <w:t>本地</w:t>
                  </w:r>
                  <w:r>
                    <w:rPr>
                      <w:rFonts w:hint="default" w:ascii="Times New Roman" w:hAnsi="Times New Roman" w:cs="Times New Roman"/>
                      <w:color w:val="auto"/>
                      <w:szCs w:val="21"/>
                      <w:highlight w:val="none"/>
                      <w:lang w:bidi="ar"/>
                    </w:rPr>
                    <w:t>区生态环境特点、与周边地形地貌和生态环境相协调的生态修复方案和治理措施，加强乌伦木兰河和特牛川河道、露天开采区的集中连片生态修复规划设计，从整体上提升矿区尤其是露天开采区域生态修复的质量和效果，切实改善矿区生态环境质量。煤炭开采项目应同步制定并落实生态保护和修复方案。生态修复应坚持因地制宜原则，重建与周边生态环境相协调的植物群落，保护和恢复生物多样性，最终形成可自然维持的生态系统。</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1AFD14F4">
                  <w:pPr>
                    <w:adjustRightInd w:val="0"/>
                    <w:snapToGrid w:val="0"/>
                    <w:ind w:left="-105" w:leftChars="-50" w:right="-105" w:rightChars="-50"/>
                    <w:jc w:val="left"/>
                    <w:rPr>
                      <w:rFonts w:hint="default" w:ascii="Times New Roman" w:hAnsi="Times New Roman" w:cs="Times New Roman"/>
                      <w:color w:val="auto"/>
                      <w:sz w:val="24"/>
                      <w:highlight w:val="none"/>
                    </w:rPr>
                  </w:pPr>
                  <w:r>
                    <w:rPr>
                      <w:rFonts w:hint="default" w:ascii="Times New Roman" w:hAnsi="Times New Roman" w:cs="Times New Roman"/>
                      <w:color w:val="auto"/>
                      <w:szCs w:val="21"/>
                      <w:highlight w:val="none"/>
                    </w:rPr>
                    <w:t>不涉及。</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543AEBCC">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r w14:paraId="5B128BEF">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58643E85">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五）妥善解决既有生态环境问题。在《规划》实施中，严格相关整改要求，加强对现有生态环境问题的整改。矿井水处理站增加除氟工艺及深度处理工艺，确保氟化物及矿化度达标；拆除柳塔、乌兰满来梁等煤矿10吨/小时以下燃煤小锅炉，呼和乌素、蒙泰满来梁、文玉、大地精等煤矿10吨/小时以上燃煤锅炉增加烟气脱硝等措施，确保排放满足相关标准要求。针对矿区采空区、露天采坑生态治理滞后，乌兰木伦河断流、悖牛川汇流减少、地表岩移观测、地下水和生态监测系统建设滞后，露天开采扬尘治理效果差等问题，制定详细整改方案，明确责任主体和整改时限。</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216EBEDA">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不涉及</w:t>
                  </w:r>
                  <w:r>
                    <w:rPr>
                      <w:rFonts w:hint="default" w:ascii="Times New Roman" w:hAnsi="Times New Roman" w:cs="Times New Roman"/>
                      <w:color w:val="auto"/>
                      <w:szCs w:val="21"/>
                      <w:highlight w:val="none"/>
                      <w:lang w:bidi="ar"/>
                    </w:rPr>
                    <w:t>。</w:t>
                  </w:r>
                </w:p>
                <w:p w14:paraId="387715AD">
                  <w:pPr>
                    <w:adjustRightInd w:val="0"/>
                    <w:snapToGrid w:val="0"/>
                    <w:ind w:left="-105" w:leftChars="-50" w:right="-105" w:rightChars="-50"/>
                    <w:jc w:val="left"/>
                    <w:rPr>
                      <w:rFonts w:hint="default" w:ascii="Times New Roman" w:hAnsi="Times New Roman" w:cs="Times New Roman"/>
                      <w:color w:val="auto"/>
                      <w:sz w:val="24"/>
                      <w:szCs w:val="21"/>
                      <w:highlight w:val="none"/>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3DA392A4">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r w14:paraId="2A62AF1B">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141EC15A">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六）加强矿区环境管理。督促建设单位落实煤炭开采生态环境保护的主体责任。建立地下水长期跟踪监测系统，加强水位、水质、水量监测，加强地表沉陷、岩移观测和生态恢复的长期监测，加强导水裂隙带发育高度观测；对可能受采煤影响的村庄水井开展水位、水质监测，保证居民用水不受采煤影响。必要时优化调整开采方案、强化有针对性的生态环境保护对策措施。</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24D01E0">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不涉及</w:t>
                  </w:r>
                  <w:r>
                    <w:rPr>
                      <w:rFonts w:hint="default" w:ascii="Times New Roman" w:hAnsi="Times New Roman" w:cs="Times New Roman"/>
                      <w:color w:val="auto"/>
                      <w:szCs w:val="21"/>
                      <w:highlight w:val="none"/>
                      <w:lang w:bidi="ar"/>
                    </w:rPr>
                    <w:t>。</w:t>
                  </w:r>
                </w:p>
                <w:p w14:paraId="4E61B0D3">
                  <w:pPr>
                    <w:adjustRightInd w:val="0"/>
                    <w:snapToGrid w:val="0"/>
                    <w:ind w:left="-105" w:leftChars="-50" w:right="-105" w:rightChars="-50"/>
                    <w:jc w:val="left"/>
                    <w:rPr>
                      <w:rFonts w:hint="default" w:ascii="Times New Roman" w:hAnsi="Times New Roman" w:cs="Times New Roman"/>
                      <w:color w:val="auto"/>
                      <w:sz w:val="24"/>
                      <w:szCs w:val="21"/>
                      <w:highlight w:val="none"/>
                    </w:rPr>
                  </w:pPr>
                </w:p>
              </w:tc>
              <w:tc>
                <w:tcPr>
                  <w:tcW w:w="469" w:type="pct"/>
                  <w:tcBorders>
                    <w:top w:val="single" w:color="auto" w:sz="4" w:space="0"/>
                    <w:left w:val="single" w:color="auto" w:sz="4" w:space="0"/>
                    <w:bottom w:val="single" w:color="auto" w:sz="4" w:space="0"/>
                    <w:right w:val="single" w:color="auto" w:sz="4" w:space="0"/>
                  </w:tcBorders>
                  <w:noWrap w:val="0"/>
                  <w:vAlign w:val="center"/>
                </w:tcPr>
                <w:p w14:paraId="487C33E5">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r w14:paraId="223D67C4">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1AF4A2E6">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七）在《规划》实施过程中，适时开展环境影响跟踪评价，加强对先期开采煤矿的跟踪监测，将《规划》实施对生态、地下水以及重要环境保护目标等的影响以及生态修复治理情况作为跟踪评价重点任务。应在统筹考虑区域煤炭需求、区域资源环境承载力、地区生态修复经验等基础上开展《规划》修编，并同步开展规划环境影响评价。</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1FE04FF6">
                  <w:pPr>
                    <w:adjustRightInd w:val="0"/>
                    <w:snapToGrid w:val="0"/>
                    <w:ind w:left="-105" w:leftChars="-50" w:right="-105" w:rightChars="-50"/>
                    <w:jc w:val="left"/>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rPr>
                    <w:t>不涉及</w:t>
                  </w:r>
                  <w:r>
                    <w:rPr>
                      <w:rFonts w:hint="default" w:ascii="Times New Roman" w:hAnsi="Times New Roman" w:cs="Times New Roman"/>
                      <w:color w:val="auto"/>
                      <w:szCs w:val="21"/>
                      <w:highlight w:val="none"/>
                      <w:lang w:bidi="ar"/>
                    </w:rPr>
                    <w:t>。</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6BA46FC8">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r w14:paraId="57D39904">
              <w:tblPrEx>
                <w:tblBorders>
                  <w:top w:val="single" w:color="auto" w:sz="12" w:space="0"/>
                  <w:left w:val="none" w:color="auto" w:sz="4" w:space="0"/>
                  <w:bottom w:val="single" w:color="auto" w:sz="12" w:space="0"/>
                  <w:right w:val="none"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2961" w:type="pct"/>
                  <w:tcBorders>
                    <w:top w:val="single" w:color="auto" w:sz="4" w:space="0"/>
                    <w:left w:val="single" w:color="auto" w:sz="4" w:space="0"/>
                    <w:bottom w:val="single" w:color="auto" w:sz="4" w:space="0"/>
                    <w:right w:val="single" w:color="auto" w:sz="4" w:space="0"/>
                  </w:tcBorders>
                  <w:noWrap w:val="0"/>
                  <w:vAlign w:val="center"/>
                </w:tcPr>
                <w:p w14:paraId="0F32E7D8">
                  <w:pPr>
                    <w:adjustRightInd w:val="0"/>
                    <w:snapToGrid w:val="0"/>
                    <w:ind w:left="-105" w:leftChars="-50" w:right="-105" w:rightChars="-50"/>
                    <w:jc w:val="left"/>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四、对《规划》包含的近期建设项目环评的意见应依据规划环评要求做好建设项目的环境影响评价工作，重点评价建设项目对生态、地下水、地表水以及重要环境保护目标等的影响，深入论证开采方案、土地复垦及生态修复方案、地下水保护措施、矿井水综合利用方案、煤矸石综合利用方案、瓦斯利用方案等的可行性。区域生态环境现状、规划协调性分析等内容可以结合实际情况适当简化。</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29667892">
                  <w:pPr>
                    <w:adjustRightInd w:val="0"/>
                    <w:snapToGrid w:val="0"/>
                    <w:ind w:left="-105" w:leftChars="-50" w:right="-105" w:rightChars="-50"/>
                    <w:jc w:val="left"/>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rPr>
                    <w:t>不涉及</w:t>
                  </w:r>
                  <w:r>
                    <w:rPr>
                      <w:rFonts w:hint="default" w:ascii="Times New Roman" w:hAnsi="Times New Roman" w:cs="Times New Roman"/>
                      <w:color w:val="auto"/>
                      <w:szCs w:val="21"/>
                      <w:highlight w:val="none"/>
                      <w:lang w:bidi="ar"/>
                    </w:rPr>
                    <w:t>。</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041F98A0">
                  <w:pPr>
                    <w:adjustRightInd w:val="0"/>
                    <w:snapToGrid w:val="0"/>
                    <w:ind w:left="-105" w:leftChars="-50" w:right="-105" w:rightChars="-50"/>
                    <w:jc w:val="center"/>
                    <w:rPr>
                      <w:rFonts w:hint="default" w:ascii="Times New Roman" w:hAnsi="Times New Roman" w:cs="Times New Roman"/>
                      <w:color w:val="auto"/>
                      <w:sz w:val="24"/>
                      <w:szCs w:val="21"/>
                      <w:highlight w:val="none"/>
                    </w:rPr>
                  </w:pPr>
                  <w:r>
                    <w:rPr>
                      <w:rFonts w:hint="default" w:ascii="Times New Roman" w:hAnsi="Times New Roman" w:cs="Times New Roman"/>
                      <w:color w:val="auto"/>
                      <w:szCs w:val="21"/>
                      <w:highlight w:val="none"/>
                      <w:lang w:bidi="ar"/>
                    </w:rPr>
                    <w:t>/</w:t>
                  </w:r>
                </w:p>
              </w:tc>
            </w:tr>
          </w:tbl>
          <w:p w14:paraId="5341C0CD">
            <w:pPr>
              <w:autoSpaceDE w:val="0"/>
              <w:autoSpaceDN w:val="0"/>
              <w:adjustRightInd w:val="0"/>
              <w:snapToGrid w:val="0"/>
              <w:spacing w:line="360" w:lineRule="auto"/>
              <w:ind w:firstLine="480" w:firstLineChars="200"/>
              <w:jc w:val="left"/>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由上表分析可知：本项目的建设符合《内蒙古自治区鄂尔多斯神东项目东胜区总体规划（修编）环境影响报告书》的审查意见的要求</w:t>
            </w:r>
            <w:r>
              <w:rPr>
                <w:rFonts w:hint="default" w:ascii="Times New Roman" w:hAnsi="Times New Roman" w:cs="Times New Roman"/>
                <w:color w:val="auto"/>
                <w:highlight w:val="none"/>
              </w:rPr>
              <w:t>。</w:t>
            </w:r>
          </w:p>
          <w:p w14:paraId="54DE5C5C">
            <w:pPr>
              <w:rPr>
                <w:rFonts w:hint="default"/>
                <w:color w:val="auto"/>
                <w:highlight w:val="none"/>
              </w:rPr>
            </w:pPr>
          </w:p>
          <w:p w14:paraId="73A00187">
            <w:pPr>
              <w:rPr>
                <w:rFonts w:hint="default"/>
                <w:color w:val="auto"/>
                <w:highlight w:val="none"/>
              </w:rPr>
            </w:pPr>
          </w:p>
          <w:p w14:paraId="470BEA62">
            <w:pPr>
              <w:rPr>
                <w:rFonts w:hint="default"/>
                <w:color w:val="auto"/>
                <w:highlight w:val="none"/>
              </w:rPr>
            </w:pPr>
          </w:p>
          <w:p w14:paraId="67399F97">
            <w:pPr>
              <w:rPr>
                <w:rFonts w:hint="default"/>
                <w:color w:val="auto"/>
                <w:highlight w:val="none"/>
              </w:rPr>
            </w:pPr>
          </w:p>
          <w:p w14:paraId="09833329">
            <w:pPr>
              <w:rPr>
                <w:rFonts w:hint="default"/>
                <w:color w:val="auto"/>
                <w:highlight w:val="none"/>
              </w:rPr>
            </w:pPr>
          </w:p>
          <w:p w14:paraId="3654D37E">
            <w:pPr>
              <w:rPr>
                <w:rFonts w:hint="default"/>
                <w:color w:val="auto"/>
                <w:highlight w:val="none"/>
              </w:rPr>
            </w:pPr>
          </w:p>
          <w:p w14:paraId="520F130B">
            <w:pPr>
              <w:rPr>
                <w:rFonts w:hint="default"/>
                <w:color w:val="auto"/>
                <w:highlight w:val="none"/>
              </w:rPr>
            </w:pPr>
          </w:p>
          <w:p w14:paraId="5FE0ABDF">
            <w:pPr>
              <w:autoSpaceDE w:val="0"/>
              <w:autoSpaceDN w:val="0"/>
              <w:adjustRightInd w:val="0"/>
              <w:snapToGrid w:val="0"/>
              <w:spacing w:line="360" w:lineRule="auto"/>
              <w:jc w:val="center"/>
              <w:rPr>
                <w:rFonts w:hint="default" w:ascii="Times New Roman" w:hAnsi="Times New Roman" w:cs="Times New Roman"/>
                <w:color w:val="auto"/>
                <w:highlight w:val="none"/>
              </w:rPr>
            </w:pPr>
          </w:p>
        </w:tc>
      </w:tr>
      <w:tr w14:paraId="3FC84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66" w:hRule="atLeast"/>
          <w:jc w:val="center"/>
        </w:trPr>
        <w:tc>
          <w:tcPr>
            <w:tcW w:w="1831" w:type="dxa"/>
            <w:vAlign w:val="center"/>
          </w:tcPr>
          <w:p w14:paraId="53B83F48">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其他符合性</w:t>
            </w:r>
          </w:p>
          <w:p w14:paraId="73B83529">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分析</w:t>
            </w:r>
          </w:p>
        </w:tc>
        <w:tc>
          <w:tcPr>
            <w:tcW w:w="7351" w:type="dxa"/>
            <w:gridSpan w:val="3"/>
            <w:vAlign w:val="center"/>
          </w:tcPr>
          <w:p w14:paraId="5AC0B9E2">
            <w:pPr>
              <w:pStyle w:val="38"/>
              <w:keepNext/>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rPr>
              <w:t>1、</w:t>
            </w:r>
            <w:r>
              <w:rPr>
                <w:b/>
                <w:bCs/>
                <w:color w:val="auto"/>
                <w:kern w:val="2"/>
                <w:sz w:val="24"/>
                <w:szCs w:val="24"/>
                <w:highlight w:val="none"/>
              </w:rPr>
              <w:t>与</w:t>
            </w:r>
            <w:r>
              <w:rPr>
                <w:rFonts w:hint="eastAsia"/>
                <w:b/>
                <w:bCs/>
                <w:color w:val="auto"/>
                <w:kern w:val="2"/>
                <w:sz w:val="24"/>
                <w:szCs w:val="24"/>
                <w:highlight w:val="none"/>
                <w:lang w:eastAsia="zh-CN"/>
              </w:rPr>
              <w:t>“</w:t>
            </w:r>
            <w:r>
              <w:rPr>
                <w:rFonts w:hint="eastAsia"/>
                <w:b/>
                <w:bCs/>
                <w:color w:val="auto"/>
                <w:kern w:val="2"/>
                <w:sz w:val="24"/>
                <w:szCs w:val="24"/>
                <w:highlight w:val="none"/>
              </w:rPr>
              <w:t>生态环境分区管控</w:t>
            </w:r>
            <w:r>
              <w:rPr>
                <w:rFonts w:hint="eastAsia"/>
                <w:b/>
                <w:bCs/>
                <w:color w:val="auto"/>
                <w:kern w:val="2"/>
                <w:sz w:val="24"/>
                <w:szCs w:val="24"/>
                <w:highlight w:val="none"/>
                <w:lang w:eastAsia="zh-CN"/>
              </w:rPr>
              <w:t>”</w:t>
            </w:r>
            <w:r>
              <w:rPr>
                <w:rFonts w:hint="eastAsia"/>
                <w:b/>
                <w:bCs/>
                <w:color w:val="auto"/>
                <w:kern w:val="2"/>
                <w:sz w:val="24"/>
                <w:szCs w:val="24"/>
                <w:highlight w:val="none"/>
              </w:rPr>
              <w:t>的</w:t>
            </w:r>
            <w:r>
              <w:rPr>
                <w:b/>
                <w:bCs/>
                <w:color w:val="auto"/>
                <w:kern w:val="2"/>
                <w:sz w:val="24"/>
                <w:szCs w:val="24"/>
                <w:highlight w:val="none"/>
              </w:rPr>
              <w:t>符合性分析</w:t>
            </w:r>
          </w:p>
          <w:p w14:paraId="4113392B">
            <w:pPr>
              <w:spacing w:after="72" w:afterLines="30" w:line="490" w:lineRule="exact"/>
              <w:ind w:firstLine="480" w:firstLineChars="200"/>
              <w:rPr>
                <w:rFonts w:hint="eastAsia"/>
                <w:color w:val="auto"/>
                <w:sz w:val="24"/>
                <w:highlight w:val="none"/>
              </w:rPr>
            </w:pPr>
            <w:r>
              <w:rPr>
                <w:rFonts w:hint="default" w:ascii="Times New Roman" w:hAnsi="Times New Roman" w:cs="Times New Roman"/>
                <w:color w:val="auto"/>
                <w:sz w:val="24"/>
              </w:rPr>
              <w:t>根据2024年8月6日鄂尔多斯生态</w:t>
            </w:r>
            <w:r>
              <w:rPr>
                <w:rFonts w:hint="eastAsia" w:ascii="Times New Roman" w:hAnsi="Times New Roman" w:cs="Times New Roman"/>
                <w:color w:val="auto"/>
                <w:sz w:val="24"/>
                <w:lang w:val="en-US" w:eastAsia="zh-CN"/>
              </w:rPr>
              <w:t>环境局</w:t>
            </w:r>
            <w:r>
              <w:rPr>
                <w:rFonts w:hint="default" w:ascii="Times New Roman" w:hAnsi="Times New Roman" w:cs="Times New Roman"/>
                <w:color w:val="auto"/>
                <w:sz w:val="24"/>
              </w:rPr>
              <w:t>发布的《鄂尔多斯生态环境分区管控成果动态工作方案》</w:t>
            </w:r>
            <w:r>
              <w:rPr>
                <w:rFonts w:hint="eastAsia"/>
                <w:color w:val="auto"/>
                <w:sz w:val="24"/>
                <w:highlight w:val="none"/>
              </w:rPr>
              <w:t>，全市共划定环境管控单元</w:t>
            </w:r>
            <w:r>
              <w:rPr>
                <w:rFonts w:hint="default" w:ascii="Times New Roman" w:hAnsi="Times New Roman" w:cs="Times New Roman"/>
                <w:color w:val="auto"/>
                <w:sz w:val="24"/>
                <w:highlight w:val="none"/>
              </w:rPr>
              <w:t>171</w:t>
            </w:r>
            <w:r>
              <w:rPr>
                <w:rFonts w:hint="eastAsia"/>
                <w:color w:val="auto"/>
                <w:sz w:val="24"/>
                <w:highlight w:val="none"/>
              </w:rPr>
              <w:t>个，包括优先保护单元、重点管控单元、一般管控单元三类，实施分类管控。</w:t>
            </w:r>
          </w:p>
          <w:p w14:paraId="398F5606">
            <w:pPr>
              <w:spacing w:after="72" w:afterLines="30" w:line="490" w:lineRule="exact"/>
              <w:ind w:firstLine="480" w:firstLineChars="200"/>
              <w:rPr>
                <w:rFonts w:hint="eastAsia"/>
                <w:color w:val="auto"/>
                <w:sz w:val="24"/>
                <w:highlight w:val="none"/>
              </w:rPr>
            </w:pPr>
            <w:r>
              <w:rPr>
                <w:rFonts w:hint="eastAsia"/>
                <w:color w:val="auto"/>
                <w:sz w:val="24"/>
                <w:highlight w:val="none"/>
              </w:rPr>
              <w:t>①优先保护单元。共</w:t>
            </w:r>
            <w:r>
              <w:rPr>
                <w:rFonts w:hint="eastAsia"/>
                <w:color w:val="auto"/>
                <w:sz w:val="24"/>
                <w:highlight w:val="none"/>
                <w:lang w:val="en-US" w:eastAsia="zh-CN"/>
              </w:rPr>
              <w:t>76</w:t>
            </w:r>
            <w:r>
              <w:rPr>
                <w:rFonts w:hint="eastAsia"/>
                <w:color w:val="auto"/>
                <w:sz w:val="24"/>
                <w:highlight w:val="none"/>
              </w:rPr>
              <w:t>个，主要包括我市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585AF2B2">
            <w:pPr>
              <w:spacing w:after="72" w:afterLines="30" w:line="490" w:lineRule="exact"/>
              <w:ind w:firstLine="480" w:firstLineChars="200"/>
              <w:rPr>
                <w:rFonts w:hint="eastAsia"/>
                <w:color w:val="auto"/>
                <w:sz w:val="24"/>
                <w:highlight w:val="none"/>
              </w:rPr>
            </w:pPr>
            <w:r>
              <w:rPr>
                <w:rFonts w:hint="eastAsia"/>
                <w:color w:val="auto"/>
                <w:sz w:val="24"/>
                <w:highlight w:val="none"/>
              </w:rPr>
              <w:t>②重点管控单元。共8</w:t>
            </w:r>
            <w:r>
              <w:rPr>
                <w:rFonts w:hint="eastAsia"/>
                <w:color w:val="auto"/>
                <w:sz w:val="24"/>
                <w:highlight w:val="none"/>
                <w:lang w:val="en-US" w:eastAsia="zh-CN"/>
              </w:rPr>
              <w:t>6</w:t>
            </w:r>
            <w:r>
              <w:rPr>
                <w:rFonts w:hint="eastAsia"/>
                <w:color w:val="auto"/>
                <w:sz w:val="24"/>
                <w:highlight w:val="none"/>
              </w:rPr>
              <w:t>个，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0268CFA8">
            <w:pPr>
              <w:spacing w:after="72" w:afterLines="30" w:line="490" w:lineRule="exact"/>
              <w:ind w:firstLine="480" w:firstLineChars="200"/>
              <w:rPr>
                <w:rFonts w:hint="eastAsia"/>
                <w:color w:val="auto"/>
                <w:sz w:val="24"/>
                <w:highlight w:val="none"/>
              </w:rPr>
            </w:pPr>
            <w:r>
              <w:rPr>
                <w:rFonts w:hint="eastAsia"/>
                <w:color w:val="auto"/>
                <w:sz w:val="24"/>
                <w:highlight w:val="none"/>
              </w:rPr>
              <w:t>③一般管控单元。共</w:t>
            </w:r>
            <w:r>
              <w:rPr>
                <w:rFonts w:hint="eastAsia"/>
                <w:color w:val="auto"/>
                <w:sz w:val="24"/>
                <w:highlight w:val="none"/>
                <w:lang w:val="en-US" w:eastAsia="zh-CN"/>
              </w:rPr>
              <w:t>9</w:t>
            </w:r>
            <w:r>
              <w:rPr>
                <w:rFonts w:hint="eastAsia"/>
                <w:color w:val="auto"/>
                <w:sz w:val="24"/>
                <w:highlight w:val="none"/>
              </w:rPr>
              <w:t>个，优先保护单元、重点管控单元之外为一般管控单元。该区域主要落实生态环境保护基本要求。</w:t>
            </w:r>
          </w:p>
          <w:p w14:paraId="70EF0CAD">
            <w:pPr>
              <w:spacing w:after="72" w:afterLines="30" w:line="490" w:lineRule="exact"/>
              <w:ind w:firstLine="480" w:firstLineChars="200"/>
              <w:rPr>
                <w:rFonts w:hint="eastAsia"/>
                <w:color w:val="auto"/>
                <w:sz w:val="24"/>
                <w:highlight w:val="none"/>
              </w:rPr>
            </w:pPr>
            <w:r>
              <w:rPr>
                <w:rFonts w:hint="eastAsia"/>
                <w:color w:val="auto"/>
                <w:sz w:val="24"/>
                <w:highlight w:val="none"/>
              </w:rPr>
              <w:t>本项目位于</w:t>
            </w:r>
            <w:r>
              <w:rPr>
                <w:rFonts w:hint="eastAsia"/>
                <w:color w:val="auto"/>
                <w:sz w:val="24"/>
                <w:highlight w:val="none"/>
                <w:lang w:val="en-US" w:eastAsia="zh-CN"/>
              </w:rPr>
              <w:t>内蒙古自治区鄂尔多斯市伊金霍洛旗纳林陶亥镇伊金霍洛旗纳林塔纳林沟煤矿矿区范围内</w:t>
            </w:r>
            <w:r>
              <w:rPr>
                <w:rFonts w:hint="eastAsia"/>
                <w:color w:val="auto"/>
                <w:sz w:val="24"/>
                <w:highlight w:val="none"/>
              </w:rPr>
              <w:t>，根据内蒙古自治区“三线一单”公众端应用平台查询，本项目位于鄂尔多斯市</w:t>
            </w:r>
            <w:r>
              <w:rPr>
                <w:rFonts w:hint="eastAsia"/>
                <w:color w:val="auto"/>
                <w:sz w:val="24"/>
                <w:highlight w:val="none"/>
                <w:lang w:val="en-US" w:eastAsia="zh-CN"/>
              </w:rPr>
              <w:t>伊金霍洛旗</w:t>
            </w:r>
            <w:r>
              <w:rPr>
                <w:rFonts w:hint="eastAsia"/>
                <w:color w:val="auto"/>
                <w:sz w:val="24"/>
                <w:highlight w:val="none"/>
              </w:rPr>
              <w:t>生态环境准入清单内，环境管控单元编码为</w:t>
            </w:r>
            <w:r>
              <w:rPr>
                <w:rFonts w:hint="default" w:ascii="Times New Roman" w:hAnsi="Times New Roman" w:eastAsia="宋体" w:cs="Times New Roman"/>
                <w:color w:val="auto"/>
                <w:sz w:val="24"/>
                <w:highlight w:val="none"/>
              </w:rPr>
              <w:t>ZH15062730001</w:t>
            </w:r>
            <w:r>
              <w:rPr>
                <w:rFonts w:hint="eastAsia"/>
                <w:color w:val="auto"/>
                <w:sz w:val="24"/>
                <w:highlight w:val="none"/>
              </w:rPr>
              <w:t>，管控单元类别属于</w:t>
            </w:r>
            <w:r>
              <w:rPr>
                <w:rFonts w:hint="eastAsia"/>
                <w:color w:val="auto"/>
                <w:sz w:val="24"/>
                <w:highlight w:val="none"/>
                <w:lang w:val="en-US" w:eastAsia="zh-CN"/>
              </w:rPr>
              <w:t>一般</w:t>
            </w:r>
            <w:r>
              <w:rPr>
                <w:rFonts w:hint="eastAsia"/>
                <w:color w:val="auto"/>
                <w:sz w:val="24"/>
                <w:highlight w:val="none"/>
              </w:rPr>
              <w:t>管控单元。本项目为</w:t>
            </w:r>
            <w:r>
              <w:rPr>
                <w:rFonts w:hint="eastAsia"/>
                <w:color w:val="auto"/>
                <w:sz w:val="24"/>
                <w:highlight w:val="none"/>
                <w:lang w:val="en-US" w:eastAsia="zh-CN"/>
              </w:rPr>
              <w:t>配套环保设施项目</w:t>
            </w:r>
            <w:r>
              <w:rPr>
                <w:rFonts w:hint="eastAsia"/>
                <w:color w:val="auto"/>
                <w:sz w:val="24"/>
                <w:highlight w:val="none"/>
              </w:rPr>
              <w:t>，位于</w:t>
            </w:r>
            <w:r>
              <w:rPr>
                <w:rFonts w:hint="eastAsia"/>
                <w:color w:val="auto"/>
                <w:sz w:val="24"/>
                <w:highlight w:val="none"/>
                <w:lang w:val="en-US" w:eastAsia="zh-CN"/>
              </w:rPr>
              <w:t>伊金霍洛旗纳林塔纳林沟煤矿厂区</w:t>
            </w:r>
            <w:r>
              <w:rPr>
                <w:rFonts w:hint="eastAsia"/>
                <w:color w:val="auto"/>
                <w:sz w:val="24"/>
                <w:highlight w:val="none"/>
              </w:rPr>
              <w:t>内，占地范围内不涉及国家公园、自然保护区、风景名胜区、世界文化和自然遗产地、饮用水水源保护区的生态保护红线管控范围，因此，本项目选址符合生态保护红线。</w:t>
            </w:r>
          </w:p>
          <w:p w14:paraId="35A90B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highlight w:val="none"/>
              </w:rPr>
            </w:pPr>
            <w:r>
              <w:rPr>
                <w:rFonts w:hint="eastAsia"/>
                <w:color w:val="auto"/>
                <w:sz w:val="24"/>
                <w:highlight w:val="none"/>
              </w:rPr>
              <w:t>因此，项目的建设符合生态保护红线要求。</w:t>
            </w:r>
          </w:p>
          <w:p w14:paraId="773DEE05">
            <w:pPr>
              <w:pStyle w:val="38"/>
              <w:keepNext/>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（1）生态保护红线要求：</w:t>
            </w:r>
          </w:p>
          <w:p w14:paraId="397A197A">
            <w:pPr>
              <w:pStyle w:val="38"/>
              <w:keepNext/>
              <w:numPr>
                <w:ilvl w:val="0"/>
                <w:numId w:val="0"/>
              </w:numPr>
              <w:spacing w:line="52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本项目位于</w:t>
            </w:r>
            <w:r>
              <w:rPr>
                <w:rFonts w:hint="default" w:ascii="Times New Roman" w:hAnsi="Times New Roman" w:eastAsia="宋体" w:cs="Times New Roman"/>
                <w:color w:val="auto"/>
                <w:sz w:val="24"/>
                <w:highlight w:val="none"/>
                <w:lang w:val="en-US" w:eastAsia="zh-CN"/>
              </w:rPr>
              <w:t>内蒙古自治区鄂尔多斯市伊金霍洛旗纳林陶亥镇伊金霍洛旗纳林塔纳林沟煤矿</w:t>
            </w:r>
            <w:r>
              <w:rPr>
                <w:rFonts w:hint="default" w:ascii="Times New Roman" w:hAnsi="Times New Roman" w:eastAsia="宋体" w:cs="Times New Roman"/>
                <w:color w:val="auto"/>
                <w:sz w:val="24"/>
                <w:highlight w:val="none"/>
              </w:rPr>
              <w:t>厂区内，属于神东矿区东胜区及周边煤矿区管控单元，该单元为</w:t>
            </w:r>
            <w:r>
              <w:rPr>
                <w:rFonts w:hint="eastAsia" w:ascii="Times New Roman" w:hAnsi="Times New Roman" w:cs="Times New Roman"/>
                <w:color w:val="auto"/>
                <w:sz w:val="24"/>
                <w:highlight w:val="none"/>
                <w:lang w:val="en-US" w:eastAsia="zh-CN"/>
              </w:rPr>
              <w:t>一般</w:t>
            </w:r>
            <w:r>
              <w:rPr>
                <w:rFonts w:hint="default" w:ascii="Times New Roman" w:hAnsi="Times New Roman" w:eastAsia="宋体" w:cs="Times New Roman"/>
                <w:color w:val="auto"/>
                <w:sz w:val="24"/>
                <w:highlight w:val="none"/>
              </w:rPr>
              <w:t>管控单元，管控单位编码：ZH15062730001，项目不涉及生态保护红线。</w:t>
            </w:r>
          </w:p>
          <w:p w14:paraId="1BA97C9A">
            <w:pPr>
              <w:pStyle w:val="38"/>
              <w:keepNext/>
              <w:numPr>
                <w:ilvl w:val="0"/>
                <w:numId w:val="0"/>
              </w:numPr>
              <w:spacing w:line="520" w:lineRule="exact"/>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本项目在鄂尔多斯市环境管控单元中的位置关系</w:t>
            </w:r>
            <w:r>
              <w:rPr>
                <w:rFonts w:hint="eastAsia" w:ascii="Times New Roman" w:hAnsi="Times New Roman" w:eastAsia="宋体" w:cs="Times New Roman"/>
                <w:color w:val="auto"/>
                <w:sz w:val="24"/>
                <w:highlight w:val="none"/>
                <w:lang w:val="en-US" w:eastAsia="zh-CN"/>
              </w:rPr>
              <w:t>图</w:t>
            </w:r>
            <w:r>
              <w:rPr>
                <w:rFonts w:hint="default" w:ascii="Times New Roman" w:hAnsi="Times New Roman" w:eastAsia="宋体" w:cs="Times New Roman"/>
                <w:color w:val="auto"/>
                <w:sz w:val="24"/>
                <w:highlight w:val="none"/>
              </w:rPr>
              <w:t>见附图1</w:t>
            </w:r>
            <w:r>
              <w:rPr>
                <w:rFonts w:hint="default" w:ascii="Times New Roman" w:hAnsi="Times New Roman" w:eastAsia="宋体" w:cs="Times New Roman"/>
                <w:color w:val="auto"/>
                <w:sz w:val="24"/>
                <w:highlight w:val="none"/>
                <w:lang w:val="en-US" w:eastAsia="zh-CN"/>
              </w:rPr>
              <w:t>。</w:t>
            </w:r>
          </w:p>
          <w:p w14:paraId="7FC29F39">
            <w:pPr>
              <w:pStyle w:val="38"/>
              <w:keepNext/>
              <w:numPr>
                <w:ilvl w:val="0"/>
                <w:numId w:val="3"/>
              </w:numPr>
              <w:spacing w:line="520" w:lineRule="exact"/>
              <w:ind w:left="0" w:right="80" w:rightChars="38" w:firstLine="480" w:firstLineChars="200"/>
              <w:rPr>
                <w:rFonts w:hint="default" w:ascii="Times New Roman" w:hAnsi="Times New Roman" w:cs="Times New Roman"/>
                <w:color w:val="auto"/>
                <w:sz w:val="24"/>
                <w:highlight w:val="none"/>
                <w:lang w:val="en-US"/>
              </w:rPr>
            </w:pPr>
            <w:r>
              <w:rPr>
                <w:rFonts w:hint="default" w:ascii="Times New Roman" w:hAnsi="Times New Roman" w:cs="Times New Roman"/>
                <w:color w:val="auto"/>
                <w:sz w:val="24"/>
                <w:highlight w:val="none"/>
              </w:rPr>
              <w:t>资源利用上线要求：</w:t>
            </w:r>
          </w:p>
          <w:p w14:paraId="2345B6EB">
            <w:pPr>
              <w:pStyle w:val="38"/>
              <w:keepNext/>
              <w:spacing w:line="52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本项目为</w:t>
            </w:r>
            <w:r>
              <w:rPr>
                <w:rFonts w:hint="eastAsia" w:ascii="Times New Roman" w:hAnsi="Times New Roman" w:eastAsia="宋体" w:cs="Times New Roman"/>
                <w:color w:val="auto"/>
                <w:sz w:val="24"/>
                <w:szCs w:val="24"/>
                <w:highlight w:val="none"/>
                <w:lang w:val="en-US" w:eastAsia="zh-CN"/>
              </w:rPr>
              <w:t>危险废物</w:t>
            </w:r>
            <w:r>
              <w:rPr>
                <w:rFonts w:hint="default" w:ascii="Times New Roman" w:hAnsi="Times New Roman" w:eastAsia="宋体" w:cs="Times New Roman"/>
                <w:color w:val="auto"/>
                <w:sz w:val="24"/>
                <w:szCs w:val="24"/>
                <w:highlight w:val="none"/>
                <w:lang w:val="en-US" w:eastAsia="zh-CN"/>
              </w:rPr>
              <w:t>收集</w:t>
            </w:r>
            <w:r>
              <w:rPr>
                <w:rFonts w:hint="eastAsia" w:ascii="Times New Roman" w:hAnsi="Times New Roman" w:eastAsia="宋体" w:cs="Times New Roman"/>
                <w:color w:val="auto"/>
                <w:sz w:val="24"/>
                <w:szCs w:val="24"/>
                <w:highlight w:val="none"/>
                <w:lang w:val="en-US" w:eastAsia="zh-CN"/>
              </w:rPr>
              <w:t>暂</w:t>
            </w:r>
            <w:r>
              <w:rPr>
                <w:rFonts w:hint="default" w:ascii="Times New Roman" w:hAnsi="Times New Roman" w:eastAsia="宋体" w:cs="Times New Roman"/>
                <w:color w:val="auto"/>
                <w:sz w:val="24"/>
                <w:szCs w:val="24"/>
                <w:highlight w:val="none"/>
                <w:lang w:val="en-US" w:eastAsia="zh-CN"/>
              </w:rPr>
              <w:t>存项目，运营过程中</w:t>
            </w:r>
            <w:r>
              <w:rPr>
                <w:rFonts w:hint="eastAsia" w:ascii="Times New Roman" w:hAnsi="Times New Roman" w:eastAsia="宋体" w:cs="Times New Roman"/>
                <w:color w:val="auto"/>
                <w:sz w:val="24"/>
                <w:szCs w:val="24"/>
                <w:highlight w:val="none"/>
                <w:lang w:val="en-US" w:eastAsia="zh-CN"/>
              </w:rPr>
              <w:t>主要资源消耗为电能。用电由矿区现有变配电室供给，</w:t>
            </w:r>
            <w:r>
              <w:rPr>
                <w:rFonts w:hint="default" w:ascii="Times New Roman" w:hAnsi="Times New Roman" w:eastAsia="宋体" w:cs="Times New Roman"/>
                <w:color w:val="auto"/>
                <w:sz w:val="24"/>
                <w:szCs w:val="24"/>
                <w:highlight w:val="none"/>
                <w:lang w:val="en-US" w:eastAsia="zh-CN"/>
              </w:rPr>
              <w:t>本项目资源消耗量相对区域资源总量所占比例较</w:t>
            </w:r>
            <w:r>
              <w:rPr>
                <w:rFonts w:hint="eastAsia" w:ascii="Times New Roman" w:hAnsi="Times New Roman" w:cs="Times New Roman"/>
                <w:color w:val="auto"/>
                <w:sz w:val="24"/>
                <w:szCs w:val="24"/>
                <w:highlight w:val="none"/>
                <w:lang w:val="en-US" w:eastAsia="zh-CN"/>
              </w:rPr>
              <w:t>小</w:t>
            </w:r>
            <w:r>
              <w:rPr>
                <w:rFonts w:hint="default" w:ascii="Times New Roman" w:hAnsi="Times New Roman" w:eastAsia="宋体" w:cs="Times New Roman"/>
                <w:color w:val="auto"/>
                <w:sz w:val="24"/>
                <w:szCs w:val="24"/>
                <w:highlight w:val="none"/>
                <w:lang w:val="en-US" w:eastAsia="zh-CN"/>
              </w:rPr>
              <w:t>，不会突破资源利用</w:t>
            </w:r>
            <w:r>
              <w:rPr>
                <w:rFonts w:hint="eastAsia" w:ascii="Times New Roman" w:hAnsi="Times New Roman" w:cs="Times New Roman"/>
                <w:color w:val="auto"/>
                <w:sz w:val="24"/>
                <w:szCs w:val="24"/>
                <w:highlight w:val="none"/>
                <w:lang w:val="en-US" w:eastAsia="zh-CN"/>
              </w:rPr>
              <w:t>上限</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本项目建设符合资源利用上线相关要求</w:t>
            </w:r>
            <w:r>
              <w:rPr>
                <w:rFonts w:hint="default" w:ascii="Times New Roman" w:hAnsi="Times New Roman" w:eastAsia="宋体" w:cs="Times New Roman"/>
                <w:color w:val="auto"/>
                <w:sz w:val="24"/>
                <w:szCs w:val="24"/>
                <w:highlight w:val="none"/>
                <w:lang w:val="en-US" w:eastAsia="zh-CN"/>
              </w:rPr>
              <w:t>。</w:t>
            </w:r>
          </w:p>
          <w:p w14:paraId="06DA569D">
            <w:pPr>
              <w:pStyle w:val="38"/>
              <w:keepNext/>
              <w:spacing w:line="52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3</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szCs w:val="24"/>
                <w:highlight w:val="none"/>
                <w:lang w:val="en-US" w:eastAsia="zh-CN"/>
              </w:rPr>
              <w:t>环境质量底线要求：</w:t>
            </w:r>
          </w:p>
          <w:p w14:paraId="58223078">
            <w:pPr>
              <w:pStyle w:val="38"/>
              <w:keepNext/>
              <w:spacing w:line="52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olor w:val="auto"/>
                <w:sz w:val="24"/>
                <w:highlight w:val="none"/>
              </w:rPr>
              <w:t>根据内蒙古自治区生态环境厅2025年6月4日公布的2024年《内蒙古自治区生态环境状况公报》，鄂尔多斯市2024年环境空气质量满足《环境空气质量标准》（GB3095-2012）及其修改单二级标准浓度限值要求。</w:t>
            </w:r>
            <w:r>
              <w:rPr>
                <w:rFonts w:hint="default" w:ascii="Times New Roman" w:hAnsi="Times New Roman" w:eastAsia="宋体" w:cs="Times New Roman"/>
                <w:color w:val="auto"/>
                <w:sz w:val="24"/>
                <w:szCs w:val="24"/>
                <w:highlight w:val="none"/>
                <w:lang w:val="en-US" w:eastAsia="zh-CN"/>
              </w:rPr>
              <w:t>本项目所在的伊金霍洛旗环境空气质量为达标区，经过现状检测，厂界非甲烷总烃满足河北省地方标准《环境空气质量标准 非甲烷总烃限值》（DB13/1577-2012）中二级标准限值要求。本项目不新增劳动定员无新增生活污水，运营期不产生废水，不会对区域环境造成影响。经调查，项目区域声环境质量现状满足《声环境质量标准》（GB3096-2008）中 2 类区标准要求。本项目通过采取相应的防渗硬化措施，不会对区域地下水和土壤环境造成影响；本项目产生的固体废物通过规范处置，符合国家相关法律法规要求；综上，本项目建设符合环境质量底线要求。</w:t>
            </w:r>
          </w:p>
          <w:p w14:paraId="4A3B69E6">
            <w:pPr>
              <w:pStyle w:val="38"/>
              <w:keepNext/>
              <w:spacing w:line="52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（4）生态环境准入清单：</w:t>
            </w:r>
          </w:p>
          <w:p w14:paraId="30960D0F">
            <w:pPr>
              <w:pStyle w:val="38"/>
              <w:keepNext/>
              <w:spacing w:line="52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根据《鄂尔多斯市生态环境准入清单》，</w:t>
            </w:r>
            <w:r>
              <w:rPr>
                <w:rFonts w:hint="eastAsia" w:ascii="Times New Roman" w:hAnsi="Times New Roman" w:eastAsia="宋体" w:cs="Times New Roman"/>
                <w:color w:val="auto"/>
                <w:sz w:val="24"/>
                <w:szCs w:val="24"/>
                <w:highlight w:val="none"/>
                <w:lang w:val="en-US" w:eastAsia="zh-CN"/>
              </w:rPr>
              <w:t>属于</w:t>
            </w:r>
            <w:r>
              <w:rPr>
                <w:rFonts w:hint="default" w:ascii="Times New Roman" w:hAnsi="Times New Roman" w:eastAsia="宋体" w:cs="Times New Roman"/>
                <w:color w:val="auto"/>
                <w:sz w:val="24"/>
                <w:szCs w:val="24"/>
                <w:highlight w:val="none"/>
                <w:lang w:val="en-US" w:eastAsia="zh-CN"/>
              </w:rPr>
              <w:t>神东矿区东胜区及周边煤矿区（编号：ZH15062730001），项目与该生态功能区域的准入管控要求符合性分析见表1-1。</w:t>
            </w:r>
          </w:p>
          <w:p w14:paraId="68AF9A1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1"/>
                <w:szCs w:val="21"/>
                <w:highlight w:val="none"/>
              </w:rPr>
            </w:pPr>
          </w:p>
          <w:p w14:paraId="1FF95D2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w:t>
            </w:r>
            <w:r>
              <w:rPr>
                <w:rFonts w:hint="default" w:ascii="Times New Roman" w:hAnsi="Times New Roman" w:eastAsia="宋体" w:cs="Times New Roman"/>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 xml:space="preserve">    本项目与生态环境准入清单符合性分析一览表</w:t>
            </w:r>
          </w:p>
          <w:tbl>
            <w:tblPr>
              <w:tblStyle w:val="20"/>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3803"/>
              <w:gridCol w:w="2005"/>
              <w:gridCol w:w="693"/>
            </w:tblGrid>
            <w:tr w14:paraId="20B5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06" w:type="pct"/>
                  <w:gridSpan w:val="2"/>
                  <w:noWrap w:val="0"/>
                  <w:vAlign w:val="center"/>
                </w:tcPr>
                <w:p w14:paraId="65CCBC72">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准入清单要求</w:t>
                  </w:r>
                </w:p>
              </w:tc>
              <w:tc>
                <w:tcPr>
                  <w:tcW w:w="1407" w:type="pct"/>
                  <w:vMerge w:val="restart"/>
                  <w:noWrap w:val="0"/>
                  <w:vAlign w:val="center"/>
                </w:tcPr>
                <w:p w14:paraId="26FDFA44">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本项目情况</w:t>
                  </w:r>
                </w:p>
              </w:tc>
              <w:tc>
                <w:tcPr>
                  <w:tcW w:w="486" w:type="pct"/>
                  <w:vMerge w:val="restart"/>
                  <w:noWrap w:val="0"/>
                  <w:vAlign w:val="center"/>
                </w:tcPr>
                <w:p w14:paraId="1A74AAD0">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符合性</w:t>
                  </w:r>
                </w:p>
              </w:tc>
            </w:tr>
            <w:tr w14:paraId="4C6C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6" w:type="pct"/>
                  <w:gridSpan w:val="2"/>
                  <w:noWrap w:val="0"/>
                  <w:vAlign w:val="center"/>
                </w:tcPr>
                <w:p w14:paraId="4A8CE55B">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管控要求</w:t>
                  </w:r>
                </w:p>
              </w:tc>
              <w:tc>
                <w:tcPr>
                  <w:tcW w:w="1407" w:type="pct"/>
                  <w:vMerge w:val="continue"/>
                  <w:noWrap w:val="0"/>
                  <w:vAlign w:val="center"/>
                </w:tcPr>
                <w:p w14:paraId="0253D982">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rPr>
                  </w:pPr>
                </w:p>
              </w:tc>
              <w:tc>
                <w:tcPr>
                  <w:tcW w:w="486" w:type="pct"/>
                  <w:vMerge w:val="continue"/>
                  <w:noWrap w:val="0"/>
                  <w:vAlign w:val="center"/>
                </w:tcPr>
                <w:p w14:paraId="0D74926A">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rPr>
                  </w:pPr>
                </w:p>
              </w:tc>
            </w:tr>
            <w:tr w14:paraId="232F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trPr>
              <w:tc>
                <w:tcPr>
                  <w:tcW w:w="437" w:type="pct"/>
                  <w:noWrap w:val="0"/>
                  <w:vAlign w:val="center"/>
                </w:tcPr>
                <w:p w14:paraId="491D65C2">
                  <w:pPr>
                    <w:pStyle w:val="37"/>
                    <w:keepNext w:val="0"/>
                    <w:keepLines w:val="0"/>
                    <w:pageBreakBefore w:val="0"/>
                    <w:kinsoku/>
                    <w:wordWrap/>
                    <w:overflowPunct/>
                    <w:topLinePunct w:val="0"/>
                    <w:bidi w:val="0"/>
                    <w:adjustRightInd w:val="0"/>
                    <w:snapToGrid w:val="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空间布局约束</w:t>
                  </w:r>
                </w:p>
              </w:tc>
              <w:tc>
                <w:tcPr>
                  <w:tcW w:w="2668" w:type="pct"/>
                  <w:noWrap w:val="0"/>
                  <w:vAlign w:val="center"/>
                </w:tcPr>
                <w:p w14:paraId="248982E2">
                  <w:pPr>
                    <w:pStyle w:val="37"/>
                    <w:keepNext w:val="0"/>
                    <w:keepLines w:val="0"/>
                    <w:pageBreakBefore w:val="0"/>
                    <w:kinsoku/>
                    <w:wordWrap/>
                    <w:overflowPunct/>
                    <w:topLinePunct w:val="0"/>
                    <w:bidi w:val="0"/>
                    <w:adjustRightInd w:val="0"/>
                    <w:snapToGrid w:val="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永久基本农田一经划定，任何单位和个人不得擅自占用或改变用途。禁止任何单位和个人破坏永久基本农田耕作层。对永久基本农田实行严格保护，确保其面积不减少、土壤环境质量不下降，除法律规定的重点建设项目选址确实无法避让外，其他任何建设不得占用。</w:t>
                  </w:r>
                </w:p>
              </w:tc>
              <w:tc>
                <w:tcPr>
                  <w:tcW w:w="1407" w:type="pct"/>
                  <w:noWrap w:val="0"/>
                  <w:vAlign w:val="center"/>
                </w:tcPr>
                <w:p w14:paraId="15CDC9B5">
                  <w:pPr>
                    <w:pStyle w:val="37"/>
                    <w:keepNext w:val="0"/>
                    <w:keepLines w:val="0"/>
                    <w:pageBreakBefore w:val="0"/>
                    <w:kinsoku/>
                    <w:wordWrap/>
                    <w:overflowPunct/>
                    <w:topLinePunct w:val="0"/>
                    <w:bidi w:val="0"/>
                    <w:adjustRightInd w:val="0"/>
                    <w:snapToGrid w:val="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本项目为伊金霍洛旗纳林塔纳林沟煤矿配套环保设施建设项目，不涉及管控要求的相关内容。</w:t>
                  </w:r>
                </w:p>
              </w:tc>
              <w:tc>
                <w:tcPr>
                  <w:tcW w:w="486" w:type="pct"/>
                  <w:noWrap w:val="0"/>
                  <w:vAlign w:val="center"/>
                </w:tcPr>
                <w:p w14:paraId="4D89D79D">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w:t>
                  </w:r>
                </w:p>
              </w:tc>
            </w:tr>
            <w:tr w14:paraId="162F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437" w:type="pct"/>
                  <w:noWrap w:val="0"/>
                  <w:vAlign w:val="center"/>
                </w:tcPr>
                <w:p w14:paraId="4B97ED51">
                  <w:pPr>
                    <w:pStyle w:val="37"/>
                    <w:keepNext w:val="0"/>
                    <w:keepLines w:val="0"/>
                    <w:pageBreakBefore w:val="0"/>
                    <w:kinsoku/>
                    <w:wordWrap/>
                    <w:overflowPunct/>
                    <w:topLinePunct w:val="0"/>
                    <w:bidi w:val="0"/>
                    <w:adjustRightInd w:val="0"/>
                    <w:snapToGrid w:val="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资源开发效率</w:t>
                  </w:r>
                </w:p>
                <w:p w14:paraId="15645504">
                  <w:pPr>
                    <w:pStyle w:val="37"/>
                    <w:keepNext w:val="0"/>
                    <w:keepLines w:val="0"/>
                    <w:pageBreakBefore w:val="0"/>
                    <w:kinsoku/>
                    <w:wordWrap/>
                    <w:overflowPunct/>
                    <w:topLinePunct w:val="0"/>
                    <w:bidi w:val="0"/>
                    <w:adjustRightInd w:val="0"/>
                    <w:snapToGrid w:val="0"/>
                    <w:textAlignment w:val="auto"/>
                    <w:rPr>
                      <w:rFonts w:hint="eastAsia" w:ascii="宋体" w:hAnsi="宋体" w:eastAsia="宋体" w:cs="宋体"/>
                      <w:color w:val="auto"/>
                      <w:sz w:val="21"/>
                      <w:szCs w:val="21"/>
                      <w:highlight w:val="none"/>
                    </w:rPr>
                  </w:pPr>
                </w:p>
              </w:tc>
              <w:tc>
                <w:tcPr>
                  <w:tcW w:w="2668" w:type="pct"/>
                  <w:noWrap w:val="0"/>
                  <w:vAlign w:val="center"/>
                </w:tcPr>
                <w:p w14:paraId="46A7149A">
                  <w:pPr>
                    <w:pStyle w:val="37"/>
                    <w:keepNext w:val="0"/>
                    <w:keepLines w:val="0"/>
                    <w:pageBreakBefore w:val="0"/>
                    <w:numPr>
                      <w:ilvl w:val="0"/>
                      <w:numId w:val="4"/>
                    </w:numPr>
                    <w:kinsoku/>
                    <w:wordWrap/>
                    <w:overflowPunct/>
                    <w:topLinePunct w:val="0"/>
                    <w:bidi w:val="0"/>
                    <w:adjustRightInd w:val="0"/>
                    <w:snapToGrid w:val="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提高农业用水水平，井灌区配套低压管道输水等措施，大力推广以浅埋滴灌为主、喷灌为辅的节水设备和技术，引进培育优良作物品种、合理调整作物种植结构等农业措施。</w:t>
                  </w:r>
                </w:p>
              </w:tc>
              <w:tc>
                <w:tcPr>
                  <w:tcW w:w="1407" w:type="pct"/>
                  <w:noWrap w:val="0"/>
                  <w:vAlign w:val="center"/>
                </w:tcPr>
                <w:p w14:paraId="5F94F967">
                  <w:pPr>
                    <w:pStyle w:val="37"/>
                    <w:keepNext w:val="0"/>
                    <w:keepLines w:val="0"/>
                    <w:pageBreakBefore w:val="0"/>
                    <w:kinsoku/>
                    <w:wordWrap/>
                    <w:overflowPunct/>
                    <w:topLinePunct w:val="0"/>
                    <w:bidi w:val="0"/>
                    <w:adjustRightInd w:val="0"/>
                    <w:snapToGrid w:val="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本项目为伊金霍洛旗纳林塔纳林沟煤矿配套环保设施建设项目，均不涉及管控要求的相关内容。</w:t>
                  </w:r>
                </w:p>
              </w:tc>
              <w:tc>
                <w:tcPr>
                  <w:tcW w:w="486" w:type="pct"/>
                  <w:noWrap w:val="0"/>
                  <w:vAlign w:val="center"/>
                </w:tcPr>
                <w:p w14:paraId="28D6963C">
                  <w:pPr>
                    <w:keepNext w:val="0"/>
                    <w:keepLines w:val="0"/>
                    <w:pageBreakBefore w:val="0"/>
                    <w:widowControl/>
                    <w:kinsoku/>
                    <w:wordWrap/>
                    <w:overflowPunct/>
                    <w:topLinePunct w:val="0"/>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p>
              </w:tc>
            </w:tr>
          </w:tbl>
          <w:p w14:paraId="3D1FC5DA">
            <w:pPr>
              <w:pStyle w:val="38"/>
              <w:keepNext/>
              <w:numPr>
                <w:ilvl w:val="0"/>
                <w:numId w:val="5"/>
              </w:numPr>
              <w:spacing w:line="520" w:lineRule="exact"/>
              <w:ind w:firstLine="482"/>
              <w:jc w:val="both"/>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rPr>
              <w:t>产业政策</w:t>
            </w:r>
            <w:r>
              <w:rPr>
                <w:rFonts w:hint="default" w:ascii="Times New Roman" w:hAnsi="Times New Roman" w:cs="Times New Roman"/>
                <w:b/>
                <w:bCs/>
                <w:color w:val="auto"/>
                <w:sz w:val="24"/>
                <w:szCs w:val="24"/>
                <w:highlight w:val="none"/>
              </w:rPr>
              <w:t>符合性分析</w:t>
            </w:r>
          </w:p>
          <w:p w14:paraId="595506D6">
            <w:pPr>
              <w:pStyle w:val="38"/>
              <w:keepNext/>
              <w:spacing w:line="520" w:lineRule="exact"/>
              <w:ind w:firstLine="480" w:firstLineChars="200"/>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sz w:val="24"/>
                <w:highlight w:val="none"/>
              </w:rPr>
              <w:t>本项目为危险废物暂存项目，</w:t>
            </w:r>
            <w:r>
              <w:rPr>
                <w:rFonts w:hint="default" w:ascii="Times New Roman" w:hAnsi="Times New Roman" w:cs="Times New Roman"/>
                <w:bCs/>
                <w:color w:val="auto"/>
                <w:sz w:val="24"/>
                <w:highlight w:val="none"/>
              </w:rPr>
              <w:t>根据《产业结构调整指导目录（20</w:t>
            </w:r>
            <w:r>
              <w:rPr>
                <w:rFonts w:hint="default" w:ascii="Times New Roman" w:hAnsi="Times New Roman" w:cs="Times New Roman"/>
                <w:bCs/>
                <w:color w:val="auto"/>
                <w:sz w:val="24"/>
                <w:highlight w:val="none"/>
                <w:lang w:val="en-US" w:eastAsia="zh-CN"/>
              </w:rPr>
              <w:t>24</w:t>
            </w:r>
            <w:r>
              <w:rPr>
                <w:rFonts w:hint="default" w:ascii="Times New Roman" w:hAnsi="Times New Roman" w:cs="Times New Roman"/>
                <w:bCs/>
                <w:color w:val="auto"/>
                <w:sz w:val="24"/>
                <w:highlight w:val="none"/>
              </w:rPr>
              <w:t>年本）》，本项目不属于“鼓励类”、“限制类”和“淘汰类”，</w:t>
            </w:r>
            <w:r>
              <w:rPr>
                <w:rFonts w:hint="default" w:ascii="Times New Roman" w:hAnsi="Times New Roman" w:eastAsia="宋体" w:cs="Times New Roman"/>
                <w:color w:val="auto"/>
                <w:kern w:val="2"/>
                <w:sz w:val="24"/>
                <w:szCs w:val="24"/>
                <w:highlight w:val="none"/>
                <w:lang w:val="en-US" w:eastAsia="zh-CN" w:bidi="ar-SA"/>
              </w:rPr>
              <w:t>项目的建设符合</w:t>
            </w:r>
            <w:r>
              <w:rPr>
                <w:rFonts w:hint="eastAsia" w:ascii="Times New Roman" w:hAnsi="Times New Roman" w:eastAsia="宋体" w:cs="Times New Roman"/>
                <w:color w:val="auto"/>
                <w:kern w:val="2"/>
                <w:sz w:val="24"/>
                <w:szCs w:val="24"/>
                <w:highlight w:val="none"/>
                <w:lang w:val="en-US" w:eastAsia="zh-CN" w:bidi="ar-SA"/>
              </w:rPr>
              <w:t>国家相关</w:t>
            </w:r>
            <w:r>
              <w:rPr>
                <w:rFonts w:hint="default" w:ascii="Times New Roman" w:hAnsi="Times New Roman" w:eastAsia="宋体" w:cs="Times New Roman"/>
                <w:color w:val="auto"/>
                <w:kern w:val="2"/>
                <w:sz w:val="24"/>
                <w:szCs w:val="24"/>
                <w:highlight w:val="none"/>
                <w:lang w:val="en-US" w:eastAsia="zh-CN" w:bidi="ar-SA"/>
              </w:rPr>
              <w:t>产业政策要求。</w:t>
            </w:r>
          </w:p>
          <w:p w14:paraId="3F9DF76B">
            <w:pPr>
              <w:pStyle w:val="38"/>
              <w:keepNext/>
              <w:numPr>
                <w:ilvl w:val="0"/>
                <w:numId w:val="5"/>
              </w:numPr>
              <w:spacing w:line="520" w:lineRule="exact"/>
              <w:ind w:firstLine="482"/>
              <w:jc w:val="both"/>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rPr>
              <w:t>选址</w:t>
            </w:r>
            <w:r>
              <w:rPr>
                <w:rFonts w:hint="default" w:ascii="Times New Roman" w:hAnsi="Times New Roman" w:cs="Times New Roman"/>
                <w:b/>
                <w:bCs/>
                <w:color w:val="auto"/>
                <w:sz w:val="24"/>
                <w:szCs w:val="24"/>
                <w:highlight w:val="none"/>
              </w:rPr>
              <w:t>符合性分析</w:t>
            </w:r>
          </w:p>
          <w:p w14:paraId="44D072C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lang w:val="en-US"/>
              </w:rPr>
              <w:t>项目建设</w:t>
            </w:r>
            <w:r>
              <w:rPr>
                <w:rFonts w:hint="default" w:ascii="Times New Roman" w:hAnsi="Times New Roman" w:cs="Times New Roman"/>
                <w:color w:val="auto"/>
                <w:sz w:val="24"/>
                <w:szCs w:val="24"/>
                <w:highlight w:val="none"/>
                <w:lang w:val="en-US" w:eastAsia="zh-CN"/>
              </w:rPr>
              <w:t>选</w:t>
            </w:r>
            <w:r>
              <w:rPr>
                <w:rFonts w:hint="default" w:ascii="Times New Roman" w:hAnsi="Times New Roman" w:cs="Times New Roman"/>
                <w:color w:val="auto"/>
                <w:sz w:val="24"/>
                <w:szCs w:val="24"/>
                <w:highlight w:val="none"/>
                <w:lang w:val="en-US"/>
              </w:rPr>
              <w:t>址位于</w:t>
            </w:r>
            <w:r>
              <w:rPr>
                <w:rFonts w:hint="default" w:ascii="Times New Roman" w:hAnsi="Times New Roman" w:eastAsia="宋体" w:cs="Times New Roman"/>
                <w:color w:val="auto"/>
                <w:sz w:val="24"/>
                <w:highlight w:val="none"/>
                <w:lang w:val="en-US" w:eastAsia="zh-CN"/>
              </w:rPr>
              <w:t>内蒙古自治区鄂尔多斯市伊金霍洛旗纳林陶亥镇伊金霍洛旗纳林塔纳林沟煤矿</w:t>
            </w:r>
            <w:r>
              <w:rPr>
                <w:rFonts w:hint="eastAsia" w:cs="Times New Roman"/>
                <w:color w:val="auto"/>
                <w:sz w:val="24"/>
                <w:highlight w:val="none"/>
                <w:lang w:val="en-US" w:eastAsia="zh-CN"/>
              </w:rPr>
              <w:t>工业场地</w:t>
            </w:r>
            <w:r>
              <w:rPr>
                <w:rFonts w:hint="default" w:ascii="Times New Roman" w:hAnsi="Times New Roman" w:cs="Times New Roman"/>
                <w:color w:val="auto"/>
                <w:sz w:val="24"/>
                <w:szCs w:val="24"/>
                <w:highlight w:val="none"/>
                <w:lang w:val="en-US" w:eastAsia="zh-CN"/>
              </w:rPr>
              <w:t>内，</w:t>
            </w:r>
            <w:r>
              <w:rPr>
                <w:rFonts w:hint="default" w:ascii="Times New Roman" w:hAnsi="Times New Roman" w:cs="Times New Roman"/>
                <w:color w:val="auto"/>
                <w:sz w:val="24"/>
                <w:szCs w:val="24"/>
                <w:highlight w:val="none"/>
                <w:lang w:val="en-US"/>
              </w:rPr>
              <w:t>该项目占地面积为</w:t>
            </w:r>
            <w:r>
              <w:rPr>
                <w:rFonts w:hint="eastAsia" w:cs="Times New Roman"/>
                <w:color w:val="auto"/>
                <w:sz w:val="24"/>
                <w:szCs w:val="24"/>
                <w:highlight w:val="none"/>
                <w:lang w:val="en-US" w:eastAsia="zh-CN"/>
              </w:rPr>
              <w:t>16.1</w:t>
            </w:r>
            <w:r>
              <w:rPr>
                <w:rFonts w:hint="default" w:ascii="Times New Roman" w:hAnsi="Times New Roman" w:cs="Times New Roman"/>
                <w:color w:val="auto"/>
                <w:sz w:val="24"/>
                <w:szCs w:val="24"/>
                <w:highlight w:val="none"/>
                <w:lang w:val="en-US"/>
              </w:rPr>
              <w:t>m</w:t>
            </w:r>
            <w:r>
              <w:rPr>
                <w:rFonts w:hint="default" w:ascii="Times New Roman" w:hAnsi="Times New Roman" w:cs="Times New Roman"/>
                <w:color w:val="auto"/>
                <w:sz w:val="24"/>
                <w:szCs w:val="24"/>
                <w:highlight w:val="none"/>
                <w:vertAlign w:val="superscript"/>
                <w:lang w:val="en-US"/>
              </w:rPr>
              <w:t>2</w:t>
            </w:r>
            <w:r>
              <w:rPr>
                <w:rFonts w:hint="default" w:ascii="Times New Roman" w:hAnsi="Times New Roman" w:cs="Times New Roman"/>
                <w:color w:val="auto"/>
                <w:sz w:val="24"/>
                <w:szCs w:val="24"/>
                <w:highlight w:val="none"/>
                <w:lang w:val="en-US"/>
              </w:rPr>
              <w:t>，</w:t>
            </w:r>
            <w:r>
              <w:rPr>
                <w:rFonts w:hint="eastAsia" w:cs="Times New Roman"/>
                <w:color w:val="auto"/>
                <w:sz w:val="24"/>
                <w:szCs w:val="24"/>
                <w:highlight w:val="none"/>
                <w:lang w:val="en-US" w:eastAsia="zh-CN"/>
              </w:rPr>
              <w:t>为废弃炸药库改造，</w:t>
            </w:r>
            <w:r>
              <w:rPr>
                <w:rFonts w:hint="default" w:ascii="Times New Roman" w:hAnsi="Times New Roman" w:cs="Times New Roman"/>
                <w:color w:val="auto"/>
                <w:sz w:val="24"/>
                <w:szCs w:val="24"/>
                <w:highlight w:val="none"/>
                <w:lang w:val="en-US"/>
              </w:rPr>
              <w:t>不涉及新增占地</w:t>
            </w:r>
            <w:r>
              <w:rPr>
                <w:rFonts w:hint="eastAsia" w:cs="Times New Roman"/>
                <w:color w:val="auto"/>
                <w:sz w:val="24"/>
                <w:szCs w:val="24"/>
                <w:highlight w:val="none"/>
                <w:lang w:val="en-US" w:eastAsia="zh-CN"/>
              </w:rPr>
              <w:t>，项目东侧为空地、南侧为空地、北侧为空地、西侧为空地，四周无环境保护目标</w:t>
            </w:r>
            <w:r>
              <w:rPr>
                <w:rFonts w:hint="default" w:ascii="Times New Roman" w:hAnsi="Times New Roman" w:cs="Times New Roman"/>
                <w:color w:val="auto"/>
                <w:sz w:val="24"/>
                <w:szCs w:val="24"/>
                <w:highlight w:val="none"/>
                <w:lang w:val="en-US"/>
              </w:rPr>
              <w:t>。项目</w:t>
            </w:r>
            <w:r>
              <w:rPr>
                <w:rFonts w:hint="eastAsia" w:cs="Times New Roman"/>
                <w:color w:val="auto"/>
                <w:sz w:val="24"/>
                <w:szCs w:val="24"/>
                <w:highlight w:val="none"/>
                <w:lang w:val="en-US" w:eastAsia="zh-CN"/>
              </w:rPr>
              <w:t>所在</w:t>
            </w:r>
            <w:r>
              <w:rPr>
                <w:rFonts w:hint="default" w:ascii="Times New Roman" w:hAnsi="Times New Roman" w:eastAsia="宋体" w:cs="Times New Roman"/>
                <w:color w:val="auto"/>
                <w:sz w:val="24"/>
                <w:highlight w:val="none"/>
                <w:lang w:val="en-US" w:eastAsia="zh-CN"/>
              </w:rPr>
              <w:t>伊金霍洛旗纳林塔纳林沟煤矿</w:t>
            </w:r>
            <w:r>
              <w:rPr>
                <w:rFonts w:hint="eastAsia" w:cs="Times New Roman"/>
                <w:color w:val="auto"/>
                <w:sz w:val="24"/>
                <w:szCs w:val="24"/>
                <w:highlight w:val="none"/>
                <w:lang w:val="en-US" w:eastAsia="zh-CN"/>
              </w:rPr>
              <w:t>工业场地</w:t>
            </w:r>
            <w:r>
              <w:rPr>
                <w:rFonts w:hint="default" w:ascii="Times New Roman" w:hAnsi="Times New Roman" w:cs="Times New Roman"/>
                <w:color w:val="auto"/>
                <w:sz w:val="24"/>
                <w:szCs w:val="24"/>
                <w:highlight w:val="none"/>
                <w:lang w:val="en-US"/>
              </w:rPr>
              <w:t>不在风景名胜区、自然保护区、水源保护区和其他需要特别保护的区域内，无环境制约因素。从环境保护的角度分析，采取相应的生态保护措施、污染治理措施后，本项目</w:t>
            </w:r>
            <w:r>
              <w:rPr>
                <w:rFonts w:hint="default" w:ascii="Times New Roman" w:hAnsi="Times New Roman" w:cs="Times New Roman"/>
                <w:color w:val="auto"/>
                <w:sz w:val="24"/>
                <w:szCs w:val="24"/>
                <w:highlight w:val="none"/>
                <w:lang w:val="en-US" w:eastAsia="zh-CN"/>
              </w:rPr>
              <w:t>的</w:t>
            </w:r>
            <w:r>
              <w:rPr>
                <w:rFonts w:hint="default" w:ascii="Times New Roman" w:hAnsi="Times New Roman" w:cs="Times New Roman"/>
                <w:color w:val="auto"/>
                <w:sz w:val="24"/>
                <w:szCs w:val="24"/>
                <w:highlight w:val="none"/>
                <w:lang w:val="en-US"/>
              </w:rPr>
              <w:t>选址可行。</w:t>
            </w:r>
          </w:p>
          <w:p w14:paraId="640D9F41">
            <w:pPr>
              <w:numPr>
                <w:ilvl w:val="0"/>
                <w:numId w:val="5"/>
              </w:numPr>
              <w:adjustRightInd w:val="0"/>
              <w:snapToGrid w:val="0"/>
              <w:spacing w:line="360" w:lineRule="auto"/>
              <w:ind w:left="-42" w:leftChars="0" w:firstLine="482" w:firstLineChars="0"/>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《危险废物贮存污染控制标准》（GB18597-2023）符合性分析</w:t>
            </w:r>
          </w:p>
          <w:p w14:paraId="4EB627C0">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本项目位于</w:t>
            </w:r>
            <w:r>
              <w:rPr>
                <w:rFonts w:hint="default" w:ascii="Times New Roman" w:hAnsi="Times New Roman" w:cs="Times New Roman"/>
                <w:color w:val="auto"/>
                <w:sz w:val="24"/>
                <w:highlight w:val="none"/>
              </w:rPr>
              <w:t>鄂尔多斯市伊金霍洛旗</w:t>
            </w:r>
            <w:r>
              <w:rPr>
                <w:rFonts w:hint="eastAsia" w:cs="Times New Roman"/>
                <w:color w:val="auto"/>
                <w:sz w:val="24"/>
                <w:highlight w:val="none"/>
                <w:lang w:val="en-US" w:eastAsia="zh-CN"/>
              </w:rPr>
              <w:t>纳林陶亥</w:t>
            </w:r>
            <w:r>
              <w:rPr>
                <w:rFonts w:hint="default" w:ascii="Times New Roman" w:hAnsi="Times New Roman" w:cs="Times New Roman"/>
                <w:color w:val="auto"/>
                <w:sz w:val="24"/>
                <w:highlight w:val="none"/>
              </w:rPr>
              <w:t>镇</w:t>
            </w:r>
            <w:r>
              <w:rPr>
                <w:rFonts w:hint="eastAsia" w:cs="Times New Roman"/>
                <w:color w:val="auto"/>
                <w:sz w:val="24"/>
                <w:highlight w:val="none"/>
                <w:lang w:val="en-US" w:eastAsia="zh-CN"/>
              </w:rPr>
              <w:t>伊金霍洛旗纳林塔纳林沟煤矿</w:t>
            </w:r>
            <w:r>
              <w:rPr>
                <w:rFonts w:hint="default" w:ascii="Times New Roman" w:hAnsi="Times New Roman" w:cs="Times New Roman"/>
                <w:color w:val="auto"/>
                <w:sz w:val="24"/>
                <w:highlight w:val="none"/>
                <w:lang w:val="en-US" w:eastAsia="zh-CN"/>
              </w:rPr>
              <w:t>厂区内。</w:t>
            </w:r>
            <w:r>
              <w:rPr>
                <w:rFonts w:hint="default" w:ascii="Times New Roman" w:hAnsi="Times New Roman" w:cs="Times New Roman"/>
                <w:bCs/>
                <w:color w:val="auto"/>
                <w:sz w:val="24"/>
                <w:highlight w:val="none"/>
                <w:lang w:val="en-US" w:eastAsia="zh-CN"/>
              </w:rPr>
              <w:t>本项目</w:t>
            </w:r>
            <w:r>
              <w:rPr>
                <w:rFonts w:hint="default" w:ascii="Times New Roman" w:hAnsi="Times New Roman" w:cs="Times New Roman"/>
                <w:bCs/>
                <w:color w:val="auto"/>
                <w:sz w:val="24"/>
                <w:highlight w:val="none"/>
              </w:rPr>
              <w:t>不涉及自然保护区、文物古迹等环境敏感点，且项目区远离城市，经对照，项目选址符合《危险废物贮存污染控制标准》（GB18597-20</w:t>
            </w:r>
            <w:r>
              <w:rPr>
                <w:rFonts w:hint="default" w:ascii="Times New Roman" w:hAnsi="Times New Roman" w:cs="Times New Roman"/>
                <w:bCs/>
                <w:color w:val="auto"/>
                <w:sz w:val="24"/>
                <w:highlight w:val="none"/>
                <w:lang w:val="en-US" w:eastAsia="zh-CN"/>
              </w:rPr>
              <w:t>23</w:t>
            </w:r>
            <w:r>
              <w:rPr>
                <w:rFonts w:hint="default" w:ascii="Times New Roman" w:hAnsi="Times New Roman" w:cs="Times New Roman"/>
                <w:bCs/>
                <w:color w:val="auto"/>
                <w:sz w:val="24"/>
                <w:highlight w:val="none"/>
              </w:rPr>
              <w:t>）的相关要求。</w:t>
            </w:r>
            <w:r>
              <w:rPr>
                <w:rFonts w:hint="default" w:ascii="Times New Roman" w:hAnsi="Times New Roman" w:cs="Times New Roman"/>
                <w:color w:val="auto"/>
                <w:sz w:val="24"/>
                <w:highlight w:val="none"/>
              </w:rPr>
              <w:t>具体对照见下表。</w:t>
            </w:r>
            <w:bookmarkStart w:id="1" w:name="_Hlk60233645"/>
          </w:p>
          <w:bookmarkEnd w:id="1"/>
          <w:p w14:paraId="206A051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1-</w:t>
            </w:r>
            <w:r>
              <w:rPr>
                <w:rFonts w:hint="eastAsia"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rPr>
              <w:t>《危险废物贮存污染控制标准》（GB18597-2023）相符性分析表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564"/>
              <w:gridCol w:w="540"/>
              <w:gridCol w:w="2819"/>
              <w:gridCol w:w="2466"/>
              <w:gridCol w:w="736"/>
            </w:tblGrid>
            <w:tr w14:paraId="6A23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noWrap w:val="0"/>
                  <w:vAlign w:val="center"/>
                </w:tcPr>
                <w:p w14:paraId="72765789">
                  <w:pPr>
                    <w:adjustRightInd w:val="0"/>
                    <w:snapToGrid w:val="0"/>
                    <w:jc w:val="center"/>
                    <w:rPr>
                      <w:b/>
                      <w:color w:val="auto"/>
                      <w:szCs w:val="21"/>
                      <w:highlight w:val="none"/>
                    </w:rPr>
                  </w:pPr>
                  <w:r>
                    <w:rPr>
                      <w:b/>
                      <w:color w:val="auto"/>
                      <w:szCs w:val="21"/>
                      <w:highlight w:val="none"/>
                    </w:rPr>
                    <w:t>项目</w:t>
                  </w:r>
                </w:p>
              </w:tc>
              <w:tc>
                <w:tcPr>
                  <w:tcW w:w="3482" w:type="dxa"/>
                  <w:gridSpan w:val="2"/>
                  <w:noWrap w:val="0"/>
                  <w:vAlign w:val="center"/>
                </w:tcPr>
                <w:p w14:paraId="08518A0C">
                  <w:pPr>
                    <w:adjustRightInd w:val="0"/>
                    <w:snapToGrid w:val="0"/>
                    <w:jc w:val="center"/>
                    <w:rPr>
                      <w:b/>
                      <w:color w:val="auto"/>
                      <w:szCs w:val="21"/>
                      <w:highlight w:val="none"/>
                    </w:rPr>
                  </w:pPr>
                  <w:r>
                    <w:rPr>
                      <w:b/>
                      <w:color w:val="auto"/>
                      <w:szCs w:val="21"/>
                      <w:highlight w:val="none"/>
                    </w:rPr>
                    <w:t>建设内容（条件及要求）</w:t>
                  </w:r>
                </w:p>
              </w:tc>
              <w:tc>
                <w:tcPr>
                  <w:tcW w:w="2504" w:type="dxa"/>
                  <w:noWrap w:val="0"/>
                  <w:vAlign w:val="center"/>
                </w:tcPr>
                <w:p w14:paraId="1F61E911">
                  <w:pPr>
                    <w:adjustRightInd w:val="0"/>
                    <w:snapToGrid w:val="0"/>
                    <w:jc w:val="center"/>
                    <w:rPr>
                      <w:b/>
                      <w:color w:val="auto"/>
                      <w:szCs w:val="21"/>
                      <w:highlight w:val="none"/>
                    </w:rPr>
                  </w:pPr>
                  <w:r>
                    <w:rPr>
                      <w:b/>
                      <w:color w:val="auto"/>
                      <w:szCs w:val="21"/>
                      <w:highlight w:val="none"/>
                    </w:rPr>
                    <w:t>核对本工程具体情况</w:t>
                  </w:r>
                </w:p>
              </w:tc>
              <w:tc>
                <w:tcPr>
                  <w:tcW w:w="760" w:type="dxa"/>
                  <w:noWrap w:val="0"/>
                  <w:vAlign w:val="center"/>
                </w:tcPr>
                <w:p w14:paraId="750ADD4A">
                  <w:pPr>
                    <w:adjustRightInd w:val="0"/>
                    <w:snapToGrid w:val="0"/>
                    <w:jc w:val="center"/>
                    <w:rPr>
                      <w:b/>
                      <w:color w:val="auto"/>
                      <w:szCs w:val="21"/>
                      <w:highlight w:val="none"/>
                    </w:rPr>
                  </w:pPr>
                  <w:r>
                    <w:rPr>
                      <w:b/>
                      <w:color w:val="auto"/>
                      <w:szCs w:val="21"/>
                      <w:highlight w:val="none"/>
                    </w:rPr>
                    <w:t>符合性</w:t>
                  </w:r>
                </w:p>
              </w:tc>
            </w:tr>
            <w:tr w14:paraId="60CC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restart"/>
                  <w:noWrap w:val="0"/>
                  <w:vAlign w:val="center"/>
                </w:tcPr>
                <w:p w14:paraId="3484D50E">
                  <w:pPr>
                    <w:adjustRightInd w:val="0"/>
                    <w:snapToGrid w:val="0"/>
                    <w:jc w:val="center"/>
                    <w:rPr>
                      <w:bCs/>
                      <w:color w:val="auto"/>
                      <w:szCs w:val="21"/>
                      <w:highlight w:val="none"/>
                    </w:rPr>
                  </w:pPr>
                  <w:r>
                    <w:rPr>
                      <w:bCs/>
                      <w:color w:val="auto"/>
                      <w:szCs w:val="21"/>
                      <w:highlight w:val="none"/>
                    </w:rPr>
                    <w:t>总体要求</w:t>
                  </w:r>
                </w:p>
              </w:tc>
              <w:tc>
                <w:tcPr>
                  <w:tcW w:w="3482" w:type="dxa"/>
                  <w:gridSpan w:val="2"/>
                  <w:noWrap w:val="0"/>
                  <w:vAlign w:val="center"/>
                </w:tcPr>
                <w:p w14:paraId="08AB58E8">
                  <w:pPr>
                    <w:adjustRightInd w:val="0"/>
                    <w:snapToGrid w:val="0"/>
                    <w:rPr>
                      <w:bCs/>
                      <w:color w:val="auto"/>
                      <w:szCs w:val="21"/>
                      <w:highlight w:val="none"/>
                    </w:rPr>
                  </w:pPr>
                  <w:r>
                    <w:rPr>
                      <w:bCs/>
                      <w:color w:val="auto"/>
                      <w:szCs w:val="21"/>
                      <w:highlight w:val="none"/>
                    </w:rPr>
                    <w:t>产生、收集、贮存、利用、处置危险废物的单位应建造危险废物贮存设施或设置贮存场所，并根据需要选择贮存设施类型。</w:t>
                  </w:r>
                </w:p>
              </w:tc>
              <w:tc>
                <w:tcPr>
                  <w:tcW w:w="2504" w:type="dxa"/>
                  <w:noWrap w:val="0"/>
                  <w:vAlign w:val="center"/>
                </w:tcPr>
                <w:p w14:paraId="6F294B60">
                  <w:pPr>
                    <w:adjustRightInd w:val="0"/>
                    <w:snapToGrid w:val="0"/>
                    <w:rPr>
                      <w:bCs/>
                      <w:color w:val="auto"/>
                      <w:szCs w:val="21"/>
                      <w:highlight w:val="none"/>
                    </w:rPr>
                  </w:pPr>
                  <w:r>
                    <w:rPr>
                      <w:bCs/>
                      <w:color w:val="auto"/>
                      <w:szCs w:val="21"/>
                      <w:highlight w:val="none"/>
                    </w:rPr>
                    <w:t>本项目为专门危废暂存库，用于暂存</w:t>
                  </w:r>
                  <w:r>
                    <w:rPr>
                      <w:rFonts w:hint="default"/>
                      <w:bCs/>
                      <w:color w:val="auto"/>
                      <w:szCs w:val="21"/>
                      <w:highlight w:val="none"/>
                      <w:lang w:val="en-US" w:eastAsia="zh-CN"/>
                    </w:rPr>
                    <w:t>伊金霍洛旗纳林塔纳林沟煤矿</w:t>
                  </w:r>
                  <w:r>
                    <w:rPr>
                      <w:bCs/>
                      <w:color w:val="auto"/>
                      <w:szCs w:val="21"/>
                      <w:highlight w:val="none"/>
                    </w:rPr>
                    <w:t>内收集的各类危险废</w:t>
                  </w:r>
                  <w:r>
                    <w:rPr>
                      <w:rFonts w:hint="eastAsia"/>
                      <w:bCs/>
                      <w:color w:val="auto"/>
                      <w:szCs w:val="21"/>
                      <w:highlight w:val="none"/>
                      <w:lang w:val="en-US" w:eastAsia="zh-CN"/>
                    </w:rPr>
                    <w:t>物</w:t>
                  </w:r>
                  <w:r>
                    <w:rPr>
                      <w:bCs/>
                      <w:color w:val="auto"/>
                      <w:szCs w:val="21"/>
                      <w:highlight w:val="none"/>
                    </w:rPr>
                    <w:t>。</w:t>
                  </w:r>
                </w:p>
              </w:tc>
              <w:tc>
                <w:tcPr>
                  <w:tcW w:w="760" w:type="dxa"/>
                  <w:noWrap w:val="0"/>
                  <w:vAlign w:val="center"/>
                </w:tcPr>
                <w:p w14:paraId="25698EE0">
                  <w:pPr>
                    <w:adjustRightInd w:val="0"/>
                    <w:snapToGrid w:val="0"/>
                    <w:jc w:val="center"/>
                    <w:rPr>
                      <w:bCs/>
                      <w:color w:val="auto"/>
                      <w:szCs w:val="21"/>
                      <w:highlight w:val="none"/>
                    </w:rPr>
                  </w:pPr>
                  <w:r>
                    <w:rPr>
                      <w:bCs/>
                      <w:color w:val="auto"/>
                      <w:szCs w:val="21"/>
                      <w:highlight w:val="none"/>
                    </w:rPr>
                    <w:t>符合</w:t>
                  </w:r>
                </w:p>
              </w:tc>
            </w:tr>
            <w:tr w14:paraId="7B3D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60DC5588">
                  <w:pPr>
                    <w:adjustRightInd w:val="0"/>
                    <w:snapToGrid w:val="0"/>
                    <w:jc w:val="center"/>
                    <w:rPr>
                      <w:bCs/>
                      <w:color w:val="auto"/>
                      <w:szCs w:val="21"/>
                      <w:highlight w:val="none"/>
                    </w:rPr>
                  </w:pPr>
                </w:p>
              </w:tc>
              <w:tc>
                <w:tcPr>
                  <w:tcW w:w="3482" w:type="dxa"/>
                  <w:gridSpan w:val="2"/>
                  <w:noWrap w:val="0"/>
                  <w:vAlign w:val="center"/>
                </w:tcPr>
                <w:p w14:paraId="6ED20219">
                  <w:pPr>
                    <w:adjustRightInd w:val="0"/>
                    <w:snapToGrid w:val="0"/>
                    <w:rPr>
                      <w:bCs/>
                      <w:color w:val="auto"/>
                      <w:szCs w:val="21"/>
                      <w:highlight w:val="none"/>
                    </w:rPr>
                  </w:pPr>
                  <w:r>
                    <w:rPr>
                      <w:bCs/>
                      <w:color w:val="auto"/>
                      <w:szCs w:val="21"/>
                      <w:highlight w:val="none"/>
                    </w:rPr>
                    <w:t>贮存危险废物应根据危险废物的类别、数量、形态、物理化学性质和环境风险等因素，确定贮存设施或场所类型和规模。</w:t>
                  </w:r>
                </w:p>
              </w:tc>
              <w:tc>
                <w:tcPr>
                  <w:tcW w:w="2504" w:type="dxa"/>
                  <w:noWrap w:val="0"/>
                  <w:vAlign w:val="center"/>
                </w:tcPr>
                <w:p w14:paraId="57D400CF">
                  <w:pPr>
                    <w:adjustRightInd w:val="0"/>
                    <w:snapToGrid w:val="0"/>
                    <w:rPr>
                      <w:bCs/>
                      <w:color w:val="auto"/>
                      <w:szCs w:val="21"/>
                      <w:highlight w:val="none"/>
                    </w:rPr>
                  </w:pPr>
                  <w:r>
                    <w:rPr>
                      <w:bCs/>
                      <w:color w:val="auto"/>
                      <w:szCs w:val="21"/>
                      <w:highlight w:val="none"/>
                    </w:rPr>
                    <w:t>本项目按照危险废物的类别、数量、形态、物理化学性质和环境风险等因素，确定了贮存设施类型及规模。</w:t>
                  </w:r>
                </w:p>
              </w:tc>
              <w:tc>
                <w:tcPr>
                  <w:tcW w:w="760" w:type="dxa"/>
                  <w:noWrap w:val="0"/>
                  <w:vAlign w:val="center"/>
                </w:tcPr>
                <w:p w14:paraId="3C864701">
                  <w:pPr>
                    <w:jc w:val="center"/>
                    <w:rPr>
                      <w:color w:val="auto"/>
                      <w:highlight w:val="none"/>
                    </w:rPr>
                  </w:pPr>
                  <w:r>
                    <w:rPr>
                      <w:bCs/>
                      <w:color w:val="auto"/>
                      <w:szCs w:val="21"/>
                      <w:highlight w:val="none"/>
                    </w:rPr>
                    <w:t>符合</w:t>
                  </w:r>
                </w:p>
              </w:tc>
            </w:tr>
            <w:tr w14:paraId="3237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7D415ACE">
                  <w:pPr>
                    <w:adjustRightInd w:val="0"/>
                    <w:snapToGrid w:val="0"/>
                    <w:jc w:val="center"/>
                    <w:rPr>
                      <w:bCs/>
                      <w:color w:val="auto"/>
                      <w:szCs w:val="21"/>
                      <w:highlight w:val="none"/>
                    </w:rPr>
                  </w:pPr>
                </w:p>
              </w:tc>
              <w:tc>
                <w:tcPr>
                  <w:tcW w:w="3482" w:type="dxa"/>
                  <w:gridSpan w:val="2"/>
                  <w:noWrap w:val="0"/>
                  <w:vAlign w:val="center"/>
                </w:tcPr>
                <w:p w14:paraId="2E3710CF">
                  <w:pPr>
                    <w:adjustRightInd w:val="0"/>
                    <w:snapToGrid w:val="0"/>
                    <w:rPr>
                      <w:bCs/>
                      <w:color w:val="auto"/>
                      <w:szCs w:val="21"/>
                      <w:highlight w:val="none"/>
                    </w:rPr>
                  </w:pPr>
                  <w:r>
                    <w:rPr>
                      <w:bCs/>
                      <w:color w:val="auto"/>
                      <w:szCs w:val="21"/>
                      <w:highlight w:val="none"/>
                    </w:rPr>
                    <w:t>贮存危险废物应根据危险废物的类别、形态、物理化学性质和污染防治要求进行分类贮存，且应避免危险废物与不相容的物质或材料接触。</w:t>
                  </w:r>
                </w:p>
              </w:tc>
              <w:tc>
                <w:tcPr>
                  <w:tcW w:w="2504" w:type="dxa"/>
                  <w:noWrap w:val="0"/>
                  <w:vAlign w:val="center"/>
                </w:tcPr>
                <w:p w14:paraId="442AC4FE">
                  <w:pPr>
                    <w:adjustRightInd w:val="0"/>
                    <w:snapToGrid w:val="0"/>
                    <w:rPr>
                      <w:bCs/>
                      <w:color w:val="auto"/>
                      <w:szCs w:val="21"/>
                      <w:highlight w:val="none"/>
                    </w:rPr>
                  </w:pPr>
                  <w:r>
                    <w:rPr>
                      <w:bCs/>
                      <w:color w:val="auto"/>
                      <w:szCs w:val="21"/>
                      <w:highlight w:val="none"/>
                    </w:rPr>
                    <w:t>本项目对不同废物类别的危险废物进行分区分类贮存，可避免危险废物与不相容的物质或材料接触。</w:t>
                  </w:r>
                </w:p>
              </w:tc>
              <w:tc>
                <w:tcPr>
                  <w:tcW w:w="760" w:type="dxa"/>
                  <w:noWrap w:val="0"/>
                  <w:vAlign w:val="center"/>
                </w:tcPr>
                <w:p w14:paraId="64722018">
                  <w:pPr>
                    <w:jc w:val="center"/>
                    <w:rPr>
                      <w:color w:val="auto"/>
                      <w:highlight w:val="none"/>
                    </w:rPr>
                  </w:pPr>
                  <w:r>
                    <w:rPr>
                      <w:bCs/>
                      <w:color w:val="auto"/>
                      <w:szCs w:val="21"/>
                      <w:highlight w:val="none"/>
                    </w:rPr>
                    <w:t>符合</w:t>
                  </w:r>
                </w:p>
              </w:tc>
            </w:tr>
            <w:tr w14:paraId="5856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4F45AE5D">
                  <w:pPr>
                    <w:adjustRightInd w:val="0"/>
                    <w:snapToGrid w:val="0"/>
                    <w:jc w:val="center"/>
                    <w:rPr>
                      <w:bCs/>
                      <w:color w:val="auto"/>
                      <w:szCs w:val="21"/>
                      <w:highlight w:val="none"/>
                    </w:rPr>
                  </w:pPr>
                </w:p>
              </w:tc>
              <w:tc>
                <w:tcPr>
                  <w:tcW w:w="3482" w:type="dxa"/>
                  <w:gridSpan w:val="2"/>
                  <w:noWrap w:val="0"/>
                  <w:vAlign w:val="center"/>
                </w:tcPr>
                <w:p w14:paraId="1C96AA87">
                  <w:pPr>
                    <w:adjustRightInd w:val="0"/>
                    <w:snapToGrid w:val="0"/>
                    <w:rPr>
                      <w:bCs/>
                      <w:color w:val="auto"/>
                      <w:szCs w:val="21"/>
                      <w:highlight w:val="none"/>
                    </w:rPr>
                  </w:pPr>
                  <w:r>
                    <w:rPr>
                      <w:bCs/>
                      <w:color w:val="auto"/>
                      <w:szCs w:val="21"/>
                      <w:highlight w:val="none"/>
                    </w:rPr>
                    <w:t>贮存危险废物应根据危险废物的形态、物理化学性质、包装形式和污染物迁移途径，采取措施减少渗滤液及其衍生废物、渗漏的液态废物（简称渗漏液）、粉尘、VOCs、酸雾、有毒有害大气污染物和刺激性气味气体等污染物的产生，防止其污染环境。</w:t>
                  </w:r>
                </w:p>
              </w:tc>
              <w:tc>
                <w:tcPr>
                  <w:tcW w:w="2504" w:type="dxa"/>
                  <w:noWrap w:val="0"/>
                  <w:vAlign w:val="center"/>
                </w:tcPr>
                <w:p w14:paraId="31B5736B">
                  <w:pPr>
                    <w:adjustRightInd w:val="0"/>
                    <w:snapToGrid w:val="0"/>
                    <w:rPr>
                      <w:bCs/>
                      <w:color w:val="auto"/>
                      <w:szCs w:val="21"/>
                      <w:highlight w:val="none"/>
                    </w:rPr>
                  </w:pPr>
                  <w:r>
                    <w:rPr>
                      <w:bCs/>
                      <w:color w:val="auto"/>
                      <w:szCs w:val="21"/>
                      <w:highlight w:val="none"/>
                    </w:rPr>
                    <w:t>本项目危废库内设置导流槽、集液池，地面、裙角均做防腐、防渗处理，</w:t>
                  </w:r>
                  <w:r>
                    <w:rPr>
                      <w:rFonts w:hint="eastAsia"/>
                      <w:bCs/>
                      <w:color w:val="auto"/>
                      <w:szCs w:val="21"/>
                      <w:highlight w:val="none"/>
                      <w:lang w:val="en-US" w:eastAsia="zh-CN"/>
                    </w:rPr>
                    <w:t>废矿物油</w:t>
                  </w:r>
                  <w:r>
                    <w:rPr>
                      <w:bCs/>
                      <w:color w:val="auto"/>
                      <w:szCs w:val="21"/>
                      <w:highlight w:val="none"/>
                    </w:rPr>
                    <w:t>采用200L密闭</w:t>
                  </w:r>
                  <w:r>
                    <w:rPr>
                      <w:rFonts w:hint="eastAsia"/>
                      <w:bCs/>
                      <w:color w:val="auto"/>
                      <w:szCs w:val="21"/>
                      <w:highlight w:val="none"/>
                      <w:lang w:val="en-US" w:eastAsia="zh-CN"/>
                    </w:rPr>
                    <w:t>铁</w:t>
                  </w:r>
                  <w:r>
                    <w:rPr>
                      <w:bCs/>
                      <w:color w:val="auto"/>
                      <w:szCs w:val="21"/>
                      <w:highlight w:val="none"/>
                    </w:rPr>
                    <w:t>桶收集贮存，</w:t>
                  </w:r>
                  <w:r>
                    <w:rPr>
                      <w:rFonts w:hint="eastAsia"/>
                      <w:bCs/>
                      <w:color w:val="auto"/>
                      <w:highlight w:val="none"/>
                    </w:rPr>
                    <w:t>少量有机废气</w:t>
                  </w:r>
                  <w:r>
                    <w:rPr>
                      <w:rFonts w:hint="eastAsia"/>
                      <w:bCs/>
                      <w:color w:val="auto"/>
                      <w:highlight w:val="none"/>
                      <w:lang w:eastAsia="zh-CN"/>
                    </w:rPr>
                    <w:t>经</w:t>
                  </w:r>
                  <w:r>
                    <w:rPr>
                      <w:rFonts w:hint="eastAsia"/>
                      <w:bCs/>
                      <w:color w:val="auto"/>
                      <w:highlight w:val="none"/>
                      <w:lang w:val="en-US" w:eastAsia="zh-CN"/>
                    </w:rPr>
                    <w:t>配套的排风系统无组织排放</w:t>
                  </w:r>
                  <w:r>
                    <w:rPr>
                      <w:rFonts w:hint="eastAsia"/>
                      <w:bCs/>
                      <w:color w:val="auto"/>
                      <w:szCs w:val="21"/>
                      <w:highlight w:val="none"/>
                    </w:rPr>
                    <w:t>，</w:t>
                  </w:r>
                  <w:r>
                    <w:rPr>
                      <w:bCs/>
                      <w:color w:val="auto"/>
                      <w:szCs w:val="21"/>
                      <w:highlight w:val="none"/>
                    </w:rPr>
                    <w:t>采取以上措施可有效防止其污染环境。</w:t>
                  </w:r>
                </w:p>
              </w:tc>
              <w:tc>
                <w:tcPr>
                  <w:tcW w:w="760" w:type="dxa"/>
                  <w:noWrap w:val="0"/>
                  <w:vAlign w:val="center"/>
                </w:tcPr>
                <w:p w14:paraId="12C1D538">
                  <w:pPr>
                    <w:jc w:val="center"/>
                    <w:rPr>
                      <w:color w:val="auto"/>
                      <w:highlight w:val="none"/>
                    </w:rPr>
                  </w:pPr>
                  <w:r>
                    <w:rPr>
                      <w:bCs/>
                      <w:color w:val="auto"/>
                      <w:szCs w:val="21"/>
                      <w:highlight w:val="none"/>
                    </w:rPr>
                    <w:t>符合</w:t>
                  </w:r>
                </w:p>
              </w:tc>
            </w:tr>
            <w:tr w14:paraId="5E6B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50459D83">
                  <w:pPr>
                    <w:adjustRightInd w:val="0"/>
                    <w:snapToGrid w:val="0"/>
                    <w:jc w:val="center"/>
                    <w:rPr>
                      <w:bCs/>
                      <w:color w:val="auto"/>
                      <w:szCs w:val="21"/>
                      <w:highlight w:val="none"/>
                    </w:rPr>
                  </w:pPr>
                </w:p>
              </w:tc>
              <w:tc>
                <w:tcPr>
                  <w:tcW w:w="3482" w:type="dxa"/>
                  <w:gridSpan w:val="2"/>
                  <w:noWrap w:val="0"/>
                  <w:vAlign w:val="center"/>
                </w:tcPr>
                <w:p w14:paraId="4DB67803">
                  <w:pPr>
                    <w:adjustRightInd w:val="0"/>
                    <w:snapToGrid w:val="0"/>
                    <w:rPr>
                      <w:bCs/>
                      <w:color w:val="auto"/>
                      <w:szCs w:val="21"/>
                      <w:highlight w:val="none"/>
                    </w:rPr>
                  </w:pPr>
                  <w:r>
                    <w:rPr>
                      <w:bCs/>
                      <w:color w:val="auto"/>
                      <w:szCs w:val="21"/>
                      <w:highlight w:val="none"/>
                    </w:rPr>
                    <w:t>危险废物贮存过</w:t>
                  </w:r>
                  <w:r>
                    <w:rPr>
                      <w:rFonts w:hint="eastAsia"/>
                      <w:bCs/>
                      <w:color w:val="auto"/>
                      <w:szCs w:val="21"/>
                      <w:highlight w:val="none"/>
                      <w:lang w:eastAsia="zh-CN"/>
                    </w:rPr>
                    <w:t>程中</w:t>
                  </w:r>
                  <w:r>
                    <w:rPr>
                      <w:bCs/>
                      <w:color w:val="auto"/>
                      <w:szCs w:val="21"/>
                      <w:highlight w:val="none"/>
                    </w:rPr>
                    <w:t>产生的液态废物和固态废物应分类收集，</w:t>
                  </w:r>
                  <w:r>
                    <w:rPr>
                      <w:rFonts w:hint="eastAsia"/>
                      <w:bCs/>
                      <w:color w:val="auto"/>
                      <w:szCs w:val="21"/>
                      <w:highlight w:val="none"/>
                      <w:lang w:eastAsia="zh-CN"/>
                    </w:rPr>
                    <w:t>按</w:t>
                  </w:r>
                  <w:r>
                    <w:rPr>
                      <w:bCs/>
                      <w:color w:val="auto"/>
                      <w:szCs w:val="21"/>
                      <w:highlight w:val="none"/>
                    </w:rPr>
                    <w:t>环境管理要求妥善处理。</w:t>
                  </w:r>
                </w:p>
              </w:tc>
              <w:tc>
                <w:tcPr>
                  <w:tcW w:w="2504" w:type="dxa"/>
                  <w:noWrap w:val="0"/>
                  <w:vAlign w:val="center"/>
                </w:tcPr>
                <w:p w14:paraId="43DB91D2">
                  <w:pPr>
                    <w:adjustRightInd w:val="0"/>
                    <w:snapToGrid w:val="0"/>
                    <w:rPr>
                      <w:bCs/>
                      <w:color w:val="auto"/>
                      <w:szCs w:val="21"/>
                      <w:highlight w:val="none"/>
                    </w:rPr>
                  </w:pPr>
                  <w:r>
                    <w:rPr>
                      <w:bCs/>
                      <w:color w:val="auto"/>
                      <w:szCs w:val="21"/>
                      <w:highlight w:val="none"/>
                    </w:rPr>
                    <w:t>本项目贮存过程中产生危废分类收集，并委托具有危险废物处理资质的公司处理。</w:t>
                  </w:r>
                </w:p>
              </w:tc>
              <w:tc>
                <w:tcPr>
                  <w:tcW w:w="760" w:type="dxa"/>
                  <w:noWrap w:val="0"/>
                  <w:vAlign w:val="center"/>
                </w:tcPr>
                <w:p w14:paraId="19A5D588">
                  <w:pPr>
                    <w:jc w:val="center"/>
                    <w:rPr>
                      <w:color w:val="auto"/>
                      <w:highlight w:val="none"/>
                    </w:rPr>
                  </w:pPr>
                  <w:r>
                    <w:rPr>
                      <w:bCs/>
                      <w:color w:val="auto"/>
                      <w:szCs w:val="21"/>
                      <w:highlight w:val="none"/>
                    </w:rPr>
                    <w:t>符合</w:t>
                  </w:r>
                </w:p>
              </w:tc>
            </w:tr>
            <w:tr w14:paraId="7BE9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68FEC5BD">
                  <w:pPr>
                    <w:adjustRightInd w:val="0"/>
                    <w:snapToGrid w:val="0"/>
                    <w:jc w:val="center"/>
                    <w:rPr>
                      <w:bCs/>
                      <w:color w:val="auto"/>
                      <w:szCs w:val="21"/>
                      <w:highlight w:val="none"/>
                    </w:rPr>
                  </w:pPr>
                </w:p>
              </w:tc>
              <w:tc>
                <w:tcPr>
                  <w:tcW w:w="3482" w:type="dxa"/>
                  <w:gridSpan w:val="2"/>
                  <w:noWrap w:val="0"/>
                  <w:vAlign w:val="center"/>
                </w:tcPr>
                <w:p w14:paraId="7B31F09E">
                  <w:pPr>
                    <w:adjustRightInd w:val="0"/>
                    <w:snapToGrid w:val="0"/>
                    <w:rPr>
                      <w:bCs/>
                      <w:color w:val="auto"/>
                      <w:szCs w:val="21"/>
                      <w:highlight w:val="none"/>
                    </w:rPr>
                  </w:pPr>
                  <w:r>
                    <w:rPr>
                      <w:bCs/>
                      <w:color w:val="auto"/>
                      <w:szCs w:val="21"/>
                      <w:highlight w:val="none"/>
                    </w:rPr>
                    <w:t>贮存设施或场所、容器和包装物应按HJ1276要求设置危险废物贮存设施或场所标志、危险废物贮存分区标志和危险废物标签等危险废物识别标志。</w:t>
                  </w:r>
                </w:p>
              </w:tc>
              <w:tc>
                <w:tcPr>
                  <w:tcW w:w="2504" w:type="dxa"/>
                  <w:noWrap w:val="0"/>
                  <w:vAlign w:val="center"/>
                </w:tcPr>
                <w:p w14:paraId="2B4C3BC0">
                  <w:pPr>
                    <w:adjustRightInd w:val="0"/>
                    <w:snapToGrid w:val="0"/>
                    <w:rPr>
                      <w:bCs/>
                      <w:color w:val="auto"/>
                      <w:szCs w:val="21"/>
                      <w:highlight w:val="none"/>
                    </w:rPr>
                  </w:pPr>
                  <w:r>
                    <w:rPr>
                      <w:bCs/>
                      <w:color w:val="auto"/>
                      <w:szCs w:val="21"/>
                      <w:highlight w:val="none"/>
                    </w:rPr>
                    <w:t>本项目将按照HJ1276要求设置相关标志。</w:t>
                  </w:r>
                </w:p>
              </w:tc>
              <w:tc>
                <w:tcPr>
                  <w:tcW w:w="760" w:type="dxa"/>
                  <w:noWrap w:val="0"/>
                  <w:vAlign w:val="center"/>
                </w:tcPr>
                <w:p w14:paraId="27C57CC1">
                  <w:pPr>
                    <w:jc w:val="center"/>
                    <w:rPr>
                      <w:color w:val="auto"/>
                      <w:highlight w:val="none"/>
                    </w:rPr>
                  </w:pPr>
                  <w:r>
                    <w:rPr>
                      <w:bCs/>
                      <w:color w:val="auto"/>
                      <w:szCs w:val="21"/>
                      <w:highlight w:val="none"/>
                    </w:rPr>
                    <w:t>符合</w:t>
                  </w:r>
                </w:p>
              </w:tc>
            </w:tr>
            <w:tr w14:paraId="26CD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1517B59E">
                  <w:pPr>
                    <w:adjustRightInd w:val="0"/>
                    <w:snapToGrid w:val="0"/>
                    <w:jc w:val="center"/>
                    <w:rPr>
                      <w:bCs/>
                      <w:color w:val="auto"/>
                      <w:szCs w:val="21"/>
                      <w:highlight w:val="none"/>
                    </w:rPr>
                  </w:pPr>
                </w:p>
              </w:tc>
              <w:tc>
                <w:tcPr>
                  <w:tcW w:w="3482" w:type="dxa"/>
                  <w:gridSpan w:val="2"/>
                  <w:noWrap w:val="0"/>
                  <w:vAlign w:val="center"/>
                </w:tcPr>
                <w:p w14:paraId="13FF3C84">
                  <w:pPr>
                    <w:adjustRightInd w:val="0"/>
                    <w:snapToGrid w:val="0"/>
                    <w:rPr>
                      <w:bCs/>
                      <w:color w:val="auto"/>
                      <w:szCs w:val="21"/>
                      <w:highlight w:val="none"/>
                    </w:rPr>
                  </w:pPr>
                  <w:r>
                    <w:rPr>
                      <w:bCs/>
                      <w:color w:val="auto"/>
                      <w:szCs w:val="21"/>
                      <w:highlight w:val="none"/>
                    </w:rPr>
                    <w:t>HJ1259规定的危险废物环境重点监管单位，应采用电子地磅、电子标签、电子管理台账等技术手段对危险废物贮存过程进行信息化管理，确保数据完整、真实、准确；采用视频监控的应确保监控画面清晰，视频记录保存时间至少为3个月。</w:t>
                  </w:r>
                </w:p>
              </w:tc>
              <w:tc>
                <w:tcPr>
                  <w:tcW w:w="2504" w:type="dxa"/>
                  <w:noWrap w:val="0"/>
                  <w:vAlign w:val="center"/>
                </w:tcPr>
                <w:p w14:paraId="04B149A4">
                  <w:pPr>
                    <w:adjustRightInd w:val="0"/>
                    <w:snapToGrid w:val="0"/>
                    <w:rPr>
                      <w:bCs/>
                      <w:color w:val="auto"/>
                      <w:szCs w:val="21"/>
                      <w:highlight w:val="none"/>
                    </w:rPr>
                  </w:pPr>
                  <w:r>
                    <w:rPr>
                      <w:bCs/>
                      <w:color w:val="auto"/>
                      <w:szCs w:val="21"/>
                      <w:highlight w:val="none"/>
                    </w:rPr>
                    <w:t>本项目将按照HJ1259规定采用电子管理台账等技术手段，并设置视频监控。</w:t>
                  </w:r>
                </w:p>
              </w:tc>
              <w:tc>
                <w:tcPr>
                  <w:tcW w:w="760" w:type="dxa"/>
                  <w:noWrap w:val="0"/>
                  <w:vAlign w:val="center"/>
                </w:tcPr>
                <w:p w14:paraId="73EE7964">
                  <w:pPr>
                    <w:jc w:val="center"/>
                    <w:rPr>
                      <w:color w:val="auto"/>
                      <w:highlight w:val="none"/>
                    </w:rPr>
                  </w:pPr>
                  <w:r>
                    <w:rPr>
                      <w:bCs/>
                      <w:color w:val="auto"/>
                      <w:szCs w:val="21"/>
                      <w:highlight w:val="none"/>
                    </w:rPr>
                    <w:t>符合</w:t>
                  </w:r>
                </w:p>
              </w:tc>
            </w:tr>
            <w:tr w14:paraId="5434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52014541">
                  <w:pPr>
                    <w:adjustRightInd w:val="0"/>
                    <w:snapToGrid w:val="0"/>
                    <w:jc w:val="center"/>
                    <w:rPr>
                      <w:bCs/>
                      <w:color w:val="auto"/>
                      <w:szCs w:val="21"/>
                      <w:highlight w:val="none"/>
                    </w:rPr>
                  </w:pPr>
                </w:p>
              </w:tc>
              <w:tc>
                <w:tcPr>
                  <w:tcW w:w="3482" w:type="dxa"/>
                  <w:gridSpan w:val="2"/>
                  <w:noWrap w:val="0"/>
                  <w:vAlign w:val="center"/>
                </w:tcPr>
                <w:p w14:paraId="1093C4DC">
                  <w:pPr>
                    <w:adjustRightInd w:val="0"/>
                    <w:snapToGrid w:val="0"/>
                    <w:rPr>
                      <w:bCs/>
                      <w:color w:val="auto"/>
                      <w:szCs w:val="21"/>
                      <w:highlight w:val="none"/>
                    </w:rPr>
                  </w:pPr>
                  <w:r>
                    <w:rPr>
                      <w:bCs/>
                      <w:color w:val="auto"/>
                      <w:szCs w:val="21"/>
                      <w:highlight w:val="none"/>
                    </w:rPr>
                    <w:t>贮存设施退役时，所有者或运营者应依法履行环境保护责任，退役前应妥善处理处置贮存设施内剩余的危险废物，并对贮存设施进行清理，消除污染；还应依据土壤污染防治相关法律法规履行场地环境风险防控责任。</w:t>
                  </w:r>
                </w:p>
              </w:tc>
              <w:tc>
                <w:tcPr>
                  <w:tcW w:w="2504" w:type="dxa"/>
                  <w:noWrap w:val="0"/>
                  <w:vAlign w:val="center"/>
                </w:tcPr>
                <w:p w14:paraId="11FA0A1E">
                  <w:pPr>
                    <w:adjustRightInd w:val="0"/>
                    <w:snapToGrid w:val="0"/>
                    <w:rPr>
                      <w:bCs/>
                      <w:color w:val="auto"/>
                      <w:szCs w:val="21"/>
                      <w:highlight w:val="none"/>
                    </w:rPr>
                  </w:pPr>
                  <w:r>
                    <w:rPr>
                      <w:bCs/>
                      <w:color w:val="auto"/>
                      <w:szCs w:val="21"/>
                      <w:highlight w:val="none"/>
                    </w:rPr>
                    <w:t>本危废暂存库退役时，将妥善处理处置贮存设施内剩余的危险废物，并对贮存设施进行清理，消除污染；并依据土壤污染防治相关法律法规履行场地环境风险防控责任。</w:t>
                  </w:r>
                </w:p>
              </w:tc>
              <w:tc>
                <w:tcPr>
                  <w:tcW w:w="760" w:type="dxa"/>
                  <w:noWrap w:val="0"/>
                  <w:vAlign w:val="center"/>
                </w:tcPr>
                <w:p w14:paraId="32872F52">
                  <w:pPr>
                    <w:jc w:val="center"/>
                    <w:rPr>
                      <w:color w:val="auto"/>
                      <w:highlight w:val="none"/>
                    </w:rPr>
                  </w:pPr>
                  <w:r>
                    <w:rPr>
                      <w:bCs/>
                      <w:color w:val="auto"/>
                      <w:szCs w:val="21"/>
                      <w:highlight w:val="none"/>
                    </w:rPr>
                    <w:t>符合</w:t>
                  </w:r>
                </w:p>
              </w:tc>
            </w:tr>
            <w:tr w14:paraId="04FB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31D47BC1">
                  <w:pPr>
                    <w:adjustRightInd w:val="0"/>
                    <w:snapToGrid w:val="0"/>
                    <w:jc w:val="center"/>
                    <w:rPr>
                      <w:bCs/>
                      <w:color w:val="auto"/>
                      <w:szCs w:val="21"/>
                      <w:highlight w:val="none"/>
                    </w:rPr>
                  </w:pPr>
                </w:p>
              </w:tc>
              <w:tc>
                <w:tcPr>
                  <w:tcW w:w="3482" w:type="dxa"/>
                  <w:gridSpan w:val="2"/>
                  <w:noWrap w:val="0"/>
                  <w:vAlign w:val="center"/>
                </w:tcPr>
                <w:p w14:paraId="3240EE18">
                  <w:pPr>
                    <w:adjustRightInd w:val="0"/>
                    <w:snapToGrid w:val="0"/>
                    <w:rPr>
                      <w:bCs/>
                      <w:color w:val="auto"/>
                      <w:szCs w:val="21"/>
                      <w:highlight w:val="none"/>
                    </w:rPr>
                  </w:pPr>
                  <w:r>
                    <w:rPr>
                      <w:bCs/>
                      <w:color w:val="auto"/>
                      <w:szCs w:val="21"/>
                      <w:highlight w:val="none"/>
                    </w:rPr>
                    <w:t>危险废物贮存除应满足环境保护相关要求外，还应执行国家安全生产、职业健康、交通运输、消防等法律法规和标准的相关要求。</w:t>
                  </w:r>
                </w:p>
              </w:tc>
              <w:tc>
                <w:tcPr>
                  <w:tcW w:w="2504" w:type="dxa"/>
                  <w:noWrap w:val="0"/>
                  <w:vAlign w:val="center"/>
                </w:tcPr>
                <w:p w14:paraId="68016142">
                  <w:pPr>
                    <w:adjustRightInd w:val="0"/>
                    <w:snapToGrid w:val="0"/>
                    <w:rPr>
                      <w:bCs/>
                      <w:color w:val="auto"/>
                      <w:szCs w:val="21"/>
                      <w:highlight w:val="none"/>
                    </w:rPr>
                  </w:pPr>
                  <w:r>
                    <w:rPr>
                      <w:bCs/>
                      <w:color w:val="auto"/>
                      <w:szCs w:val="21"/>
                      <w:highlight w:val="none"/>
                    </w:rPr>
                    <w:t>项目运营期将执行国家安全生产、职业健康、交通运输、消防等法律法规和标准的相关要求。</w:t>
                  </w:r>
                </w:p>
              </w:tc>
              <w:tc>
                <w:tcPr>
                  <w:tcW w:w="760" w:type="dxa"/>
                  <w:noWrap w:val="0"/>
                  <w:vAlign w:val="center"/>
                </w:tcPr>
                <w:p w14:paraId="1B1FFC41">
                  <w:pPr>
                    <w:jc w:val="center"/>
                    <w:rPr>
                      <w:color w:val="auto"/>
                      <w:highlight w:val="none"/>
                    </w:rPr>
                  </w:pPr>
                  <w:r>
                    <w:rPr>
                      <w:bCs/>
                      <w:color w:val="auto"/>
                      <w:szCs w:val="21"/>
                      <w:highlight w:val="none"/>
                    </w:rPr>
                    <w:t>符合</w:t>
                  </w:r>
                </w:p>
              </w:tc>
            </w:tr>
            <w:tr w14:paraId="4EE1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restart"/>
                  <w:noWrap w:val="0"/>
                  <w:vAlign w:val="center"/>
                </w:tcPr>
                <w:p w14:paraId="19334CBF">
                  <w:pPr>
                    <w:adjustRightInd w:val="0"/>
                    <w:snapToGrid w:val="0"/>
                    <w:jc w:val="center"/>
                    <w:rPr>
                      <w:bCs/>
                      <w:color w:val="auto"/>
                      <w:szCs w:val="21"/>
                      <w:highlight w:val="none"/>
                    </w:rPr>
                  </w:pPr>
                  <w:r>
                    <w:rPr>
                      <w:bCs/>
                      <w:color w:val="auto"/>
                      <w:szCs w:val="21"/>
                      <w:highlight w:val="none"/>
                    </w:rPr>
                    <w:t>贮存设施污染控制要求</w:t>
                  </w:r>
                </w:p>
              </w:tc>
              <w:tc>
                <w:tcPr>
                  <w:tcW w:w="3482" w:type="dxa"/>
                  <w:gridSpan w:val="2"/>
                  <w:noWrap w:val="0"/>
                  <w:vAlign w:val="center"/>
                </w:tcPr>
                <w:p w14:paraId="59CAEA22">
                  <w:pPr>
                    <w:adjustRightInd w:val="0"/>
                    <w:snapToGrid w:val="0"/>
                    <w:rPr>
                      <w:bCs/>
                      <w:color w:val="auto"/>
                      <w:szCs w:val="21"/>
                      <w:highlight w:val="none"/>
                    </w:rPr>
                  </w:pPr>
                  <w:r>
                    <w:rPr>
                      <w:bCs/>
                      <w:color w:val="auto"/>
                      <w:szCs w:val="21"/>
                      <w:highlight w:val="none"/>
                    </w:rPr>
                    <w:t>贮存设施应根据危险废物的形态、物理化学性质、包装形式和污染物迁移途径，采取必要的防风、防晒、防雨、防漏、防渗、防腐以及其他环境污染防治措施，不应露天堆放危险废物。</w:t>
                  </w:r>
                </w:p>
              </w:tc>
              <w:tc>
                <w:tcPr>
                  <w:tcW w:w="2504" w:type="dxa"/>
                  <w:noWrap w:val="0"/>
                  <w:vAlign w:val="center"/>
                </w:tcPr>
                <w:p w14:paraId="206BCE6C">
                  <w:pPr>
                    <w:adjustRightInd w:val="0"/>
                    <w:snapToGrid w:val="0"/>
                    <w:rPr>
                      <w:bCs/>
                      <w:color w:val="auto"/>
                      <w:szCs w:val="21"/>
                      <w:highlight w:val="none"/>
                    </w:rPr>
                  </w:pPr>
                  <w:r>
                    <w:rPr>
                      <w:bCs/>
                      <w:color w:val="auto"/>
                      <w:szCs w:val="21"/>
                      <w:highlight w:val="none"/>
                    </w:rPr>
                    <w:t>本项目建设全封闭危废暂存库，属于室内存放，具备防风、防雨、防晒功能，地面铺设防腐防渗层，设有专门的物料收集防泄漏设施。</w:t>
                  </w:r>
                </w:p>
              </w:tc>
              <w:tc>
                <w:tcPr>
                  <w:tcW w:w="760" w:type="dxa"/>
                  <w:noWrap w:val="0"/>
                  <w:vAlign w:val="center"/>
                </w:tcPr>
                <w:p w14:paraId="73BE2E41">
                  <w:pPr>
                    <w:jc w:val="center"/>
                    <w:rPr>
                      <w:color w:val="auto"/>
                      <w:highlight w:val="none"/>
                    </w:rPr>
                  </w:pPr>
                  <w:r>
                    <w:rPr>
                      <w:bCs/>
                      <w:color w:val="auto"/>
                      <w:szCs w:val="21"/>
                      <w:highlight w:val="none"/>
                    </w:rPr>
                    <w:t>符合</w:t>
                  </w:r>
                </w:p>
              </w:tc>
            </w:tr>
            <w:tr w14:paraId="0E75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19192993">
                  <w:pPr>
                    <w:adjustRightInd w:val="0"/>
                    <w:snapToGrid w:val="0"/>
                    <w:jc w:val="center"/>
                    <w:rPr>
                      <w:bCs/>
                      <w:color w:val="auto"/>
                      <w:szCs w:val="21"/>
                      <w:highlight w:val="none"/>
                    </w:rPr>
                  </w:pPr>
                </w:p>
              </w:tc>
              <w:tc>
                <w:tcPr>
                  <w:tcW w:w="3482" w:type="dxa"/>
                  <w:gridSpan w:val="2"/>
                  <w:noWrap w:val="0"/>
                  <w:vAlign w:val="center"/>
                </w:tcPr>
                <w:p w14:paraId="5975C329">
                  <w:pPr>
                    <w:adjustRightInd w:val="0"/>
                    <w:snapToGrid w:val="0"/>
                    <w:rPr>
                      <w:bCs/>
                      <w:color w:val="auto"/>
                      <w:szCs w:val="21"/>
                      <w:highlight w:val="none"/>
                    </w:rPr>
                  </w:pPr>
                  <w:r>
                    <w:rPr>
                      <w:bCs/>
                      <w:color w:val="auto"/>
                      <w:szCs w:val="21"/>
                      <w:highlight w:val="none"/>
                    </w:rPr>
                    <w:t>贮存设施应根据危险废物的类别、数量、形态、物理化学性质和污染防治等要求设置必要的贮存分区，避免不相容的危险废物接触、混合。</w:t>
                  </w:r>
                </w:p>
              </w:tc>
              <w:tc>
                <w:tcPr>
                  <w:tcW w:w="2504" w:type="dxa"/>
                  <w:noWrap w:val="0"/>
                  <w:vAlign w:val="center"/>
                </w:tcPr>
                <w:p w14:paraId="56E06A6E">
                  <w:pPr>
                    <w:adjustRightInd w:val="0"/>
                    <w:snapToGrid w:val="0"/>
                    <w:rPr>
                      <w:bCs/>
                      <w:color w:val="auto"/>
                      <w:szCs w:val="21"/>
                      <w:highlight w:val="none"/>
                    </w:rPr>
                  </w:pPr>
                  <w:r>
                    <w:rPr>
                      <w:bCs/>
                      <w:color w:val="auto"/>
                      <w:szCs w:val="21"/>
                      <w:highlight w:val="none"/>
                    </w:rPr>
                    <w:t>本项目分区贮存各类危险废物，不相容的危险废物不会接触、混合。</w:t>
                  </w:r>
                </w:p>
              </w:tc>
              <w:tc>
                <w:tcPr>
                  <w:tcW w:w="760" w:type="dxa"/>
                  <w:noWrap w:val="0"/>
                  <w:vAlign w:val="center"/>
                </w:tcPr>
                <w:p w14:paraId="0B666B2C">
                  <w:pPr>
                    <w:jc w:val="center"/>
                    <w:rPr>
                      <w:color w:val="auto"/>
                      <w:highlight w:val="none"/>
                    </w:rPr>
                  </w:pPr>
                  <w:r>
                    <w:rPr>
                      <w:bCs/>
                      <w:color w:val="auto"/>
                      <w:szCs w:val="21"/>
                      <w:highlight w:val="none"/>
                    </w:rPr>
                    <w:t>符合</w:t>
                  </w:r>
                </w:p>
              </w:tc>
            </w:tr>
            <w:tr w14:paraId="1CD0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4DE1D9C4">
                  <w:pPr>
                    <w:adjustRightInd w:val="0"/>
                    <w:snapToGrid w:val="0"/>
                    <w:jc w:val="center"/>
                    <w:rPr>
                      <w:bCs/>
                      <w:color w:val="auto"/>
                      <w:szCs w:val="21"/>
                      <w:highlight w:val="none"/>
                    </w:rPr>
                  </w:pPr>
                </w:p>
              </w:tc>
              <w:tc>
                <w:tcPr>
                  <w:tcW w:w="3482" w:type="dxa"/>
                  <w:gridSpan w:val="2"/>
                  <w:noWrap w:val="0"/>
                  <w:vAlign w:val="center"/>
                </w:tcPr>
                <w:p w14:paraId="5B79EBD3">
                  <w:pPr>
                    <w:adjustRightInd w:val="0"/>
                    <w:snapToGrid w:val="0"/>
                    <w:rPr>
                      <w:bCs/>
                      <w:color w:val="auto"/>
                      <w:szCs w:val="21"/>
                      <w:highlight w:val="none"/>
                    </w:rPr>
                  </w:pPr>
                  <w:r>
                    <w:rPr>
                      <w:bCs/>
                      <w:color w:val="auto"/>
                      <w:szCs w:val="21"/>
                      <w:highlight w:val="none"/>
                    </w:rPr>
                    <w:t>贮存设施或贮存分区内地面、墙面裙脚、堵截泄漏的围堰、接触危险废物的隔板和墙体等应采用坚固的材料建造，表面无裂缝。</w:t>
                  </w:r>
                </w:p>
              </w:tc>
              <w:tc>
                <w:tcPr>
                  <w:tcW w:w="2504" w:type="dxa"/>
                  <w:noWrap w:val="0"/>
                  <w:vAlign w:val="center"/>
                </w:tcPr>
                <w:p w14:paraId="75047E14">
                  <w:pPr>
                    <w:adjustRightInd w:val="0"/>
                    <w:snapToGrid w:val="0"/>
                    <w:rPr>
                      <w:bCs/>
                      <w:color w:val="auto"/>
                      <w:szCs w:val="21"/>
                      <w:highlight w:val="none"/>
                    </w:rPr>
                  </w:pPr>
                  <w:r>
                    <w:rPr>
                      <w:bCs/>
                      <w:color w:val="auto"/>
                      <w:szCs w:val="21"/>
                      <w:highlight w:val="none"/>
                    </w:rPr>
                    <w:t>危废品暂存库暂存区各建筑物进行坚固的防渗防腐材料修建，表面无裂缝。</w:t>
                  </w:r>
                </w:p>
              </w:tc>
              <w:tc>
                <w:tcPr>
                  <w:tcW w:w="760" w:type="dxa"/>
                  <w:noWrap w:val="0"/>
                  <w:vAlign w:val="center"/>
                </w:tcPr>
                <w:p w14:paraId="1780A3A9">
                  <w:pPr>
                    <w:jc w:val="center"/>
                    <w:rPr>
                      <w:color w:val="auto"/>
                      <w:highlight w:val="none"/>
                    </w:rPr>
                  </w:pPr>
                  <w:r>
                    <w:rPr>
                      <w:bCs/>
                      <w:color w:val="auto"/>
                      <w:szCs w:val="21"/>
                      <w:highlight w:val="none"/>
                    </w:rPr>
                    <w:t>符合</w:t>
                  </w:r>
                </w:p>
              </w:tc>
            </w:tr>
            <w:tr w14:paraId="145F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35B82599">
                  <w:pPr>
                    <w:adjustRightInd w:val="0"/>
                    <w:snapToGrid w:val="0"/>
                    <w:jc w:val="center"/>
                    <w:rPr>
                      <w:bCs/>
                      <w:color w:val="auto"/>
                      <w:szCs w:val="21"/>
                      <w:highlight w:val="none"/>
                    </w:rPr>
                  </w:pPr>
                </w:p>
              </w:tc>
              <w:tc>
                <w:tcPr>
                  <w:tcW w:w="3482" w:type="dxa"/>
                  <w:gridSpan w:val="2"/>
                  <w:noWrap w:val="0"/>
                  <w:vAlign w:val="center"/>
                </w:tcPr>
                <w:p w14:paraId="5C5B5526">
                  <w:pPr>
                    <w:adjustRightInd w:val="0"/>
                    <w:snapToGrid w:val="0"/>
                    <w:rPr>
                      <w:bCs/>
                      <w:color w:val="auto"/>
                      <w:szCs w:val="21"/>
                      <w:highlight w:val="none"/>
                    </w:rPr>
                  </w:pPr>
                  <w:r>
                    <w:rPr>
                      <w:bCs/>
                      <w:color w:val="auto"/>
                      <w:szCs w:val="21"/>
                      <w:highlight w:val="none"/>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bCs/>
                      <w:color w:val="auto"/>
                      <w:szCs w:val="21"/>
                      <w:highlight w:val="none"/>
                      <w:vertAlign w:val="superscript"/>
                    </w:rPr>
                    <w:t>-7</w:t>
                  </w:r>
                  <w:r>
                    <w:rPr>
                      <w:bCs/>
                      <w:color w:val="auto"/>
                      <w:szCs w:val="21"/>
                      <w:highlight w:val="none"/>
                    </w:rPr>
                    <w:t>cm/s），或至少2mm厚高密度聚乙烯膜等人工防渗材料（渗透系数不大于10</w:t>
                  </w:r>
                  <w:r>
                    <w:rPr>
                      <w:bCs/>
                      <w:color w:val="auto"/>
                      <w:szCs w:val="21"/>
                      <w:highlight w:val="none"/>
                      <w:vertAlign w:val="superscript"/>
                    </w:rPr>
                    <w:t>-10</w:t>
                  </w:r>
                  <w:r>
                    <w:rPr>
                      <w:bCs/>
                      <w:color w:val="auto"/>
                      <w:szCs w:val="21"/>
                      <w:highlight w:val="none"/>
                    </w:rPr>
                    <w:t>cm/s），或其他防渗性能等效的材料。</w:t>
                  </w:r>
                </w:p>
              </w:tc>
              <w:tc>
                <w:tcPr>
                  <w:tcW w:w="2504" w:type="dxa"/>
                  <w:noWrap w:val="0"/>
                  <w:vAlign w:val="center"/>
                </w:tcPr>
                <w:p w14:paraId="1C2F3431">
                  <w:pPr>
                    <w:adjustRightInd w:val="0"/>
                    <w:snapToGrid w:val="0"/>
                    <w:jc w:val="both"/>
                    <w:rPr>
                      <w:bCs/>
                      <w:color w:val="auto"/>
                      <w:szCs w:val="21"/>
                      <w:highlight w:val="none"/>
                    </w:rPr>
                  </w:pPr>
                  <w:r>
                    <w:rPr>
                      <w:bCs/>
                      <w:color w:val="auto"/>
                      <w:szCs w:val="21"/>
                      <w:highlight w:val="none"/>
                    </w:rPr>
                    <w:t>贮存库按照《危险废物贮存污染控制标准》（GB18597-2023）设计为封闭式、防雨、防风、防晒，危险废物贮存库地面、集液池、导流槽均按照《危险  废物贮存污染控制标准》（GB18597-2023）要求进行防渗，防渗层为至少1</w:t>
                  </w:r>
                  <w:r>
                    <w:rPr>
                      <w:rFonts w:hint="eastAsia"/>
                      <w:bCs/>
                      <w:color w:val="auto"/>
                      <w:szCs w:val="21"/>
                      <w:highlight w:val="none"/>
                      <w:lang w:val="en-US" w:eastAsia="zh-CN"/>
                    </w:rPr>
                    <w:t>m</w:t>
                  </w:r>
                  <w:r>
                    <w:rPr>
                      <w:bCs/>
                      <w:color w:val="auto"/>
                      <w:szCs w:val="21"/>
                      <w:highlight w:val="none"/>
                    </w:rPr>
                    <w:t>厚黏土层（渗透系数≤1.0×10</w:t>
                  </w:r>
                  <w:r>
                    <w:rPr>
                      <w:bCs/>
                      <w:color w:val="auto"/>
                      <w:szCs w:val="21"/>
                      <w:highlight w:val="none"/>
                      <w:vertAlign w:val="superscript"/>
                    </w:rPr>
                    <w:t>-7</w:t>
                  </w:r>
                  <w:r>
                    <w:rPr>
                      <w:bCs/>
                      <w:color w:val="auto"/>
                      <w:szCs w:val="21"/>
                      <w:highlight w:val="none"/>
                    </w:rPr>
                    <w:t>cm/s），或至少2mm厚高密度聚乙烯膜等人工防渗材料（渗透系数 ≤1.0×10</w:t>
                  </w:r>
                  <w:r>
                    <w:rPr>
                      <w:bCs/>
                      <w:color w:val="auto"/>
                      <w:szCs w:val="21"/>
                      <w:highlight w:val="none"/>
                      <w:vertAlign w:val="superscript"/>
                    </w:rPr>
                    <w:t>-10</w:t>
                  </w:r>
                  <w:r>
                    <w:rPr>
                      <w:bCs/>
                      <w:color w:val="auto"/>
                      <w:szCs w:val="21"/>
                      <w:highlight w:val="none"/>
                    </w:rPr>
                    <w:t>cm/s）。</w:t>
                  </w:r>
                </w:p>
              </w:tc>
              <w:tc>
                <w:tcPr>
                  <w:tcW w:w="760" w:type="dxa"/>
                  <w:noWrap w:val="0"/>
                  <w:vAlign w:val="center"/>
                </w:tcPr>
                <w:p w14:paraId="59BDDADF">
                  <w:pPr>
                    <w:jc w:val="center"/>
                    <w:rPr>
                      <w:color w:val="auto"/>
                      <w:highlight w:val="none"/>
                    </w:rPr>
                  </w:pPr>
                  <w:r>
                    <w:rPr>
                      <w:bCs/>
                      <w:color w:val="auto"/>
                      <w:szCs w:val="21"/>
                      <w:highlight w:val="none"/>
                    </w:rPr>
                    <w:t>符合</w:t>
                  </w:r>
                </w:p>
              </w:tc>
            </w:tr>
            <w:tr w14:paraId="7844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210F880C">
                  <w:pPr>
                    <w:adjustRightInd w:val="0"/>
                    <w:snapToGrid w:val="0"/>
                    <w:jc w:val="center"/>
                    <w:rPr>
                      <w:bCs/>
                      <w:color w:val="auto"/>
                      <w:szCs w:val="21"/>
                      <w:highlight w:val="none"/>
                    </w:rPr>
                  </w:pPr>
                </w:p>
              </w:tc>
              <w:tc>
                <w:tcPr>
                  <w:tcW w:w="3482" w:type="dxa"/>
                  <w:gridSpan w:val="2"/>
                  <w:noWrap w:val="0"/>
                  <w:vAlign w:val="center"/>
                </w:tcPr>
                <w:p w14:paraId="04025684">
                  <w:pPr>
                    <w:adjustRightInd w:val="0"/>
                    <w:snapToGrid w:val="0"/>
                    <w:rPr>
                      <w:bCs/>
                      <w:color w:val="auto"/>
                      <w:szCs w:val="21"/>
                      <w:highlight w:val="none"/>
                    </w:rPr>
                  </w:pPr>
                  <w:r>
                    <w:rPr>
                      <w:bCs/>
                      <w:color w:val="auto"/>
                      <w:szCs w:val="21"/>
                      <w:highlight w:val="none"/>
                    </w:rPr>
                    <w:t>同一贮存设施宜采用相同的防渗、防腐工艺（包括防渗、防腐结构或材料），防渗、防腐材料应覆盖所有可能与废物及其渗滤液、渗漏液等接触的构筑物表面；采用不同防渗、防腐工艺应分别建设贮存分区。</w:t>
                  </w:r>
                </w:p>
              </w:tc>
              <w:tc>
                <w:tcPr>
                  <w:tcW w:w="2504" w:type="dxa"/>
                  <w:noWrap w:val="0"/>
                  <w:vAlign w:val="center"/>
                </w:tcPr>
                <w:p w14:paraId="1CF74151">
                  <w:pPr>
                    <w:adjustRightInd w:val="0"/>
                    <w:snapToGrid w:val="0"/>
                    <w:rPr>
                      <w:bCs/>
                      <w:color w:val="auto"/>
                      <w:szCs w:val="21"/>
                      <w:highlight w:val="none"/>
                    </w:rPr>
                  </w:pPr>
                  <w:r>
                    <w:rPr>
                      <w:bCs/>
                      <w:color w:val="auto"/>
                      <w:szCs w:val="21"/>
                      <w:highlight w:val="none"/>
                    </w:rPr>
                    <w:t>本项目采用相同的防渗、防腐工艺（包括防渗、防腐结构或材料），防渗、防腐材料覆盖所有可能与废物及其渗滤液、渗漏液等接触的构筑物表面。</w:t>
                  </w:r>
                </w:p>
              </w:tc>
              <w:tc>
                <w:tcPr>
                  <w:tcW w:w="760" w:type="dxa"/>
                  <w:noWrap w:val="0"/>
                  <w:vAlign w:val="center"/>
                </w:tcPr>
                <w:p w14:paraId="23A531F9">
                  <w:pPr>
                    <w:jc w:val="center"/>
                    <w:rPr>
                      <w:color w:val="auto"/>
                      <w:highlight w:val="none"/>
                    </w:rPr>
                  </w:pPr>
                  <w:r>
                    <w:rPr>
                      <w:bCs/>
                      <w:color w:val="auto"/>
                      <w:szCs w:val="21"/>
                      <w:highlight w:val="none"/>
                    </w:rPr>
                    <w:t>符合</w:t>
                  </w:r>
                </w:p>
              </w:tc>
            </w:tr>
            <w:tr w14:paraId="1922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64867C03">
                  <w:pPr>
                    <w:adjustRightInd w:val="0"/>
                    <w:snapToGrid w:val="0"/>
                    <w:jc w:val="center"/>
                    <w:rPr>
                      <w:bCs/>
                      <w:color w:val="auto"/>
                      <w:szCs w:val="21"/>
                      <w:highlight w:val="none"/>
                    </w:rPr>
                  </w:pPr>
                </w:p>
              </w:tc>
              <w:tc>
                <w:tcPr>
                  <w:tcW w:w="3482" w:type="dxa"/>
                  <w:gridSpan w:val="2"/>
                  <w:noWrap w:val="0"/>
                  <w:vAlign w:val="center"/>
                </w:tcPr>
                <w:p w14:paraId="15A3E85F">
                  <w:pPr>
                    <w:adjustRightInd w:val="0"/>
                    <w:snapToGrid w:val="0"/>
                    <w:rPr>
                      <w:bCs/>
                      <w:color w:val="auto"/>
                      <w:szCs w:val="21"/>
                      <w:highlight w:val="none"/>
                    </w:rPr>
                  </w:pPr>
                  <w:r>
                    <w:rPr>
                      <w:bCs/>
                      <w:color w:val="auto"/>
                      <w:szCs w:val="21"/>
                      <w:highlight w:val="none"/>
                    </w:rPr>
                    <w:t>贮存设施应采取技术和管理措施防止无关人员进入。</w:t>
                  </w:r>
                </w:p>
              </w:tc>
              <w:tc>
                <w:tcPr>
                  <w:tcW w:w="2504" w:type="dxa"/>
                  <w:noWrap w:val="0"/>
                  <w:vAlign w:val="center"/>
                </w:tcPr>
                <w:p w14:paraId="40AC7734">
                  <w:pPr>
                    <w:adjustRightInd w:val="0"/>
                    <w:snapToGrid w:val="0"/>
                    <w:rPr>
                      <w:bCs/>
                      <w:color w:val="auto"/>
                      <w:szCs w:val="21"/>
                      <w:highlight w:val="none"/>
                    </w:rPr>
                  </w:pPr>
                  <w:r>
                    <w:rPr>
                      <w:bCs/>
                      <w:color w:val="auto"/>
                      <w:szCs w:val="21"/>
                      <w:highlight w:val="none"/>
                    </w:rPr>
                    <w:t>本项目危废暂存库执行“双人双锁”管理制度，外人不得入内。</w:t>
                  </w:r>
                </w:p>
              </w:tc>
              <w:tc>
                <w:tcPr>
                  <w:tcW w:w="760" w:type="dxa"/>
                  <w:noWrap w:val="0"/>
                  <w:vAlign w:val="center"/>
                </w:tcPr>
                <w:p w14:paraId="1126E5C4">
                  <w:pPr>
                    <w:jc w:val="center"/>
                    <w:rPr>
                      <w:color w:val="auto"/>
                      <w:highlight w:val="none"/>
                    </w:rPr>
                  </w:pPr>
                  <w:r>
                    <w:rPr>
                      <w:bCs/>
                      <w:color w:val="auto"/>
                      <w:szCs w:val="21"/>
                      <w:highlight w:val="none"/>
                    </w:rPr>
                    <w:t>符合</w:t>
                  </w:r>
                </w:p>
              </w:tc>
            </w:tr>
            <w:tr w14:paraId="649E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0C70E95D">
                  <w:pPr>
                    <w:adjustRightInd w:val="0"/>
                    <w:snapToGrid w:val="0"/>
                    <w:jc w:val="center"/>
                    <w:rPr>
                      <w:bCs/>
                      <w:color w:val="auto"/>
                      <w:szCs w:val="21"/>
                      <w:highlight w:val="none"/>
                    </w:rPr>
                  </w:pPr>
                </w:p>
              </w:tc>
              <w:tc>
                <w:tcPr>
                  <w:tcW w:w="552" w:type="dxa"/>
                  <w:vMerge w:val="restart"/>
                  <w:noWrap w:val="0"/>
                  <w:vAlign w:val="center"/>
                </w:tcPr>
                <w:p w14:paraId="2F25C739">
                  <w:pPr>
                    <w:adjustRightInd w:val="0"/>
                    <w:snapToGrid w:val="0"/>
                    <w:rPr>
                      <w:bCs/>
                      <w:color w:val="auto"/>
                      <w:szCs w:val="21"/>
                      <w:highlight w:val="none"/>
                    </w:rPr>
                  </w:pPr>
                  <w:r>
                    <w:rPr>
                      <w:bCs/>
                      <w:color w:val="auto"/>
                      <w:szCs w:val="21"/>
                      <w:highlight w:val="none"/>
                    </w:rPr>
                    <w:t>贮存库</w:t>
                  </w:r>
                </w:p>
              </w:tc>
              <w:tc>
                <w:tcPr>
                  <w:tcW w:w="2930" w:type="dxa"/>
                  <w:noWrap w:val="0"/>
                  <w:vAlign w:val="center"/>
                </w:tcPr>
                <w:p w14:paraId="0F1EE705">
                  <w:pPr>
                    <w:adjustRightInd w:val="0"/>
                    <w:snapToGrid w:val="0"/>
                    <w:rPr>
                      <w:bCs/>
                      <w:color w:val="auto"/>
                      <w:szCs w:val="21"/>
                      <w:highlight w:val="none"/>
                    </w:rPr>
                  </w:pPr>
                  <w:r>
                    <w:rPr>
                      <w:bCs/>
                      <w:color w:val="auto"/>
                      <w:szCs w:val="21"/>
                      <w:highlight w:val="none"/>
                    </w:rPr>
                    <w:t>贮存库内不同贮存分区之间应采取隔离措施。隔离措施可根据危险废物特性采用过道、隔板或隔墙等方式。</w:t>
                  </w:r>
                </w:p>
              </w:tc>
              <w:tc>
                <w:tcPr>
                  <w:tcW w:w="2504" w:type="dxa"/>
                  <w:noWrap w:val="0"/>
                  <w:vAlign w:val="center"/>
                </w:tcPr>
                <w:p w14:paraId="05E86B01">
                  <w:pPr>
                    <w:jc w:val="left"/>
                    <w:rPr>
                      <w:color w:val="auto"/>
                      <w:highlight w:val="none"/>
                    </w:rPr>
                  </w:pPr>
                  <w:r>
                    <w:rPr>
                      <w:bCs/>
                      <w:color w:val="auto"/>
                      <w:highlight w:val="none"/>
                    </w:rPr>
                    <w:t>本项目危废暂存库采用隔板进行分区。</w:t>
                  </w:r>
                </w:p>
              </w:tc>
              <w:tc>
                <w:tcPr>
                  <w:tcW w:w="760" w:type="dxa"/>
                  <w:noWrap w:val="0"/>
                  <w:vAlign w:val="center"/>
                </w:tcPr>
                <w:p w14:paraId="2F77277E">
                  <w:pPr>
                    <w:jc w:val="center"/>
                    <w:rPr>
                      <w:color w:val="auto"/>
                      <w:highlight w:val="none"/>
                    </w:rPr>
                  </w:pPr>
                  <w:r>
                    <w:rPr>
                      <w:bCs/>
                      <w:color w:val="auto"/>
                      <w:szCs w:val="21"/>
                      <w:highlight w:val="none"/>
                    </w:rPr>
                    <w:t>符合</w:t>
                  </w:r>
                </w:p>
              </w:tc>
            </w:tr>
            <w:tr w14:paraId="6F32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4ABFE1D7">
                  <w:pPr>
                    <w:adjustRightInd w:val="0"/>
                    <w:snapToGrid w:val="0"/>
                    <w:jc w:val="center"/>
                    <w:rPr>
                      <w:bCs/>
                      <w:color w:val="auto"/>
                      <w:szCs w:val="21"/>
                      <w:highlight w:val="none"/>
                    </w:rPr>
                  </w:pPr>
                </w:p>
              </w:tc>
              <w:tc>
                <w:tcPr>
                  <w:tcW w:w="552" w:type="dxa"/>
                  <w:vMerge w:val="continue"/>
                  <w:noWrap w:val="0"/>
                  <w:vAlign w:val="center"/>
                </w:tcPr>
                <w:p w14:paraId="4639F82C">
                  <w:pPr>
                    <w:adjustRightInd w:val="0"/>
                    <w:snapToGrid w:val="0"/>
                    <w:rPr>
                      <w:bCs/>
                      <w:color w:val="auto"/>
                      <w:szCs w:val="21"/>
                      <w:highlight w:val="none"/>
                    </w:rPr>
                  </w:pPr>
                </w:p>
              </w:tc>
              <w:tc>
                <w:tcPr>
                  <w:tcW w:w="2930" w:type="dxa"/>
                  <w:noWrap w:val="0"/>
                  <w:vAlign w:val="center"/>
                </w:tcPr>
                <w:p w14:paraId="44E14CF9">
                  <w:pPr>
                    <w:adjustRightInd w:val="0"/>
                    <w:snapToGrid w:val="0"/>
                    <w:rPr>
                      <w:bCs/>
                      <w:color w:val="auto"/>
                      <w:szCs w:val="21"/>
                      <w:highlight w:val="none"/>
                    </w:rPr>
                  </w:pPr>
                  <w:r>
                    <w:rPr>
                      <w:bCs/>
                      <w:color w:val="auto"/>
                      <w:szCs w:val="21"/>
                      <w:highlight w:val="none"/>
                    </w:rPr>
                    <w:t>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tc>
              <w:tc>
                <w:tcPr>
                  <w:tcW w:w="2504" w:type="dxa"/>
                  <w:noWrap w:val="0"/>
                  <w:vAlign w:val="center"/>
                </w:tcPr>
                <w:p w14:paraId="7EB6F114">
                  <w:pPr>
                    <w:jc w:val="both"/>
                    <w:rPr>
                      <w:color w:val="auto"/>
                      <w:highlight w:val="none"/>
                    </w:rPr>
                  </w:pPr>
                  <w:r>
                    <w:rPr>
                      <w:bCs/>
                      <w:color w:val="auto"/>
                      <w:highlight w:val="none"/>
                    </w:rPr>
                    <w:t>本项目分区贮存液态危险废物，设计堵截</w:t>
                  </w:r>
                  <w:r>
                    <w:rPr>
                      <w:rFonts w:hint="eastAsia"/>
                      <w:bCs/>
                      <w:color w:val="auto"/>
                      <w:highlight w:val="none"/>
                      <w:lang w:eastAsia="zh-CN"/>
                    </w:rPr>
                    <w:t>泄漏</w:t>
                  </w:r>
                  <w:r>
                    <w:rPr>
                      <w:bCs/>
                      <w:color w:val="auto"/>
                      <w:highlight w:val="none"/>
                    </w:rPr>
                    <w:t>的裙角，地面与裙角所围建的容积不低于1/10。贮存区设置导流槽、集液池，满足渗滤液的收集要求。</w:t>
                  </w:r>
                </w:p>
              </w:tc>
              <w:tc>
                <w:tcPr>
                  <w:tcW w:w="760" w:type="dxa"/>
                  <w:noWrap w:val="0"/>
                  <w:vAlign w:val="center"/>
                </w:tcPr>
                <w:p w14:paraId="11B3FD2A">
                  <w:pPr>
                    <w:jc w:val="center"/>
                    <w:rPr>
                      <w:color w:val="auto"/>
                      <w:highlight w:val="none"/>
                    </w:rPr>
                  </w:pPr>
                  <w:r>
                    <w:rPr>
                      <w:bCs/>
                      <w:color w:val="auto"/>
                      <w:szCs w:val="21"/>
                      <w:highlight w:val="none"/>
                    </w:rPr>
                    <w:t>符合</w:t>
                  </w:r>
                </w:p>
              </w:tc>
            </w:tr>
            <w:tr w14:paraId="0A0E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043CC5F5">
                  <w:pPr>
                    <w:adjustRightInd w:val="0"/>
                    <w:snapToGrid w:val="0"/>
                    <w:jc w:val="center"/>
                    <w:rPr>
                      <w:bCs/>
                      <w:color w:val="auto"/>
                      <w:szCs w:val="21"/>
                      <w:highlight w:val="none"/>
                    </w:rPr>
                  </w:pPr>
                </w:p>
              </w:tc>
              <w:tc>
                <w:tcPr>
                  <w:tcW w:w="552" w:type="dxa"/>
                  <w:vMerge w:val="continue"/>
                  <w:noWrap w:val="0"/>
                  <w:vAlign w:val="center"/>
                </w:tcPr>
                <w:p w14:paraId="682F4650">
                  <w:pPr>
                    <w:adjustRightInd w:val="0"/>
                    <w:snapToGrid w:val="0"/>
                    <w:rPr>
                      <w:bCs/>
                      <w:color w:val="auto"/>
                      <w:szCs w:val="21"/>
                      <w:highlight w:val="none"/>
                    </w:rPr>
                  </w:pPr>
                </w:p>
              </w:tc>
              <w:tc>
                <w:tcPr>
                  <w:tcW w:w="2930" w:type="dxa"/>
                  <w:noWrap w:val="0"/>
                  <w:vAlign w:val="center"/>
                </w:tcPr>
                <w:p w14:paraId="6A4850FB">
                  <w:pPr>
                    <w:adjustRightInd w:val="0"/>
                    <w:snapToGrid w:val="0"/>
                    <w:rPr>
                      <w:bCs/>
                      <w:color w:val="auto"/>
                      <w:szCs w:val="21"/>
                      <w:highlight w:val="none"/>
                    </w:rPr>
                  </w:pPr>
                  <w:r>
                    <w:rPr>
                      <w:bCs/>
                      <w:color w:val="auto"/>
                      <w:szCs w:val="21"/>
                      <w:highlight w:val="none"/>
                    </w:rPr>
                    <w:t>贮存易产生粉尘、VOCs、酸雾、有毒有害大气污染物和刺激性气味气体的危险废物贮存库，应设置气体收集装置和气体净化设施；气体净化设施的排气筒高度应符合GB16297要求。</w:t>
                  </w:r>
                </w:p>
              </w:tc>
              <w:tc>
                <w:tcPr>
                  <w:tcW w:w="2504" w:type="dxa"/>
                  <w:noWrap w:val="0"/>
                  <w:vAlign w:val="top"/>
                </w:tcPr>
                <w:p w14:paraId="5315E0C8">
                  <w:pPr>
                    <w:rPr>
                      <w:color w:val="auto"/>
                      <w:highlight w:val="none"/>
                    </w:rPr>
                  </w:pPr>
                  <w:r>
                    <w:rPr>
                      <w:color w:val="auto"/>
                      <w:highlight w:val="none"/>
                    </w:rPr>
                    <w:t>本项目易挥发危险废物暂存在危废暂存库内，采用密封</w:t>
                  </w:r>
                  <w:r>
                    <w:rPr>
                      <w:rFonts w:hint="eastAsia"/>
                      <w:color w:val="auto"/>
                      <w:highlight w:val="none"/>
                      <w:lang w:val="en-US" w:eastAsia="zh-CN"/>
                    </w:rPr>
                    <w:t>油</w:t>
                  </w:r>
                  <w:r>
                    <w:rPr>
                      <w:color w:val="auto"/>
                      <w:highlight w:val="none"/>
                    </w:rPr>
                    <w:t>桶装，带桶一并转运</w:t>
                  </w:r>
                  <w:r>
                    <w:rPr>
                      <w:rFonts w:hint="eastAsia"/>
                      <w:color w:val="auto"/>
                      <w:highlight w:val="none"/>
                    </w:rPr>
                    <w:t>，</w:t>
                  </w:r>
                  <w:r>
                    <w:rPr>
                      <w:rFonts w:hint="eastAsia"/>
                      <w:bCs/>
                      <w:color w:val="auto"/>
                      <w:highlight w:val="none"/>
                    </w:rPr>
                    <w:t>少量有机废气</w:t>
                  </w:r>
                  <w:r>
                    <w:rPr>
                      <w:rFonts w:hint="eastAsia"/>
                      <w:bCs/>
                      <w:color w:val="auto"/>
                      <w:highlight w:val="none"/>
                      <w:lang w:eastAsia="zh-CN"/>
                    </w:rPr>
                    <w:t>经</w:t>
                  </w:r>
                  <w:r>
                    <w:rPr>
                      <w:rFonts w:hint="eastAsia"/>
                      <w:bCs/>
                      <w:color w:val="auto"/>
                      <w:highlight w:val="none"/>
                      <w:lang w:val="en-US" w:eastAsia="zh-CN"/>
                    </w:rPr>
                    <w:t>配套的排风系统无组织排放</w:t>
                  </w:r>
                  <w:r>
                    <w:rPr>
                      <w:color w:val="auto"/>
                      <w:highlight w:val="none"/>
                    </w:rPr>
                    <w:t>。</w:t>
                  </w:r>
                </w:p>
              </w:tc>
              <w:tc>
                <w:tcPr>
                  <w:tcW w:w="760" w:type="dxa"/>
                  <w:noWrap w:val="0"/>
                  <w:vAlign w:val="center"/>
                </w:tcPr>
                <w:p w14:paraId="05B205FB">
                  <w:pPr>
                    <w:jc w:val="center"/>
                    <w:rPr>
                      <w:color w:val="auto"/>
                      <w:highlight w:val="none"/>
                    </w:rPr>
                  </w:pPr>
                  <w:r>
                    <w:rPr>
                      <w:bCs/>
                      <w:color w:val="auto"/>
                      <w:szCs w:val="21"/>
                      <w:highlight w:val="none"/>
                    </w:rPr>
                    <w:t>符合</w:t>
                  </w:r>
                </w:p>
              </w:tc>
            </w:tr>
            <w:tr w14:paraId="11CD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restart"/>
                  <w:noWrap w:val="0"/>
                  <w:vAlign w:val="center"/>
                </w:tcPr>
                <w:p w14:paraId="63492CB0">
                  <w:pPr>
                    <w:adjustRightInd w:val="0"/>
                    <w:snapToGrid w:val="0"/>
                    <w:jc w:val="center"/>
                    <w:rPr>
                      <w:bCs/>
                      <w:color w:val="auto"/>
                      <w:szCs w:val="21"/>
                      <w:highlight w:val="none"/>
                    </w:rPr>
                  </w:pPr>
                  <w:r>
                    <w:rPr>
                      <w:bCs/>
                      <w:color w:val="auto"/>
                      <w:szCs w:val="21"/>
                      <w:highlight w:val="none"/>
                    </w:rPr>
                    <w:t>容器和包装物污染控制要求</w:t>
                  </w:r>
                </w:p>
              </w:tc>
              <w:tc>
                <w:tcPr>
                  <w:tcW w:w="3482" w:type="dxa"/>
                  <w:gridSpan w:val="2"/>
                  <w:noWrap w:val="0"/>
                  <w:vAlign w:val="center"/>
                </w:tcPr>
                <w:p w14:paraId="1B2A15E7">
                  <w:pPr>
                    <w:adjustRightInd w:val="0"/>
                    <w:snapToGrid w:val="0"/>
                    <w:rPr>
                      <w:bCs/>
                      <w:color w:val="auto"/>
                      <w:szCs w:val="21"/>
                      <w:highlight w:val="none"/>
                    </w:rPr>
                  </w:pPr>
                  <w:r>
                    <w:rPr>
                      <w:bCs/>
                      <w:color w:val="auto"/>
                      <w:szCs w:val="21"/>
                      <w:highlight w:val="none"/>
                    </w:rPr>
                    <w:t>容器和包装物材质、内衬应与盛装的危险废物相容。</w:t>
                  </w:r>
                </w:p>
              </w:tc>
              <w:tc>
                <w:tcPr>
                  <w:tcW w:w="2504" w:type="dxa"/>
                  <w:noWrap w:val="0"/>
                  <w:vAlign w:val="center"/>
                </w:tcPr>
                <w:p w14:paraId="317C4406">
                  <w:pPr>
                    <w:adjustRightInd w:val="0"/>
                    <w:snapToGrid w:val="0"/>
                    <w:rPr>
                      <w:bCs/>
                      <w:color w:val="auto"/>
                      <w:szCs w:val="21"/>
                      <w:highlight w:val="none"/>
                    </w:rPr>
                  </w:pPr>
                  <w:r>
                    <w:rPr>
                      <w:bCs/>
                      <w:color w:val="auto"/>
                      <w:szCs w:val="21"/>
                      <w:highlight w:val="none"/>
                    </w:rPr>
                    <w:t>本项目容器和包装物材质、内衬与盛装的危险废物相容，不会产生反应。</w:t>
                  </w:r>
                </w:p>
              </w:tc>
              <w:tc>
                <w:tcPr>
                  <w:tcW w:w="760" w:type="dxa"/>
                  <w:noWrap w:val="0"/>
                  <w:vAlign w:val="center"/>
                </w:tcPr>
                <w:p w14:paraId="6D6EF04F">
                  <w:pPr>
                    <w:jc w:val="center"/>
                    <w:rPr>
                      <w:color w:val="auto"/>
                      <w:highlight w:val="none"/>
                    </w:rPr>
                  </w:pPr>
                  <w:r>
                    <w:rPr>
                      <w:bCs/>
                      <w:color w:val="auto"/>
                      <w:szCs w:val="21"/>
                      <w:highlight w:val="none"/>
                    </w:rPr>
                    <w:t>符合</w:t>
                  </w:r>
                </w:p>
              </w:tc>
            </w:tr>
            <w:tr w14:paraId="0DC2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5C489BBC">
                  <w:pPr>
                    <w:adjustRightInd w:val="0"/>
                    <w:snapToGrid w:val="0"/>
                    <w:jc w:val="center"/>
                    <w:rPr>
                      <w:bCs/>
                      <w:color w:val="auto"/>
                      <w:szCs w:val="21"/>
                      <w:highlight w:val="none"/>
                    </w:rPr>
                  </w:pPr>
                </w:p>
              </w:tc>
              <w:tc>
                <w:tcPr>
                  <w:tcW w:w="3482" w:type="dxa"/>
                  <w:gridSpan w:val="2"/>
                  <w:noWrap w:val="0"/>
                  <w:vAlign w:val="center"/>
                </w:tcPr>
                <w:p w14:paraId="17C899F4">
                  <w:pPr>
                    <w:adjustRightInd w:val="0"/>
                    <w:snapToGrid w:val="0"/>
                    <w:rPr>
                      <w:bCs/>
                      <w:color w:val="auto"/>
                      <w:szCs w:val="21"/>
                      <w:highlight w:val="none"/>
                    </w:rPr>
                  </w:pPr>
                  <w:r>
                    <w:rPr>
                      <w:bCs/>
                      <w:color w:val="auto"/>
                      <w:szCs w:val="21"/>
                      <w:highlight w:val="none"/>
                    </w:rPr>
                    <w:t>针对不同类别、形态、物理化学性质的危险废物，其容器和包装物应满足相应的防渗、防漏、防腐和强度等要求。</w:t>
                  </w:r>
                </w:p>
              </w:tc>
              <w:tc>
                <w:tcPr>
                  <w:tcW w:w="2504" w:type="dxa"/>
                  <w:noWrap w:val="0"/>
                  <w:vAlign w:val="center"/>
                </w:tcPr>
                <w:p w14:paraId="1F3DB90E">
                  <w:pPr>
                    <w:adjustRightInd w:val="0"/>
                    <w:snapToGrid w:val="0"/>
                    <w:rPr>
                      <w:bCs/>
                      <w:color w:val="auto"/>
                      <w:szCs w:val="21"/>
                      <w:highlight w:val="none"/>
                    </w:rPr>
                  </w:pPr>
                  <w:r>
                    <w:rPr>
                      <w:bCs/>
                      <w:color w:val="auto"/>
                      <w:szCs w:val="21"/>
                      <w:highlight w:val="none"/>
                    </w:rPr>
                    <w:t>针对不同危险废物，其容器和包装物均满足相应的防渗、防漏、防腐和强度等要求。</w:t>
                  </w:r>
                </w:p>
              </w:tc>
              <w:tc>
                <w:tcPr>
                  <w:tcW w:w="760" w:type="dxa"/>
                  <w:noWrap w:val="0"/>
                  <w:vAlign w:val="center"/>
                </w:tcPr>
                <w:p w14:paraId="11034C3C">
                  <w:pPr>
                    <w:jc w:val="center"/>
                    <w:rPr>
                      <w:color w:val="auto"/>
                      <w:highlight w:val="none"/>
                    </w:rPr>
                  </w:pPr>
                  <w:r>
                    <w:rPr>
                      <w:bCs/>
                      <w:color w:val="auto"/>
                      <w:szCs w:val="21"/>
                      <w:highlight w:val="none"/>
                    </w:rPr>
                    <w:t>符合</w:t>
                  </w:r>
                </w:p>
              </w:tc>
            </w:tr>
            <w:tr w14:paraId="0DA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67C003E1">
                  <w:pPr>
                    <w:adjustRightInd w:val="0"/>
                    <w:snapToGrid w:val="0"/>
                    <w:jc w:val="center"/>
                    <w:rPr>
                      <w:bCs/>
                      <w:color w:val="auto"/>
                      <w:szCs w:val="21"/>
                      <w:highlight w:val="none"/>
                    </w:rPr>
                  </w:pPr>
                </w:p>
              </w:tc>
              <w:tc>
                <w:tcPr>
                  <w:tcW w:w="3482" w:type="dxa"/>
                  <w:gridSpan w:val="2"/>
                  <w:noWrap w:val="0"/>
                  <w:vAlign w:val="center"/>
                </w:tcPr>
                <w:p w14:paraId="28B07210">
                  <w:pPr>
                    <w:adjustRightInd w:val="0"/>
                    <w:snapToGrid w:val="0"/>
                    <w:rPr>
                      <w:bCs/>
                      <w:color w:val="auto"/>
                      <w:szCs w:val="21"/>
                      <w:highlight w:val="none"/>
                    </w:rPr>
                  </w:pPr>
                  <w:r>
                    <w:rPr>
                      <w:bCs/>
                      <w:color w:val="auto"/>
                      <w:szCs w:val="21"/>
                      <w:highlight w:val="none"/>
                    </w:rPr>
                    <w:t>硬质容器和包装物及其支护结构堆叠码放时不应有明显变形，无破损泄漏。</w:t>
                  </w:r>
                </w:p>
              </w:tc>
              <w:tc>
                <w:tcPr>
                  <w:tcW w:w="2504" w:type="dxa"/>
                  <w:noWrap w:val="0"/>
                  <w:vAlign w:val="center"/>
                </w:tcPr>
                <w:p w14:paraId="61887CBC">
                  <w:pPr>
                    <w:adjustRightInd w:val="0"/>
                    <w:snapToGrid w:val="0"/>
                    <w:rPr>
                      <w:bCs/>
                      <w:color w:val="auto"/>
                      <w:szCs w:val="21"/>
                      <w:highlight w:val="none"/>
                    </w:rPr>
                  </w:pPr>
                  <w:r>
                    <w:rPr>
                      <w:bCs/>
                      <w:color w:val="auto"/>
                      <w:szCs w:val="21"/>
                      <w:highlight w:val="none"/>
                    </w:rPr>
                    <w:t>保证硬质容器和包装物及其支护结构的质量，堆叠码放时不会产生明显变形，无破损泄漏。</w:t>
                  </w:r>
                </w:p>
              </w:tc>
              <w:tc>
                <w:tcPr>
                  <w:tcW w:w="760" w:type="dxa"/>
                  <w:noWrap w:val="0"/>
                  <w:vAlign w:val="center"/>
                </w:tcPr>
                <w:p w14:paraId="64459287">
                  <w:pPr>
                    <w:jc w:val="center"/>
                    <w:rPr>
                      <w:color w:val="auto"/>
                      <w:highlight w:val="none"/>
                    </w:rPr>
                  </w:pPr>
                  <w:r>
                    <w:rPr>
                      <w:bCs/>
                      <w:color w:val="auto"/>
                      <w:szCs w:val="21"/>
                      <w:highlight w:val="none"/>
                    </w:rPr>
                    <w:t>符合</w:t>
                  </w:r>
                </w:p>
              </w:tc>
            </w:tr>
            <w:tr w14:paraId="30FC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7198D6E8">
                  <w:pPr>
                    <w:adjustRightInd w:val="0"/>
                    <w:snapToGrid w:val="0"/>
                    <w:jc w:val="center"/>
                    <w:rPr>
                      <w:bCs/>
                      <w:color w:val="auto"/>
                      <w:szCs w:val="21"/>
                      <w:highlight w:val="none"/>
                    </w:rPr>
                  </w:pPr>
                </w:p>
              </w:tc>
              <w:tc>
                <w:tcPr>
                  <w:tcW w:w="3482" w:type="dxa"/>
                  <w:gridSpan w:val="2"/>
                  <w:noWrap w:val="0"/>
                  <w:vAlign w:val="center"/>
                </w:tcPr>
                <w:p w14:paraId="2F1B2024">
                  <w:pPr>
                    <w:adjustRightInd w:val="0"/>
                    <w:snapToGrid w:val="0"/>
                    <w:rPr>
                      <w:bCs/>
                      <w:color w:val="auto"/>
                      <w:szCs w:val="21"/>
                      <w:highlight w:val="none"/>
                    </w:rPr>
                  </w:pPr>
                  <w:r>
                    <w:rPr>
                      <w:bCs/>
                      <w:color w:val="auto"/>
                      <w:szCs w:val="21"/>
                      <w:highlight w:val="none"/>
                    </w:rPr>
                    <w:t>柔性容器和包装物堆叠码放时应封口严密，无破损泄漏。</w:t>
                  </w:r>
                </w:p>
              </w:tc>
              <w:tc>
                <w:tcPr>
                  <w:tcW w:w="2504" w:type="dxa"/>
                  <w:noWrap w:val="0"/>
                  <w:vAlign w:val="center"/>
                </w:tcPr>
                <w:p w14:paraId="76DC0713">
                  <w:pPr>
                    <w:adjustRightInd w:val="0"/>
                    <w:snapToGrid w:val="0"/>
                    <w:rPr>
                      <w:bCs/>
                      <w:color w:val="auto"/>
                      <w:szCs w:val="21"/>
                      <w:highlight w:val="none"/>
                    </w:rPr>
                  </w:pPr>
                  <w:r>
                    <w:rPr>
                      <w:bCs/>
                      <w:color w:val="auto"/>
                      <w:szCs w:val="21"/>
                      <w:highlight w:val="none"/>
                    </w:rPr>
                    <w:t>柔性容器和包装物堆叠码放采取封口严密措施，确保无破损泄漏。</w:t>
                  </w:r>
                </w:p>
              </w:tc>
              <w:tc>
                <w:tcPr>
                  <w:tcW w:w="760" w:type="dxa"/>
                  <w:noWrap w:val="0"/>
                  <w:vAlign w:val="center"/>
                </w:tcPr>
                <w:p w14:paraId="5AE6F94E">
                  <w:pPr>
                    <w:jc w:val="center"/>
                    <w:rPr>
                      <w:color w:val="auto"/>
                      <w:highlight w:val="none"/>
                    </w:rPr>
                  </w:pPr>
                  <w:r>
                    <w:rPr>
                      <w:bCs/>
                      <w:color w:val="auto"/>
                      <w:szCs w:val="21"/>
                      <w:highlight w:val="none"/>
                    </w:rPr>
                    <w:t>符合</w:t>
                  </w:r>
                </w:p>
              </w:tc>
            </w:tr>
            <w:tr w14:paraId="542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27556E8C">
                  <w:pPr>
                    <w:adjustRightInd w:val="0"/>
                    <w:snapToGrid w:val="0"/>
                    <w:jc w:val="center"/>
                    <w:rPr>
                      <w:bCs/>
                      <w:color w:val="auto"/>
                      <w:szCs w:val="21"/>
                      <w:highlight w:val="none"/>
                    </w:rPr>
                  </w:pPr>
                </w:p>
              </w:tc>
              <w:tc>
                <w:tcPr>
                  <w:tcW w:w="3482" w:type="dxa"/>
                  <w:gridSpan w:val="2"/>
                  <w:noWrap w:val="0"/>
                  <w:vAlign w:val="center"/>
                </w:tcPr>
                <w:p w14:paraId="594FBA9B">
                  <w:pPr>
                    <w:adjustRightInd w:val="0"/>
                    <w:snapToGrid w:val="0"/>
                    <w:rPr>
                      <w:bCs/>
                      <w:color w:val="auto"/>
                      <w:szCs w:val="21"/>
                      <w:highlight w:val="none"/>
                    </w:rPr>
                  </w:pPr>
                  <w:r>
                    <w:rPr>
                      <w:bCs/>
                      <w:color w:val="auto"/>
                      <w:szCs w:val="21"/>
                      <w:highlight w:val="none"/>
                    </w:rPr>
                    <w:t>使用容器盛装液态、半固态危险废物时，容器内部应留有适当的空间，以适应因温度变化等可能引发的收缩和膨胀，防止其导致容器渗漏或永久变形。</w:t>
                  </w:r>
                </w:p>
              </w:tc>
              <w:tc>
                <w:tcPr>
                  <w:tcW w:w="2504" w:type="dxa"/>
                  <w:noWrap w:val="0"/>
                  <w:vAlign w:val="center"/>
                </w:tcPr>
                <w:p w14:paraId="45EA8EED">
                  <w:pPr>
                    <w:adjustRightInd w:val="0"/>
                    <w:snapToGrid w:val="0"/>
                    <w:rPr>
                      <w:bCs/>
                      <w:color w:val="auto"/>
                      <w:szCs w:val="21"/>
                      <w:highlight w:val="none"/>
                    </w:rPr>
                  </w:pPr>
                  <w:r>
                    <w:rPr>
                      <w:bCs/>
                      <w:color w:val="auto"/>
                      <w:szCs w:val="21"/>
                      <w:highlight w:val="none"/>
                    </w:rPr>
                    <w:t>使用容器盛装液态、半固态危险废物时，容器内部留有适当的空间。</w:t>
                  </w:r>
                </w:p>
              </w:tc>
              <w:tc>
                <w:tcPr>
                  <w:tcW w:w="760" w:type="dxa"/>
                  <w:noWrap w:val="0"/>
                  <w:vAlign w:val="center"/>
                </w:tcPr>
                <w:p w14:paraId="41AC833C">
                  <w:pPr>
                    <w:jc w:val="center"/>
                    <w:rPr>
                      <w:color w:val="auto"/>
                      <w:highlight w:val="none"/>
                    </w:rPr>
                  </w:pPr>
                  <w:r>
                    <w:rPr>
                      <w:bCs/>
                      <w:color w:val="auto"/>
                      <w:szCs w:val="21"/>
                      <w:highlight w:val="none"/>
                    </w:rPr>
                    <w:t>符合</w:t>
                  </w:r>
                </w:p>
              </w:tc>
            </w:tr>
            <w:tr w14:paraId="0539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2B65D1BB">
                  <w:pPr>
                    <w:adjustRightInd w:val="0"/>
                    <w:snapToGrid w:val="0"/>
                    <w:jc w:val="center"/>
                    <w:rPr>
                      <w:bCs/>
                      <w:color w:val="auto"/>
                      <w:szCs w:val="21"/>
                      <w:highlight w:val="none"/>
                    </w:rPr>
                  </w:pPr>
                </w:p>
              </w:tc>
              <w:tc>
                <w:tcPr>
                  <w:tcW w:w="3482" w:type="dxa"/>
                  <w:gridSpan w:val="2"/>
                  <w:noWrap w:val="0"/>
                  <w:vAlign w:val="center"/>
                </w:tcPr>
                <w:p w14:paraId="13560722">
                  <w:pPr>
                    <w:adjustRightInd w:val="0"/>
                    <w:snapToGrid w:val="0"/>
                    <w:rPr>
                      <w:bCs/>
                      <w:color w:val="auto"/>
                      <w:szCs w:val="21"/>
                      <w:highlight w:val="none"/>
                    </w:rPr>
                  </w:pPr>
                  <w:r>
                    <w:rPr>
                      <w:bCs/>
                      <w:color w:val="auto"/>
                      <w:szCs w:val="21"/>
                      <w:highlight w:val="none"/>
                    </w:rPr>
                    <w:t>容器和包装物外表面应保持清洁。</w:t>
                  </w:r>
                </w:p>
              </w:tc>
              <w:tc>
                <w:tcPr>
                  <w:tcW w:w="2504" w:type="dxa"/>
                  <w:noWrap w:val="0"/>
                  <w:vAlign w:val="center"/>
                </w:tcPr>
                <w:p w14:paraId="61F11FDB">
                  <w:pPr>
                    <w:adjustRightInd w:val="0"/>
                    <w:snapToGrid w:val="0"/>
                    <w:rPr>
                      <w:bCs/>
                      <w:color w:val="auto"/>
                      <w:szCs w:val="21"/>
                      <w:highlight w:val="none"/>
                    </w:rPr>
                  </w:pPr>
                  <w:r>
                    <w:rPr>
                      <w:bCs/>
                      <w:color w:val="auto"/>
                      <w:szCs w:val="21"/>
                      <w:highlight w:val="none"/>
                    </w:rPr>
                    <w:t>容器和包装物外表面保持清洁。</w:t>
                  </w:r>
                </w:p>
              </w:tc>
              <w:tc>
                <w:tcPr>
                  <w:tcW w:w="760" w:type="dxa"/>
                  <w:noWrap w:val="0"/>
                  <w:vAlign w:val="center"/>
                </w:tcPr>
                <w:p w14:paraId="3918E2AF">
                  <w:pPr>
                    <w:jc w:val="center"/>
                    <w:rPr>
                      <w:color w:val="auto"/>
                      <w:highlight w:val="none"/>
                    </w:rPr>
                  </w:pPr>
                  <w:r>
                    <w:rPr>
                      <w:bCs/>
                      <w:color w:val="auto"/>
                      <w:szCs w:val="21"/>
                      <w:highlight w:val="none"/>
                    </w:rPr>
                    <w:t>符合</w:t>
                  </w:r>
                </w:p>
              </w:tc>
            </w:tr>
            <w:tr w14:paraId="408D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restart"/>
                  <w:noWrap w:val="0"/>
                  <w:vAlign w:val="center"/>
                </w:tcPr>
                <w:p w14:paraId="68AC4B33">
                  <w:pPr>
                    <w:adjustRightInd w:val="0"/>
                    <w:snapToGrid w:val="0"/>
                    <w:jc w:val="center"/>
                    <w:rPr>
                      <w:bCs/>
                      <w:color w:val="auto"/>
                      <w:szCs w:val="21"/>
                      <w:highlight w:val="none"/>
                    </w:rPr>
                  </w:pPr>
                  <w:r>
                    <w:rPr>
                      <w:bCs/>
                      <w:color w:val="auto"/>
                      <w:szCs w:val="21"/>
                      <w:highlight w:val="none"/>
                    </w:rPr>
                    <w:t>贮存过程污染控制要求</w:t>
                  </w:r>
                </w:p>
              </w:tc>
              <w:tc>
                <w:tcPr>
                  <w:tcW w:w="3482" w:type="dxa"/>
                  <w:gridSpan w:val="2"/>
                  <w:noWrap w:val="0"/>
                  <w:vAlign w:val="center"/>
                </w:tcPr>
                <w:p w14:paraId="6423DDAD">
                  <w:pPr>
                    <w:adjustRightInd w:val="0"/>
                    <w:snapToGrid w:val="0"/>
                    <w:rPr>
                      <w:bCs/>
                      <w:color w:val="auto"/>
                      <w:szCs w:val="21"/>
                      <w:highlight w:val="none"/>
                    </w:rPr>
                  </w:pPr>
                  <w:r>
                    <w:rPr>
                      <w:bCs/>
                      <w:color w:val="auto"/>
                      <w:szCs w:val="21"/>
                      <w:highlight w:val="none"/>
                    </w:rPr>
                    <w:t>在常温常压下不易水解、不易挥发的固态危险废物可分类堆放贮存，其他固态危险废物应装入容器或包装物内贮存。</w:t>
                  </w:r>
                </w:p>
              </w:tc>
              <w:tc>
                <w:tcPr>
                  <w:tcW w:w="2504" w:type="dxa"/>
                  <w:noWrap w:val="0"/>
                  <w:vAlign w:val="center"/>
                </w:tcPr>
                <w:p w14:paraId="5E27527C">
                  <w:pPr>
                    <w:adjustRightInd w:val="0"/>
                    <w:snapToGrid w:val="0"/>
                    <w:rPr>
                      <w:bCs/>
                      <w:color w:val="auto"/>
                      <w:szCs w:val="21"/>
                      <w:highlight w:val="none"/>
                    </w:rPr>
                  </w:pPr>
                  <w:r>
                    <w:rPr>
                      <w:bCs/>
                      <w:color w:val="auto"/>
                      <w:szCs w:val="21"/>
                      <w:highlight w:val="none"/>
                    </w:rPr>
                    <w:t>本项目收集暂存的各类</w:t>
                  </w:r>
                  <w:r>
                    <w:rPr>
                      <w:rFonts w:hint="eastAsia"/>
                      <w:bCs/>
                      <w:color w:val="auto"/>
                      <w:szCs w:val="21"/>
                      <w:highlight w:val="none"/>
                      <w:lang w:eastAsia="zh-CN"/>
                    </w:rPr>
                    <w:t>固体</w:t>
                  </w:r>
                  <w:r>
                    <w:rPr>
                      <w:bCs/>
                      <w:color w:val="auto"/>
                      <w:szCs w:val="21"/>
                      <w:highlight w:val="none"/>
                    </w:rPr>
                    <w:t>危险废物将按存放要求分类贮存。</w:t>
                  </w:r>
                </w:p>
              </w:tc>
              <w:tc>
                <w:tcPr>
                  <w:tcW w:w="760" w:type="dxa"/>
                  <w:noWrap w:val="0"/>
                  <w:vAlign w:val="center"/>
                </w:tcPr>
                <w:p w14:paraId="10CA57A4">
                  <w:pPr>
                    <w:jc w:val="center"/>
                    <w:rPr>
                      <w:color w:val="auto"/>
                      <w:highlight w:val="none"/>
                    </w:rPr>
                  </w:pPr>
                  <w:r>
                    <w:rPr>
                      <w:bCs/>
                      <w:color w:val="auto"/>
                      <w:szCs w:val="21"/>
                      <w:highlight w:val="none"/>
                    </w:rPr>
                    <w:t>符合</w:t>
                  </w:r>
                </w:p>
              </w:tc>
            </w:tr>
            <w:tr w14:paraId="2BAA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61177A28">
                  <w:pPr>
                    <w:adjustRightInd w:val="0"/>
                    <w:snapToGrid w:val="0"/>
                    <w:jc w:val="center"/>
                    <w:rPr>
                      <w:bCs/>
                      <w:color w:val="auto"/>
                      <w:szCs w:val="21"/>
                      <w:highlight w:val="none"/>
                    </w:rPr>
                  </w:pPr>
                </w:p>
              </w:tc>
              <w:tc>
                <w:tcPr>
                  <w:tcW w:w="3482" w:type="dxa"/>
                  <w:gridSpan w:val="2"/>
                  <w:noWrap w:val="0"/>
                  <w:vAlign w:val="center"/>
                </w:tcPr>
                <w:p w14:paraId="0340C367">
                  <w:pPr>
                    <w:adjustRightInd w:val="0"/>
                    <w:snapToGrid w:val="0"/>
                    <w:rPr>
                      <w:bCs/>
                      <w:color w:val="auto"/>
                      <w:szCs w:val="21"/>
                      <w:highlight w:val="none"/>
                    </w:rPr>
                  </w:pPr>
                  <w:r>
                    <w:rPr>
                      <w:bCs/>
                      <w:color w:val="auto"/>
                      <w:szCs w:val="21"/>
                      <w:highlight w:val="none"/>
                    </w:rPr>
                    <w:t>液态危险废物应装入容器内贮存，或直接采用贮存池、贮存罐区贮存</w:t>
                  </w:r>
                </w:p>
              </w:tc>
              <w:tc>
                <w:tcPr>
                  <w:tcW w:w="2504" w:type="dxa"/>
                  <w:noWrap w:val="0"/>
                  <w:vAlign w:val="center"/>
                </w:tcPr>
                <w:p w14:paraId="1DC4E1D6">
                  <w:pPr>
                    <w:adjustRightInd w:val="0"/>
                    <w:snapToGrid w:val="0"/>
                    <w:rPr>
                      <w:bCs/>
                      <w:color w:val="auto"/>
                      <w:szCs w:val="21"/>
                      <w:highlight w:val="none"/>
                    </w:rPr>
                  </w:pPr>
                  <w:r>
                    <w:rPr>
                      <w:bCs/>
                      <w:color w:val="auto"/>
                      <w:szCs w:val="21"/>
                      <w:highlight w:val="none"/>
                    </w:rPr>
                    <w:t>本项目收集暂存的液态危险废物将采用密封</w:t>
                  </w:r>
                  <w:r>
                    <w:rPr>
                      <w:rFonts w:hint="eastAsia"/>
                      <w:bCs/>
                      <w:color w:val="auto"/>
                      <w:szCs w:val="21"/>
                      <w:highlight w:val="none"/>
                      <w:lang w:val="en-US" w:eastAsia="zh-CN"/>
                    </w:rPr>
                    <w:t>油</w:t>
                  </w:r>
                  <w:r>
                    <w:rPr>
                      <w:bCs/>
                      <w:color w:val="auto"/>
                      <w:szCs w:val="21"/>
                      <w:highlight w:val="none"/>
                    </w:rPr>
                    <w:t>桶装，带桶一并转运。</w:t>
                  </w:r>
                </w:p>
              </w:tc>
              <w:tc>
                <w:tcPr>
                  <w:tcW w:w="760" w:type="dxa"/>
                  <w:noWrap w:val="0"/>
                  <w:vAlign w:val="center"/>
                </w:tcPr>
                <w:p w14:paraId="382CD0BB">
                  <w:pPr>
                    <w:jc w:val="center"/>
                    <w:rPr>
                      <w:color w:val="auto"/>
                      <w:highlight w:val="none"/>
                    </w:rPr>
                  </w:pPr>
                  <w:r>
                    <w:rPr>
                      <w:bCs/>
                      <w:color w:val="auto"/>
                      <w:szCs w:val="21"/>
                      <w:highlight w:val="none"/>
                    </w:rPr>
                    <w:t>符合</w:t>
                  </w:r>
                </w:p>
              </w:tc>
            </w:tr>
            <w:tr w14:paraId="4568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46707484">
                  <w:pPr>
                    <w:adjustRightInd w:val="0"/>
                    <w:snapToGrid w:val="0"/>
                    <w:jc w:val="center"/>
                    <w:rPr>
                      <w:bCs/>
                      <w:color w:val="auto"/>
                      <w:szCs w:val="21"/>
                      <w:highlight w:val="none"/>
                    </w:rPr>
                  </w:pPr>
                </w:p>
              </w:tc>
              <w:tc>
                <w:tcPr>
                  <w:tcW w:w="3482" w:type="dxa"/>
                  <w:gridSpan w:val="2"/>
                  <w:noWrap w:val="0"/>
                  <w:vAlign w:val="center"/>
                </w:tcPr>
                <w:p w14:paraId="712738FF">
                  <w:pPr>
                    <w:adjustRightInd w:val="0"/>
                    <w:snapToGrid w:val="0"/>
                    <w:rPr>
                      <w:bCs/>
                      <w:color w:val="auto"/>
                      <w:szCs w:val="21"/>
                      <w:highlight w:val="none"/>
                    </w:rPr>
                  </w:pPr>
                  <w:r>
                    <w:rPr>
                      <w:bCs/>
                      <w:color w:val="auto"/>
                      <w:szCs w:val="21"/>
                      <w:highlight w:val="none"/>
                    </w:rPr>
                    <w:t>半固态危险废物应装入容器或包装袋内贮存，或直接采用贮存池贮存。</w:t>
                  </w:r>
                </w:p>
              </w:tc>
              <w:tc>
                <w:tcPr>
                  <w:tcW w:w="2504" w:type="dxa"/>
                  <w:noWrap w:val="0"/>
                  <w:vAlign w:val="center"/>
                </w:tcPr>
                <w:p w14:paraId="19CAE5C1">
                  <w:pPr>
                    <w:adjustRightInd w:val="0"/>
                    <w:snapToGrid w:val="0"/>
                    <w:rPr>
                      <w:bCs/>
                      <w:color w:val="auto"/>
                      <w:szCs w:val="21"/>
                      <w:highlight w:val="none"/>
                    </w:rPr>
                  </w:pPr>
                  <w:r>
                    <w:rPr>
                      <w:bCs/>
                      <w:color w:val="auto"/>
                      <w:szCs w:val="21"/>
                      <w:highlight w:val="none"/>
                    </w:rPr>
                    <w:t>本项目收集暂存的半固态危险废物将装入容器或包装袋内贮存。</w:t>
                  </w:r>
                </w:p>
              </w:tc>
              <w:tc>
                <w:tcPr>
                  <w:tcW w:w="760" w:type="dxa"/>
                  <w:noWrap w:val="0"/>
                  <w:vAlign w:val="center"/>
                </w:tcPr>
                <w:p w14:paraId="24D34134">
                  <w:pPr>
                    <w:jc w:val="center"/>
                    <w:rPr>
                      <w:color w:val="auto"/>
                      <w:highlight w:val="none"/>
                    </w:rPr>
                  </w:pPr>
                  <w:r>
                    <w:rPr>
                      <w:bCs/>
                      <w:color w:val="auto"/>
                      <w:szCs w:val="21"/>
                      <w:highlight w:val="none"/>
                    </w:rPr>
                    <w:t>符合</w:t>
                  </w:r>
                </w:p>
              </w:tc>
            </w:tr>
            <w:tr w14:paraId="1D98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5A18CE08">
                  <w:pPr>
                    <w:adjustRightInd w:val="0"/>
                    <w:snapToGrid w:val="0"/>
                    <w:jc w:val="center"/>
                    <w:rPr>
                      <w:bCs/>
                      <w:color w:val="auto"/>
                      <w:szCs w:val="21"/>
                      <w:highlight w:val="none"/>
                    </w:rPr>
                  </w:pPr>
                </w:p>
              </w:tc>
              <w:tc>
                <w:tcPr>
                  <w:tcW w:w="3482" w:type="dxa"/>
                  <w:gridSpan w:val="2"/>
                  <w:noWrap w:val="0"/>
                  <w:vAlign w:val="center"/>
                </w:tcPr>
                <w:p w14:paraId="03A89CD6">
                  <w:pPr>
                    <w:adjustRightInd w:val="0"/>
                    <w:snapToGrid w:val="0"/>
                    <w:rPr>
                      <w:bCs/>
                      <w:color w:val="auto"/>
                      <w:szCs w:val="21"/>
                      <w:highlight w:val="none"/>
                    </w:rPr>
                  </w:pPr>
                  <w:r>
                    <w:rPr>
                      <w:bCs/>
                      <w:color w:val="auto"/>
                      <w:szCs w:val="21"/>
                      <w:highlight w:val="none"/>
                    </w:rPr>
                    <w:t>具有热塑性的危险废物应装入容器或包装袋内进行贮存。</w:t>
                  </w:r>
                </w:p>
              </w:tc>
              <w:tc>
                <w:tcPr>
                  <w:tcW w:w="2504" w:type="dxa"/>
                  <w:noWrap w:val="0"/>
                  <w:vAlign w:val="center"/>
                </w:tcPr>
                <w:p w14:paraId="7431AE61">
                  <w:pPr>
                    <w:adjustRightInd w:val="0"/>
                    <w:snapToGrid w:val="0"/>
                    <w:rPr>
                      <w:bCs/>
                      <w:color w:val="auto"/>
                      <w:szCs w:val="21"/>
                      <w:highlight w:val="none"/>
                    </w:rPr>
                  </w:pPr>
                  <w:r>
                    <w:rPr>
                      <w:bCs/>
                      <w:color w:val="auto"/>
                      <w:szCs w:val="21"/>
                      <w:highlight w:val="none"/>
                    </w:rPr>
                    <w:t>本项目收集暂存的具有热塑性的危险废物将装入容器或包装袋内进行贮存</w:t>
                  </w:r>
                </w:p>
              </w:tc>
              <w:tc>
                <w:tcPr>
                  <w:tcW w:w="760" w:type="dxa"/>
                  <w:noWrap w:val="0"/>
                  <w:vAlign w:val="center"/>
                </w:tcPr>
                <w:p w14:paraId="160F8B46">
                  <w:pPr>
                    <w:jc w:val="center"/>
                    <w:rPr>
                      <w:color w:val="auto"/>
                      <w:highlight w:val="none"/>
                    </w:rPr>
                  </w:pPr>
                  <w:r>
                    <w:rPr>
                      <w:bCs/>
                      <w:color w:val="auto"/>
                      <w:szCs w:val="21"/>
                      <w:highlight w:val="none"/>
                    </w:rPr>
                    <w:t>符合</w:t>
                  </w:r>
                </w:p>
              </w:tc>
            </w:tr>
            <w:tr w14:paraId="4137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36CD2220">
                  <w:pPr>
                    <w:adjustRightInd w:val="0"/>
                    <w:snapToGrid w:val="0"/>
                    <w:jc w:val="center"/>
                    <w:rPr>
                      <w:bCs/>
                      <w:color w:val="auto"/>
                      <w:szCs w:val="21"/>
                      <w:highlight w:val="none"/>
                    </w:rPr>
                  </w:pPr>
                </w:p>
              </w:tc>
              <w:tc>
                <w:tcPr>
                  <w:tcW w:w="3482" w:type="dxa"/>
                  <w:gridSpan w:val="2"/>
                  <w:noWrap w:val="0"/>
                  <w:vAlign w:val="center"/>
                </w:tcPr>
                <w:p w14:paraId="44EEE85C">
                  <w:pPr>
                    <w:adjustRightInd w:val="0"/>
                    <w:snapToGrid w:val="0"/>
                    <w:rPr>
                      <w:bCs/>
                      <w:color w:val="auto"/>
                      <w:szCs w:val="21"/>
                      <w:highlight w:val="none"/>
                    </w:rPr>
                  </w:pPr>
                  <w:r>
                    <w:rPr>
                      <w:bCs/>
                      <w:color w:val="auto"/>
                      <w:szCs w:val="21"/>
                      <w:highlight w:val="none"/>
                    </w:rPr>
                    <w:t>易产生粉尘、VOCs、酸雾、有毒有害大气污染物和刺激性气味气体的危险废物应装入闭口容器或包装物内贮存。</w:t>
                  </w:r>
                </w:p>
              </w:tc>
              <w:tc>
                <w:tcPr>
                  <w:tcW w:w="2504" w:type="dxa"/>
                  <w:noWrap w:val="0"/>
                  <w:vAlign w:val="center"/>
                </w:tcPr>
                <w:p w14:paraId="69144EE9">
                  <w:pPr>
                    <w:adjustRightInd w:val="0"/>
                    <w:snapToGrid w:val="0"/>
                    <w:rPr>
                      <w:bCs/>
                      <w:color w:val="auto"/>
                      <w:szCs w:val="21"/>
                      <w:highlight w:val="none"/>
                    </w:rPr>
                  </w:pPr>
                  <w:r>
                    <w:rPr>
                      <w:bCs/>
                      <w:color w:val="auto"/>
                      <w:szCs w:val="21"/>
                      <w:highlight w:val="none"/>
                    </w:rPr>
                    <w:t>本项目收集暂存的易产生非甲烷总烃等大气污染物和刺激性气味气体的危险废物将装入闭口容器或包装物内贮存。</w:t>
                  </w:r>
                </w:p>
              </w:tc>
              <w:tc>
                <w:tcPr>
                  <w:tcW w:w="760" w:type="dxa"/>
                  <w:noWrap w:val="0"/>
                  <w:vAlign w:val="center"/>
                </w:tcPr>
                <w:p w14:paraId="4D5F9D24">
                  <w:pPr>
                    <w:jc w:val="center"/>
                    <w:rPr>
                      <w:color w:val="auto"/>
                      <w:highlight w:val="none"/>
                    </w:rPr>
                  </w:pPr>
                  <w:r>
                    <w:rPr>
                      <w:bCs/>
                      <w:color w:val="auto"/>
                      <w:szCs w:val="21"/>
                      <w:highlight w:val="none"/>
                    </w:rPr>
                    <w:t>符合</w:t>
                  </w:r>
                </w:p>
              </w:tc>
            </w:tr>
            <w:tr w14:paraId="1874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578" w:type="dxa"/>
                  <w:vMerge w:val="continue"/>
                  <w:noWrap w:val="0"/>
                  <w:vAlign w:val="center"/>
                </w:tcPr>
                <w:p w14:paraId="4332D44A">
                  <w:pPr>
                    <w:adjustRightInd w:val="0"/>
                    <w:snapToGrid w:val="0"/>
                    <w:jc w:val="center"/>
                    <w:rPr>
                      <w:bCs/>
                      <w:color w:val="auto"/>
                      <w:szCs w:val="21"/>
                      <w:highlight w:val="none"/>
                    </w:rPr>
                  </w:pPr>
                </w:p>
              </w:tc>
              <w:tc>
                <w:tcPr>
                  <w:tcW w:w="3482" w:type="dxa"/>
                  <w:gridSpan w:val="2"/>
                  <w:noWrap w:val="0"/>
                  <w:vAlign w:val="center"/>
                </w:tcPr>
                <w:p w14:paraId="132022F1">
                  <w:pPr>
                    <w:adjustRightInd w:val="0"/>
                    <w:snapToGrid w:val="0"/>
                    <w:rPr>
                      <w:bCs/>
                      <w:color w:val="auto"/>
                      <w:szCs w:val="21"/>
                      <w:highlight w:val="none"/>
                    </w:rPr>
                  </w:pPr>
                  <w:r>
                    <w:rPr>
                      <w:bCs/>
                      <w:color w:val="auto"/>
                      <w:szCs w:val="21"/>
                      <w:highlight w:val="none"/>
                    </w:rPr>
                    <w:t>危险废物贮存过程中易产生粉尘等无组织排放的，应采取抑尘等有效措施。</w:t>
                  </w:r>
                </w:p>
              </w:tc>
              <w:tc>
                <w:tcPr>
                  <w:tcW w:w="2504" w:type="dxa"/>
                  <w:noWrap w:val="0"/>
                  <w:vAlign w:val="center"/>
                </w:tcPr>
                <w:p w14:paraId="11B18C97">
                  <w:pPr>
                    <w:adjustRightInd w:val="0"/>
                    <w:snapToGrid w:val="0"/>
                    <w:rPr>
                      <w:bCs/>
                      <w:color w:val="auto"/>
                      <w:szCs w:val="21"/>
                      <w:highlight w:val="none"/>
                    </w:rPr>
                  </w:pPr>
                  <w:r>
                    <w:rPr>
                      <w:bCs/>
                      <w:color w:val="auto"/>
                      <w:szCs w:val="21"/>
                      <w:highlight w:val="none"/>
                    </w:rPr>
                    <w:t>本项目不涉及易产生粉尘的危险废物。</w:t>
                  </w:r>
                </w:p>
              </w:tc>
              <w:tc>
                <w:tcPr>
                  <w:tcW w:w="760" w:type="dxa"/>
                  <w:noWrap w:val="0"/>
                  <w:vAlign w:val="center"/>
                </w:tcPr>
                <w:p w14:paraId="398B1330">
                  <w:pPr>
                    <w:jc w:val="center"/>
                    <w:rPr>
                      <w:color w:val="auto"/>
                      <w:highlight w:val="none"/>
                    </w:rPr>
                  </w:pPr>
                  <w:r>
                    <w:rPr>
                      <w:bCs/>
                      <w:color w:val="auto"/>
                      <w:szCs w:val="21"/>
                      <w:highlight w:val="none"/>
                    </w:rPr>
                    <w:t>符合</w:t>
                  </w:r>
                </w:p>
              </w:tc>
            </w:tr>
          </w:tbl>
          <w:p w14:paraId="34BBA9CB">
            <w:pPr>
              <w:pStyle w:val="7"/>
              <w:keepNext/>
              <w:jc w:val="center"/>
              <w:rPr>
                <w:rFonts w:hint="default" w:ascii="Times New Roman" w:hAnsi="Times New Roman" w:cs="Times New Roman"/>
                <w:b/>
                <w:bCs/>
                <w:color w:val="auto"/>
                <w:kern w:val="0"/>
                <w:sz w:val="24"/>
                <w:highlight w:val="none"/>
              </w:rPr>
            </w:pPr>
          </w:p>
          <w:p w14:paraId="596EAE7C">
            <w:pPr>
              <w:numPr>
                <w:ilvl w:val="0"/>
                <w:numId w:val="5"/>
              </w:numPr>
              <w:adjustRightInd w:val="0"/>
              <w:snapToGrid w:val="0"/>
              <w:spacing w:line="360" w:lineRule="auto"/>
              <w:ind w:left="-42" w:leftChars="0" w:firstLine="482" w:firstLineChars="0"/>
              <w:rPr>
                <w:rFonts w:hint="default" w:ascii="Times New Roman" w:hAnsi="Times New Roman" w:cs="Times New Roman"/>
                <w:b/>
                <w:bCs/>
                <w:color w:val="auto"/>
                <w:sz w:val="24"/>
                <w:szCs w:val="32"/>
                <w:highlight w:val="none"/>
              </w:rPr>
            </w:pPr>
            <w:r>
              <w:rPr>
                <w:rFonts w:hint="eastAsia" w:ascii="Times New Roman" w:hAnsi="Times New Roman" w:cs="Times New Roman"/>
                <w:b/>
                <w:bCs/>
                <w:color w:val="auto"/>
                <w:sz w:val="24"/>
                <w:szCs w:val="32"/>
                <w:highlight w:val="none"/>
                <w:lang w:val="en-US" w:eastAsia="zh-CN"/>
              </w:rPr>
              <w:t>《危险废物收集贮存运输技术规范》（HJ2025-2012）及</w:t>
            </w:r>
            <w:r>
              <w:rPr>
                <w:rFonts w:hint="default" w:ascii="Times New Roman" w:hAnsi="Times New Roman" w:cs="Times New Roman"/>
                <w:b/>
                <w:bCs/>
                <w:color w:val="auto"/>
                <w:sz w:val="24"/>
                <w:szCs w:val="32"/>
                <w:highlight w:val="none"/>
              </w:rPr>
              <w:t>《内蒙古自治区固体废物污染环境防治条例》符合性</w:t>
            </w:r>
            <w:r>
              <w:rPr>
                <w:rFonts w:hint="eastAsia" w:ascii="Times New Roman" w:hAnsi="Times New Roman" w:cs="Times New Roman"/>
                <w:b/>
                <w:bCs/>
                <w:color w:val="auto"/>
                <w:sz w:val="24"/>
                <w:szCs w:val="32"/>
                <w:highlight w:val="none"/>
                <w:lang w:val="en-US" w:eastAsia="zh-CN"/>
              </w:rPr>
              <w:t>分析</w:t>
            </w:r>
          </w:p>
          <w:p w14:paraId="32E01276">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本项目位于</w:t>
            </w:r>
            <w:r>
              <w:rPr>
                <w:rFonts w:hint="default" w:ascii="Times New Roman" w:hAnsi="Times New Roman" w:cs="Times New Roman"/>
                <w:color w:val="auto"/>
                <w:sz w:val="24"/>
                <w:highlight w:val="none"/>
              </w:rPr>
              <w:t>鄂尔多斯市伊金霍洛旗</w:t>
            </w:r>
            <w:r>
              <w:rPr>
                <w:rFonts w:hint="eastAsia" w:cs="Times New Roman"/>
                <w:color w:val="auto"/>
                <w:sz w:val="24"/>
                <w:highlight w:val="none"/>
                <w:lang w:val="en-US" w:eastAsia="zh-CN"/>
              </w:rPr>
              <w:t>纳林陶亥</w:t>
            </w:r>
            <w:r>
              <w:rPr>
                <w:rFonts w:hint="default" w:ascii="Times New Roman" w:hAnsi="Times New Roman" w:cs="Times New Roman"/>
                <w:color w:val="auto"/>
                <w:sz w:val="24"/>
                <w:highlight w:val="none"/>
              </w:rPr>
              <w:t>镇</w:t>
            </w:r>
            <w:r>
              <w:rPr>
                <w:rFonts w:hint="eastAsia" w:cs="Times New Roman"/>
                <w:color w:val="auto"/>
                <w:sz w:val="24"/>
                <w:highlight w:val="none"/>
                <w:lang w:val="en-US" w:eastAsia="zh-CN"/>
              </w:rPr>
              <w:t>伊金霍洛旗纳林塔纳林沟煤矿</w:t>
            </w:r>
            <w:r>
              <w:rPr>
                <w:rFonts w:hint="default" w:ascii="Times New Roman" w:hAnsi="Times New Roman" w:cs="Times New Roman"/>
                <w:color w:val="auto"/>
                <w:sz w:val="24"/>
                <w:highlight w:val="none"/>
                <w:lang w:val="en-US" w:eastAsia="zh-CN"/>
              </w:rPr>
              <w:t>厂区内</w:t>
            </w:r>
            <w:r>
              <w:rPr>
                <w:rFonts w:hint="default" w:ascii="Times New Roman" w:hAnsi="Times New Roman" w:cs="Times New Roman"/>
                <w:bCs/>
                <w:color w:val="auto"/>
                <w:sz w:val="24"/>
                <w:highlight w:val="none"/>
              </w:rPr>
              <w:t>，经对照，项目符合《</w:t>
            </w:r>
            <w:r>
              <w:rPr>
                <w:rFonts w:hint="eastAsia" w:ascii="Times New Roman" w:hAnsi="Times New Roman" w:cs="Times New Roman"/>
                <w:bCs/>
                <w:color w:val="auto"/>
                <w:sz w:val="24"/>
                <w:highlight w:val="none"/>
                <w:lang w:val="en-US" w:eastAsia="zh-CN"/>
              </w:rPr>
              <w:t>危险废物收集贮存运输技术规范</w:t>
            </w:r>
            <w:r>
              <w:rPr>
                <w:rFonts w:hint="default" w:ascii="Times New Roman" w:hAnsi="Times New Roman" w:cs="Times New Roman"/>
                <w:bCs/>
                <w:color w:val="auto"/>
                <w:sz w:val="24"/>
                <w:highlight w:val="none"/>
              </w:rPr>
              <w:t>》（</w:t>
            </w:r>
            <w:r>
              <w:rPr>
                <w:rFonts w:hint="eastAsia" w:ascii="Times New Roman" w:hAnsi="Times New Roman" w:cs="Times New Roman"/>
                <w:bCs/>
                <w:color w:val="auto"/>
                <w:sz w:val="24"/>
                <w:highlight w:val="none"/>
                <w:lang w:val="en-US" w:eastAsia="zh-CN"/>
              </w:rPr>
              <w:t>HJ2025-2012</w:t>
            </w:r>
            <w:r>
              <w:rPr>
                <w:rFonts w:hint="default" w:ascii="Times New Roman" w:hAnsi="Times New Roman" w:cs="Times New Roman"/>
                <w:bCs/>
                <w:color w:val="auto"/>
                <w:sz w:val="24"/>
                <w:highlight w:val="none"/>
              </w:rPr>
              <w:t>）</w:t>
            </w:r>
            <w:r>
              <w:rPr>
                <w:rFonts w:hint="eastAsia" w:ascii="Times New Roman" w:hAnsi="Times New Roman" w:cs="Times New Roman"/>
                <w:bCs/>
                <w:color w:val="auto"/>
                <w:sz w:val="24"/>
                <w:highlight w:val="none"/>
                <w:lang w:val="en-US" w:eastAsia="zh-CN"/>
              </w:rPr>
              <w:t>及</w:t>
            </w:r>
            <w:r>
              <w:rPr>
                <w:rFonts w:hint="default" w:ascii="Times New Roman" w:hAnsi="Times New Roman" w:cs="Times New Roman"/>
                <w:bCs/>
                <w:color w:val="auto"/>
                <w:sz w:val="24"/>
                <w:highlight w:val="none"/>
              </w:rPr>
              <w:t>《内蒙古自治区固体废物污染环境防治条例》的相关要求。具体对</w:t>
            </w:r>
            <w:r>
              <w:rPr>
                <w:rFonts w:hint="default" w:ascii="Times New Roman" w:hAnsi="Times New Roman" w:cs="Times New Roman"/>
                <w:color w:val="auto"/>
                <w:sz w:val="24"/>
                <w:highlight w:val="none"/>
              </w:rPr>
              <w:t>照见下表。</w:t>
            </w:r>
          </w:p>
          <w:p w14:paraId="604CF9E3">
            <w:pPr>
              <w:widowControl/>
              <w:spacing w:line="360" w:lineRule="auto"/>
              <w:jc w:val="center"/>
              <w:rPr>
                <w:rFonts w:hint="default" w:ascii="Times New Roman" w:hAnsi="Times New Roman" w:eastAsia="宋体" w:cs="Times New Roman"/>
                <w:b/>
                <w:bCs/>
                <w:color w:val="auto"/>
                <w:kern w:val="0"/>
                <w:sz w:val="21"/>
                <w:szCs w:val="21"/>
                <w:highlight w:val="none"/>
                <w:lang w:bidi="ar"/>
              </w:rPr>
            </w:pPr>
            <w:r>
              <w:rPr>
                <w:rFonts w:hint="default" w:ascii="Times New Roman" w:hAnsi="Times New Roman" w:eastAsia="宋体" w:cs="Times New Roman"/>
                <w:b/>
                <w:bCs/>
                <w:color w:val="auto"/>
                <w:kern w:val="0"/>
                <w:sz w:val="21"/>
                <w:szCs w:val="21"/>
                <w:highlight w:val="none"/>
                <w:lang w:bidi="ar"/>
              </w:rPr>
              <w:t>表</w:t>
            </w:r>
            <w:r>
              <w:rPr>
                <w:rFonts w:hint="default" w:ascii="Times New Roman" w:hAnsi="Times New Roman" w:eastAsia="宋体" w:cs="Times New Roman"/>
                <w:b/>
                <w:bCs/>
                <w:color w:val="auto"/>
                <w:kern w:val="0"/>
                <w:sz w:val="21"/>
                <w:szCs w:val="21"/>
                <w:highlight w:val="none"/>
                <w:lang w:val="en-US" w:eastAsia="zh-CN" w:bidi="ar"/>
              </w:rPr>
              <w:t>1-</w:t>
            </w:r>
            <w:r>
              <w:rPr>
                <w:rFonts w:hint="eastAsia" w:ascii="Times New Roman" w:hAnsi="Times New Roman" w:eastAsia="宋体" w:cs="Times New Roman"/>
                <w:b/>
                <w:bCs/>
                <w:color w:val="auto"/>
                <w:kern w:val="0"/>
                <w:sz w:val="21"/>
                <w:szCs w:val="21"/>
                <w:highlight w:val="none"/>
                <w:lang w:val="en-US" w:eastAsia="zh-CN" w:bidi="ar"/>
              </w:rPr>
              <w:t xml:space="preserve">5 </w:t>
            </w:r>
            <w:r>
              <w:rPr>
                <w:rFonts w:hint="default" w:ascii="Times New Roman" w:hAnsi="Times New Roman" w:eastAsia="宋体" w:cs="Times New Roman"/>
                <w:b/>
                <w:bCs/>
                <w:color w:val="auto"/>
                <w:kern w:val="0"/>
                <w:sz w:val="21"/>
                <w:szCs w:val="21"/>
                <w:highlight w:val="none"/>
                <w:lang w:bidi="ar"/>
              </w:rPr>
              <w:t>《</w:t>
            </w:r>
            <w:r>
              <w:rPr>
                <w:rFonts w:hint="eastAsia" w:ascii="Times New Roman" w:hAnsi="Times New Roman" w:eastAsia="宋体" w:cs="Times New Roman"/>
                <w:b/>
                <w:bCs/>
                <w:color w:val="auto"/>
                <w:kern w:val="0"/>
                <w:sz w:val="21"/>
                <w:szCs w:val="21"/>
                <w:highlight w:val="none"/>
                <w:lang w:val="en-US" w:eastAsia="zh-CN" w:bidi="ar"/>
              </w:rPr>
              <w:t>危险废物收集贮存运输技术规范</w:t>
            </w: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eastAsia="宋体" w:cs="Times New Roman"/>
                <w:b/>
                <w:bCs/>
                <w:color w:val="auto"/>
                <w:kern w:val="0"/>
                <w:sz w:val="21"/>
                <w:szCs w:val="21"/>
                <w:highlight w:val="none"/>
                <w:lang w:val="en-US" w:eastAsia="zh-CN" w:bidi="ar"/>
              </w:rPr>
              <w:t>HJ2025-2012</w:t>
            </w: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eastAsia="宋体" w:cs="Times New Roman"/>
                <w:b/>
                <w:bCs/>
                <w:color w:val="auto"/>
                <w:kern w:val="0"/>
                <w:sz w:val="21"/>
                <w:szCs w:val="21"/>
                <w:highlight w:val="none"/>
                <w:lang w:val="en-US" w:eastAsia="zh-CN" w:bidi="ar"/>
              </w:rPr>
              <w:t>相</w:t>
            </w:r>
            <w:r>
              <w:rPr>
                <w:rFonts w:hint="default" w:ascii="Times New Roman" w:hAnsi="Times New Roman" w:eastAsia="宋体" w:cs="Times New Roman"/>
                <w:b/>
                <w:bCs/>
                <w:color w:val="auto"/>
                <w:kern w:val="0"/>
                <w:sz w:val="21"/>
                <w:szCs w:val="21"/>
                <w:highlight w:val="none"/>
                <w:lang w:bidi="ar"/>
              </w:rPr>
              <w:t>符性分析表</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3328"/>
              <w:gridCol w:w="2371"/>
              <w:gridCol w:w="823"/>
            </w:tblGrid>
            <w:tr w14:paraId="413E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423" w:type="pct"/>
                  <w:vAlign w:val="center"/>
                </w:tcPr>
                <w:p w14:paraId="7DEB8B1B">
                  <w:pPr>
                    <w:adjustRightInd w:val="0"/>
                    <w:snapToGrid w:val="0"/>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序号</w:t>
                  </w:r>
                </w:p>
              </w:tc>
              <w:tc>
                <w:tcPr>
                  <w:tcW w:w="2334" w:type="pct"/>
                  <w:vAlign w:val="center"/>
                </w:tcPr>
                <w:p w14:paraId="334F3FDC">
                  <w:pPr>
                    <w:adjustRightInd w:val="0"/>
                    <w:snapToGrid w:val="0"/>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标准要求</w:t>
                  </w:r>
                </w:p>
              </w:tc>
              <w:tc>
                <w:tcPr>
                  <w:tcW w:w="1663" w:type="pct"/>
                  <w:vAlign w:val="center"/>
                </w:tcPr>
                <w:p w14:paraId="1A0173A4">
                  <w:pPr>
                    <w:adjustRightInd w:val="0"/>
                    <w:snapToGrid w:val="0"/>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项目情况</w:t>
                  </w:r>
                </w:p>
              </w:tc>
              <w:tc>
                <w:tcPr>
                  <w:tcW w:w="577" w:type="pct"/>
                  <w:vAlign w:val="center"/>
                </w:tcPr>
                <w:p w14:paraId="45848C03">
                  <w:pPr>
                    <w:adjustRightInd w:val="0"/>
                    <w:snapToGrid w:val="0"/>
                    <w:jc w:val="center"/>
                    <w:rPr>
                      <w:rFonts w:hint="default" w:ascii="Times New Roman" w:hAnsi="Times New Roman" w:cs="Times New Roman"/>
                      <w:b/>
                      <w:color w:val="auto"/>
                      <w:kern w:val="0"/>
                      <w:szCs w:val="21"/>
                      <w:highlight w:val="none"/>
                    </w:rPr>
                  </w:pPr>
                  <w:r>
                    <w:rPr>
                      <w:rFonts w:hint="default" w:ascii="Times New Roman" w:hAnsi="Times New Roman" w:cs="Times New Roman"/>
                      <w:b/>
                      <w:color w:val="auto"/>
                      <w:kern w:val="0"/>
                      <w:szCs w:val="21"/>
                      <w:highlight w:val="none"/>
                    </w:rPr>
                    <w:t>符合性分析</w:t>
                  </w:r>
                </w:p>
              </w:tc>
            </w:tr>
            <w:tr w14:paraId="2963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79A5BD1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w:t>
                  </w:r>
                </w:p>
              </w:tc>
              <w:tc>
                <w:tcPr>
                  <w:tcW w:w="2334" w:type="pct"/>
                  <w:vAlign w:val="center"/>
                </w:tcPr>
                <w:p w14:paraId="0236B2E9">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eastAsia="宋体" w:cs="宋体"/>
                      <w:color w:val="auto"/>
                      <w:kern w:val="0"/>
                      <w:sz w:val="21"/>
                      <w:szCs w:val="21"/>
                      <w:highlight w:val="none"/>
                      <w:lang w:val="en-US" w:eastAsia="zh-CN" w:bidi="ar"/>
                    </w:rPr>
                    <w:t xml:space="preserve">危险废物收集、贮存、运输时应按腐蚀性、毒性、易燃性、反应性和感染性等危险特性 对危险废物进行分类、包装并设置相应的标志及标签。危险废物特性应根据其产生源特性及 </w:t>
                  </w:r>
                  <w:r>
                    <w:rPr>
                      <w:rFonts w:hint="default" w:ascii="Times New Roman" w:hAnsi="Times New Roman" w:eastAsia="宋体" w:cs="Times New Roman"/>
                      <w:color w:val="auto"/>
                      <w:kern w:val="0"/>
                      <w:sz w:val="21"/>
                      <w:szCs w:val="21"/>
                      <w:highlight w:val="none"/>
                      <w:lang w:val="en-US" w:eastAsia="zh-CN" w:bidi="ar"/>
                    </w:rPr>
                    <w:t>GB5085.1-7</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HJ/T298</w:t>
                  </w:r>
                  <w:r>
                    <w:rPr>
                      <w:rFonts w:hint="eastAsia" w:ascii="宋体" w:hAnsi="宋体" w:eastAsia="宋体" w:cs="宋体"/>
                      <w:color w:val="auto"/>
                      <w:kern w:val="0"/>
                      <w:sz w:val="21"/>
                      <w:szCs w:val="21"/>
                      <w:highlight w:val="none"/>
                      <w:lang w:val="en-US" w:eastAsia="zh-CN" w:bidi="ar"/>
                    </w:rPr>
                    <w:t>进行鉴别。</w:t>
                  </w:r>
                </w:p>
              </w:tc>
              <w:tc>
                <w:tcPr>
                  <w:tcW w:w="1663" w:type="pct"/>
                  <w:vAlign w:val="center"/>
                </w:tcPr>
                <w:p w14:paraId="567BB67E">
                  <w:pPr>
                    <w:adjustRightInd w:val="0"/>
                    <w:snapToGrid w:val="0"/>
                    <w:jc w:val="center"/>
                    <w:rPr>
                      <w:rFonts w:hint="default" w:ascii="Times New Roman" w:hAnsi="Times New Roman" w:cs="Times New Roman"/>
                      <w:color w:val="auto"/>
                      <w:kern w:val="0"/>
                      <w:szCs w:val="21"/>
                      <w:highlight w:val="none"/>
                    </w:rPr>
                  </w:pPr>
                  <w:r>
                    <w:rPr>
                      <w:rFonts w:hint="eastAsia" w:ascii="宋体" w:hAnsi="宋体" w:cs="宋体"/>
                      <w:color w:val="auto"/>
                      <w:kern w:val="0"/>
                      <w:sz w:val="21"/>
                      <w:szCs w:val="21"/>
                      <w:highlight w:val="none"/>
                      <w:lang w:val="en-US" w:eastAsia="zh-CN" w:bidi="ar"/>
                    </w:rPr>
                    <w:t>本项目</w:t>
                  </w:r>
                  <w:r>
                    <w:rPr>
                      <w:rFonts w:hint="eastAsia" w:ascii="宋体" w:hAnsi="宋体" w:eastAsia="宋体" w:cs="宋体"/>
                      <w:color w:val="auto"/>
                      <w:kern w:val="0"/>
                      <w:sz w:val="21"/>
                      <w:szCs w:val="21"/>
                      <w:highlight w:val="none"/>
                      <w:lang w:val="en-US" w:eastAsia="zh-CN" w:bidi="ar"/>
                    </w:rPr>
                    <w:t>危险废物收集、贮存时按腐蚀性、毒性、易燃性、反应性和感染性等危险特性对危险废物进行分类、包装并设置相应的标志及标签。</w:t>
                  </w:r>
                </w:p>
              </w:tc>
              <w:tc>
                <w:tcPr>
                  <w:tcW w:w="577" w:type="pct"/>
                  <w:vAlign w:val="center"/>
                </w:tcPr>
                <w:p w14:paraId="4AB773E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642C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6A17A1A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w:t>
                  </w:r>
                </w:p>
              </w:tc>
              <w:tc>
                <w:tcPr>
                  <w:tcW w:w="2334" w:type="pct"/>
                  <w:vAlign w:val="center"/>
                </w:tcPr>
                <w:p w14:paraId="7EBC646C">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eastAsia="宋体" w:cs="宋体"/>
                      <w:color w:val="auto"/>
                      <w:kern w:val="0"/>
                      <w:sz w:val="21"/>
                      <w:szCs w:val="21"/>
                      <w:highlight w:val="none"/>
                      <w:lang w:val="en-US" w:eastAsia="zh-CN" w:bidi="ar"/>
                    </w:rPr>
                    <w:t>危险废物的收集应制定详细的操作规程，内容至少应包括适用范围、操作程序和方法、 专用设备和工具、转移和交接、安全保障和应急防护等。</w:t>
                  </w:r>
                </w:p>
              </w:tc>
              <w:tc>
                <w:tcPr>
                  <w:tcW w:w="1663" w:type="pct"/>
                  <w:vAlign w:val="center"/>
                </w:tcPr>
                <w:p w14:paraId="4C5A0739">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cs="宋体"/>
                      <w:color w:val="auto"/>
                      <w:kern w:val="0"/>
                      <w:sz w:val="21"/>
                      <w:szCs w:val="21"/>
                      <w:highlight w:val="none"/>
                      <w:lang w:val="en-US" w:eastAsia="zh-CN" w:bidi="ar"/>
                    </w:rPr>
                    <w:t>本项目在</w:t>
                  </w:r>
                  <w:r>
                    <w:rPr>
                      <w:rFonts w:hint="eastAsia" w:ascii="宋体" w:hAnsi="宋体" w:eastAsia="宋体" w:cs="宋体"/>
                      <w:color w:val="auto"/>
                      <w:kern w:val="0"/>
                      <w:sz w:val="21"/>
                      <w:szCs w:val="21"/>
                      <w:highlight w:val="none"/>
                      <w:lang w:val="en-US" w:eastAsia="zh-CN" w:bidi="ar"/>
                    </w:rPr>
                    <w:t>危险废物收集</w:t>
                  </w:r>
                  <w:r>
                    <w:rPr>
                      <w:rFonts w:hint="eastAsia" w:ascii="宋体" w:hAnsi="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lang w:val="en-US" w:eastAsia="zh-CN" w:bidi="ar"/>
                    </w:rPr>
                    <w:t>制定详细的操作规程，内容包括适用范围、操作程序和方法、专用设备和工具、转移和交接、安全保障和应急防护等。</w:t>
                  </w:r>
                </w:p>
              </w:tc>
              <w:tc>
                <w:tcPr>
                  <w:tcW w:w="577" w:type="pct"/>
                  <w:vAlign w:val="center"/>
                </w:tcPr>
                <w:p w14:paraId="512B347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384D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423" w:type="pct"/>
                  <w:vAlign w:val="center"/>
                </w:tcPr>
                <w:p w14:paraId="32F592F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w:t>
                  </w:r>
                </w:p>
              </w:tc>
              <w:tc>
                <w:tcPr>
                  <w:tcW w:w="2334" w:type="pct"/>
                  <w:vAlign w:val="center"/>
                </w:tcPr>
                <w:p w14:paraId="707575F1">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eastAsia="宋体" w:cs="宋体"/>
                      <w:color w:val="auto"/>
                      <w:kern w:val="0"/>
                      <w:sz w:val="21"/>
                      <w:szCs w:val="21"/>
                      <w:highlight w:val="none"/>
                      <w:lang w:val="en-US" w:eastAsia="zh-CN" w:bidi="ar"/>
                    </w:rPr>
                    <w:t>危险废物收集和转运作业人员应根据工作需要配备必要的个人防护装备，如手套、防护镜、防护服、防毒面具或口罩等。</w:t>
                  </w:r>
                </w:p>
              </w:tc>
              <w:tc>
                <w:tcPr>
                  <w:tcW w:w="1663" w:type="pct"/>
                  <w:vAlign w:val="center"/>
                </w:tcPr>
                <w:p w14:paraId="64926B01">
                  <w:pPr>
                    <w:adjustRightInd w:val="0"/>
                    <w:snapToGrid w:val="0"/>
                    <w:jc w:val="center"/>
                    <w:rPr>
                      <w:rFonts w:hint="default" w:ascii="Times New Roman" w:hAnsi="Times New Roman" w:cs="Times New Roman"/>
                      <w:color w:val="auto"/>
                      <w:kern w:val="0"/>
                      <w:szCs w:val="21"/>
                      <w:highlight w:val="none"/>
                    </w:rPr>
                  </w:pPr>
                  <w:r>
                    <w:rPr>
                      <w:rFonts w:hint="eastAsia" w:ascii="宋体" w:hAnsi="宋体" w:eastAsia="宋体" w:cs="宋体"/>
                      <w:color w:val="auto"/>
                      <w:kern w:val="0"/>
                      <w:sz w:val="21"/>
                      <w:szCs w:val="21"/>
                      <w:highlight w:val="none"/>
                      <w:lang w:val="en-US" w:eastAsia="zh-CN" w:bidi="ar"/>
                    </w:rPr>
                    <w:t>危险废物收集和转运作业人员根据工作需要配备必要的个人防护装备。</w:t>
                  </w:r>
                </w:p>
              </w:tc>
              <w:tc>
                <w:tcPr>
                  <w:tcW w:w="577" w:type="pct"/>
                  <w:vAlign w:val="center"/>
                </w:tcPr>
                <w:p w14:paraId="1BCB1BD8">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2E02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23" w:type="pct"/>
                  <w:vAlign w:val="center"/>
                </w:tcPr>
                <w:p w14:paraId="4431EAEB">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w:t>
                  </w:r>
                </w:p>
              </w:tc>
              <w:tc>
                <w:tcPr>
                  <w:tcW w:w="2334" w:type="pct"/>
                  <w:vAlign w:val="center"/>
                </w:tcPr>
                <w:p w14:paraId="7E8662B2">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eastAsia="宋体" w:cs="宋体"/>
                      <w:color w:val="auto"/>
                      <w:kern w:val="0"/>
                      <w:sz w:val="21"/>
                      <w:szCs w:val="21"/>
                      <w:highlight w:val="none"/>
                      <w:lang w:val="en-US" w:eastAsia="zh-CN" w:bidi="ar"/>
                    </w:rPr>
                    <w:t>在危险废物的收集和转运过程中，应采取相应的安全防护和污染防治措施，包括防爆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防火、防中毒、防感染、防</w:t>
                  </w:r>
                  <w:r>
                    <w:rPr>
                      <w:rFonts w:hint="eastAsia" w:ascii="宋体" w:hAnsi="宋体" w:cs="宋体"/>
                      <w:color w:val="auto"/>
                      <w:kern w:val="0"/>
                      <w:sz w:val="21"/>
                      <w:szCs w:val="21"/>
                      <w:highlight w:val="none"/>
                      <w:lang w:val="en-US" w:eastAsia="zh-CN" w:bidi="ar"/>
                    </w:rPr>
                    <w:t>泄漏</w:t>
                  </w:r>
                  <w:r>
                    <w:rPr>
                      <w:rFonts w:hint="eastAsia" w:ascii="宋体" w:hAnsi="宋体" w:eastAsia="宋体" w:cs="宋体"/>
                      <w:color w:val="auto"/>
                      <w:kern w:val="0"/>
                      <w:sz w:val="21"/>
                      <w:szCs w:val="21"/>
                      <w:highlight w:val="none"/>
                      <w:lang w:val="en-US" w:eastAsia="zh-CN" w:bidi="ar"/>
                    </w:rPr>
                    <w:t>、防飞扬、防雨或</w:t>
                  </w:r>
                  <w:r>
                    <w:rPr>
                      <w:rFonts w:hint="eastAsia" w:ascii="宋体" w:hAnsi="宋体" w:cs="宋体"/>
                      <w:color w:val="auto"/>
                      <w:kern w:val="0"/>
                      <w:sz w:val="21"/>
                      <w:szCs w:val="21"/>
                      <w:highlight w:val="none"/>
                      <w:lang w:val="en-US" w:eastAsia="zh-CN" w:bidi="ar"/>
                    </w:rPr>
                    <w:t>其他</w:t>
                  </w:r>
                  <w:r>
                    <w:rPr>
                      <w:rFonts w:hint="eastAsia" w:ascii="宋体" w:hAnsi="宋体" w:eastAsia="宋体" w:cs="宋体"/>
                      <w:color w:val="auto"/>
                      <w:kern w:val="0"/>
                      <w:sz w:val="21"/>
                      <w:szCs w:val="21"/>
                      <w:highlight w:val="none"/>
                      <w:lang w:val="en-US" w:eastAsia="zh-CN" w:bidi="ar"/>
                    </w:rPr>
                    <w:t>防止污染环境的措施。</w:t>
                  </w:r>
                </w:p>
              </w:tc>
              <w:tc>
                <w:tcPr>
                  <w:tcW w:w="1663" w:type="pct"/>
                  <w:vAlign w:val="center"/>
                </w:tcPr>
                <w:p w14:paraId="4165FBB7">
                  <w:pPr>
                    <w:keepNext w:val="0"/>
                    <w:keepLines w:val="0"/>
                    <w:widowControl/>
                    <w:suppressLineNumbers w:val="0"/>
                    <w:jc w:val="left"/>
                    <w:rPr>
                      <w:rFonts w:hint="default" w:ascii="Times New Roman" w:hAnsi="Times New Roman" w:eastAsia="宋体" w:cs="Times New Roman"/>
                      <w:color w:val="auto"/>
                      <w:kern w:val="0"/>
                      <w:szCs w:val="21"/>
                      <w:highlight w:val="none"/>
                    </w:rPr>
                  </w:pPr>
                  <w:r>
                    <w:rPr>
                      <w:rFonts w:hint="eastAsia" w:ascii="宋体" w:hAnsi="宋体" w:cs="宋体"/>
                      <w:color w:val="auto"/>
                      <w:kern w:val="0"/>
                      <w:sz w:val="21"/>
                      <w:szCs w:val="21"/>
                      <w:highlight w:val="none"/>
                      <w:lang w:val="en-US" w:eastAsia="zh-CN" w:bidi="ar"/>
                    </w:rPr>
                    <w:t>本项目在</w:t>
                  </w:r>
                  <w:r>
                    <w:rPr>
                      <w:rFonts w:hint="eastAsia" w:ascii="宋体" w:hAnsi="宋体" w:eastAsia="宋体" w:cs="宋体"/>
                      <w:color w:val="auto"/>
                      <w:kern w:val="0"/>
                      <w:sz w:val="21"/>
                      <w:szCs w:val="21"/>
                      <w:highlight w:val="none"/>
                      <w:lang w:val="en-US" w:eastAsia="zh-CN" w:bidi="ar"/>
                    </w:rPr>
                    <w:t>收集和转运危险废物的过程中，采取相应的安全防护和污染防治措施。</w:t>
                  </w:r>
                </w:p>
              </w:tc>
              <w:tc>
                <w:tcPr>
                  <w:tcW w:w="577" w:type="pct"/>
                  <w:vAlign w:val="center"/>
                </w:tcPr>
                <w:p w14:paraId="20B67CA4">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符合</w:t>
                  </w:r>
                </w:p>
              </w:tc>
            </w:tr>
            <w:tr w14:paraId="2855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703C1E6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w:t>
                  </w:r>
                </w:p>
              </w:tc>
              <w:tc>
                <w:tcPr>
                  <w:tcW w:w="2334" w:type="pct"/>
                  <w:vAlign w:val="center"/>
                </w:tcPr>
                <w:p w14:paraId="7D042A77">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eastAsia="宋体" w:cs="宋体"/>
                      <w:color w:val="auto"/>
                      <w:kern w:val="0"/>
                      <w:sz w:val="21"/>
                      <w:szCs w:val="21"/>
                      <w:highlight w:val="none"/>
                      <w:lang w:val="en-US" w:eastAsia="zh-CN" w:bidi="ar"/>
                    </w:rPr>
                    <w:t>危险废物收集时应根据危险废物的种类、数量、危险特性、物理形态、运输要求等因素确定包装形式。</w:t>
                  </w:r>
                </w:p>
              </w:tc>
              <w:tc>
                <w:tcPr>
                  <w:tcW w:w="1663" w:type="pct"/>
                  <w:vAlign w:val="center"/>
                </w:tcPr>
                <w:p w14:paraId="1725F533">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cs="宋体"/>
                      <w:color w:val="auto"/>
                      <w:kern w:val="0"/>
                      <w:sz w:val="21"/>
                      <w:szCs w:val="21"/>
                      <w:highlight w:val="none"/>
                      <w:lang w:val="en-US" w:eastAsia="zh-CN" w:bidi="ar"/>
                    </w:rPr>
                    <w:t>本项目收集的危险废物为废矿物油和废油桶，均按照</w:t>
                  </w:r>
                  <w:r>
                    <w:rPr>
                      <w:rFonts w:hint="eastAsia" w:ascii="宋体" w:hAnsi="宋体" w:eastAsia="宋体" w:cs="宋体"/>
                      <w:color w:val="auto"/>
                      <w:kern w:val="0"/>
                      <w:sz w:val="21"/>
                      <w:szCs w:val="21"/>
                      <w:highlight w:val="none"/>
                      <w:lang w:val="en-US" w:eastAsia="zh-CN" w:bidi="ar"/>
                    </w:rPr>
                    <w:t>危险特性</w:t>
                  </w:r>
                  <w:r>
                    <w:rPr>
                      <w:rFonts w:hint="eastAsia" w:ascii="宋体" w:hAnsi="宋体" w:cs="宋体"/>
                      <w:color w:val="auto"/>
                      <w:kern w:val="0"/>
                      <w:sz w:val="21"/>
                      <w:szCs w:val="21"/>
                      <w:highlight w:val="none"/>
                      <w:lang w:val="en-US" w:eastAsia="zh-CN" w:bidi="ar"/>
                    </w:rPr>
                    <w:t>分类包装</w:t>
                  </w:r>
                  <w:r>
                    <w:rPr>
                      <w:rFonts w:hint="eastAsia" w:ascii="宋体" w:hAnsi="宋体" w:eastAsia="宋体" w:cs="宋体"/>
                      <w:color w:val="auto"/>
                      <w:kern w:val="0"/>
                      <w:sz w:val="21"/>
                      <w:szCs w:val="21"/>
                      <w:highlight w:val="none"/>
                      <w:lang w:val="en-US" w:eastAsia="zh-CN" w:bidi="ar"/>
                    </w:rPr>
                    <w:t>。</w:t>
                  </w:r>
                </w:p>
              </w:tc>
              <w:tc>
                <w:tcPr>
                  <w:tcW w:w="577" w:type="pct"/>
                  <w:vAlign w:val="center"/>
                </w:tcPr>
                <w:p w14:paraId="7B0EBD6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1075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7EB01539">
                  <w:pPr>
                    <w:adjustRightInd w:val="0"/>
                    <w:snapToGrid w:val="0"/>
                    <w:jc w:val="center"/>
                    <w:rPr>
                      <w:rFonts w:hint="eastAsia"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6</w:t>
                  </w:r>
                </w:p>
              </w:tc>
              <w:tc>
                <w:tcPr>
                  <w:tcW w:w="2334" w:type="pct"/>
                  <w:vAlign w:val="center"/>
                </w:tcPr>
                <w:p w14:paraId="065BD80C">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 xml:space="preserve">危险废物的收集作业应满足： </w:t>
                  </w:r>
                </w:p>
                <w:p w14:paraId="007E46E5">
                  <w:pPr>
                    <w:keepNext w:val="0"/>
                    <w:keepLines w:val="0"/>
                    <w:widowControl/>
                    <w:suppressLineNumbers w:val="0"/>
                    <w:jc w:val="left"/>
                    <w:rPr>
                      <w:rFonts w:hint="default" w:ascii="Times New Roman" w:hAnsi="Times New Roman" w:cs="Times New Roman"/>
                      <w:color w:val="auto"/>
                      <w:kern w:val="0"/>
                      <w:szCs w:val="21"/>
                      <w:highlight w:val="none"/>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应根据收集设备、转运车辆以及现场人员等实际情况确定相应作业区域，同时要设置作业界限标志和警示牌。</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作业区域内应设置危险废物收集专用通道和人员避险通道。</w:t>
                  </w: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 xml:space="preserve">收集时应配备必要的收集工具和包装物，以及必要的应急监测设备及应急装备。 </w:t>
                  </w: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危险废物收集应参照标准填写记录表，并将记录表作为危险废物管理的重要档案妥善保存。</w:t>
                  </w:r>
                  <w:r>
                    <w:rPr>
                      <w:rFonts w:hint="default" w:ascii="Times New Roman" w:hAnsi="Times New Roman" w:eastAsia="宋体" w:cs="Times New Roman"/>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收集结束后应清理和恢复收集作业区域，确保作业区域环境整洁安全。</w:t>
                  </w:r>
                  <w:r>
                    <w:rPr>
                      <w:rFonts w:hint="default" w:ascii="Times New Roman" w:hAnsi="Times New Roman" w:eastAsia="宋体" w:cs="Times New Roman"/>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收集过危险废物的容器、设备、设施、场所及其它物品转作</w:t>
                  </w:r>
                  <w:r>
                    <w:rPr>
                      <w:rFonts w:hint="eastAsia" w:ascii="宋体" w:hAnsi="宋体" w:cs="宋体"/>
                      <w:color w:val="auto"/>
                      <w:kern w:val="0"/>
                      <w:sz w:val="21"/>
                      <w:szCs w:val="21"/>
                      <w:highlight w:val="none"/>
                      <w:lang w:val="en-US" w:eastAsia="zh-CN" w:bidi="ar"/>
                    </w:rPr>
                    <w:t>他</w:t>
                  </w:r>
                  <w:r>
                    <w:rPr>
                      <w:rFonts w:hint="eastAsia" w:ascii="宋体" w:hAnsi="宋体" w:eastAsia="宋体" w:cs="宋体"/>
                      <w:color w:val="auto"/>
                      <w:kern w:val="0"/>
                      <w:sz w:val="21"/>
                      <w:szCs w:val="21"/>
                      <w:highlight w:val="none"/>
                      <w:lang w:val="en-US" w:eastAsia="zh-CN" w:bidi="ar"/>
                    </w:rPr>
                    <w:t>用时，应消除污染，确保其使用安全。</w:t>
                  </w:r>
                </w:p>
              </w:tc>
              <w:tc>
                <w:tcPr>
                  <w:tcW w:w="1663" w:type="pct"/>
                  <w:vAlign w:val="center"/>
                </w:tcPr>
                <w:p w14:paraId="67FBE6A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本项目设置</w:t>
                  </w:r>
                  <w:r>
                    <w:rPr>
                      <w:rFonts w:hint="eastAsia" w:ascii="宋体" w:hAnsi="宋体" w:eastAsia="宋体" w:cs="宋体"/>
                      <w:color w:val="auto"/>
                      <w:kern w:val="0"/>
                      <w:sz w:val="21"/>
                      <w:szCs w:val="21"/>
                      <w:highlight w:val="none"/>
                      <w:lang w:val="en-US" w:eastAsia="zh-CN" w:bidi="ar"/>
                    </w:rPr>
                    <w:t xml:space="preserve">相应作业区域，同时设置作业界限标志和警示牌。 </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作业区域内应设置危险废物收集专用通道和人员避险通道。</w:t>
                  </w: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 xml:space="preserve">收集时配备收集工具和包装物，以及必要的应急监测设备及应急装备。 </w:t>
                  </w: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填写危险废物收集记录表，并保存。</w:t>
                  </w:r>
                  <w:r>
                    <w:rPr>
                      <w:rFonts w:hint="default" w:ascii="Times New Roman" w:hAnsi="Times New Roman" w:eastAsia="宋体" w:cs="Times New Roman"/>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收集结束后清理和恢复收集作业区域，确保作业区域环境整洁安全。</w:t>
                  </w:r>
                </w:p>
                <w:p w14:paraId="2BB87AEB">
                  <w:pPr>
                    <w:keepNext w:val="0"/>
                    <w:keepLines w:val="0"/>
                    <w:widowControl/>
                    <w:suppressLineNumbers w:val="0"/>
                    <w:jc w:val="left"/>
                    <w:rPr>
                      <w:rFonts w:hint="default" w:ascii="宋体" w:hAnsi="宋体" w:eastAsia="宋体" w:cs="宋体"/>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收集过危险废物的容器、设备、设施、场所及其它物品转作</w:t>
                  </w:r>
                  <w:r>
                    <w:rPr>
                      <w:rFonts w:hint="eastAsia" w:ascii="宋体" w:hAnsi="宋体" w:cs="宋体"/>
                      <w:color w:val="auto"/>
                      <w:kern w:val="0"/>
                      <w:sz w:val="21"/>
                      <w:szCs w:val="21"/>
                      <w:highlight w:val="none"/>
                      <w:lang w:val="en-US" w:eastAsia="zh-CN" w:bidi="ar"/>
                    </w:rPr>
                    <w:t>他</w:t>
                  </w:r>
                  <w:r>
                    <w:rPr>
                      <w:rFonts w:hint="eastAsia" w:ascii="宋体" w:hAnsi="宋体" w:eastAsia="宋体" w:cs="宋体"/>
                      <w:color w:val="auto"/>
                      <w:kern w:val="0"/>
                      <w:sz w:val="21"/>
                      <w:szCs w:val="21"/>
                      <w:highlight w:val="none"/>
                      <w:lang w:val="en-US" w:eastAsia="zh-CN" w:bidi="ar"/>
                    </w:rPr>
                    <w:t>用时，应消除污染，确保其使用安全。</w:t>
                  </w:r>
                </w:p>
              </w:tc>
              <w:tc>
                <w:tcPr>
                  <w:tcW w:w="577" w:type="pct"/>
                  <w:vAlign w:val="center"/>
                </w:tcPr>
                <w:p w14:paraId="222666B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2097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0D8D861C">
                  <w:pPr>
                    <w:adjustRightInd w:val="0"/>
                    <w:snapToGrid w:val="0"/>
                    <w:jc w:val="center"/>
                    <w:rPr>
                      <w:rFonts w:hint="eastAsia"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7</w:t>
                  </w:r>
                </w:p>
              </w:tc>
              <w:tc>
                <w:tcPr>
                  <w:tcW w:w="2334" w:type="pct"/>
                  <w:vAlign w:val="center"/>
                </w:tcPr>
                <w:p w14:paraId="2D1ECF20">
                  <w:pPr>
                    <w:keepNext w:val="0"/>
                    <w:keepLines w:val="0"/>
                    <w:widowControl/>
                    <w:suppressLineNumbers w:val="0"/>
                    <w:jc w:val="left"/>
                    <w:rPr>
                      <w:rFonts w:hint="default" w:ascii="Times New Roman" w:hAnsi="Times New Roman" w:cs="Times New Roman"/>
                      <w:color w:val="auto"/>
                      <w:kern w:val="0"/>
                      <w:szCs w:val="21"/>
                      <w:highlight w:val="none"/>
                    </w:rPr>
                  </w:pPr>
                  <w:r>
                    <w:rPr>
                      <w:rFonts w:hint="eastAsia" w:ascii="宋体" w:hAnsi="宋体" w:eastAsia="宋体" w:cs="宋体"/>
                      <w:color w:val="auto"/>
                      <w:kern w:val="0"/>
                      <w:sz w:val="21"/>
                      <w:szCs w:val="21"/>
                      <w:highlight w:val="none"/>
                      <w:lang w:val="en-US" w:eastAsia="zh-CN" w:bidi="ar"/>
                    </w:rPr>
                    <w:t>危险废物内部转运作业应满足：</w:t>
                  </w:r>
                  <w:r>
                    <w:rPr>
                      <w:rFonts w:hint="default" w:ascii="Times New Roman" w:hAnsi="Times New Roman" w:eastAsia="宋体" w:cs="Times New Roman"/>
                      <w:color w:val="auto"/>
                      <w:kern w:val="0"/>
                      <w:sz w:val="21"/>
                      <w:szCs w:val="21"/>
                      <w:highlight w:val="none"/>
                      <w:lang w:val="en-US" w:eastAsia="zh-CN" w:bidi="ar"/>
                    </w:rPr>
                    <w:t xml:space="preserve"> (1)</w:t>
                  </w:r>
                  <w:r>
                    <w:rPr>
                      <w:rFonts w:hint="eastAsia" w:ascii="宋体" w:hAnsi="宋体" w:eastAsia="宋体" w:cs="宋体"/>
                      <w:color w:val="auto"/>
                      <w:kern w:val="0"/>
                      <w:sz w:val="21"/>
                      <w:szCs w:val="21"/>
                      <w:highlight w:val="none"/>
                      <w:lang w:val="en-US" w:eastAsia="zh-CN" w:bidi="ar"/>
                    </w:rPr>
                    <w:t>危险废物内部转运应综合考虑厂区的实际情况确定转运路线，尽量避开办公区和生活区。</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危险废物内部转运作业应采用专用的工具，危险废物内部转运应参照标准填写《危险废物厂内转运记录表》。</w:t>
                  </w: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危险废物内部转运结束后，应对转运路线进行检查和清理，确保无危险废物遗失在转运路线上，并对转运工具进行清洗。</w:t>
                  </w:r>
                </w:p>
              </w:tc>
              <w:tc>
                <w:tcPr>
                  <w:tcW w:w="1663" w:type="pct"/>
                  <w:vAlign w:val="center"/>
                </w:tcPr>
                <w:p w14:paraId="6322A404">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eastAsia="宋体" w:cs="Times New Roman"/>
                      <w:color w:val="auto"/>
                      <w:kern w:val="0"/>
                      <w:sz w:val="21"/>
                      <w:szCs w:val="21"/>
                      <w:highlight w:val="none"/>
                      <w:lang w:val="en-US" w:eastAsia="zh-CN" w:bidi="ar"/>
                    </w:rPr>
                    <w:t xml:space="preserve"> (1)</w:t>
                  </w:r>
                  <w:r>
                    <w:rPr>
                      <w:rFonts w:hint="eastAsia" w:cs="Times New Roman"/>
                      <w:color w:val="auto"/>
                      <w:kern w:val="0"/>
                      <w:sz w:val="21"/>
                      <w:szCs w:val="21"/>
                      <w:highlight w:val="none"/>
                      <w:lang w:val="en-US" w:eastAsia="zh-CN" w:bidi="ar"/>
                    </w:rPr>
                    <w:t>本项目</w:t>
                  </w:r>
                  <w:r>
                    <w:rPr>
                      <w:rFonts w:hint="eastAsia" w:ascii="宋体" w:hAnsi="宋体" w:eastAsia="宋体" w:cs="宋体"/>
                      <w:color w:val="auto"/>
                      <w:kern w:val="0"/>
                      <w:sz w:val="21"/>
                      <w:szCs w:val="21"/>
                      <w:highlight w:val="none"/>
                      <w:lang w:val="en-US" w:eastAsia="zh-CN" w:bidi="ar"/>
                    </w:rPr>
                    <w:t>危险废物内部转运</w:t>
                  </w:r>
                  <w:r>
                    <w:rPr>
                      <w:rFonts w:hint="eastAsia" w:ascii="宋体" w:hAnsi="宋体" w:cs="宋体"/>
                      <w:color w:val="auto"/>
                      <w:kern w:val="0"/>
                      <w:sz w:val="21"/>
                      <w:szCs w:val="21"/>
                      <w:highlight w:val="none"/>
                      <w:lang w:val="en-US" w:eastAsia="zh-CN" w:bidi="ar"/>
                    </w:rPr>
                    <w:t>的</w:t>
                  </w:r>
                  <w:r>
                    <w:rPr>
                      <w:rFonts w:hint="eastAsia" w:ascii="宋体" w:hAnsi="宋体" w:eastAsia="宋体" w:cs="宋体"/>
                      <w:color w:val="auto"/>
                      <w:kern w:val="0"/>
                      <w:sz w:val="21"/>
                      <w:szCs w:val="21"/>
                      <w:highlight w:val="none"/>
                      <w:lang w:val="en-US" w:eastAsia="zh-CN" w:bidi="ar"/>
                    </w:rPr>
                    <w:t>转运路线</w:t>
                  </w:r>
                  <w:r>
                    <w:rPr>
                      <w:rFonts w:hint="eastAsia" w:ascii="宋体" w:hAnsi="宋体" w:cs="宋体"/>
                      <w:color w:val="auto"/>
                      <w:kern w:val="0"/>
                      <w:sz w:val="21"/>
                      <w:szCs w:val="21"/>
                      <w:highlight w:val="none"/>
                      <w:lang w:val="en-US" w:eastAsia="zh-CN" w:bidi="ar"/>
                    </w:rPr>
                    <w:t>结合</w:t>
                  </w:r>
                  <w:r>
                    <w:rPr>
                      <w:rFonts w:hint="eastAsia" w:ascii="宋体" w:hAnsi="宋体" w:eastAsia="宋体" w:cs="宋体"/>
                      <w:color w:val="auto"/>
                      <w:kern w:val="0"/>
                      <w:sz w:val="21"/>
                      <w:szCs w:val="21"/>
                      <w:highlight w:val="none"/>
                      <w:lang w:val="en-US" w:eastAsia="zh-CN" w:bidi="ar"/>
                    </w:rPr>
                    <w:t>厂区的实际情况，避开办公区和生活区。</w:t>
                  </w: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危险废物内部转运作业采用专用的工具，</w:t>
                  </w:r>
                  <w:r>
                    <w:rPr>
                      <w:rFonts w:hint="eastAsia" w:ascii="宋体" w:hAnsi="宋体" w:cs="宋体"/>
                      <w:color w:val="auto"/>
                      <w:kern w:val="0"/>
                      <w:sz w:val="21"/>
                      <w:szCs w:val="21"/>
                      <w:highlight w:val="none"/>
                      <w:lang w:val="en-US" w:eastAsia="zh-CN" w:bidi="ar"/>
                    </w:rPr>
                    <w:t>并按要求</w:t>
                  </w:r>
                  <w:r>
                    <w:rPr>
                      <w:rFonts w:hint="eastAsia" w:ascii="宋体" w:hAnsi="宋体" w:eastAsia="宋体" w:cs="宋体"/>
                      <w:color w:val="auto"/>
                      <w:kern w:val="0"/>
                      <w:sz w:val="21"/>
                      <w:szCs w:val="21"/>
                      <w:highlight w:val="none"/>
                      <w:lang w:val="en-US" w:eastAsia="zh-CN" w:bidi="ar"/>
                    </w:rPr>
                    <w:t>填写《危险废物厂内转运记录表》。</w:t>
                  </w: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危险废物内部转运结束后，对转运路线进行检查和清理，确保无危险废物遗失在转运路线上，并对转运工具进行清洗。</w:t>
                  </w:r>
                </w:p>
              </w:tc>
              <w:tc>
                <w:tcPr>
                  <w:tcW w:w="577" w:type="pct"/>
                  <w:vAlign w:val="center"/>
                </w:tcPr>
                <w:p w14:paraId="0FDB4E27">
                  <w:pPr>
                    <w:adjustRightInd w:val="0"/>
                    <w:snapToGrid w:val="0"/>
                    <w:jc w:val="center"/>
                    <w:rPr>
                      <w:rFonts w:hint="eastAsia"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符合</w:t>
                  </w:r>
                </w:p>
              </w:tc>
            </w:tr>
            <w:tr w14:paraId="267B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3340EF16">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8</w:t>
                  </w:r>
                </w:p>
              </w:tc>
              <w:tc>
                <w:tcPr>
                  <w:tcW w:w="2334" w:type="pct"/>
                  <w:vAlign w:val="center"/>
                </w:tcPr>
                <w:p w14:paraId="48BF98B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危险废物贮存设施的选址、设计、建设、运行管理应满足</w:t>
                  </w:r>
                  <w:r>
                    <w:rPr>
                      <w:rFonts w:hint="default" w:ascii="Times New Roman" w:hAnsi="Times New Roman" w:eastAsia="宋体" w:cs="Times New Roman"/>
                      <w:color w:val="auto"/>
                      <w:kern w:val="0"/>
                      <w:sz w:val="21"/>
                      <w:szCs w:val="21"/>
                      <w:highlight w:val="none"/>
                      <w:lang w:val="en-US" w:eastAsia="zh-CN" w:bidi="ar"/>
                    </w:rPr>
                    <w:t>GB18597</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GBZ1</w:t>
                  </w:r>
                  <w:r>
                    <w:rPr>
                      <w:rFonts w:hint="eastAsia" w:ascii="宋体" w:hAnsi="宋体" w:eastAsia="宋体" w:cs="宋体"/>
                      <w:color w:val="auto"/>
                      <w:kern w:val="0"/>
                      <w:sz w:val="21"/>
                      <w:szCs w:val="21"/>
                      <w:highlight w:val="none"/>
                      <w:lang w:val="en-US" w:eastAsia="zh-CN" w:bidi="ar"/>
                    </w:rPr>
                    <w:t>和</w:t>
                  </w:r>
                  <w:r>
                    <w:rPr>
                      <w:rFonts w:hint="default" w:ascii="Times New Roman" w:hAnsi="Times New Roman" w:eastAsia="宋体" w:cs="Times New Roman"/>
                      <w:color w:val="auto"/>
                      <w:kern w:val="0"/>
                      <w:sz w:val="21"/>
                      <w:szCs w:val="21"/>
                      <w:highlight w:val="none"/>
                      <w:lang w:val="en-US" w:eastAsia="zh-CN" w:bidi="ar"/>
                    </w:rPr>
                    <w:t>GBZ2</w:t>
                  </w:r>
                  <w:r>
                    <w:rPr>
                      <w:rFonts w:hint="eastAsia" w:ascii="宋体" w:hAnsi="宋体" w:eastAsia="宋体" w:cs="宋体"/>
                      <w:color w:val="auto"/>
                      <w:kern w:val="0"/>
                      <w:sz w:val="21"/>
                      <w:szCs w:val="21"/>
                      <w:highlight w:val="none"/>
                      <w:lang w:val="en-US" w:eastAsia="zh-CN" w:bidi="ar"/>
                    </w:rPr>
                    <w:t>的有关要求。</w:t>
                  </w:r>
                </w:p>
              </w:tc>
              <w:tc>
                <w:tcPr>
                  <w:tcW w:w="1663" w:type="pct"/>
                  <w:vAlign w:val="center"/>
                </w:tcPr>
                <w:p w14:paraId="1BB170FF">
                  <w:pPr>
                    <w:adjustRightInd w:val="0"/>
                    <w:snapToGrid w:val="0"/>
                    <w:jc w:val="center"/>
                    <w:rPr>
                      <w:rFonts w:hint="default" w:ascii="Times New Roman" w:hAnsi="Times New Roman" w:cs="Times New Roman"/>
                      <w:color w:val="auto"/>
                      <w:kern w:val="0"/>
                      <w:szCs w:val="21"/>
                      <w:highlight w:val="none"/>
                    </w:rPr>
                  </w:pPr>
                  <w:r>
                    <w:rPr>
                      <w:rFonts w:hint="eastAsia" w:ascii="宋体" w:hAnsi="宋体" w:cs="宋体"/>
                      <w:color w:val="auto"/>
                      <w:kern w:val="0"/>
                      <w:sz w:val="21"/>
                      <w:szCs w:val="21"/>
                      <w:highlight w:val="none"/>
                      <w:lang w:val="en-US" w:eastAsia="zh-CN" w:bidi="ar"/>
                    </w:rPr>
                    <w:t>本项目</w:t>
                  </w:r>
                  <w:r>
                    <w:rPr>
                      <w:rFonts w:hint="eastAsia" w:ascii="宋体" w:hAnsi="宋体" w:eastAsia="宋体" w:cs="宋体"/>
                      <w:color w:val="auto"/>
                      <w:kern w:val="0"/>
                      <w:sz w:val="21"/>
                      <w:szCs w:val="21"/>
                      <w:highlight w:val="none"/>
                      <w:lang w:val="en-US" w:eastAsia="zh-CN" w:bidi="ar"/>
                    </w:rPr>
                    <w:t>危险废物贮存设施的选址、设计、建设、运行管理满足</w:t>
                  </w:r>
                  <w:r>
                    <w:rPr>
                      <w:rFonts w:hint="default" w:ascii="Times New Roman" w:hAnsi="Times New Roman" w:eastAsia="宋体" w:cs="Times New Roman"/>
                      <w:color w:val="auto"/>
                      <w:kern w:val="0"/>
                      <w:sz w:val="21"/>
                      <w:szCs w:val="21"/>
                      <w:highlight w:val="none"/>
                      <w:lang w:val="en-US" w:eastAsia="zh-CN" w:bidi="ar"/>
                    </w:rPr>
                    <w:t>GB18597</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GBZ1</w:t>
                  </w:r>
                  <w:r>
                    <w:rPr>
                      <w:rFonts w:hint="eastAsia" w:ascii="宋体" w:hAnsi="宋体" w:eastAsia="宋体" w:cs="宋体"/>
                      <w:color w:val="auto"/>
                      <w:kern w:val="0"/>
                      <w:sz w:val="21"/>
                      <w:szCs w:val="21"/>
                      <w:highlight w:val="none"/>
                      <w:lang w:val="en-US" w:eastAsia="zh-CN" w:bidi="ar"/>
                    </w:rPr>
                    <w:t>和</w:t>
                  </w:r>
                  <w:r>
                    <w:rPr>
                      <w:rFonts w:hint="default" w:ascii="Times New Roman" w:hAnsi="Times New Roman" w:eastAsia="宋体" w:cs="Times New Roman"/>
                      <w:color w:val="auto"/>
                      <w:kern w:val="0"/>
                      <w:sz w:val="21"/>
                      <w:szCs w:val="21"/>
                      <w:highlight w:val="none"/>
                      <w:lang w:val="en-US" w:eastAsia="zh-CN" w:bidi="ar"/>
                    </w:rPr>
                    <w:t>GBZ2</w:t>
                  </w:r>
                  <w:r>
                    <w:rPr>
                      <w:rFonts w:hint="eastAsia" w:ascii="宋体" w:hAnsi="宋体" w:eastAsia="宋体" w:cs="宋体"/>
                      <w:color w:val="auto"/>
                      <w:kern w:val="0"/>
                      <w:sz w:val="21"/>
                      <w:szCs w:val="21"/>
                      <w:highlight w:val="none"/>
                      <w:lang w:val="en-US" w:eastAsia="zh-CN" w:bidi="ar"/>
                    </w:rPr>
                    <w:t>的有关要求。</w:t>
                  </w:r>
                </w:p>
              </w:tc>
              <w:tc>
                <w:tcPr>
                  <w:tcW w:w="577" w:type="pct"/>
                  <w:vAlign w:val="center"/>
                </w:tcPr>
                <w:p w14:paraId="123205D9">
                  <w:pPr>
                    <w:adjustRightInd w:val="0"/>
                    <w:snapToGrid w:val="0"/>
                    <w:jc w:val="center"/>
                    <w:rPr>
                      <w:rFonts w:hint="eastAsia"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符合</w:t>
                  </w:r>
                </w:p>
              </w:tc>
            </w:tr>
            <w:tr w14:paraId="6371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170A4B39">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9</w:t>
                  </w:r>
                </w:p>
              </w:tc>
              <w:tc>
                <w:tcPr>
                  <w:tcW w:w="2334" w:type="pct"/>
                  <w:vAlign w:val="center"/>
                </w:tcPr>
                <w:p w14:paraId="24EE28D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危险废物贮存设施应配备通讯设备、照明设施和消防设施。</w:t>
                  </w:r>
                </w:p>
              </w:tc>
              <w:tc>
                <w:tcPr>
                  <w:tcW w:w="1663" w:type="pct"/>
                  <w:vAlign w:val="center"/>
                </w:tcPr>
                <w:p w14:paraId="4ECCFC35">
                  <w:pPr>
                    <w:adjustRightInd w:val="0"/>
                    <w:snapToGrid w:val="0"/>
                    <w:jc w:val="center"/>
                    <w:rPr>
                      <w:rFonts w:hint="default" w:ascii="Times New Roman" w:hAnsi="Times New Roman" w:cs="Times New Roman"/>
                      <w:color w:val="auto"/>
                      <w:kern w:val="0"/>
                      <w:szCs w:val="21"/>
                      <w:highlight w:val="none"/>
                    </w:rPr>
                  </w:pPr>
                  <w:r>
                    <w:rPr>
                      <w:rFonts w:hint="eastAsia" w:ascii="宋体" w:hAnsi="宋体" w:cs="宋体"/>
                      <w:color w:val="auto"/>
                      <w:kern w:val="0"/>
                      <w:sz w:val="21"/>
                      <w:szCs w:val="21"/>
                      <w:highlight w:val="none"/>
                      <w:lang w:val="en-US" w:eastAsia="zh-CN" w:bidi="ar"/>
                    </w:rPr>
                    <w:t>本项目</w:t>
                  </w:r>
                  <w:r>
                    <w:rPr>
                      <w:rFonts w:hint="eastAsia" w:ascii="宋体" w:hAnsi="宋体" w:eastAsia="宋体" w:cs="宋体"/>
                      <w:color w:val="auto"/>
                      <w:kern w:val="0"/>
                      <w:sz w:val="21"/>
                      <w:szCs w:val="21"/>
                      <w:highlight w:val="none"/>
                      <w:lang w:val="en-US" w:eastAsia="zh-CN" w:bidi="ar"/>
                    </w:rPr>
                    <w:t>危险废物贮存设施</w:t>
                  </w:r>
                  <w:r>
                    <w:rPr>
                      <w:rFonts w:hint="eastAsia" w:ascii="宋体" w:hAnsi="宋体" w:cs="宋体"/>
                      <w:color w:val="auto"/>
                      <w:kern w:val="0"/>
                      <w:sz w:val="21"/>
                      <w:szCs w:val="21"/>
                      <w:highlight w:val="none"/>
                      <w:lang w:val="en-US" w:eastAsia="zh-CN" w:bidi="ar"/>
                    </w:rPr>
                    <w:t>按要求</w:t>
                  </w:r>
                  <w:r>
                    <w:rPr>
                      <w:rFonts w:hint="eastAsia" w:ascii="宋体" w:hAnsi="宋体" w:eastAsia="宋体" w:cs="宋体"/>
                      <w:color w:val="auto"/>
                      <w:kern w:val="0"/>
                      <w:sz w:val="21"/>
                      <w:szCs w:val="21"/>
                      <w:highlight w:val="none"/>
                      <w:lang w:val="en-US" w:eastAsia="zh-CN" w:bidi="ar"/>
                    </w:rPr>
                    <w:t>配备通讯设备、照明设施和消防设施。</w:t>
                  </w:r>
                </w:p>
              </w:tc>
              <w:tc>
                <w:tcPr>
                  <w:tcW w:w="577" w:type="pct"/>
                  <w:vAlign w:val="center"/>
                </w:tcPr>
                <w:p w14:paraId="7998FF4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09E0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2C066B08">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10</w:t>
                  </w:r>
                </w:p>
              </w:tc>
              <w:tc>
                <w:tcPr>
                  <w:tcW w:w="2334" w:type="pct"/>
                  <w:vAlign w:val="center"/>
                </w:tcPr>
                <w:p w14:paraId="12941B3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贮存危险废物时应按危险废物的种类和特性进行分区贮存，每个贮存区域之间宜设置挡 墙间隔，并应设置防雨、防火、防雷、防扬尘装置。</w:t>
                  </w:r>
                </w:p>
              </w:tc>
              <w:tc>
                <w:tcPr>
                  <w:tcW w:w="1663" w:type="pct"/>
                  <w:shd w:val="clear" w:color="auto" w:fill="auto"/>
                  <w:vAlign w:val="center"/>
                </w:tcPr>
                <w:p w14:paraId="779C60FF">
                  <w:pPr>
                    <w:keepNext w:val="0"/>
                    <w:keepLines w:val="0"/>
                    <w:widowControl/>
                    <w:suppressLineNumbers w:val="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本项目危险废物暂存库</w:t>
                  </w:r>
                  <w:r>
                    <w:rPr>
                      <w:rFonts w:hint="eastAsia" w:ascii="宋体" w:hAnsi="宋体" w:eastAsia="宋体" w:cs="宋体"/>
                      <w:color w:val="auto"/>
                      <w:kern w:val="0"/>
                      <w:sz w:val="21"/>
                      <w:szCs w:val="21"/>
                      <w:highlight w:val="none"/>
                      <w:lang w:val="en-US" w:eastAsia="zh-CN" w:bidi="ar"/>
                    </w:rPr>
                    <w:t>进行分区贮存，贮存区域之间宜设置挡墙间隔，并设置防雨、防火、防雷、防扬尘装置。</w:t>
                  </w:r>
                </w:p>
              </w:tc>
              <w:tc>
                <w:tcPr>
                  <w:tcW w:w="577" w:type="pct"/>
                  <w:vAlign w:val="center"/>
                </w:tcPr>
                <w:p w14:paraId="35381FF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1233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76CC4870">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11</w:t>
                  </w:r>
                </w:p>
              </w:tc>
              <w:tc>
                <w:tcPr>
                  <w:tcW w:w="2334" w:type="pct"/>
                  <w:vAlign w:val="center"/>
                </w:tcPr>
                <w:p w14:paraId="09B79BC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贮存易燃易爆危险废物应配置有机气体报警、火灾报警装置和导出静电的接地装置。</w:t>
                  </w:r>
                </w:p>
              </w:tc>
              <w:tc>
                <w:tcPr>
                  <w:tcW w:w="1663" w:type="pct"/>
                  <w:shd w:val="clear" w:color="auto" w:fill="auto"/>
                  <w:vAlign w:val="center"/>
                </w:tcPr>
                <w:p w14:paraId="0CE5AC1A">
                  <w:pPr>
                    <w:keepNext w:val="0"/>
                    <w:keepLines w:val="0"/>
                    <w:widowControl/>
                    <w:suppressLineNumbers w:val="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本项目按要求</w:t>
                  </w:r>
                  <w:r>
                    <w:rPr>
                      <w:rFonts w:hint="eastAsia" w:ascii="宋体" w:hAnsi="宋体" w:eastAsia="宋体" w:cs="宋体"/>
                      <w:color w:val="auto"/>
                      <w:kern w:val="0"/>
                      <w:sz w:val="21"/>
                      <w:szCs w:val="21"/>
                      <w:highlight w:val="none"/>
                      <w:lang w:val="en-US" w:eastAsia="zh-CN" w:bidi="ar"/>
                    </w:rPr>
                    <w:t>配置有机气体报警、火灾报警装置和导出静电的接地装置。</w:t>
                  </w:r>
                </w:p>
              </w:tc>
              <w:tc>
                <w:tcPr>
                  <w:tcW w:w="577" w:type="pct"/>
                  <w:vAlign w:val="center"/>
                </w:tcPr>
                <w:p w14:paraId="6233E5F3">
                  <w:pPr>
                    <w:adjustRightInd w:val="0"/>
                    <w:snapToGrid w:val="0"/>
                    <w:jc w:val="center"/>
                    <w:rPr>
                      <w:rFonts w:hint="eastAsia" w:ascii="Times New Roman" w:hAnsi="Times New Roman" w:eastAsia="宋体" w:cs="Times New Roman"/>
                      <w:color w:val="auto"/>
                      <w:kern w:val="0"/>
                      <w:szCs w:val="21"/>
                      <w:highlight w:val="none"/>
                      <w:lang w:val="en-US" w:eastAsia="zh-CN"/>
                    </w:rPr>
                  </w:pPr>
                  <w:r>
                    <w:rPr>
                      <w:rFonts w:hint="eastAsia"/>
                      <w:color w:val="auto"/>
                      <w:highlight w:val="none"/>
                      <w:lang w:val="en-US" w:eastAsia="zh-CN"/>
                    </w:rPr>
                    <w:t>符合</w:t>
                  </w:r>
                </w:p>
              </w:tc>
            </w:tr>
            <w:tr w14:paraId="2355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4D59FF5E">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12</w:t>
                  </w:r>
                </w:p>
              </w:tc>
              <w:tc>
                <w:tcPr>
                  <w:tcW w:w="2334" w:type="pct"/>
                  <w:vAlign w:val="center"/>
                </w:tcPr>
                <w:p w14:paraId="15B4861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废弃危险化学品贮存应满足</w:t>
                  </w:r>
                  <w:r>
                    <w:rPr>
                      <w:rFonts w:hint="default" w:ascii="Times New Roman" w:hAnsi="Times New Roman" w:eastAsia="宋体" w:cs="Times New Roman"/>
                      <w:color w:val="auto"/>
                      <w:kern w:val="0"/>
                      <w:sz w:val="21"/>
                      <w:szCs w:val="21"/>
                      <w:highlight w:val="none"/>
                      <w:lang w:val="en-US" w:eastAsia="zh-CN" w:bidi="ar"/>
                    </w:rPr>
                    <w:t>GB 15603</w:t>
                  </w:r>
                  <w:r>
                    <w:rPr>
                      <w:rFonts w:hint="eastAsia" w:ascii="宋体" w:hAnsi="宋体" w:eastAsia="宋体" w:cs="宋体"/>
                      <w:color w:val="auto"/>
                      <w:kern w:val="0"/>
                      <w:sz w:val="21"/>
                      <w:szCs w:val="21"/>
                      <w:highlight w:val="none"/>
                      <w:lang w:val="en-US" w:eastAsia="zh-CN" w:bidi="ar"/>
                    </w:rPr>
                    <w:t>、《危险化学品安全管理条例</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废弃危险化学品污染环境防治办法》的要求。贮存废弃剧毒化学品还应充分考虑防盗要求，采用双钥匙封闭式管理，且有专人</w:t>
                  </w:r>
                  <w:r>
                    <w:rPr>
                      <w:rFonts w:hint="default" w:ascii="Times New Roman" w:hAnsi="Times New Roman"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小时看管。</w:t>
                  </w:r>
                </w:p>
              </w:tc>
              <w:tc>
                <w:tcPr>
                  <w:tcW w:w="1663" w:type="pct"/>
                  <w:vAlign w:val="center"/>
                </w:tcPr>
                <w:p w14:paraId="063E3421">
                  <w:pPr>
                    <w:adjustRightInd w:val="0"/>
                    <w:snapToGrid w:val="0"/>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本项目无危险化学品贮存。</w:t>
                  </w:r>
                </w:p>
              </w:tc>
              <w:tc>
                <w:tcPr>
                  <w:tcW w:w="577" w:type="pct"/>
                  <w:vAlign w:val="center"/>
                </w:tcPr>
                <w:p w14:paraId="75DC6A1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r w14:paraId="1BCE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3" w:type="pct"/>
                  <w:vAlign w:val="center"/>
                </w:tcPr>
                <w:p w14:paraId="6F4E9332">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13</w:t>
                  </w:r>
                </w:p>
              </w:tc>
              <w:tc>
                <w:tcPr>
                  <w:tcW w:w="2334" w:type="pct"/>
                  <w:vAlign w:val="center"/>
                </w:tcPr>
                <w:p w14:paraId="053628A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危险废物贮存单位应建立危险废物贮存的</w:t>
                  </w:r>
                  <w:r>
                    <w:rPr>
                      <w:rFonts w:hint="eastAsia" w:ascii="宋体" w:hAnsi="宋体" w:cs="宋体"/>
                      <w:color w:val="auto"/>
                      <w:kern w:val="0"/>
                      <w:sz w:val="21"/>
                      <w:szCs w:val="21"/>
                      <w:highlight w:val="none"/>
                      <w:lang w:val="en-US" w:eastAsia="zh-CN" w:bidi="ar"/>
                    </w:rPr>
                    <w:t>台账制度</w:t>
                  </w:r>
                  <w:r>
                    <w:rPr>
                      <w:rFonts w:hint="eastAsia" w:ascii="宋体" w:hAnsi="宋体" w:eastAsia="宋体" w:cs="宋体"/>
                      <w:color w:val="auto"/>
                      <w:kern w:val="0"/>
                      <w:sz w:val="21"/>
                      <w:szCs w:val="21"/>
                      <w:highlight w:val="none"/>
                      <w:lang w:val="en-US" w:eastAsia="zh-CN" w:bidi="ar"/>
                    </w:rPr>
                    <w:t>。</w:t>
                  </w:r>
                </w:p>
              </w:tc>
              <w:tc>
                <w:tcPr>
                  <w:tcW w:w="1663" w:type="pct"/>
                  <w:vAlign w:val="center"/>
                </w:tcPr>
                <w:p w14:paraId="12014215">
                  <w:pPr>
                    <w:adjustRightInd w:val="0"/>
                    <w:snapToGrid w:val="0"/>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本项目按要求设立台账。</w:t>
                  </w:r>
                </w:p>
              </w:tc>
              <w:tc>
                <w:tcPr>
                  <w:tcW w:w="577" w:type="pct"/>
                  <w:vAlign w:val="center"/>
                </w:tcPr>
                <w:p w14:paraId="06BB1A5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符合</w:t>
                  </w:r>
                </w:p>
              </w:tc>
            </w:tr>
          </w:tbl>
          <w:p w14:paraId="3EC6FE4F">
            <w:pPr>
              <w:widowControl/>
              <w:spacing w:line="360" w:lineRule="auto"/>
              <w:jc w:val="center"/>
              <w:rPr>
                <w:rFonts w:hint="default" w:ascii="Times New Roman" w:hAnsi="Times New Roman" w:eastAsia="宋体" w:cs="Times New Roman"/>
                <w:b/>
                <w:bCs/>
                <w:color w:val="auto"/>
                <w:kern w:val="0"/>
                <w:sz w:val="21"/>
                <w:szCs w:val="21"/>
                <w:highlight w:val="none"/>
                <w:lang w:bidi="ar"/>
              </w:rPr>
            </w:pPr>
            <w:r>
              <w:rPr>
                <w:rFonts w:hint="default" w:ascii="Times New Roman" w:hAnsi="Times New Roman" w:eastAsia="宋体" w:cs="Times New Roman"/>
                <w:b/>
                <w:bCs/>
                <w:color w:val="auto"/>
                <w:kern w:val="0"/>
                <w:sz w:val="21"/>
                <w:szCs w:val="21"/>
                <w:highlight w:val="none"/>
                <w:lang w:val="en-US" w:eastAsia="zh-CN" w:bidi="ar"/>
              </w:rPr>
              <w:t>表1-</w:t>
            </w:r>
            <w:r>
              <w:rPr>
                <w:rFonts w:hint="eastAsia" w:ascii="Times New Roman" w:hAnsi="Times New Roman" w:eastAsia="宋体" w:cs="Times New Roman"/>
                <w:b/>
                <w:bCs/>
                <w:color w:val="auto"/>
                <w:kern w:val="0"/>
                <w:sz w:val="21"/>
                <w:szCs w:val="21"/>
                <w:highlight w:val="none"/>
                <w:lang w:val="en-US" w:eastAsia="zh-CN" w:bidi="ar"/>
              </w:rPr>
              <w:t>6《内蒙古自治区固体废物污染环境防治条例》相符性分析</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3606"/>
              <w:gridCol w:w="2121"/>
              <w:gridCol w:w="876"/>
            </w:tblGrid>
            <w:tr w14:paraId="06C2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2" w:type="dxa"/>
                  <w:vAlign w:val="center"/>
                </w:tcPr>
                <w:p w14:paraId="503C1807">
                  <w:pPr>
                    <w:adjustRightInd w:val="0"/>
                    <w:snapToGrid w:val="0"/>
                    <w:jc w:val="center"/>
                    <w:rPr>
                      <w:rFonts w:hint="eastAsia" w:ascii="Times New Roman" w:hAnsi="Times New Roman" w:cs="Times New Roman"/>
                      <w:b/>
                      <w:color w:val="auto"/>
                      <w:kern w:val="0"/>
                      <w:szCs w:val="21"/>
                      <w:highlight w:val="none"/>
                      <w:lang w:val="en-US" w:eastAsia="zh-CN"/>
                    </w:rPr>
                  </w:pPr>
                  <w:r>
                    <w:rPr>
                      <w:rFonts w:hint="eastAsia" w:ascii="Times New Roman" w:hAnsi="Times New Roman" w:cs="Times New Roman"/>
                      <w:b/>
                      <w:color w:val="auto"/>
                      <w:kern w:val="0"/>
                      <w:szCs w:val="21"/>
                      <w:highlight w:val="none"/>
                      <w:lang w:val="en-US" w:eastAsia="zh-CN"/>
                    </w:rPr>
                    <w:t>序号</w:t>
                  </w:r>
                </w:p>
              </w:tc>
              <w:tc>
                <w:tcPr>
                  <w:tcW w:w="3606" w:type="dxa"/>
                  <w:vAlign w:val="center"/>
                </w:tcPr>
                <w:p w14:paraId="3C393647">
                  <w:pPr>
                    <w:adjustRightInd w:val="0"/>
                    <w:snapToGrid w:val="0"/>
                    <w:jc w:val="center"/>
                    <w:rPr>
                      <w:rFonts w:hint="default" w:ascii="Times New Roman" w:hAnsi="Times New Roman" w:cs="Times New Roman"/>
                      <w:b/>
                      <w:color w:val="auto"/>
                      <w:kern w:val="0"/>
                      <w:szCs w:val="21"/>
                      <w:highlight w:val="none"/>
                      <w:lang w:val="en-US" w:eastAsia="zh-CN"/>
                    </w:rPr>
                  </w:pPr>
                  <w:r>
                    <w:rPr>
                      <w:rFonts w:hint="eastAsia" w:cs="Times New Roman"/>
                      <w:b/>
                      <w:color w:val="auto"/>
                      <w:kern w:val="0"/>
                      <w:szCs w:val="21"/>
                      <w:highlight w:val="none"/>
                      <w:lang w:val="en-US" w:eastAsia="zh-CN"/>
                    </w:rPr>
                    <w:t>标准要求</w:t>
                  </w:r>
                </w:p>
              </w:tc>
              <w:tc>
                <w:tcPr>
                  <w:tcW w:w="2121" w:type="dxa"/>
                  <w:vAlign w:val="center"/>
                </w:tcPr>
                <w:p w14:paraId="07591589">
                  <w:pPr>
                    <w:adjustRightInd w:val="0"/>
                    <w:snapToGrid w:val="0"/>
                    <w:jc w:val="center"/>
                    <w:rPr>
                      <w:rFonts w:hint="default" w:ascii="Times New Roman" w:hAnsi="Times New Roman" w:cs="Times New Roman"/>
                      <w:b/>
                      <w:color w:val="auto"/>
                      <w:kern w:val="0"/>
                      <w:szCs w:val="21"/>
                      <w:highlight w:val="none"/>
                      <w:lang w:val="en-US" w:eastAsia="zh-CN"/>
                    </w:rPr>
                  </w:pPr>
                  <w:r>
                    <w:rPr>
                      <w:rFonts w:hint="eastAsia" w:cs="Times New Roman"/>
                      <w:b/>
                      <w:color w:val="auto"/>
                      <w:kern w:val="0"/>
                      <w:szCs w:val="21"/>
                      <w:highlight w:val="none"/>
                      <w:lang w:val="en-US" w:eastAsia="zh-CN"/>
                    </w:rPr>
                    <w:t>项目情况</w:t>
                  </w:r>
                </w:p>
              </w:tc>
              <w:tc>
                <w:tcPr>
                  <w:tcW w:w="876" w:type="dxa"/>
                  <w:vAlign w:val="center"/>
                </w:tcPr>
                <w:p w14:paraId="5D0E9C91">
                  <w:pPr>
                    <w:adjustRightInd w:val="0"/>
                    <w:snapToGrid w:val="0"/>
                    <w:jc w:val="center"/>
                    <w:rPr>
                      <w:rFonts w:hint="default" w:ascii="Times New Roman" w:hAnsi="Times New Roman" w:cs="Times New Roman"/>
                      <w:b/>
                      <w:color w:val="auto"/>
                      <w:kern w:val="0"/>
                      <w:szCs w:val="21"/>
                      <w:highlight w:val="none"/>
                      <w:lang w:val="en-US" w:eastAsia="zh-CN"/>
                    </w:rPr>
                  </w:pPr>
                  <w:r>
                    <w:rPr>
                      <w:rFonts w:hint="eastAsia" w:cs="Times New Roman"/>
                      <w:b/>
                      <w:color w:val="auto"/>
                      <w:kern w:val="0"/>
                      <w:szCs w:val="21"/>
                      <w:highlight w:val="none"/>
                      <w:lang w:val="en-US" w:eastAsia="zh-CN"/>
                    </w:rPr>
                    <w:t>符合性分析</w:t>
                  </w:r>
                </w:p>
              </w:tc>
            </w:tr>
            <w:tr w14:paraId="0301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dxa"/>
                  <w:vAlign w:val="center"/>
                </w:tcPr>
                <w:p w14:paraId="61E873C4">
                  <w:pPr>
                    <w:adjustRightInd w:val="0"/>
                    <w:snapToGrid w:val="0"/>
                    <w:jc w:val="center"/>
                    <w:rPr>
                      <w:rFonts w:hint="eastAsia" w:cs="Times New Roman"/>
                      <w:color w:val="auto"/>
                      <w:kern w:val="0"/>
                      <w:szCs w:val="21"/>
                      <w:highlight w:val="none"/>
                      <w:lang w:val="en-US" w:eastAsia="zh-CN"/>
                    </w:rPr>
                  </w:pPr>
                  <w:r>
                    <w:rPr>
                      <w:rFonts w:hint="eastAsia" w:cs="Times New Roman"/>
                      <w:color w:val="auto"/>
                      <w:kern w:val="0"/>
                      <w:szCs w:val="21"/>
                      <w:highlight w:val="none"/>
                      <w:lang w:val="en-US" w:eastAsia="zh-CN"/>
                    </w:rPr>
                    <w:t>1</w:t>
                  </w:r>
                </w:p>
              </w:tc>
              <w:tc>
                <w:tcPr>
                  <w:tcW w:w="3606" w:type="dxa"/>
                  <w:vAlign w:val="center"/>
                </w:tcPr>
                <w:p w14:paraId="39550A81">
                  <w:pPr>
                    <w:keepNext w:val="0"/>
                    <w:keepLines w:val="0"/>
                    <w:widowControl/>
                    <w:suppressLineNumbers w:val="0"/>
                    <w:jc w:val="center"/>
                    <w:rPr>
                      <w:rFonts w:hint="default" w:cs="Times New Roman"/>
                      <w:color w:val="auto"/>
                      <w:kern w:val="0"/>
                      <w:szCs w:val="21"/>
                      <w:highlight w:val="none"/>
                      <w:lang w:val="en-US" w:eastAsia="zh-CN"/>
                    </w:rPr>
                  </w:pPr>
                  <w:r>
                    <w:rPr>
                      <w:rFonts w:hint="eastAsia" w:ascii="宋体" w:hAnsi="宋体" w:eastAsia="宋体" w:cs="宋体"/>
                      <w:color w:val="auto"/>
                      <w:kern w:val="0"/>
                      <w:sz w:val="21"/>
                      <w:szCs w:val="21"/>
                      <w:highlight w:val="none"/>
                      <w:lang w:val="en-US" w:eastAsia="zh-CN" w:bidi="ar"/>
                    </w:rPr>
                    <w:t>产生危险废物的单位，应当按照国家有关规定和环境保护要求贮存、利用、处置危险废物，不得擅自倾倒、堆放、填埋</w:t>
                  </w:r>
                  <w:r>
                    <w:rPr>
                      <w:rFonts w:hint="eastAsia" w:ascii="宋体" w:hAnsi="宋体" w:cs="宋体"/>
                      <w:color w:val="auto"/>
                      <w:kern w:val="0"/>
                      <w:sz w:val="21"/>
                      <w:szCs w:val="21"/>
                      <w:highlight w:val="none"/>
                      <w:lang w:val="en-US" w:eastAsia="zh-CN" w:bidi="ar"/>
                    </w:rPr>
                    <w:t>。</w:t>
                  </w:r>
                </w:p>
              </w:tc>
              <w:tc>
                <w:tcPr>
                  <w:tcW w:w="2121" w:type="dxa"/>
                  <w:vAlign w:val="center"/>
                </w:tcPr>
                <w:p w14:paraId="55A9C591">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本项目按要求进行危险废物的暂存，定期交由有资质单位处置。</w:t>
                  </w:r>
                </w:p>
              </w:tc>
              <w:tc>
                <w:tcPr>
                  <w:tcW w:w="876" w:type="dxa"/>
                  <w:vAlign w:val="center"/>
                </w:tcPr>
                <w:p w14:paraId="2762A4DD">
                  <w:pPr>
                    <w:adjustRightInd w:val="0"/>
                    <w:snapToGrid w:val="0"/>
                    <w:jc w:val="center"/>
                    <w:rPr>
                      <w:rFonts w:hint="default"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符合</w:t>
                  </w:r>
                </w:p>
              </w:tc>
            </w:tr>
            <w:tr w14:paraId="6F82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dxa"/>
                  <w:vAlign w:val="center"/>
                </w:tcPr>
                <w:p w14:paraId="4377154A">
                  <w:pPr>
                    <w:adjustRightInd w:val="0"/>
                    <w:snapToGrid w:val="0"/>
                    <w:jc w:val="center"/>
                    <w:rPr>
                      <w:rFonts w:hint="eastAsia" w:cs="Times New Roman"/>
                      <w:color w:val="auto"/>
                      <w:kern w:val="0"/>
                      <w:szCs w:val="21"/>
                      <w:highlight w:val="none"/>
                      <w:lang w:val="en-US" w:eastAsia="zh-CN"/>
                    </w:rPr>
                  </w:pPr>
                  <w:r>
                    <w:rPr>
                      <w:rFonts w:hint="eastAsia" w:cs="Times New Roman"/>
                      <w:color w:val="auto"/>
                      <w:kern w:val="0"/>
                      <w:szCs w:val="21"/>
                      <w:highlight w:val="none"/>
                      <w:lang w:val="en-US" w:eastAsia="zh-CN"/>
                    </w:rPr>
                    <w:t>2</w:t>
                  </w:r>
                </w:p>
              </w:tc>
              <w:tc>
                <w:tcPr>
                  <w:tcW w:w="3606" w:type="dxa"/>
                  <w:vAlign w:val="center"/>
                </w:tcPr>
                <w:p w14:paraId="5882F865">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产生危险废物的单位应当按照国家有关规定和环境保护标准要求贮存危险废物，贮存期限不得超过一年；确需延长期限的，应当在到期前三十日内报所在地盟行政公署、设区的市人民政府生态环境主管部门批准。</w:t>
                  </w:r>
                </w:p>
              </w:tc>
              <w:tc>
                <w:tcPr>
                  <w:tcW w:w="2121" w:type="dxa"/>
                  <w:vAlign w:val="center"/>
                </w:tcPr>
                <w:p w14:paraId="11A89BCB">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本项目危险废物暂存期不超过一年，并定期交由有资质单位处置。</w:t>
                  </w:r>
                </w:p>
              </w:tc>
              <w:tc>
                <w:tcPr>
                  <w:tcW w:w="876" w:type="dxa"/>
                  <w:vAlign w:val="center"/>
                </w:tcPr>
                <w:p w14:paraId="260AA848">
                  <w:pPr>
                    <w:adjustRightInd w:val="0"/>
                    <w:snapToGrid w:val="0"/>
                    <w:jc w:val="center"/>
                    <w:rPr>
                      <w:rFonts w:hint="default"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符合</w:t>
                  </w:r>
                </w:p>
              </w:tc>
            </w:tr>
            <w:tr w14:paraId="188E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dxa"/>
                  <w:vAlign w:val="center"/>
                </w:tcPr>
                <w:p w14:paraId="0D5D060F">
                  <w:pPr>
                    <w:adjustRightInd w:val="0"/>
                    <w:snapToGrid w:val="0"/>
                    <w:jc w:val="center"/>
                    <w:rPr>
                      <w:rFonts w:hint="eastAsia" w:cs="Times New Roman"/>
                      <w:color w:val="auto"/>
                      <w:kern w:val="0"/>
                      <w:szCs w:val="21"/>
                      <w:highlight w:val="none"/>
                      <w:lang w:val="en-US" w:eastAsia="zh-CN"/>
                    </w:rPr>
                  </w:pPr>
                  <w:r>
                    <w:rPr>
                      <w:rFonts w:hint="eastAsia" w:cs="Times New Roman"/>
                      <w:color w:val="auto"/>
                      <w:kern w:val="0"/>
                      <w:szCs w:val="21"/>
                      <w:highlight w:val="none"/>
                      <w:lang w:val="en-US" w:eastAsia="zh-CN"/>
                    </w:rPr>
                    <w:t>3</w:t>
                  </w:r>
                </w:p>
              </w:tc>
              <w:tc>
                <w:tcPr>
                  <w:tcW w:w="3606" w:type="dxa"/>
                  <w:vAlign w:val="center"/>
                </w:tcPr>
                <w:p w14:paraId="2F45DDAC">
                  <w:pPr>
                    <w:keepNext w:val="0"/>
                    <w:keepLines w:val="0"/>
                    <w:widowControl/>
                    <w:suppressLineNumbers w:val="0"/>
                    <w:jc w:val="center"/>
                    <w:rPr>
                      <w:rFonts w:hint="default" w:cs="Times New Roman"/>
                      <w:color w:val="auto"/>
                      <w:kern w:val="0"/>
                      <w:szCs w:val="21"/>
                      <w:highlight w:val="none"/>
                      <w:lang w:val="en-US" w:eastAsia="zh-CN"/>
                    </w:rPr>
                  </w:pPr>
                  <w:r>
                    <w:rPr>
                      <w:rFonts w:hint="eastAsia" w:ascii="宋体" w:hAnsi="宋体" w:eastAsia="宋体" w:cs="宋体"/>
                      <w:color w:val="auto"/>
                      <w:kern w:val="0"/>
                      <w:sz w:val="21"/>
                      <w:szCs w:val="21"/>
                      <w:highlight w:val="none"/>
                      <w:lang w:val="en-US" w:eastAsia="zh-CN" w:bidi="ar"/>
                    </w:rPr>
                    <w:t>产生、经营危险废物的单位应当建立危险废物管理台账，如实记录危险废物的种类、数量、流向、贮存、利用、处置等信息。危险废物管理台账应当至少保存十年，以填埋方式处置危险废物的经营情况的记录应当永久保存。</w:t>
                  </w:r>
                </w:p>
              </w:tc>
              <w:tc>
                <w:tcPr>
                  <w:tcW w:w="2121" w:type="dxa"/>
                  <w:vAlign w:val="center"/>
                </w:tcPr>
                <w:p w14:paraId="55E60559">
                  <w:pPr>
                    <w:adjustRightInd w:val="0"/>
                    <w:snapToGrid w:val="0"/>
                    <w:jc w:val="center"/>
                    <w:rPr>
                      <w:rFonts w:hint="default" w:cs="Times New Roman"/>
                      <w:color w:val="auto"/>
                      <w:kern w:val="0"/>
                      <w:szCs w:val="21"/>
                      <w:highlight w:val="none"/>
                      <w:lang w:val="en-US" w:eastAsia="zh-CN"/>
                    </w:rPr>
                  </w:pPr>
                  <w:r>
                    <w:rPr>
                      <w:rFonts w:hint="eastAsia" w:cs="Times New Roman"/>
                      <w:color w:val="auto"/>
                      <w:kern w:val="0"/>
                      <w:szCs w:val="21"/>
                      <w:highlight w:val="none"/>
                      <w:lang w:val="en-US" w:eastAsia="zh-CN"/>
                    </w:rPr>
                    <w:t>本项目</w:t>
                  </w:r>
                  <w:r>
                    <w:rPr>
                      <w:rFonts w:hint="eastAsia" w:ascii="宋体" w:hAnsi="宋体" w:eastAsia="宋体" w:cs="宋体"/>
                      <w:color w:val="auto"/>
                      <w:kern w:val="0"/>
                      <w:sz w:val="21"/>
                      <w:szCs w:val="21"/>
                      <w:highlight w:val="none"/>
                      <w:lang w:val="en-US" w:eastAsia="zh-CN" w:bidi="ar"/>
                    </w:rPr>
                    <w:t>建立危险废物管理台账</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如实记录危险废物的种类、数量、流向、贮存、利用、处置等信息</w:t>
                  </w:r>
                  <w:r>
                    <w:rPr>
                      <w:rFonts w:hint="eastAsia" w:ascii="宋体" w:hAnsi="宋体" w:cs="宋体"/>
                      <w:color w:val="auto"/>
                      <w:kern w:val="0"/>
                      <w:sz w:val="21"/>
                      <w:szCs w:val="21"/>
                      <w:highlight w:val="none"/>
                      <w:lang w:val="en-US" w:eastAsia="zh-CN" w:bidi="ar"/>
                    </w:rPr>
                    <w:t>。</w:t>
                  </w:r>
                </w:p>
              </w:tc>
              <w:tc>
                <w:tcPr>
                  <w:tcW w:w="876" w:type="dxa"/>
                  <w:vAlign w:val="center"/>
                </w:tcPr>
                <w:p w14:paraId="1388A20A">
                  <w:pPr>
                    <w:adjustRightInd w:val="0"/>
                    <w:snapToGrid w:val="0"/>
                    <w:jc w:val="center"/>
                    <w:rPr>
                      <w:rFonts w:hint="default"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符合</w:t>
                  </w:r>
                </w:p>
              </w:tc>
            </w:tr>
            <w:tr w14:paraId="79A5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dxa"/>
                  <w:vAlign w:val="center"/>
                </w:tcPr>
                <w:p w14:paraId="769BF372">
                  <w:pPr>
                    <w:adjustRightInd w:val="0"/>
                    <w:snapToGrid w:val="0"/>
                    <w:jc w:val="center"/>
                    <w:rPr>
                      <w:rFonts w:hint="eastAsia" w:cs="Times New Roman"/>
                      <w:color w:val="auto"/>
                      <w:kern w:val="0"/>
                      <w:szCs w:val="21"/>
                      <w:highlight w:val="none"/>
                      <w:lang w:val="en-US" w:eastAsia="zh-CN"/>
                    </w:rPr>
                  </w:pPr>
                  <w:r>
                    <w:rPr>
                      <w:rFonts w:hint="eastAsia" w:cs="Times New Roman"/>
                      <w:color w:val="auto"/>
                      <w:kern w:val="0"/>
                      <w:szCs w:val="21"/>
                      <w:highlight w:val="none"/>
                      <w:lang w:val="en-US" w:eastAsia="zh-CN"/>
                    </w:rPr>
                    <w:t>4</w:t>
                  </w:r>
                </w:p>
              </w:tc>
              <w:tc>
                <w:tcPr>
                  <w:tcW w:w="3606" w:type="dxa"/>
                  <w:vAlign w:val="center"/>
                </w:tcPr>
                <w:p w14:paraId="3C7C9779">
                  <w:pPr>
                    <w:keepNext w:val="0"/>
                    <w:keepLines w:val="0"/>
                    <w:widowControl/>
                    <w:suppressLineNumbers w:val="0"/>
                    <w:jc w:val="center"/>
                    <w:rPr>
                      <w:rFonts w:hint="default" w:cs="Times New Roman"/>
                      <w:color w:val="auto"/>
                      <w:kern w:val="0"/>
                      <w:szCs w:val="21"/>
                      <w:highlight w:val="none"/>
                      <w:lang w:val="en-US" w:eastAsia="zh-CN"/>
                    </w:rPr>
                  </w:pPr>
                  <w:r>
                    <w:rPr>
                      <w:rFonts w:hint="eastAsia" w:ascii="宋体" w:hAnsi="宋体" w:eastAsia="宋体" w:cs="宋体"/>
                      <w:color w:val="auto"/>
                      <w:kern w:val="0"/>
                      <w:sz w:val="21"/>
                      <w:szCs w:val="21"/>
                      <w:highlight w:val="none"/>
                      <w:lang w:val="en-US" w:eastAsia="zh-CN" w:bidi="ar"/>
                    </w:rPr>
                    <w:t>产生、收集、贮存、运输、利用、处置危险废物的单位，应当依法制定危险废物污染环境防范措施和应急预案，并向盟行政公署、设区的市人民政府生态环境主管部门和其他负有固体废物污染环境防治监督管理职责的部门备案，并开展环境应急演练。</w:t>
                  </w:r>
                </w:p>
              </w:tc>
              <w:tc>
                <w:tcPr>
                  <w:tcW w:w="2121" w:type="dxa"/>
                  <w:vAlign w:val="center"/>
                </w:tcPr>
                <w:p w14:paraId="04EB3E11">
                  <w:pPr>
                    <w:adjustRightInd w:val="0"/>
                    <w:snapToGrid w:val="0"/>
                    <w:jc w:val="center"/>
                    <w:rPr>
                      <w:rFonts w:hint="default" w:cs="Times New Roman"/>
                      <w:color w:val="auto"/>
                      <w:kern w:val="0"/>
                      <w:szCs w:val="21"/>
                      <w:highlight w:val="none"/>
                      <w:lang w:val="en-US" w:eastAsia="zh-CN"/>
                    </w:rPr>
                  </w:pPr>
                  <w:r>
                    <w:rPr>
                      <w:rFonts w:hint="eastAsia" w:ascii="宋体" w:hAnsi="宋体" w:cs="宋体"/>
                      <w:color w:val="auto"/>
                      <w:kern w:val="0"/>
                      <w:sz w:val="21"/>
                      <w:szCs w:val="21"/>
                      <w:highlight w:val="none"/>
                      <w:lang w:val="en-US" w:eastAsia="zh-CN" w:bidi="ar"/>
                    </w:rPr>
                    <w:t>本项目按要求</w:t>
                  </w:r>
                  <w:r>
                    <w:rPr>
                      <w:rFonts w:hint="eastAsia" w:ascii="宋体" w:hAnsi="宋体" w:eastAsia="宋体" w:cs="宋体"/>
                      <w:color w:val="auto"/>
                      <w:kern w:val="0"/>
                      <w:sz w:val="21"/>
                      <w:szCs w:val="21"/>
                      <w:highlight w:val="none"/>
                      <w:lang w:val="en-US" w:eastAsia="zh-CN" w:bidi="ar"/>
                    </w:rPr>
                    <w:t>制定危险废物污染环境防范措施和应急预案</w:t>
                  </w:r>
                  <w:r>
                    <w:rPr>
                      <w:rFonts w:hint="eastAsia" w:ascii="宋体" w:hAnsi="宋体" w:cs="宋体"/>
                      <w:color w:val="auto"/>
                      <w:kern w:val="0"/>
                      <w:sz w:val="21"/>
                      <w:szCs w:val="21"/>
                      <w:highlight w:val="none"/>
                      <w:lang w:val="en-US" w:eastAsia="zh-CN" w:bidi="ar"/>
                    </w:rPr>
                    <w:t>，并向有关部门进行备案。企业日常按要求进行环境应急演练。</w:t>
                  </w:r>
                </w:p>
              </w:tc>
              <w:tc>
                <w:tcPr>
                  <w:tcW w:w="876" w:type="dxa"/>
                  <w:vAlign w:val="center"/>
                </w:tcPr>
                <w:p w14:paraId="3EA7D122">
                  <w:pPr>
                    <w:adjustRightInd w:val="0"/>
                    <w:snapToGrid w:val="0"/>
                    <w:jc w:val="center"/>
                    <w:rPr>
                      <w:rFonts w:hint="default"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符合</w:t>
                  </w:r>
                </w:p>
              </w:tc>
            </w:tr>
          </w:tbl>
          <w:p w14:paraId="6AC619DB">
            <w:pPr>
              <w:rPr>
                <w:rFonts w:hint="default" w:ascii="Times New Roman" w:hAnsi="Times New Roman" w:cs="Times New Roman"/>
                <w:color w:val="auto"/>
                <w:highlight w:val="none"/>
              </w:rPr>
            </w:pPr>
          </w:p>
        </w:tc>
      </w:tr>
    </w:tbl>
    <w:p w14:paraId="5A54F8DE">
      <w:pPr>
        <w:pStyle w:val="5"/>
        <w:ind w:left="0" w:leftChars="0" w:firstLine="0" w:firstLineChars="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br w:type="page"/>
      </w:r>
    </w:p>
    <w:p w14:paraId="3644BFF8">
      <w:pPr>
        <w:pStyle w:val="31"/>
        <w:widowControl/>
        <w:numPr>
          <w:ilvl w:val="0"/>
          <w:numId w:val="2"/>
        </w:numPr>
        <w:spacing w:before="100" w:beforeAutospacing="1" w:after="100" w:afterAutospacing="1"/>
        <w:ind w:firstLineChars="0"/>
        <w:jc w:val="center"/>
        <w:outlineLvl w:val="0"/>
        <w:rPr>
          <w:rFonts w:hint="default" w:ascii="Times New Roman" w:hAnsi="Times New Roman" w:cs="Times New Roman"/>
          <w:b/>
          <w:bCs/>
          <w:snapToGrid w:val="0"/>
          <w:color w:val="auto"/>
          <w:kern w:val="0"/>
          <w:sz w:val="30"/>
          <w:szCs w:val="30"/>
          <w:highlight w:val="none"/>
        </w:rPr>
      </w:pPr>
      <w:r>
        <w:rPr>
          <w:rFonts w:hint="default" w:ascii="Times New Roman" w:hAnsi="Times New Roman" w:cs="Times New Roman"/>
          <w:b/>
          <w:bCs/>
          <w:snapToGrid w:val="0"/>
          <w:color w:val="auto"/>
          <w:kern w:val="0"/>
          <w:sz w:val="30"/>
          <w:szCs w:val="30"/>
          <w:highlight w:val="none"/>
        </w:rPr>
        <w:t>建设项目工程分析</w:t>
      </w:r>
    </w:p>
    <w:tbl>
      <w:tblPr>
        <w:tblStyle w:val="20"/>
        <w:tblW w:w="84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7662"/>
      </w:tblGrid>
      <w:tr w14:paraId="481028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33" w:type="dxa"/>
            <w:vAlign w:val="center"/>
          </w:tcPr>
          <w:p w14:paraId="256B773E">
            <w:pPr>
              <w:widowControl/>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建设内容</w:t>
            </w:r>
          </w:p>
        </w:tc>
        <w:tc>
          <w:tcPr>
            <w:tcW w:w="7662" w:type="dxa"/>
          </w:tcPr>
          <w:p w14:paraId="2E6949BC">
            <w:pPr>
              <w:pStyle w:val="38"/>
              <w:autoSpaceDE/>
              <w:autoSpaceDN/>
              <w:spacing w:line="520" w:lineRule="exact"/>
              <w:ind w:firstLine="480" w:firstLineChars="200"/>
              <w:jc w:val="both"/>
              <w:rPr>
                <w:rFonts w:hint="default" w:ascii="Times New Roman" w:hAnsi="Times New Roman" w:cs="Times New Roman"/>
                <w:b/>
                <w:color w:val="auto"/>
                <w:sz w:val="24"/>
                <w:highlight w:val="none"/>
              </w:rPr>
            </w:pPr>
            <w:r>
              <w:rPr>
                <w:rFonts w:hint="default" w:ascii="Times New Roman" w:hAnsi="Times New Roman" w:eastAsia="Times New Roman" w:cs="Times New Roman"/>
                <w:b/>
                <w:color w:val="auto"/>
                <w:sz w:val="24"/>
                <w:highlight w:val="none"/>
              </w:rPr>
              <w:t>1</w:t>
            </w:r>
            <w:r>
              <w:rPr>
                <w:rFonts w:hint="default" w:ascii="Times New Roman" w:hAnsi="Times New Roman" w:cs="Times New Roman"/>
                <w:b/>
                <w:color w:val="auto"/>
                <w:sz w:val="24"/>
                <w:highlight w:val="none"/>
              </w:rPr>
              <w:t>、项目由来</w:t>
            </w:r>
          </w:p>
          <w:p w14:paraId="6695032D">
            <w:pPr>
              <w:keepLines/>
              <w:autoSpaceDE/>
              <w:autoSpaceDN/>
              <w:spacing w:line="520" w:lineRule="exact"/>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highlight w:val="none"/>
                <w:lang w:val="en-US" w:eastAsia="zh-CN"/>
              </w:rPr>
              <w:t>伊金霍洛旗纳林塔纳林沟煤矿配套危废暂存库建设项目位于鄂尔</w:t>
            </w:r>
            <w:r>
              <w:rPr>
                <w:rFonts w:hint="default" w:ascii="Times New Roman" w:hAnsi="Times New Roman" w:cs="Times New Roman"/>
                <w:color w:val="auto"/>
                <w:sz w:val="24"/>
                <w:highlight w:val="none"/>
              </w:rPr>
              <w:t>多斯市伊金霍洛旗</w:t>
            </w:r>
            <w:r>
              <w:rPr>
                <w:rFonts w:hint="eastAsia" w:cs="Times New Roman"/>
                <w:color w:val="auto"/>
                <w:sz w:val="24"/>
                <w:highlight w:val="none"/>
                <w:lang w:val="en-US" w:eastAsia="zh-CN"/>
              </w:rPr>
              <w:t>纳林陶亥</w:t>
            </w:r>
            <w:r>
              <w:rPr>
                <w:rFonts w:hint="default" w:ascii="Times New Roman" w:hAnsi="Times New Roman" w:cs="Times New Roman"/>
                <w:color w:val="auto"/>
                <w:sz w:val="24"/>
                <w:highlight w:val="none"/>
              </w:rPr>
              <w:t>镇</w:t>
            </w:r>
            <w:r>
              <w:rPr>
                <w:rFonts w:hint="eastAsia" w:cs="Times New Roman"/>
                <w:color w:val="auto"/>
                <w:sz w:val="24"/>
                <w:highlight w:val="none"/>
                <w:lang w:val="en-US" w:eastAsia="zh-CN"/>
              </w:rPr>
              <w:t>伊金霍洛旗纳林塔纳林沟煤矿</w:t>
            </w:r>
            <w:r>
              <w:rPr>
                <w:rFonts w:hint="default" w:ascii="Times New Roman" w:hAnsi="Times New Roman" w:cs="Times New Roman"/>
                <w:color w:val="auto"/>
                <w:sz w:val="24"/>
                <w:highlight w:val="none"/>
                <w:lang w:val="en-US" w:eastAsia="zh-CN"/>
              </w:rPr>
              <w:t>厂区内，为伊金霍洛旗纳林塔纳林沟煤矿配套环保工程</w:t>
            </w:r>
            <w:r>
              <w:rPr>
                <w:rFonts w:hint="default" w:ascii="Times New Roman" w:hAnsi="Times New Roman" w:cs="Times New Roman"/>
                <w:color w:val="auto"/>
                <w:sz w:val="24"/>
                <w:szCs w:val="24"/>
                <w:highlight w:val="none"/>
                <w:lang w:val="en-US"/>
              </w:rPr>
              <w:t>。</w:t>
            </w:r>
            <w:r>
              <w:rPr>
                <w:rFonts w:hint="default" w:ascii="Times New Roman" w:hAnsi="Times New Roman" w:eastAsia="宋体" w:cs="Times New Roman"/>
                <w:color w:val="auto"/>
                <w:sz w:val="24"/>
                <w:szCs w:val="24"/>
                <w:highlight w:val="none"/>
                <w:lang w:val="en-US" w:eastAsia="zh-CN"/>
              </w:rPr>
              <w:t>伊金霍洛旗纳林塔纳林沟煤矿</w:t>
            </w:r>
            <w:r>
              <w:rPr>
                <w:rFonts w:hint="eastAsia" w:cs="Times New Roman"/>
                <w:color w:val="auto"/>
                <w:sz w:val="24"/>
                <w:szCs w:val="24"/>
                <w:highlight w:val="none"/>
                <w:lang w:val="en-US" w:eastAsia="zh-CN"/>
              </w:rPr>
              <w:t>（60万吨/年）技术改造</w:t>
            </w:r>
            <w:r>
              <w:rPr>
                <w:rFonts w:hint="default" w:ascii="Times New Roman" w:hAnsi="Times New Roman" w:eastAsia="宋体" w:cs="Times New Roman"/>
                <w:color w:val="auto"/>
                <w:sz w:val="24"/>
                <w:szCs w:val="24"/>
                <w:highlight w:val="none"/>
                <w:lang w:val="en-US" w:eastAsia="zh-CN"/>
              </w:rPr>
              <w:t>项目环境影响报告</w:t>
            </w:r>
            <w:r>
              <w:rPr>
                <w:rFonts w:hint="eastAsia" w:cs="Times New Roman"/>
                <w:color w:val="auto"/>
                <w:sz w:val="24"/>
                <w:szCs w:val="24"/>
                <w:highlight w:val="none"/>
                <w:lang w:val="en-US" w:eastAsia="zh-CN"/>
              </w:rPr>
              <w:t>书</w:t>
            </w:r>
            <w:r>
              <w:rPr>
                <w:rFonts w:hint="default" w:ascii="Times New Roman" w:hAnsi="Times New Roman" w:cs="Times New Roman"/>
                <w:color w:val="auto"/>
                <w:sz w:val="24"/>
                <w:szCs w:val="24"/>
                <w:highlight w:val="none"/>
                <w:lang w:val="en-US" w:eastAsia="zh-CN"/>
              </w:rPr>
              <w:t>由</w:t>
            </w:r>
            <w:r>
              <w:rPr>
                <w:rFonts w:hint="eastAsia" w:cs="Times New Roman"/>
                <w:color w:val="auto"/>
                <w:sz w:val="24"/>
                <w:szCs w:val="24"/>
                <w:highlight w:val="none"/>
                <w:lang w:val="en-US" w:eastAsia="zh-CN"/>
              </w:rPr>
              <w:t>内蒙古自治区环境保护厅</w:t>
            </w:r>
            <w:r>
              <w:rPr>
                <w:rFonts w:hint="default" w:ascii="Times New Roman" w:hAnsi="Times New Roman" w:cs="Times New Roman"/>
                <w:color w:val="auto"/>
                <w:sz w:val="24"/>
                <w:szCs w:val="24"/>
                <w:highlight w:val="none"/>
                <w:lang w:val="en-US" w:eastAsia="zh-CN"/>
              </w:rPr>
              <w:t>20</w:t>
            </w:r>
            <w:r>
              <w:rPr>
                <w:rFonts w:hint="eastAsia" w:cs="Times New Roman"/>
                <w:color w:val="auto"/>
                <w:sz w:val="24"/>
                <w:szCs w:val="24"/>
                <w:highlight w:val="none"/>
                <w:lang w:val="en-US" w:eastAsia="zh-CN"/>
              </w:rPr>
              <w:t>11</w:t>
            </w:r>
            <w:r>
              <w:rPr>
                <w:rFonts w:hint="default" w:ascii="Times New Roman" w:hAnsi="Times New Roman" w:cs="Times New Roman"/>
                <w:color w:val="auto"/>
                <w:sz w:val="24"/>
                <w:szCs w:val="24"/>
                <w:highlight w:val="none"/>
                <w:lang w:val="en-US" w:eastAsia="zh-CN"/>
              </w:rPr>
              <w:t>年</w:t>
            </w:r>
            <w:r>
              <w:rPr>
                <w:rFonts w:hint="eastAsia" w:cs="Times New Roman"/>
                <w:color w:val="auto"/>
                <w:sz w:val="24"/>
                <w:szCs w:val="24"/>
                <w:highlight w:val="none"/>
                <w:lang w:val="en-US" w:eastAsia="zh-CN"/>
              </w:rPr>
              <w:t>12</w:t>
            </w:r>
            <w:r>
              <w:rPr>
                <w:rFonts w:hint="default" w:ascii="Times New Roman" w:hAnsi="Times New Roman" w:cs="Times New Roman"/>
                <w:color w:val="auto"/>
                <w:sz w:val="24"/>
                <w:szCs w:val="24"/>
                <w:highlight w:val="none"/>
                <w:lang w:val="en-US" w:eastAsia="zh-CN"/>
              </w:rPr>
              <w:t>月</w:t>
            </w:r>
            <w:r>
              <w:rPr>
                <w:rFonts w:hint="eastAsia" w:cs="Times New Roman"/>
                <w:color w:val="auto"/>
                <w:sz w:val="24"/>
                <w:szCs w:val="24"/>
                <w:highlight w:val="none"/>
                <w:lang w:val="en-US" w:eastAsia="zh-CN"/>
              </w:rPr>
              <w:t>16</w:t>
            </w:r>
            <w:r>
              <w:rPr>
                <w:rFonts w:hint="default" w:ascii="Times New Roman" w:hAnsi="Times New Roman" w:cs="Times New Roman"/>
                <w:color w:val="auto"/>
                <w:sz w:val="24"/>
                <w:szCs w:val="24"/>
                <w:highlight w:val="none"/>
                <w:lang w:val="en-US" w:eastAsia="zh-CN"/>
              </w:rPr>
              <w:t>日以</w:t>
            </w:r>
            <w:r>
              <w:rPr>
                <w:rFonts w:hint="eastAsia" w:cs="Times New Roman"/>
                <w:color w:val="auto"/>
                <w:sz w:val="24"/>
                <w:szCs w:val="24"/>
                <w:highlight w:val="none"/>
                <w:lang w:val="en-US" w:eastAsia="zh-CN"/>
              </w:rPr>
              <w:t>内环审</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cs="Times New Roman"/>
                <w:color w:val="auto"/>
                <w:sz w:val="24"/>
                <w:szCs w:val="24"/>
                <w:highlight w:val="none"/>
                <w:lang w:val="en-US" w:eastAsia="zh-CN"/>
              </w:rPr>
              <w:t>11</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367</w:t>
            </w:r>
            <w:r>
              <w:rPr>
                <w:rFonts w:hint="default" w:ascii="Times New Roman" w:hAnsi="Times New Roman" w:eastAsia="宋体" w:cs="Times New Roman"/>
                <w:color w:val="auto"/>
                <w:sz w:val="24"/>
                <w:szCs w:val="24"/>
                <w:highlight w:val="none"/>
              </w:rPr>
              <w:t>号</w:t>
            </w:r>
            <w:r>
              <w:rPr>
                <w:rFonts w:hint="default" w:ascii="Times New Roman" w:hAnsi="Times New Roman" w:cs="Times New Roman"/>
                <w:color w:val="auto"/>
                <w:sz w:val="24"/>
                <w:szCs w:val="24"/>
                <w:highlight w:val="none"/>
                <w:lang w:val="en-US" w:eastAsia="zh-CN"/>
              </w:rPr>
              <w:t>予以批复；20</w:t>
            </w:r>
            <w:r>
              <w:rPr>
                <w:rFonts w:hint="eastAsia" w:cs="Times New Roman"/>
                <w:color w:val="auto"/>
                <w:sz w:val="24"/>
                <w:szCs w:val="24"/>
                <w:highlight w:val="none"/>
                <w:lang w:val="en-US" w:eastAsia="zh-CN"/>
              </w:rPr>
              <w:t>12</w:t>
            </w:r>
            <w:r>
              <w:rPr>
                <w:rFonts w:hint="default" w:ascii="Times New Roman" w:hAnsi="Times New Roman" w:cs="Times New Roman"/>
                <w:color w:val="auto"/>
                <w:sz w:val="24"/>
                <w:szCs w:val="24"/>
                <w:highlight w:val="none"/>
                <w:lang w:val="en-US" w:eastAsia="zh-CN"/>
              </w:rPr>
              <w:t>年1</w:t>
            </w:r>
            <w:r>
              <w:rPr>
                <w:rFonts w:hint="eastAsia"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月</w:t>
            </w:r>
            <w:r>
              <w:rPr>
                <w:rFonts w:hint="eastAsia"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val="en-US" w:eastAsia="zh-CN"/>
              </w:rPr>
              <w:t>日由</w:t>
            </w:r>
            <w:r>
              <w:rPr>
                <w:rFonts w:hint="eastAsia" w:cs="Times New Roman"/>
                <w:color w:val="auto"/>
                <w:sz w:val="24"/>
                <w:szCs w:val="24"/>
                <w:highlight w:val="none"/>
                <w:lang w:val="en-US" w:eastAsia="zh-CN"/>
              </w:rPr>
              <w:t>内蒙古自治区环境保护厅</w:t>
            </w:r>
            <w:r>
              <w:rPr>
                <w:rFonts w:hint="default" w:ascii="Times New Roman" w:hAnsi="Times New Roman" w:cs="Times New Roman"/>
                <w:color w:val="auto"/>
                <w:sz w:val="24"/>
                <w:szCs w:val="24"/>
                <w:highlight w:val="none"/>
                <w:lang w:val="en-US" w:eastAsia="zh-CN"/>
              </w:rPr>
              <w:t>以</w:t>
            </w:r>
            <w:r>
              <w:rPr>
                <w:rFonts w:hint="eastAsia" w:cs="Times New Roman"/>
                <w:color w:val="auto"/>
                <w:sz w:val="24"/>
                <w:szCs w:val="24"/>
                <w:highlight w:val="none"/>
                <w:lang w:val="en-US" w:eastAsia="zh-CN"/>
              </w:rPr>
              <w:t>内环验</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115</w:t>
            </w:r>
            <w:r>
              <w:rPr>
                <w:rFonts w:hint="default" w:ascii="Times New Roman" w:hAnsi="Times New Roman" w:eastAsia="宋体" w:cs="Times New Roman"/>
                <w:color w:val="auto"/>
                <w:sz w:val="24"/>
                <w:szCs w:val="24"/>
                <w:highlight w:val="none"/>
              </w:rPr>
              <w:t>号</w:t>
            </w:r>
            <w:r>
              <w:rPr>
                <w:rFonts w:hint="default" w:ascii="Times New Roman" w:hAnsi="Times New Roman" w:eastAsia="宋体" w:cs="Times New Roman"/>
                <w:color w:val="auto"/>
                <w:sz w:val="24"/>
                <w:szCs w:val="24"/>
                <w:highlight w:val="none"/>
                <w:lang w:val="en-US" w:eastAsia="zh-CN"/>
              </w:rPr>
              <w:t>予以通过验收</w:t>
            </w:r>
            <w:r>
              <w:rPr>
                <w:rFonts w:hint="default" w:ascii="Times New Roman" w:hAnsi="Times New Roman" w:cs="Times New Roman"/>
                <w:color w:val="auto"/>
                <w:sz w:val="24"/>
                <w:szCs w:val="24"/>
                <w:highlight w:val="none"/>
                <w:lang w:val="en-US" w:eastAsia="zh-CN"/>
              </w:rPr>
              <w:t>批复。</w:t>
            </w:r>
          </w:p>
          <w:p w14:paraId="57E46494">
            <w:pPr>
              <w:pStyle w:val="38"/>
              <w:keepLines/>
              <w:autoSpaceDE/>
              <w:autoSpaceDN/>
              <w:spacing w:line="520" w:lineRule="exact"/>
              <w:ind w:firstLine="480" w:firstLineChars="200"/>
              <w:jc w:val="both"/>
              <w:rPr>
                <w:rFonts w:hint="default" w:ascii="Times New Roman" w:hAnsi="Times New Roman" w:cs="Times New Roman"/>
                <w:color w:val="auto"/>
                <w:sz w:val="24"/>
                <w:szCs w:val="24"/>
                <w:highlight w:val="none"/>
                <w:lang w:val="en-US"/>
              </w:rPr>
            </w:pPr>
            <w:bookmarkStart w:id="2" w:name="2、项目概况"/>
            <w:bookmarkEnd w:id="2"/>
            <w:r>
              <w:rPr>
                <w:rFonts w:hint="default" w:ascii="Times New Roman" w:hAnsi="Times New Roman" w:cs="Times New Roman"/>
                <w:snapToGrid w:val="0"/>
                <w:color w:val="auto"/>
                <w:sz w:val="24"/>
                <w:szCs w:val="24"/>
                <w:highlight w:val="none"/>
                <w:lang w:val="en-US"/>
              </w:rPr>
              <w:t>受</w:t>
            </w:r>
            <w:r>
              <w:rPr>
                <w:rFonts w:hint="default" w:ascii="Times New Roman" w:hAnsi="Times New Roman" w:cs="Times New Roman"/>
                <w:snapToGrid w:val="0"/>
                <w:color w:val="auto"/>
                <w:sz w:val="24"/>
                <w:szCs w:val="24"/>
                <w:highlight w:val="none"/>
                <w:lang w:val="en-US" w:eastAsia="zh-CN"/>
              </w:rPr>
              <w:t>内蒙古向荣矿业有限公司</w:t>
            </w:r>
            <w:r>
              <w:rPr>
                <w:rFonts w:hint="default" w:ascii="Times New Roman" w:hAnsi="Times New Roman" w:cs="Times New Roman"/>
                <w:color w:val="auto"/>
                <w:sz w:val="24"/>
                <w:szCs w:val="24"/>
                <w:highlight w:val="none"/>
                <w:lang w:val="en-US"/>
              </w:rPr>
              <w:t>委托，</w:t>
            </w:r>
            <w:r>
              <w:rPr>
                <w:rFonts w:hint="default" w:ascii="Times New Roman" w:hAnsi="Times New Roman" w:cs="Times New Roman"/>
                <w:color w:val="auto"/>
                <w:sz w:val="24"/>
                <w:szCs w:val="24"/>
                <w:highlight w:val="none"/>
                <w:lang w:val="en-US" w:eastAsia="zh-CN"/>
              </w:rPr>
              <w:t>我公司</w:t>
            </w:r>
            <w:r>
              <w:rPr>
                <w:rFonts w:hint="default" w:ascii="Times New Roman" w:hAnsi="Times New Roman" w:cs="Times New Roman"/>
                <w:color w:val="auto"/>
                <w:sz w:val="24"/>
                <w:szCs w:val="24"/>
                <w:highlight w:val="none"/>
                <w:lang w:val="en-US"/>
              </w:rPr>
              <w:t>承担该项目的环境影响评价工作。评价单位在接受委托后，结合本项目的性质、特点以及该区域环境功能特征，通过实地调查、现场踏勘、资料收集，并依据有关资料和在同类工程分析、类比的基础上，按照环评技术导则的要求，编制完成了该建设项目的环境影响报告表。</w:t>
            </w:r>
          </w:p>
          <w:p w14:paraId="4FED2637">
            <w:pPr>
              <w:adjustRightInd w:val="0"/>
              <w:snapToGrid w:val="0"/>
              <w:spacing w:before="156"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2</w:t>
            </w:r>
            <w:r>
              <w:rPr>
                <w:rFonts w:hint="default" w:ascii="Times New Roman" w:hAnsi="Times New Roman" w:cs="Times New Roman"/>
                <w:b/>
                <w:bCs/>
                <w:color w:val="auto"/>
                <w:sz w:val="24"/>
                <w:highlight w:val="none"/>
              </w:rPr>
              <w:t>、项目</w:t>
            </w:r>
            <w:r>
              <w:rPr>
                <w:rFonts w:hint="default" w:ascii="Times New Roman" w:hAnsi="Times New Roman" w:cs="Times New Roman"/>
                <w:b/>
                <w:color w:val="auto"/>
                <w:sz w:val="24"/>
                <w:highlight w:val="none"/>
              </w:rPr>
              <w:t>概况</w:t>
            </w:r>
          </w:p>
          <w:p w14:paraId="233A5420">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cs="Times New Roman"/>
                <w:color w:val="auto"/>
                <w:sz w:val="24"/>
                <w:highlight w:val="none"/>
              </w:rPr>
              <w:t>项目名称：</w:t>
            </w:r>
            <w:r>
              <w:rPr>
                <w:rFonts w:hint="default" w:ascii="Times New Roman" w:hAnsi="Times New Roman" w:cs="Times New Roman"/>
                <w:color w:val="auto"/>
                <w:kern w:val="2"/>
                <w:sz w:val="24"/>
                <w:szCs w:val="24"/>
                <w:highlight w:val="none"/>
                <w:lang w:val="en-US" w:eastAsia="zh-CN" w:bidi="zh-CN"/>
              </w:rPr>
              <w:t>伊金霍洛旗纳林塔纳林沟煤矿配套危废暂存库建设项目</w:t>
            </w:r>
            <w:r>
              <w:rPr>
                <w:rFonts w:hint="default" w:ascii="Times New Roman" w:hAnsi="Times New Roman" w:eastAsia="宋体" w:cs="Times New Roman"/>
                <w:color w:val="auto"/>
                <w:kern w:val="2"/>
                <w:sz w:val="24"/>
                <w:szCs w:val="24"/>
                <w:highlight w:val="none"/>
                <w:lang w:val="en-US" w:eastAsia="zh-CN" w:bidi="zh-CN"/>
              </w:rPr>
              <w:t>；</w:t>
            </w:r>
          </w:p>
          <w:p w14:paraId="3B58AD9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建设性质：新建；</w:t>
            </w:r>
          </w:p>
          <w:p w14:paraId="03093FE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建设地点：鄂尔多斯市伊金霍洛旗</w:t>
            </w:r>
            <w:r>
              <w:rPr>
                <w:rFonts w:hint="eastAsia" w:cs="Times New Roman"/>
                <w:color w:val="auto"/>
                <w:sz w:val="24"/>
                <w:highlight w:val="none"/>
                <w:lang w:val="en-US" w:eastAsia="zh-CN"/>
              </w:rPr>
              <w:t>纳林陶亥</w:t>
            </w:r>
            <w:r>
              <w:rPr>
                <w:rFonts w:hint="default" w:ascii="Times New Roman" w:hAnsi="Times New Roman" w:cs="Times New Roman"/>
                <w:color w:val="auto"/>
                <w:sz w:val="24"/>
                <w:highlight w:val="none"/>
              </w:rPr>
              <w:t>镇</w:t>
            </w:r>
            <w:r>
              <w:rPr>
                <w:rFonts w:hint="default" w:ascii="Times New Roman" w:hAnsi="Times New Roman" w:cs="Times New Roman"/>
                <w:color w:val="auto"/>
                <w:sz w:val="24"/>
                <w:highlight w:val="none"/>
                <w:lang w:val="en-US" w:eastAsia="zh-CN"/>
              </w:rPr>
              <w:t>伊金霍洛旗纳林塔纳林沟煤矿</w:t>
            </w:r>
            <w:r>
              <w:rPr>
                <w:rFonts w:hint="default" w:ascii="Times New Roman" w:hAnsi="Times New Roman" w:eastAsia="宋体" w:cs="Times New Roman"/>
                <w:bCs/>
                <w:color w:val="auto"/>
                <w:sz w:val="24"/>
                <w:highlight w:val="none"/>
                <w:lang w:val="en-US" w:eastAsia="zh-CN"/>
              </w:rPr>
              <w:t>工业场地范围内</w:t>
            </w:r>
            <w:r>
              <w:rPr>
                <w:rFonts w:hint="default" w:ascii="Times New Roman" w:hAnsi="Times New Roman" w:cs="Times New Roman"/>
                <w:color w:val="auto"/>
                <w:sz w:val="24"/>
                <w:highlight w:val="none"/>
              </w:rPr>
              <w:t>；</w:t>
            </w:r>
          </w:p>
          <w:p w14:paraId="6B286BB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w:t>
            </w:r>
            <w:r>
              <w:rPr>
                <w:rFonts w:hint="default" w:ascii="Times New Roman" w:hAnsi="Times New Roman" w:cs="Times New Roman"/>
                <w:color w:val="auto"/>
                <w:sz w:val="24"/>
                <w:highlight w:val="none"/>
                <w:lang w:val="en-US" w:eastAsia="zh-CN"/>
              </w:rPr>
              <w:t>内蒙古向荣矿业有限公司</w:t>
            </w:r>
            <w:r>
              <w:rPr>
                <w:rFonts w:hint="default" w:ascii="Times New Roman" w:hAnsi="Times New Roman" w:cs="Times New Roman"/>
                <w:color w:val="auto"/>
                <w:sz w:val="24"/>
                <w:highlight w:val="none"/>
              </w:rPr>
              <w:t>；</w:t>
            </w:r>
          </w:p>
          <w:p w14:paraId="1775DCC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占地面积：</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2</w:t>
            </w:r>
          </w:p>
          <w:p w14:paraId="05107E05">
            <w:pPr>
              <w:spacing w:line="360" w:lineRule="auto"/>
              <w:ind w:firstLine="480" w:firstLineChars="200"/>
              <w:rPr>
                <w:rFonts w:hint="default" w:ascii="Times New Roman" w:hAnsi="Times New Roman" w:cs="Times New Roman"/>
                <w:color w:val="auto"/>
                <w:sz w:val="24"/>
                <w:highlight w:val="none"/>
              </w:rPr>
            </w:pPr>
            <w:bookmarkStart w:id="3" w:name="_Hlk60827171"/>
            <w:r>
              <w:rPr>
                <w:rFonts w:hint="default" w:ascii="Times New Roman" w:hAnsi="Times New Roman" w:cs="Times New Roman"/>
                <w:color w:val="auto"/>
                <w:sz w:val="24"/>
                <w:highlight w:val="none"/>
              </w:rPr>
              <w:t>最大暂存周期：</w:t>
            </w:r>
            <w:bookmarkEnd w:id="3"/>
            <w:r>
              <w:rPr>
                <w:rFonts w:hint="default" w:ascii="Times New Roman" w:hAnsi="Times New Roman" w:cs="Times New Roman"/>
                <w:color w:val="auto"/>
                <w:sz w:val="24"/>
                <w:highlight w:val="none"/>
              </w:rPr>
              <w:t>12个月</w:t>
            </w:r>
          </w:p>
          <w:p w14:paraId="09B07822">
            <w:pPr>
              <w:spacing w:line="360" w:lineRule="auto"/>
              <w:ind w:firstLine="480" w:firstLineChars="200"/>
              <w:rPr>
                <w:rFonts w:hint="default" w:ascii="Times New Roman" w:hAnsi="Times New Roman" w:eastAsia="宋体" w:cs="Times New Roman"/>
                <w:color w:val="0000FF"/>
                <w:sz w:val="24"/>
                <w:highlight w:val="none"/>
                <w:lang w:val="en-US" w:eastAsia="zh-CN"/>
              </w:rPr>
            </w:pPr>
            <w:r>
              <w:rPr>
                <w:rFonts w:hint="default" w:ascii="Times New Roman" w:hAnsi="Times New Roman" w:cs="Times New Roman"/>
                <w:color w:val="0000FF"/>
                <w:sz w:val="24"/>
                <w:highlight w:val="none"/>
              </w:rPr>
              <w:t>危险废物收集类别：项目主要收集机械维修过程中产生的</w:t>
            </w:r>
            <w:r>
              <w:rPr>
                <w:rFonts w:hint="default" w:ascii="Times New Roman" w:hAnsi="Times New Roman" w:cs="Times New Roman"/>
                <w:color w:val="0000FF"/>
                <w:sz w:val="24"/>
                <w:highlight w:val="none"/>
                <w:lang w:val="en-US" w:eastAsia="zh-CN"/>
              </w:rPr>
              <w:t>废润滑油、废液压油</w:t>
            </w:r>
            <w:r>
              <w:rPr>
                <w:rFonts w:hint="default" w:ascii="Times New Roman" w:hAnsi="Times New Roman" w:cs="Times New Roman"/>
                <w:color w:val="0000FF"/>
                <w:sz w:val="24"/>
                <w:highlight w:val="none"/>
              </w:rPr>
              <w:t>（900-214-08）、沾染危险废物的废弃油桶（900-041-49）。根据《国家危险废物名录》（202</w:t>
            </w:r>
            <w:r>
              <w:rPr>
                <w:rFonts w:hint="eastAsia" w:cs="Times New Roman"/>
                <w:color w:val="0000FF"/>
                <w:sz w:val="24"/>
                <w:highlight w:val="none"/>
                <w:lang w:val="en-US" w:eastAsia="zh-CN"/>
              </w:rPr>
              <w:t>5</w:t>
            </w:r>
            <w:r>
              <w:rPr>
                <w:rFonts w:hint="default" w:ascii="Times New Roman" w:hAnsi="Times New Roman" w:cs="Times New Roman"/>
                <w:color w:val="0000FF"/>
                <w:sz w:val="24"/>
                <w:highlight w:val="none"/>
              </w:rPr>
              <w:t>版）可知，该类危险废物应</w:t>
            </w:r>
            <w:r>
              <w:rPr>
                <w:rFonts w:hint="eastAsia" w:cs="Times New Roman"/>
                <w:color w:val="0000FF"/>
                <w:sz w:val="24"/>
                <w:highlight w:val="none"/>
                <w:lang w:val="en-US" w:eastAsia="zh-CN"/>
              </w:rPr>
              <w:t>分别</w:t>
            </w:r>
            <w:r>
              <w:rPr>
                <w:rFonts w:hint="default" w:ascii="Times New Roman" w:hAnsi="Times New Roman" w:cs="Times New Roman"/>
                <w:color w:val="0000FF"/>
                <w:sz w:val="24"/>
                <w:highlight w:val="none"/>
              </w:rPr>
              <w:t>属于HW08废矿物油与含矿物油废物</w:t>
            </w:r>
            <w:r>
              <w:rPr>
                <w:rFonts w:hint="eastAsia" w:cs="Times New Roman"/>
                <w:color w:val="0000FF"/>
                <w:sz w:val="24"/>
                <w:highlight w:val="none"/>
                <w:lang w:val="en-US" w:eastAsia="zh-CN"/>
              </w:rPr>
              <w:t>和HW49其他废物</w:t>
            </w:r>
            <w:r>
              <w:rPr>
                <w:rFonts w:hint="default" w:ascii="Times New Roman" w:hAnsi="Times New Roman" w:cs="Times New Roman"/>
                <w:color w:val="0000FF"/>
                <w:sz w:val="24"/>
                <w:highlight w:val="none"/>
                <w:lang w:eastAsia="zh-CN"/>
              </w:rPr>
              <w:t>。</w:t>
            </w:r>
          </w:p>
          <w:p w14:paraId="18E2735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危险废物收集范围：</w:t>
            </w:r>
            <w:r>
              <w:rPr>
                <w:rFonts w:hint="default" w:ascii="Times New Roman" w:hAnsi="Times New Roman" w:cs="Times New Roman"/>
                <w:color w:val="auto"/>
                <w:sz w:val="24"/>
                <w:highlight w:val="yellow"/>
                <w:lang w:val="en-US" w:eastAsia="zh-CN"/>
              </w:rPr>
              <w:t>煤矿</w:t>
            </w:r>
            <w:r>
              <w:rPr>
                <w:rFonts w:hint="default" w:ascii="Times New Roman" w:hAnsi="Times New Roman" w:cs="Times New Roman"/>
                <w:color w:val="auto"/>
                <w:sz w:val="24"/>
                <w:highlight w:val="yellow"/>
              </w:rPr>
              <w:t>机械维修过程中产生的废矿物油</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废润滑油、废液压油</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以及沾染危险废物的废弃油桶；</w:t>
            </w:r>
          </w:p>
          <w:p w14:paraId="43E7FFD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建设规模：项目设1座</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的危险废物暂存库</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废矿物油</w:t>
            </w:r>
            <w:r>
              <w:rPr>
                <w:rFonts w:hint="default" w:ascii="Times New Roman" w:hAnsi="Times New Roman" w:cs="Times New Roman"/>
                <w:color w:val="auto"/>
                <w:sz w:val="24"/>
                <w:highlight w:val="none"/>
                <w:lang w:val="en-US" w:eastAsia="zh-CN"/>
              </w:rPr>
              <w:t>最大存储量</w:t>
            </w:r>
            <w:r>
              <w:rPr>
                <w:rFonts w:hint="eastAsia" w:cs="Times New Roman"/>
                <w:color w:val="auto"/>
                <w:sz w:val="24"/>
                <w:highlight w:val="none"/>
                <w:lang w:val="en-US" w:eastAsia="zh-CN"/>
              </w:rPr>
              <w:t>0.5</w:t>
            </w:r>
            <w:r>
              <w:rPr>
                <w:rFonts w:hint="default" w:ascii="Times New Roman" w:hAnsi="Times New Roman" w:cs="Times New Roman"/>
                <w:color w:val="auto"/>
                <w:sz w:val="24"/>
                <w:highlight w:val="none"/>
              </w:rPr>
              <w:t>t</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全年处置量1.7t，</w:t>
            </w:r>
            <w:r>
              <w:rPr>
                <w:rFonts w:hint="default" w:ascii="Times New Roman" w:hAnsi="Times New Roman" w:cs="Times New Roman"/>
                <w:color w:val="auto"/>
                <w:sz w:val="24"/>
                <w:highlight w:val="none"/>
              </w:rPr>
              <w:t>200L的废油桶</w:t>
            </w:r>
            <w:r>
              <w:rPr>
                <w:rFonts w:hint="default" w:ascii="Times New Roman" w:hAnsi="Times New Roman" w:cs="Times New Roman"/>
                <w:color w:val="auto"/>
                <w:sz w:val="24"/>
                <w:highlight w:val="none"/>
                <w:lang w:val="en-US" w:eastAsia="zh-CN"/>
              </w:rPr>
              <w:t>最大存储量</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lang w:val="en-US" w:eastAsia="zh-CN"/>
              </w:rPr>
              <w:t>只。</w:t>
            </w:r>
          </w:p>
          <w:p w14:paraId="1A763DD6">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项目投资：总投资</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万元，资金来源于企业自筹，全部属于环保投资</w:t>
            </w:r>
            <w:r>
              <w:rPr>
                <w:rFonts w:hint="default" w:ascii="Times New Roman" w:hAnsi="Times New Roman" w:cs="Times New Roman"/>
                <w:color w:val="auto"/>
                <w:sz w:val="24"/>
                <w:highlight w:val="none"/>
                <w:lang w:eastAsia="zh-CN"/>
              </w:rPr>
              <w:t>。</w:t>
            </w:r>
          </w:p>
          <w:p w14:paraId="17B69A4C">
            <w:pPr>
              <w:adjustRightInd w:val="0"/>
              <w:snapToGrid w:val="0"/>
              <w:spacing w:before="156"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3</w:t>
            </w:r>
            <w:r>
              <w:rPr>
                <w:rFonts w:hint="default" w:ascii="Times New Roman" w:hAnsi="Times New Roman" w:cs="Times New Roman"/>
                <w:b/>
                <w:bCs/>
                <w:color w:val="auto"/>
                <w:sz w:val="24"/>
                <w:highlight w:val="none"/>
              </w:rPr>
              <w:t>、项目组成</w:t>
            </w:r>
          </w:p>
          <w:p w14:paraId="121F0B07">
            <w:pPr>
              <w:widowControl/>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w:t>
            </w:r>
            <w:r>
              <w:rPr>
                <w:rFonts w:hint="default" w:ascii="Times New Roman" w:hAnsi="Times New Roman" w:cs="Times New Roman"/>
                <w:bCs/>
                <w:color w:val="auto"/>
                <w:sz w:val="24"/>
                <w:highlight w:val="none"/>
              </w:rPr>
              <w:t>建设内容</w:t>
            </w:r>
            <w:r>
              <w:rPr>
                <w:rFonts w:hint="eastAsia" w:cs="Times New Roman"/>
                <w:bCs/>
                <w:color w:val="auto"/>
                <w:sz w:val="24"/>
                <w:highlight w:val="none"/>
                <w:lang w:val="en-US" w:eastAsia="zh-CN"/>
              </w:rPr>
              <w:t>由原有煤矿废弃炸药库改建</w:t>
            </w:r>
            <w:r>
              <w:rPr>
                <w:rFonts w:hint="default" w:ascii="Times New Roman" w:hAnsi="Times New Roman" w:cs="Times New Roman"/>
                <w:bCs/>
                <w:color w:val="auto"/>
                <w:sz w:val="24"/>
                <w:highlight w:val="none"/>
              </w:rPr>
              <w:t>为危险废物暂存库</w:t>
            </w:r>
            <w:r>
              <w:rPr>
                <w:rFonts w:hint="default" w:ascii="Times New Roman" w:hAnsi="Times New Roman" w:cs="Times New Roman"/>
                <w:bCs/>
                <w:color w:val="auto"/>
                <w:sz w:val="24"/>
                <w:highlight w:val="none"/>
                <w:lang w:val="en-US" w:eastAsia="zh-CN"/>
              </w:rPr>
              <w:t>1</w:t>
            </w:r>
            <w:r>
              <w:rPr>
                <w:rFonts w:hint="default" w:ascii="Times New Roman" w:hAnsi="Times New Roman" w:cs="Times New Roman"/>
                <w:bCs/>
                <w:color w:val="auto"/>
                <w:sz w:val="24"/>
                <w:highlight w:val="none"/>
              </w:rPr>
              <w:t>座。</w:t>
            </w:r>
            <w:r>
              <w:rPr>
                <w:rFonts w:hint="default" w:ascii="Times New Roman" w:hAnsi="Times New Roman" w:cs="Times New Roman"/>
                <w:color w:val="auto"/>
                <w:sz w:val="24"/>
                <w:highlight w:val="none"/>
              </w:rPr>
              <w:t>项目组成情况详见下表。</w:t>
            </w:r>
          </w:p>
          <w:p w14:paraId="1BEFC396">
            <w:pPr>
              <w:widowControl/>
              <w:spacing w:line="360" w:lineRule="auto"/>
              <w:jc w:val="center"/>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表2-1项目组成一览表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131"/>
              <w:gridCol w:w="4641"/>
              <w:gridCol w:w="764"/>
            </w:tblGrid>
            <w:tr w14:paraId="072D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2031" w:type="dxa"/>
                  <w:gridSpan w:val="2"/>
                  <w:vAlign w:val="center"/>
                </w:tcPr>
                <w:p w14:paraId="34690772">
                  <w:pPr>
                    <w:jc w:val="center"/>
                    <w:rPr>
                      <w:rFonts w:hint="default" w:ascii="Times New Roman" w:hAnsi="Times New Roman" w:cs="Times New Roman"/>
                      <w:b/>
                      <w:color w:val="auto"/>
                      <w:szCs w:val="21"/>
                      <w:highlight w:val="none"/>
                    </w:rPr>
                  </w:pPr>
                  <w:bookmarkStart w:id="4" w:name="_Hlk60824116"/>
                  <w:r>
                    <w:rPr>
                      <w:rFonts w:hint="default" w:ascii="Times New Roman" w:hAnsi="Times New Roman" w:cs="Times New Roman"/>
                      <w:b/>
                      <w:color w:val="auto"/>
                      <w:szCs w:val="21"/>
                      <w:highlight w:val="none"/>
                    </w:rPr>
                    <w:t>工程类别</w:t>
                  </w:r>
                </w:p>
              </w:tc>
              <w:tc>
                <w:tcPr>
                  <w:tcW w:w="4641" w:type="dxa"/>
                  <w:vAlign w:val="center"/>
                </w:tcPr>
                <w:p w14:paraId="4F60787F">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工程内容</w:t>
                  </w:r>
                </w:p>
              </w:tc>
              <w:tc>
                <w:tcPr>
                  <w:tcW w:w="764" w:type="dxa"/>
                  <w:vAlign w:val="center"/>
                </w:tcPr>
                <w:p w14:paraId="0D2EB3BC">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备注</w:t>
                  </w:r>
                </w:p>
              </w:tc>
            </w:tr>
            <w:tr w14:paraId="42FD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Align w:val="center"/>
                </w:tcPr>
                <w:p w14:paraId="39A8FA4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主体</w:t>
                  </w:r>
                </w:p>
                <w:p w14:paraId="2C4203C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131" w:type="dxa"/>
                  <w:vAlign w:val="center"/>
                </w:tcPr>
                <w:p w14:paraId="4E75BB5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危险废物暂存库</w:t>
                  </w:r>
                </w:p>
              </w:tc>
              <w:tc>
                <w:tcPr>
                  <w:tcW w:w="4641" w:type="dxa"/>
                  <w:vAlign w:val="center"/>
                </w:tcPr>
                <w:p w14:paraId="6F7BE3D7">
                  <w:pPr>
                    <w:spacing w:line="240" w:lineRule="atLeas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危废库长3.</w:t>
                  </w:r>
                  <w:r>
                    <w:rPr>
                      <w:rFonts w:hint="eastAsia" w:cs="Times New Roman"/>
                      <w:color w:val="auto"/>
                      <w:szCs w:val="21"/>
                      <w:highlight w:val="none"/>
                      <w:lang w:val="en-US" w:eastAsia="zh-CN"/>
                    </w:rPr>
                    <w:t>5</w:t>
                  </w:r>
                  <w:r>
                    <w:rPr>
                      <w:rFonts w:hint="default" w:ascii="Times New Roman" w:hAnsi="Times New Roman" w:cs="Times New Roman"/>
                      <w:color w:val="auto"/>
                      <w:szCs w:val="21"/>
                      <w:highlight w:val="none"/>
                      <w:lang w:val="en-US" w:eastAsia="zh-CN"/>
                    </w:rPr>
                    <w:t>m，宽</w:t>
                  </w:r>
                  <w:r>
                    <w:rPr>
                      <w:rFonts w:hint="eastAsia" w:cs="Times New Roman"/>
                      <w:color w:val="auto"/>
                      <w:szCs w:val="21"/>
                      <w:highlight w:val="none"/>
                      <w:lang w:val="en-US" w:eastAsia="zh-CN"/>
                    </w:rPr>
                    <w:t>4.6</w:t>
                  </w:r>
                  <w:r>
                    <w:rPr>
                      <w:rFonts w:hint="default" w:ascii="Times New Roman" w:hAnsi="Times New Roman" w:cs="Times New Roman"/>
                      <w:color w:val="auto"/>
                      <w:szCs w:val="21"/>
                      <w:highlight w:val="none"/>
                      <w:lang w:val="en-US" w:eastAsia="zh-CN"/>
                    </w:rPr>
                    <w:t>m，总占地面积1</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lang w:val="en-US" w:eastAsia="zh-CN"/>
                    </w:rPr>
                    <w:t>.1m</w:t>
                  </w:r>
                  <w:r>
                    <w:rPr>
                      <w:rFonts w:hint="default" w:ascii="Times New Roman" w:hAnsi="Times New Roman" w:cs="Times New Roman"/>
                      <w:color w:val="auto"/>
                      <w:szCs w:val="21"/>
                      <w:highlight w:val="none"/>
                      <w:vertAlign w:val="superscript"/>
                      <w:lang w:val="en-US" w:eastAsia="zh-CN"/>
                    </w:rPr>
                    <w:t>2</w:t>
                  </w:r>
                  <w:r>
                    <w:rPr>
                      <w:rFonts w:hint="default" w:ascii="Times New Roman" w:hAnsi="Times New Roman" w:cs="Times New Roman"/>
                      <w:color w:val="auto"/>
                      <w:szCs w:val="21"/>
                      <w:highlight w:val="none"/>
                      <w:lang w:val="en-US" w:eastAsia="zh-CN"/>
                    </w:rPr>
                    <w:t>。危废库具体施工如下：</w:t>
                  </w:r>
                </w:p>
                <w:p w14:paraId="323E1A2F">
                  <w:pPr>
                    <w:spacing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1、危废库内四周设置导流渠，导流渠与四周墙体间距300mm，导流渠宽100mm，深100mm，之后用防渗水泥砂浆对原有水泥硬化地面、导流渠进行防渗，保证地面自下而上20cm混凝土缓冲层；</w:t>
                  </w:r>
                </w:p>
                <w:p w14:paraId="7A976084">
                  <w:pPr>
                    <w:spacing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2、防渗水泥上面，自下而上为：SBS防水层＋5cm的混凝土基础层+</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mmHDPE土工膜（地面+导流渠+四周墙壁高800mm）+5cm防渗砂浆地面找平层＋绿色0.2mm的环氧地坪层处理；</w:t>
                  </w:r>
                </w:p>
                <w:p w14:paraId="1EEF087B">
                  <w:pPr>
                    <w:spacing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3、应急收集池内，自下而上为：SBS防水层+5cm的混凝土基础层＋</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mmHDPE土工膜（地面+导流渠+四周墙壁高800mm）+5cm防渗砂浆地面找平层</w:t>
                  </w:r>
                  <w:r>
                    <w:rPr>
                      <w:rFonts w:hint="eastAsia" w:cs="Times New Roman"/>
                      <w:color w:val="auto"/>
                      <w:szCs w:val="21"/>
                      <w:highlight w:val="none"/>
                      <w:lang w:eastAsia="zh-CN"/>
                    </w:rPr>
                    <w:t>，</w:t>
                  </w:r>
                  <w:r>
                    <w:rPr>
                      <w:rFonts w:hint="eastAsia" w:cs="Times New Roman"/>
                      <w:color w:val="auto"/>
                      <w:szCs w:val="21"/>
                      <w:highlight w:val="none"/>
                      <w:lang w:val="en-US" w:eastAsia="zh-CN"/>
                    </w:rPr>
                    <w:t>容积为1m</w:t>
                  </w:r>
                  <w:r>
                    <w:rPr>
                      <w:rFonts w:hint="eastAsia"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rPr>
                    <w:t>；</w:t>
                  </w:r>
                </w:p>
                <w:p w14:paraId="52A6E421">
                  <w:pPr>
                    <w:spacing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r>
                    <w:rPr>
                      <w:rFonts w:hint="eastAsia" w:ascii="Times New Roman" w:hAnsi="Times New Roman" w:cs="Times New Roman"/>
                      <w:color w:val="auto"/>
                      <w:szCs w:val="21"/>
                      <w:highlight w:val="none"/>
                      <w:lang w:eastAsia="zh-CN"/>
                    </w:rPr>
                    <w:t>做好</w:t>
                  </w:r>
                  <w:r>
                    <w:rPr>
                      <w:rFonts w:hint="default" w:ascii="Times New Roman" w:hAnsi="Times New Roman" w:cs="Times New Roman"/>
                      <w:color w:val="auto"/>
                      <w:szCs w:val="21"/>
                      <w:highlight w:val="none"/>
                    </w:rPr>
                    <w:t>应急池内的防渗层与地面的防渗层与导流渠与墙体四周的防渗层焊接为一体的，这样更能保证防渗性能。</w:t>
                  </w:r>
                </w:p>
                <w:p w14:paraId="27370FDD">
                  <w:pPr>
                    <w:spacing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5、门口设置高250mm，宽200mm围挡，并与地面防渗层相连接。</w:t>
                  </w:r>
                </w:p>
              </w:tc>
              <w:tc>
                <w:tcPr>
                  <w:tcW w:w="764" w:type="dxa"/>
                  <w:vAlign w:val="center"/>
                </w:tcPr>
                <w:p w14:paraId="1B2676BA">
                  <w:pPr>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新建</w:t>
                  </w:r>
                </w:p>
              </w:tc>
            </w:tr>
            <w:tr w14:paraId="3A82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restart"/>
                  <w:vAlign w:val="center"/>
                </w:tcPr>
                <w:p w14:paraId="0CB291C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公用</w:t>
                  </w:r>
                </w:p>
                <w:p w14:paraId="0C05384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131" w:type="dxa"/>
                  <w:vAlign w:val="center"/>
                </w:tcPr>
                <w:p w14:paraId="1A768AB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给水</w:t>
                  </w:r>
                </w:p>
              </w:tc>
              <w:tc>
                <w:tcPr>
                  <w:tcW w:w="4641" w:type="dxa"/>
                  <w:vAlign w:val="center"/>
                </w:tcPr>
                <w:p w14:paraId="611CF44F">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煤矿</w:t>
                  </w:r>
                  <w:r>
                    <w:rPr>
                      <w:rFonts w:hint="default" w:ascii="Times New Roman" w:hAnsi="Times New Roman" w:cs="Times New Roman"/>
                      <w:color w:val="auto"/>
                      <w:kern w:val="0"/>
                      <w:szCs w:val="21"/>
                      <w:highlight w:val="none"/>
                    </w:rPr>
                    <w:t>现有给水系统。</w:t>
                  </w:r>
                </w:p>
              </w:tc>
              <w:tc>
                <w:tcPr>
                  <w:tcW w:w="764" w:type="dxa"/>
                  <w:vMerge w:val="restart"/>
                  <w:vAlign w:val="center"/>
                </w:tcPr>
                <w:p w14:paraId="5899B8F0">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依托</w:t>
                  </w:r>
                </w:p>
              </w:tc>
            </w:tr>
            <w:tr w14:paraId="6251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0D708E6E">
                  <w:pPr>
                    <w:widowControl/>
                    <w:jc w:val="center"/>
                    <w:rPr>
                      <w:rFonts w:hint="default" w:ascii="Times New Roman" w:hAnsi="Times New Roman" w:cs="Times New Roman"/>
                      <w:color w:val="auto"/>
                      <w:szCs w:val="21"/>
                      <w:highlight w:val="none"/>
                    </w:rPr>
                  </w:pPr>
                </w:p>
              </w:tc>
              <w:tc>
                <w:tcPr>
                  <w:tcW w:w="1131" w:type="dxa"/>
                  <w:vAlign w:val="center"/>
                </w:tcPr>
                <w:p w14:paraId="02C1FD4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供电</w:t>
                  </w:r>
                </w:p>
              </w:tc>
              <w:tc>
                <w:tcPr>
                  <w:tcW w:w="4641" w:type="dxa"/>
                  <w:vAlign w:val="center"/>
                </w:tcPr>
                <w:p w14:paraId="4E484D46">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煤矿</w:t>
                  </w:r>
                  <w:r>
                    <w:rPr>
                      <w:rFonts w:hint="default" w:ascii="Times New Roman" w:hAnsi="Times New Roman" w:cs="Times New Roman"/>
                      <w:color w:val="auto"/>
                      <w:kern w:val="0"/>
                      <w:szCs w:val="21"/>
                      <w:highlight w:val="none"/>
                    </w:rPr>
                    <w:t>现有供电系统。</w:t>
                  </w:r>
                </w:p>
              </w:tc>
              <w:tc>
                <w:tcPr>
                  <w:tcW w:w="764" w:type="dxa"/>
                  <w:vMerge w:val="continue"/>
                  <w:vAlign w:val="center"/>
                </w:tcPr>
                <w:p w14:paraId="3B3CE12B">
                  <w:pPr>
                    <w:widowControl/>
                    <w:jc w:val="center"/>
                    <w:rPr>
                      <w:rFonts w:hint="default" w:ascii="Times New Roman" w:hAnsi="Times New Roman" w:cs="Times New Roman"/>
                      <w:color w:val="auto"/>
                      <w:szCs w:val="21"/>
                      <w:highlight w:val="none"/>
                    </w:rPr>
                  </w:pPr>
                </w:p>
              </w:tc>
            </w:tr>
            <w:tr w14:paraId="34FD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40795BE0">
                  <w:pPr>
                    <w:widowControl/>
                    <w:jc w:val="center"/>
                    <w:rPr>
                      <w:rFonts w:hint="default" w:ascii="Times New Roman" w:hAnsi="Times New Roman" w:cs="Times New Roman"/>
                      <w:color w:val="auto"/>
                      <w:szCs w:val="21"/>
                      <w:highlight w:val="none"/>
                    </w:rPr>
                  </w:pPr>
                </w:p>
              </w:tc>
              <w:tc>
                <w:tcPr>
                  <w:tcW w:w="1131" w:type="dxa"/>
                  <w:vAlign w:val="center"/>
                </w:tcPr>
                <w:p w14:paraId="4C00869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排水</w:t>
                  </w:r>
                </w:p>
              </w:tc>
              <w:tc>
                <w:tcPr>
                  <w:tcW w:w="4641" w:type="dxa"/>
                  <w:vAlign w:val="center"/>
                </w:tcPr>
                <w:p w14:paraId="1FF9D26B">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煤矿</w:t>
                  </w:r>
                  <w:r>
                    <w:rPr>
                      <w:rFonts w:hint="default" w:ascii="Times New Roman" w:hAnsi="Times New Roman" w:cs="Times New Roman"/>
                      <w:color w:val="auto"/>
                      <w:kern w:val="0"/>
                      <w:szCs w:val="21"/>
                      <w:highlight w:val="none"/>
                    </w:rPr>
                    <w:t>现有排水系统。</w:t>
                  </w:r>
                </w:p>
              </w:tc>
              <w:tc>
                <w:tcPr>
                  <w:tcW w:w="764" w:type="dxa"/>
                  <w:vMerge w:val="continue"/>
                  <w:vAlign w:val="center"/>
                </w:tcPr>
                <w:p w14:paraId="608833E7">
                  <w:pPr>
                    <w:widowControl/>
                    <w:jc w:val="center"/>
                    <w:rPr>
                      <w:rFonts w:hint="default" w:ascii="Times New Roman" w:hAnsi="Times New Roman" w:cs="Times New Roman"/>
                      <w:color w:val="auto"/>
                      <w:szCs w:val="21"/>
                      <w:highlight w:val="none"/>
                    </w:rPr>
                  </w:pPr>
                </w:p>
              </w:tc>
            </w:tr>
            <w:tr w14:paraId="4056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0D229EEC">
                  <w:pPr>
                    <w:widowControl/>
                    <w:jc w:val="center"/>
                    <w:rPr>
                      <w:rFonts w:hint="default" w:ascii="Times New Roman" w:hAnsi="Times New Roman" w:cs="Times New Roman"/>
                      <w:color w:val="auto"/>
                      <w:szCs w:val="21"/>
                      <w:highlight w:val="none"/>
                    </w:rPr>
                  </w:pPr>
                </w:p>
              </w:tc>
              <w:tc>
                <w:tcPr>
                  <w:tcW w:w="1131" w:type="dxa"/>
                  <w:vAlign w:val="center"/>
                </w:tcPr>
                <w:p w14:paraId="3F6CD9F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供热</w:t>
                  </w:r>
                </w:p>
              </w:tc>
              <w:tc>
                <w:tcPr>
                  <w:tcW w:w="4641" w:type="dxa"/>
                  <w:vAlign w:val="center"/>
                </w:tcPr>
                <w:p w14:paraId="144D7CFF">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无需供热。</w:t>
                  </w:r>
                </w:p>
              </w:tc>
              <w:tc>
                <w:tcPr>
                  <w:tcW w:w="764" w:type="dxa"/>
                  <w:vAlign w:val="center"/>
                </w:tcPr>
                <w:p w14:paraId="5AE5AB5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r w14:paraId="5BC4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46E87DB2">
                  <w:pPr>
                    <w:widowControl/>
                    <w:jc w:val="center"/>
                    <w:rPr>
                      <w:rFonts w:hint="default" w:ascii="Times New Roman" w:hAnsi="Times New Roman" w:cs="Times New Roman"/>
                      <w:color w:val="auto"/>
                      <w:szCs w:val="21"/>
                      <w:highlight w:val="none"/>
                    </w:rPr>
                  </w:pPr>
                </w:p>
              </w:tc>
              <w:tc>
                <w:tcPr>
                  <w:tcW w:w="1131" w:type="dxa"/>
                  <w:vAlign w:val="center"/>
                </w:tcPr>
                <w:p w14:paraId="423F89F2">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消防</w:t>
                  </w:r>
                </w:p>
              </w:tc>
              <w:tc>
                <w:tcPr>
                  <w:tcW w:w="4641" w:type="dxa"/>
                  <w:vAlign w:val="center"/>
                </w:tcPr>
                <w:p w14:paraId="127A1FAD">
                  <w:pPr>
                    <w:adjustRightInd w:val="0"/>
                    <w:snapToGrid w:val="0"/>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szCs w:val="21"/>
                      <w:highlight w:val="none"/>
                    </w:rPr>
                    <w:t>在危废品暂存库设置一定数量的干粉灭火器、</w:t>
                  </w:r>
                  <w:r>
                    <w:rPr>
                      <w:rFonts w:hint="eastAsia" w:cs="Times New Roman"/>
                      <w:color w:val="auto"/>
                      <w:szCs w:val="21"/>
                      <w:highlight w:val="none"/>
                      <w:lang w:eastAsia="zh-CN"/>
                    </w:rPr>
                    <w:t>消防砂</w:t>
                  </w:r>
                  <w:r>
                    <w:rPr>
                      <w:rFonts w:hint="default" w:ascii="Times New Roman" w:hAnsi="Times New Roman" w:cs="Times New Roman"/>
                      <w:color w:val="auto"/>
                      <w:szCs w:val="21"/>
                      <w:highlight w:val="none"/>
                    </w:rPr>
                    <w:t>等消防设施</w:t>
                  </w:r>
                  <w:r>
                    <w:rPr>
                      <w:rFonts w:hint="default" w:ascii="Times New Roman" w:hAnsi="Times New Roman" w:cs="Times New Roman"/>
                      <w:color w:val="auto"/>
                      <w:szCs w:val="21"/>
                      <w:highlight w:val="none"/>
                      <w:lang w:eastAsia="zh-CN"/>
                    </w:rPr>
                    <w:t>。</w:t>
                  </w:r>
                </w:p>
              </w:tc>
              <w:tc>
                <w:tcPr>
                  <w:tcW w:w="764" w:type="dxa"/>
                  <w:vAlign w:val="center"/>
                </w:tcPr>
                <w:p w14:paraId="79C0A2FA">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新建</w:t>
                  </w:r>
                </w:p>
              </w:tc>
            </w:tr>
            <w:tr w14:paraId="195C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38C36894">
                  <w:pPr>
                    <w:widowControl/>
                    <w:jc w:val="center"/>
                    <w:rPr>
                      <w:rFonts w:hint="default" w:ascii="Times New Roman" w:hAnsi="Times New Roman" w:cs="Times New Roman"/>
                      <w:color w:val="auto"/>
                      <w:szCs w:val="21"/>
                      <w:highlight w:val="none"/>
                    </w:rPr>
                  </w:pPr>
                </w:p>
              </w:tc>
              <w:tc>
                <w:tcPr>
                  <w:tcW w:w="1131" w:type="dxa"/>
                  <w:vAlign w:val="center"/>
                </w:tcPr>
                <w:p w14:paraId="20B49CDF">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视频监控</w:t>
                  </w:r>
                </w:p>
              </w:tc>
              <w:tc>
                <w:tcPr>
                  <w:tcW w:w="4641" w:type="dxa"/>
                  <w:vAlign w:val="center"/>
                </w:tcPr>
                <w:p w14:paraId="26CD5A03">
                  <w:pPr>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按照要求设置双摄像头进行监控管理。</w:t>
                  </w:r>
                </w:p>
              </w:tc>
              <w:tc>
                <w:tcPr>
                  <w:tcW w:w="764" w:type="dxa"/>
                  <w:vAlign w:val="center"/>
                </w:tcPr>
                <w:p w14:paraId="55DCB73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新建</w:t>
                  </w:r>
                </w:p>
              </w:tc>
            </w:tr>
            <w:tr w14:paraId="2555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5A80E9E6">
                  <w:pPr>
                    <w:widowControl/>
                    <w:jc w:val="center"/>
                    <w:rPr>
                      <w:rFonts w:hint="default" w:ascii="Times New Roman" w:hAnsi="Times New Roman" w:cs="Times New Roman"/>
                      <w:color w:val="auto"/>
                      <w:szCs w:val="21"/>
                      <w:highlight w:val="none"/>
                    </w:rPr>
                  </w:pPr>
                </w:p>
              </w:tc>
              <w:tc>
                <w:tcPr>
                  <w:tcW w:w="1131" w:type="dxa"/>
                  <w:vAlign w:val="center"/>
                </w:tcPr>
                <w:p w14:paraId="2B7FA6A9">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通风设施</w:t>
                  </w:r>
                </w:p>
              </w:tc>
              <w:tc>
                <w:tcPr>
                  <w:tcW w:w="4641" w:type="dxa"/>
                  <w:vAlign w:val="center"/>
                </w:tcPr>
                <w:p w14:paraId="0EE76E39">
                  <w:pPr>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按照要求设置配套的通风设施。</w:t>
                  </w:r>
                </w:p>
              </w:tc>
              <w:tc>
                <w:tcPr>
                  <w:tcW w:w="764" w:type="dxa"/>
                  <w:vAlign w:val="center"/>
                </w:tcPr>
                <w:p w14:paraId="2761BE6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新建</w:t>
                  </w:r>
                </w:p>
              </w:tc>
            </w:tr>
            <w:tr w14:paraId="6D60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900" w:type="dxa"/>
                  <w:vMerge w:val="restart"/>
                  <w:vAlign w:val="center"/>
                </w:tcPr>
                <w:p w14:paraId="2B210192">
                  <w:pPr>
                    <w:jc w:val="center"/>
                    <w:rPr>
                      <w:rFonts w:hint="default" w:ascii="Times New Roman" w:hAnsi="Times New Roman" w:cs="Times New Roman"/>
                      <w:bCs/>
                      <w:snapToGrid w:val="0"/>
                      <w:color w:val="auto"/>
                      <w:szCs w:val="21"/>
                      <w:highlight w:val="none"/>
                    </w:rPr>
                  </w:pPr>
                  <w:r>
                    <w:rPr>
                      <w:rFonts w:hint="default" w:ascii="Times New Roman" w:hAnsi="Times New Roman" w:cs="Times New Roman"/>
                      <w:bCs/>
                      <w:snapToGrid w:val="0"/>
                      <w:color w:val="auto"/>
                      <w:szCs w:val="21"/>
                      <w:highlight w:val="none"/>
                    </w:rPr>
                    <w:t>环保</w:t>
                  </w:r>
                </w:p>
                <w:p w14:paraId="29E6D913">
                  <w:pPr>
                    <w:jc w:val="center"/>
                    <w:rPr>
                      <w:rFonts w:hint="default" w:ascii="Times New Roman" w:hAnsi="Times New Roman" w:cs="Times New Roman"/>
                      <w:bCs/>
                      <w:snapToGrid w:val="0"/>
                      <w:color w:val="auto"/>
                      <w:szCs w:val="21"/>
                      <w:highlight w:val="none"/>
                    </w:rPr>
                  </w:pPr>
                  <w:r>
                    <w:rPr>
                      <w:rFonts w:hint="default" w:ascii="Times New Roman" w:hAnsi="Times New Roman" w:cs="Times New Roman"/>
                      <w:bCs/>
                      <w:snapToGrid w:val="0"/>
                      <w:color w:val="auto"/>
                      <w:szCs w:val="21"/>
                      <w:highlight w:val="none"/>
                    </w:rPr>
                    <w:t>工程</w:t>
                  </w:r>
                </w:p>
              </w:tc>
              <w:tc>
                <w:tcPr>
                  <w:tcW w:w="1131" w:type="dxa"/>
                  <w:vAlign w:val="center"/>
                </w:tcPr>
                <w:p w14:paraId="01C019F3">
                  <w:pPr>
                    <w:snapToGrid w:val="0"/>
                    <w:jc w:val="center"/>
                    <w:rPr>
                      <w:rFonts w:hint="default" w:ascii="Times New Roman" w:hAnsi="Times New Roman" w:cs="Times New Roman"/>
                      <w:snapToGrid w:val="0"/>
                      <w:color w:val="auto"/>
                      <w:szCs w:val="21"/>
                      <w:highlight w:val="none"/>
                    </w:rPr>
                  </w:pPr>
                  <w:r>
                    <w:rPr>
                      <w:rFonts w:hint="default" w:ascii="Times New Roman" w:hAnsi="Times New Roman" w:cs="Times New Roman"/>
                      <w:snapToGrid w:val="0"/>
                      <w:color w:val="auto"/>
                      <w:szCs w:val="21"/>
                      <w:highlight w:val="none"/>
                    </w:rPr>
                    <w:t>废气</w:t>
                  </w:r>
                </w:p>
              </w:tc>
              <w:tc>
                <w:tcPr>
                  <w:tcW w:w="4641" w:type="dxa"/>
                  <w:vAlign w:val="center"/>
                </w:tcPr>
                <w:p w14:paraId="58F216E7">
                  <w:pPr>
                    <w:adjustRightInd w:val="0"/>
                    <w:snapToGrid w:val="0"/>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设置不低于2m的密闭</w:t>
                  </w:r>
                  <w:r>
                    <w:rPr>
                      <w:rFonts w:hint="default" w:ascii="Times New Roman" w:hAnsi="Times New Roman" w:cs="Times New Roman"/>
                      <w:bCs/>
                      <w:color w:val="auto"/>
                      <w:kern w:val="0"/>
                      <w:szCs w:val="21"/>
                      <w:highlight w:val="none"/>
                      <w:lang w:eastAsia="zh-CN"/>
                    </w:rPr>
                    <w:t>围挡</w:t>
                  </w:r>
                  <w:r>
                    <w:rPr>
                      <w:rFonts w:hint="default" w:ascii="Times New Roman" w:hAnsi="Times New Roman" w:cs="Times New Roman"/>
                      <w:bCs/>
                      <w:color w:val="auto"/>
                      <w:kern w:val="0"/>
                      <w:szCs w:val="21"/>
                      <w:highlight w:val="none"/>
                    </w:rPr>
                    <w:t>，确保基础牢固，表面平整和清洁</w:t>
                  </w:r>
                  <w:r>
                    <w:rPr>
                      <w:rFonts w:hint="default" w:ascii="Times New Roman" w:hAnsi="Times New Roman" w:cs="Times New Roman"/>
                      <w:bCs/>
                      <w:color w:val="auto"/>
                      <w:kern w:val="0"/>
                      <w:szCs w:val="21"/>
                      <w:highlight w:val="none"/>
                      <w:lang w:eastAsia="zh-CN"/>
                    </w:rPr>
                    <w:t>。</w:t>
                  </w:r>
                  <w:r>
                    <w:rPr>
                      <w:rFonts w:hint="default" w:ascii="Times New Roman" w:hAnsi="Times New Roman" w:cs="Times New Roman"/>
                      <w:bCs/>
                      <w:color w:val="auto"/>
                      <w:kern w:val="0"/>
                      <w:szCs w:val="21"/>
                      <w:highlight w:val="none"/>
                    </w:rPr>
                    <w:t>废矿物油采用</w:t>
                  </w:r>
                  <w:r>
                    <w:rPr>
                      <w:rFonts w:hint="default" w:ascii="Times New Roman" w:hAnsi="Times New Roman" w:cs="Times New Roman"/>
                      <w:color w:val="auto"/>
                      <w:szCs w:val="21"/>
                      <w:highlight w:val="none"/>
                    </w:rPr>
                    <w:t>镀锌铁皮桶作为</w:t>
                  </w:r>
                  <w:r>
                    <w:rPr>
                      <w:rFonts w:hint="default" w:ascii="Times New Roman" w:hAnsi="Times New Roman" w:cs="Times New Roman"/>
                      <w:bCs/>
                      <w:color w:val="auto"/>
                      <w:kern w:val="0"/>
                      <w:szCs w:val="21"/>
                      <w:highlight w:val="none"/>
                    </w:rPr>
                    <w:t>盛放容器（200L/个），收集完成后及时进行密封；收集过程中会产生少量非甲烷总烃。</w:t>
                  </w:r>
                </w:p>
              </w:tc>
              <w:tc>
                <w:tcPr>
                  <w:tcW w:w="764" w:type="dxa"/>
                  <w:vMerge w:val="restart"/>
                  <w:vAlign w:val="center"/>
                </w:tcPr>
                <w:p w14:paraId="58922E9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新建</w:t>
                  </w:r>
                </w:p>
              </w:tc>
            </w:tr>
            <w:tr w14:paraId="06FE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48D26FA6">
                  <w:pPr>
                    <w:jc w:val="center"/>
                    <w:rPr>
                      <w:rFonts w:hint="default" w:ascii="Times New Roman" w:hAnsi="Times New Roman" w:cs="Times New Roman"/>
                      <w:bCs/>
                      <w:snapToGrid w:val="0"/>
                      <w:color w:val="auto"/>
                      <w:szCs w:val="21"/>
                      <w:highlight w:val="none"/>
                    </w:rPr>
                  </w:pPr>
                </w:p>
              </w:tc>
              <w:tc>
                <w:tcPr>
                  <w:tcW w:w="1131" w:type="dxa"/>
                  <w:vAlign w:val="center"/>
                </w:tcPr>
                <w:p w14:paraId="04E5E1C1">
                  <w:pPr>
                    <w:snapToGrid w:val="0"/>
                    <w:jc w:val="center"/>
                    <w:rPr>
                      <w:rFonts w:hint="default" w:ascii="Times New Roman" w:hAnsi="Times New Roman" w:cs="Times New Roman"/>
                      <w:snapToGrid w:val="0"/>
                      <w:color w:val="auto"/>
                      <w:szCs w:val="21"/>
                      <w:highlight w:val="none"/>
                    </w:rPr>
                  </w:pPr>
                  <w:r>
                    <w:rPr>
                      <w:rFonts w:hint="default" w:ascii="Times New Roman" w:hAnsi="Times New Roman" w:cs="Times New Roman"/>
                      <w:snapToGrid w:val="0"/>
                      <w:color w:val="auto"/>
                      <w:szCs w:val="21"/>
                      <w:highlight w:val="none"/>
                    </w:rPr>
                    <w:t>废水</w:t>
                  </w:r>
                </w:p>
              </w:tc>
              <w:tc>
                <w:tcPr>
                  <w:tcW w:w="4641" w:type="dxa"/>
                  <w:vAlign w:val="center"/>
                </w:tcPr>
                <w:p w14:paraId="17CD767C">
                  <w:pPr>
                    <w:adjustRightInd w:val="0"/>
                    <w:snapToGrid w:val="0"/>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无生产废水；不新增劳动定员，无新增生活污水产生。</w:t>
                  </w:r>
                </w:p>
              </w:tc>
              <w:tc>
                <w:tcPr>
                  <w:tcW w:w="764" w:type="dxa"/>
                  <w:vMerge w:val="continue"/>
                  <w:vAlign w:val="center"/>
                </w:tcPr>
                <w:p w14:paraId="5F44E587">
                  <w:pPr>
                    <w:jc w:val="center"/>
                    <w:rPr>
                      <w:rFonts w:hint="default" w:ascii="Times New Roman" w:hAnsi="Times New Roman" w:cs="Times New Roman"/>
                      <w:color w:val="auto"/>
                      <w:szCs w:val="21"/>
                      <w:highlight w:val="none"/>
                    </w:rPr>
                  </w:pPr>
                </w:p>
              </w:tc>
            </w:tr>
            <w:tr w14:paraId="7B70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Merge w:val="continue"/>
                  <w:vAlign w:val="center"/>
                </w:tcPr>
                <w:p w14:paraId="7191FBCF">
                  <w:pPr>
                    <w:widowControl/>
                    <w:jc w:val="center"/>
                    <w:rPr>
                      <w:rFonts w:hint="default" w:ascii="Times New Roman" w:hAnsi="Times New Roman" w:cs="Times New Roman"/>
                      <w:bCs/>
                      <w:snapToGrid w:val="0"/>
                      <w:color w:val="auto"/>
                      <w:szCs w:val="21"/>
                      <w:highlight w:val="none"/>
                    </w:rPr>
                  </w:pPr>
                </w:p>
              </w:tc>
              <w:tc>
                <w:tcPr>
                  <w:tcW w:w="1131" w:type="dxa"/>
                  <w:vAlign w:val="center"/>
                </w:tcPr>
                <w:p w14:paraId="1228BF1B">
                  <w:pPr>
                    <w:snapToGrid w:val="0"/>
                    <w:jc w:val="center"/>
                    <w:rPr>
                      <w:rFonts w:hint="default" w:ascii="Times New Roman" w:hAnsi="Times New Roman" w:cs="Times New Roman"/>
                      <w:snapToGrid w:val="0"/>
                      <w:color w:val="auto"/>
                      <w:szCs w:val="21"/>
                      <w:highlight w:val="none"/>
                    </w:rPr>
                  </w:pPr>
                  <w:r>
                    <w:rPr>
                      <w:rFonts w:hint="default" w:ascii="Times New Roman" w:hAnsi="Times New Roman" w:cs="Times New Roman"/>
                      <w:snapToGrid w:val="0"/>
                      <w:color w:val="auto"/>
                      <w:szCs w:val="21"/>
                      <w:highlight w:val="none"/>
                    </w:rPr>
                    <w:t>噪声</w:t>
                  </w:r>
                </w:p>
              </w:tc>
              <w:tc>
                <w:tcPr>
                  <w:tcW w:w="4641" w:type="dxa"/>
                  <w:vAlign w:val="center"/>
                </w:tcPr>
                <w:p w14:paraId="4F38D846">
                  <w:pPr>
                    <w:adjustRightInd w:val="0"/>
                    <w:snapToGrid w:val="0"/>
                    <w:rPr>
                      <w:rFonts w:hint="default" w:ascii="Times New Roman" w:hAnsi="Times New Roman" w:cs="Times New Roman"/>
                      <w:bCs/>
                      <w:snapToGrid w:val="0"/>
                      <w:color w:val="auto"/>
                      <w:kern w:val="0"/>
                      <w:szCs w:val="21"/>
                      <w:highlight w:val="none"/>
                    </w:rPr>
                  </w:pPr>
                  <w:r>
                    <w:rPr>
                      <w:rFonts w:hint="default" w:ascii="Times New Roman" w:hAnsi="Times New Roman" w:cs="Times New Roman"/>
                      <w:color w:val="auto"/>
                      <w:kern w:val="0"/>
                      <w:szCs w:val="21"/>
                      <w:highlight w:val="none"/>
                    </w:rPr>
                    <w:t>运输车辆限速，搬运过程轻拿轻放，库房采取墙体隔声措施。</w:t>
                  </w:r>
                </w:p>
              </w:tc>
              <w:tc>
                <w:tcPr>
                  <w:tcW w:w="764" w:type="dxa"/>
                  <w:vMerge w:val="continue"/>
                  <w:vAlign w:val="center"/>
                </w:tcPr>
                <w:p w14:paraId="0D616308">
                  <w:pPr>
                    <w:widowControl/>
                    <w:jc w:val="center"/>
                    <w:rPr>
                      <w:rFonts w:hint="default" w:ascii="Times New Roman" w:hAnsi="Times New Roman" w:cs="Times New Roman"/>
                      <w:color w:val="auto"/>
                      <w:szCs w:val="21"/>
                      <w:highlight w:val="none"/>
                    </w:rPr>
                  </w:pPr>
                </w:p>
              </w:tc>
            </w:tr>
            <w:tr w14:paraId="1BB5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 w:hRule="atLeast"/>
                <w:jc w:val="center"/>
              </w:trPr>
              <w:tc>
                <w:tcPr>
                  <w:tcW w:w="900" w:type="dxa"/>
                  <w:vMerge w:val="continue"/>
                  <w:vAlign w:val="center"/>
                </w:tcPr>
                <w:p w14:paraId="715F8D53">
                  <w:pPr>
                    <w:widowControl/>
                    <w:jc w:val="center"/>
                    <w:rPr>
                      <w:rFonts w:hint="default" w:ascii="Times New Roman" w:hAnsi="Times New Roman" w:cs="Times New Roman"/>
                      <w:bCs/>
                      <w:snapToGrid w:val="0"/>
                      <w:color w:val="auto"/>
                      <w:szCs w:val="21"/>
                      <w:highlight w:val="none"/>
                    </w:rPr>
                  </w:pPr>
                </w:p>
              </w:tc>
              <w:tc>
                <w:tcPr>
                  <w:tcW w:w="1131" w:type="dxa"/>
                  <w:vAlign w:val="center"/>
                </w:tcPr>
                <w:p w14:paraId="74B6BC36">
                  <w:pPr>
                    <w:adjustRightInd w:val="0"/>
                    <w:snapToGrid w:val="0"/>
                    <w:jc w:val="center"/>
                    <w:rPr>
                      <w:rFonts w:hint="default" w:ascii="Times New Roman" w:hAnsi="Times New Roman" w:cs="Times New Roman"/>
                      <w:color w:val="0000FF"/>
                      <w:kern w:val="0"/>
                      <w:szCs w:val="21"/>
                      <w:highlight w:val="none"/>
                    </w:rPr>
                  </w:pPr>
                  <w:r>
                    <w:rPr>
                      <w:rFonts w:hint="default" w:ascii="Times New Roman" w:hAnsi="Times New Roman" w:cs="Times New Roman"/>
                      <w:color w:val="0000FF"/>
                      <w:kern w:val="0"/>
                      <w:szCs w:val="21"/>
                      <w:highlight w:val="none"/>
                    </w:rPr>
                    <w:t>固废</w:t>
                  </w:r>
                </w:p>
              </w:tc>
              <w:tc>
                <w:tcPr>
                  <w:tcW w:w="4641" w:type="dxa"/>
                </w:tcPr>
                <w:p w14:paraId="0B278524">
                  <w:pPr>
                    <w:adjustRightInd w:val="0"/>
                    <w:snapToGrid w:val="0"/>
                    <w:rPr>
                      <w:rFonts w:hint="default" w:ascii="Times New Roman" w:hAnsi="Times New Roman" w:eastAsia="宋体" w:cs="Times New Roman"/>
                      <w:color w:val="0000FF"/>
                      <w:kern w:val="0"/>
                      <w:szCs w:val="21"/>
                      <w:highlight w:val="none"/>
                      <w:lang w:val="en-US" w:eastAsia="zh-CN"/>
                    </w:rPr>
                  </w:pPr>
                  <w:r>
                    <w:rPr>
                      <w:rFonts w:hint="default" w:ascii="Times New Roman" w:hAnsi="Times New Roman" w:cs="Times New Roman"/>
                      <w:color w:val="0000FF"/>
                      <w:kern w:val="0"/>
                      <w:szCs w:val="21"/>
                      <w:highlight w:val="none"/>
                    </w:rPr>
                    <w:t>机械维修过程中产生的废矿物油（</w:t>
                  </w:r>
                  <w:r>
                    <w:rPr>
                      <w:rFonts w:hint="default" w:ascii="Times New Roman" w:hAnsi="Times New Roman" w:cs="Times New Roman"/>
                      <w:color w:val="0000FF"/>
                      <w:kern w:val="0"/>
                      <w:szCs w:val="21"/>
                      <w:highlight w:val="none"/>
                      <w:lang w:val="en-US" w:eastAsia="zh-CN"/>
                    </w:rPr>
                    <w:t>废润滑油、废液压油</w:t>
                  </w:r>
                  <w:r>
                    <w:rPr>
                      <w:rFonts w:hint="default" w:ascii="Times New Roman" w:hAnsi="Times New Roman" w:cs="Times New Roman"/>
                      <w:color w:val="0000FF"/>
                      <w:kern w:val="0"/>
                      <w:szCs w:val="21"/>
                      <w:highlight w:val="none"/>
                    </w:rPr>
                    <w:t>）、沾染危险废物的废弃油桶收集暂存于危险废物暂存库，委托有资质单位处理。沾染废矿物油的劳保用品根据《国家危险废物名录》（2025年版），全部环节未分类收集的废弃的含油抹布、劳保用品全过程不按危险废物管理，因此统一收集后由环卫部门统一清理</w:t>
                  </w:r>
                  <w:r>
                    <w:rPr>
                      <w:rFonts w:hint="eastAsia" w:cs="Times New Roman"/>
                      <w:color w:val="0000FF"/>
                      <w:kern w:val="0"/>
                      <w:szCs w:val="21"/>
                      <w:highlight w:val="none"/>
                      <w:lang w:val="en-US" w:eastAsia="zh-CN"/>
                    </w:rPr>
                    <w:t>。</w:t>
                  </w:r>
                </w:p>
              </w:tc>
              <w:tc>
                <w:tcPr>
                  <w:tcW w:w="764" w:type="dxa"/>
                  <w:vMerge w:val="continue"/>
                  <w:vAlign w:val="center"/>
                </w:tcPr>
                <w:p w14:paraId="3D494248">
                  <w:pPr>
                    <w:widowControl/>
                    <w:jc w:val="center"/>
                    <w:rPr>
                      <w:rFonts w:hint="default" w:ascii="Times New Roman" w:hAnsi="Times New Roman" w:cs="Times New Roman"/>
                      <w:color w:val="auto"/>
                      <w:szCs w:val="21"/>
                      <w:highlight w:val="none"/>
                    </w:rPr>
                  </w:pPr>
                </w:p>
              </w:tc>
            </w:tr>
            <w:tr w14:paraId="2B39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jc w:val="center"/>
              </w:trPr>
              <w:tc>
                <w:tcPr>
                  <w:tcW w:w="900" w:type="dxa"/>
                  <w:vAlign w:val="center"/>
                </w:tcPr>
                <w:p w14:paraId="367206B6">
                  <w:pPr>
                    <w:jc w:val="center"/>
                    <w:rPr>
                      <w:rFonts w:hint="default" w:ascii="Times New Roman" w:hAnsi="Times New Roman" w:cs="Times New Roman"/>
                      <w:snapToGrid w:val="0"/>
                      <w:color w:val="auto"/>
                      <w:szCs w:val="21"/>
                      <w:highlight w:val="none"/>
                    </w:rPr>
                  </w:pPr>
                  <w:r>
                    <w:rPr>
                      <w:rFonts w:hint="default" w:ascii="Times New Roman" w:hAnsi="Times New Roman" w:cs="Times New Roman"/>
                      <w:snapToGrid w:val="0"/>
                      <w:color w:val="auto"/>
                      <w:szCs w:val="21"/>
                      <w:highlight w:val="none"/>
                    </w:rPr>
                    <w:t>防渗</w:t>
                  </w:r>
                </w:p>
                <w:p w14:paraId="2D447140">
                  <w:pPr>
                    <w:jc w:val="center"/>
                    <w:rPr>
                      <w:rFonts w:hint="default" w:ascii="Times New Roman" w:hAnsi="Times New Roman" w:cs="Times New Roman"/>
                      <w:b/>
                      <w:bCs/>
                      <w:snapToGrid w:val="0"/>
                      <w:color w:val="auto"/>
                      <w:szCs w:val="21"/>
                      <w:highlight w:val="none"/>
                    </w:rPr>
                  </w:pPr>
                  <w:r>
                    <w:rPr>
                      <w:rFonts w:hint="default" w:ascii="Times New Roman" w:hAnsi="Times New Roman" w:cs="Times New Roman"/>
                      <w:snapToGrid w:val="0"/>
                      <w:color w:val="auto"/>
                      <w:szCs w:val="21"/>
                      <w:highlight w:val="none"/>
                    </w:rPr>
                    <w:t>工程</w:t>
                  </w:r>
                </w:p>
              </w:tc>
              <w:tc>
                <w:tcPr>
                  <w:tcW w:w="5772" w:type="dxa"/>
                  <w:gridSpan w:val="2"/>
                  <w:vAlign w:val="center"/>
                </w:tcPr>
                <w:p w14:paraId="207C9D8E">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①</w:t>
                  </w:r>
                  <w:r>
                    <w:rPr>
                      <w:rFonts w:hint="default" w:ascii="Times New Roman" w:hAnsi="Times New Roman" w:cs="Times New Roman"/>
                      <w:color w:val="auto"/>
                      <w:kern w:val="0"/>
                      <w:szCs w:val="21"/>
                      <w:highlight w:val="none"/>
                    </w:rPr>
                    <w:t>危险废物暂存库防渗做法：自下而上分别为</w:t>
                  </w:r>
                  <w:r>
                    <w:rPr>
                      <w:rFonts w:hint="default" w:ascii="Times New Roman" w:hAnsi="Times New Roman"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0cm防渗水泥砂浆</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SBS防水层＋5cm的混凝土基础层+</w:t>
                  </w:r>
                  <w:r>
                    <w:rPr>
                      <w:rFonts w:hint="default" w:ascii="Times New Roman" w:hAnsi="Times New Roman"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mmHDPE土工膜（地面+导流渠+四周墙壁高800mm）+5cm防渗砂浆地面找平层＋绿色0.2mm的环氧地坪层处理；满足渗透系数K≤1.0×10-10cm/s；</w:t>
                  </w:r>
                </w:p>
                <w:p w14:paraId="5B840744">
                  <w:pPr>
                    <w:adjustRightInd w:val="0"/>
                    <w:snapToGrid w:val="0"/>
                    <w:rPr>
                      <w:rFonts w:hint="default" w:ascii="Times New Roman" w:hAnsi="Times New Roman" w:cs="Times New Roman"/>
                      <w:color w:val="auto"/>
                      <w:kern w:val="0"/>
                      <w:szCs w:val="21"/>
                      <w:highlight w:val="none"/>
                    </w:rPr>
                  </w:pPr>
                  <w:bookmarkStart w:id="5" w:name="_Hlk60758460"/>
                  <w:r>
                    <w:rPr>
                      <w:rFonts w:hint="default" w:ascii="Times New Roman" w:hAnsi="Times New Roman" w:cs="Times New Roman"/>
                      <w:color w:val="auto"/>
                      <w:kern w:val="0"/>
                      <w:szCs w:val="21"/>
                      <w:highlight w:val="none"/>
                      <w:lang w:val="en-US" w:eastAsia="zh-CN"/>
                    </w:rPr>
                    <w:t>②</w:t>
                  </w:r>
                  <w:r>
                    <w:rPr>
                      <w:rFonts w:hint="default" w:ascii="Times New Roman" w:hAnsi="Times New Roman" w:cs="Times New Roman"/>
                      <w:color w:val="auto"/>
                      <w:kern w:val="0"/>
                      <w:szCs w:val="21"/>
                      <w:highlight w:val="none"/>
                    </w:rPr>
                    <w:t>收集池、导流槽防渗做法：自下而上分别为</w:t>
                  </w:r>
                  <w:r>
                    <w:rPr>
                      <w:rFonts w:hint="default" w:ascii="Times New Roman" w:hAnsi="Times New Roman"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0cm</w:t>
                  </w:r>
                  <w:bookmarkEnd w:id="5"/>
                  <w:r>
                    <w:rPr>
                      <w:rFonts w:hint="default" w:ascii="Times New Roman" w:hAnsi="Times New Roman" w:cs="Times New Roman"/>
                      <w:color w:val="auto"/>
                      <w:kern w:val="0"/>
                      <w:szCs w:val="21"/>
                      <w:highlight w:val="none"/>
                      <w:lang w:val="en-US" w:eastAsia="zh-CN"/>
                    </w:rPr>
                    <w:t>防渗水泥砂浆、</w:t>
                  </w:r>
                  <w:r>
                    <w:rPr>
                      <w:rFonts w:hint="default" w:ascii="Times New Roman" w:hAnsi="Times New Roman" w:cs="Times New Roman"/>
                      <w:color w:val="auto"/>
                      <w:kern w:val="0"/>
                      <w:szCs w:val="21"/>
                      <w:highlight w:val="none"/>
                    </w:rPr>
                    <w:t>SBS防水层+5cm的混凝土基础层＋</w:t>
                  </w:r>
                  <w:r>
                    <w:rPr>
                      <w:rFonts w:hint="default" w:ascii="Times New Roman" w:hAnsi="Times New Roman"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mmHDPE土工膜（地面+导流渠+四周墙壁高800mm）+5cm防渗砂浆地面找平层；</w:t>
                  </w:r>
                </w:p>
                <w:p w14:paraId="18E50CC6">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lang w:val="en-US" w:eastAsia="zh-CN"/>
                    </w:rPr>
                    <w:t>③</w:t>
                  </w:r>
                  <w:r>
                    <w:rPr>
                      <w:rFonts w:hint="default" w:ascii="Times New Roman" w:hAnsi="Times New Roman" w:cs="Times New Roman"/>
                      <w:color w:val="auto"/>
                      <w:kern w:val="0"/>
                      <w:szCs w:val="21"/>
                      <w:highlight w:val="none"/>
                    </w:rPr>
                    <w:t>门口设置高250mm，宽200mm围挡，并与地面防渗膜相连接。</w:t>
                  </w:r>
                </w:p>
              </w:tc>
              <w:tc>
                <w:tcPr>
                  <w:tcW w:w="764" w:type="dxa"/>
                  <w:vAlign w:val="center"/>
                </w:tcPr>
                <w:p w14:paraId="73A6FE5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新建</w:t>
                  </w:r>
                </w:p>
              </w:tc>
            </w:tr>
            <w:bookmarkEnd w:id="4"/>
          </w:tbl>
          <w:p w14:paraId="3DCC1B52">
            <w:pPr>
              <w:pStyle w:val="53"/>
              <w:spacing w:before="35" w:line="219" w:lineRule="auto"/>
              <w:ind w:left="594"/>
              <w:rPr>
                <w:rFonts w:hint="default" w:ascii="Times New Roman" w:hAnsi="Times New Roman" w:eastAsia="宋体" w:cs="Times New Roman"/>
                <w:b/>
                <w:color w:val="auto"/>
                <w:kern w:val="2"/>
                <w:sz w:val="24"/>
                <w:szCs w:val="24"/>
                <w:highlight w:val="none"/>
                <w:lang w:val="en-US" w:eastAsia="zh-CN" w:bidi="ar-SA"/>
              </w:rPr>
            </w:pPr>
            <w:r>
              <w:rPr>
                <w:rFonts w:hint="eastAsia" w:ascii="Times New Roman" w:hAnsi="Times New Roman" w:eastAsia="宋体" w:cs="Times New Roman"/>
                <w:b/>
                <w:color w:val="auto"/>
                <w:kern w:val="2"/>
                <w:sz w:val="24"/>
                <w:szCs w:val="24"/>
                <w:highlight w:val="none"/>
                <w:lang w:val="en-US" w:eastAsia="zh-CN" w:bidi="ar-SA"/>
              </w:rPr>
              <w:t>4 、</w:t>
            </w:r>
            <w:r>
              <w:rPr>
                <w:rFonts w:hint="eastAsia" w:ascii="Times New Roman" w:hAnsi="Times New Roman" w:cs="Times New Roman"/>
                <w:b/>
                <w:color w:val="auto"/>
                <w:kern w:val="2"/>
                <w:sz w:val="24"/>
                <w:szCs w:val="24"/>
                <w:highlight w:val="none"/>
                <w:lang w:val="en-US" w:eastAsia="zh-CN" w:bidi="ar-SA"/>
              </w:rPr>
              <w:t>项目建设方案</w:t>
            </w:r>
          </w:p>
          <w:p w14:paraId="2588343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本项目建成后用于贮存</w:t>
            </w:r>
            <w:r>
              <w:rPr>
                <w:rFonts w:hint="default" w:ascii="Times New Roman" w:hAnsi="Times New Roman" w:cs="Times New Roman"/>
                <w:color w:val="auto"/>
                <w:kern w:val="2"/>
                <w:sz w:val="24"/>
                <w:szCs w:val="24"/>
                <w:highlight w:val="none"/>
                <w:lang w:val="en-US" w:eastAsia="zh-CN" w:bidi="zh-CN"/>
              </w:rPr>
              <w:t>伊金霍洛旗纳林塔纳林沟煤矿</w:t>
            </w:r>
            <w:r>
              <w:rPr>
                <w:rFonts w:hint="default" w:ascii="Times New Roman" w:hAnsi="Times New Roman" w:cs="Times New Roman"/>
                <w:color w:val="auto"/>
                <w:sz w:val="24"/>
                <w:highlight w:val="none"/>
              </w:rPr>
              <w:t>产生的危险废物，储存物质特性及预计储存量见表 2-2。</w:t>
            </w:r>
          </w:p>
          <w:p w14:paraId="78E347BD">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color w:val="auto"/>
                <w:sz w:val="21"/>
                <w:szCs w:val="21"/>
                <w:highlight w:val="none"/>
              </w:rPr>
            </w:pPr>
            <w:r>
              <w:rPr>
                <w:b/>
                <w:bCs/>
                <w:color w:val="auto"/>
                <w:spacing w:val="-3"/>
                <w:sz w:val="21"/>
                <w:szCs w:val="21"/>
                <w:highlight w:val="none"/>
              </w:rPr>
              <w:t>表</w:t>
            </w:r>
            <w:r>
              <w:rPr>
                <w:color w:val="auto"/>
                <w:spacing w:val="-40"/>
                <w:sz w:val="21"/>
                <w:szCs w:val="21"/>
                <w:highlight w:val="none"/>
              </w:rPr>
              <w:t xml:space="preserve"> </w:t>
            </w:r>
            <w:r>
              <w:rPr>
                <w:rFonts w:ascii="Times New Roman" w:hAnsi="Times New Roman" w:eastAsia="Times New Roman" w:cs="Times New Roman"/>
                <w:b/>
                <w:bCs/>
                <w:color w:val="auto"/>
                <w:spacing w:val="-3"/>
                <w:sz w:val="21"/>
                <w:szCs w:val="21"/>
                <w:highlight w:val="none"/>
              </w:rPr>
              <w:t xml:space="preserve">2-2 </w:t>
            </w:r>
            <w:r>
              <w:rPr>
                <w:b/>
                <w:bCs/>
                <w:color w:val="auto"/>
                <w:spacing w:val="-3"/>
                <w:sz w:val="21"/>
                <w:szCs w:val="21"/>
                <w:highlight w:val="none"/>
              </w:rPr>
              <w:t>项目存储危险废物情况说明</w:t>
            </w:r>
          </w:p>
          <w:p w14:paraId="30160C0F">
            <w:pPr>
              <w:spacing w:line="146" w:lineRule="exact"/>
              <w:rPr>
                <w:color w:val="auto"/>
                <w:highlight w:val="none"/>
              </w:rPr>
            </w:pPr>
          </w:p>
          <w:tbl>
            <w:tblPr>
              <w:tblStyle w:val="54"/>
              <w:tblW w:w="7335"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94"/>
              <w:gridCol w:w="725"/>
              <w:gridCol w:w="1222"/>
              <w:gridCol w:w="741"/>
              <w:gridCol w:w="589"/>
              <w:gridCol w:w="525"/>
              <w:gridCol w:w="518"/>
              <w:gridCol w:w="1241"/>
              <w:gridCol w:w="867"/>
              <w:gridCol w:w="613"/>
            </w:tblGrid>
            <w:tr w14:paraId="57465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94" w:type="dxa"/>
                  <w:textDirection w:val="tbRlV"/>
                  <w:vAlign w:val="center"/>
                </w:tcPr>
                <w:p w14:paraId="6936172B">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8"/>
                      <w:sz w:val="21"/>
                      <w:szCs w:val="21"/>
                      <w:highlight w:val="none"/>
                    </w:rPr>
                    <w:t>序</w:t>
                  </w:r>
                  <w:r>
                    <w:rPr>
                      <w:rFonts w:hint="eastAsia" w:ascii="宋体" w:hAnsi="宋体" w:eastAsia="宋体" w:cs="宋体"/>
                      <w:color w:val="0000FF"/>
                      <w:spacing w:val="-35"/>
                      <w:sz w:val="21"/>
                      <w:szCs w:val="21"/>
                      <w:highlight w:val="none"/>
                    </w:rPr>
                    <w:t xml:space="preserve"> </w:t>
                  </w:r>
                  <w:r>
                    <w:rPr>
                      <w:rFonts w:hint="eastAsia" w:ascii="宋体" w:hAnsi="宋体" w:eastAsia="宋体" w:cs="宋体"/>
                      <w:color w:val="0000FF"/>
                      <w:spacing w:val="8"/>
                      <w:sz w:val="21"/>
                      <w:szCs w:val="21"/>
                      <w:highlight w:val="none"/>
                    </w:rPr>
                    <w:t>号</w:t>
                  </w:r>
                </w:p>
              </w:tc>
              <w:tc>
                <w:tcPr>
                  <w:tcW w:w="725" w:type="dxa"/>
                  <w:vAlign w:val="center"/>
                </w:tcPr>
                <w:p w14:paraId="44799D3E">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6"/>
                      <w:sz w:val="21"/>
                      <w:szCs w:val="21"/>
                      <w:highlight w:val="none"/>
                    </w:rPr>
                    <w:t>危险废</w:t>
                  </w:r>
                  <w:r>
                    <w:rPr>
                      <w:rFonts w:hint="eastAsia" w:ascii="宋体" w:hAnsi="宋体" w:eastAsia="宋体" w:cs="宋体"/>
                      <w:color w:val="0000FF"/>
                      <w:sz w:val="21"/>
                      <w:szCs w:val="21"/>
                      <w:highlight w:val="none"/>
                    </w:rPr>
                    <w:t xml:space="preserve"> </w:t>
                  </w:r>
                  <w:r>
                    <w:rPr>
                      <w:rFonts w:hint="eastAsia" w:ascii="宋体" w:hAnsi="宋体" w:eastAsia="宋体" w:cs="宋体"/>
                      <w:color w:val="0000FF"/>
                      <w:spacing w:val="6"/>
                      <w:sz w:val="21"/>
                      <w:szCs w:val="21"/>
                      <w:highlight w:val="none"/>
                    </w:rPr>
                    <w:t>物名称</w:t>
                  </w:r>
                </w:p>
              </w:tc>
              <w:tc>
                <w:tcPr>
                  <w:tcW w:w="1222" w:type="dxa"/>
                  <w:vAlign w:val="center"/>
                </w:tcPr>
                <w:p w14:paraId="148426A0">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6"/>
                      <w:sz w:val="21"/>
                      <w:szCs w:val="21"/>
                      <w:highlight w:val="none"/>
                    </w:rPr>
                    <w:t>危险废物</w:t>
                  </w:r>
                  <w:r>
                    <w:rPr>
                      <w:rFonts w:hint="eastAsia" w:ascii="宋体" w:hAnsi="宋体" w:eastAsia="宋体" w:cs="宋体"/>
                      <w:color w:val="0000FF"/>
                      <w:spacing w:val="4"/>
                      <w:sz w:val="21"/>
                      <w:szCs w:val="21"/>
                      <w:highlight w:val="none"/>
                    </w:rPr>
                    <w:t>类别</w:t>
                  </w:r>
                </w:p>
              </w:tc>
              <w:tc>
                <w:tcPr>
                  <w:tcW w:w="741" w:type="dxa"/>
                  <w:vAlign w:val="center"/>
                </w:tcPr>
                <w:p w14:paraId="38C6795F">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cs="宋体"/>
                      <w:color w:val="0000FF"/>
                      <w:spacing w:val="6"/>
                      <w:sz w:val="21"/>
                      <w:szCs w:val="21"/>
                      <w:highlight w:val="none"/>
                      <w:lang w:val="en-US" w:eastAsia="zh-CN"/>
                    </w:rPr>
                    <w:t>最大暂存</w:t>
                  </w:r>
                  <w:r>
                    <w:rPr>
                      <w:rFonts w:hint="eastAsia" w:ascii="宋体" w:hAnsi="宋体" w:eastAsia="宋体" w:cs="宋体"/>
                      <w:color w:val="0000FF"/>
                      <w:spacing w:val="6"/>
                      <w:sz w:val="21"/>
                      <w:szCs w:val="21"/>
                      <w:highlight w:val="none"/>
                    </w:rPr>
                    <w:t>量</w:t>
                  </w:r>
                </w:p>
              </w:tc>
              <w:tc>
                <w:tcPr>
                  <w:tcW w:w="589" w:type="dxa"/>
                  <w:vAlign w:val="center"/>
                </w:tcPr>
                <w:p w14:paraId="35D119BC">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3"/>
                      <w:sz w:val="21"/>
                      <w:szCs w:val="21"/>
                      <w:highlight w:val="none"/>
                    </w:rPr>
                    <w:t>危险</w:t>
                  </w:r>
                  <w:r>
                    <w:rPr>
                      <w:rFonts w:hint="eastAsia" w:ascii="宋体" w:hAnsi="宋体" w:eastAsia="宋体" w:cs="宋体"/>
                      <w:color w:val="0000FF"/>
                      <w:sz w:val="21"/>
                      <w:szCs w:val="21"/>
                      <w:highlight w:val="none"/>
                    </w:rPr>
                    <w:t xml:space="preserve"> </w:t>
                  </w:r>
                  <w:r>
                    <w:rPr>
                      <w:rFonts w:hint="eastAsia" w:ascii="宋体" w:hAnsi="宋体" w:eastAsia="宋体" w:cs="宋体"/>
                      <w:color w:val="0000FF"/>
                      <w:spacing w:val="4"/>
                      <w:sz w:val="21"/>
                      <w:szCs w:val="21"/>
                      <w:highlight w:val="none"/>
                    </w:rPr>
                    <w:t>特性</w:t>
                  </w:r>
                </w:p>
              </w:tc>
              <w:tc>
                <w:tcPr>
                  <w:tcW w:w="525" w:type="dxa"/>
                  <w:vAlign w:val="center"/>
                </w:tcPr>
                <w:p w14:paraId="4FB9DE41">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4"/>
                      <w:sz w:val="21"/>
                      <w:szCs w:val="21"/>
                      <w:highlight w:val="none"/>
                    </w:rPr>
                    <w:t>物理</w:t>
                  </w:r>
                  <w:r>
                    <w:rPr>
                      <w:rFonts w:hint="eastAsia" w:ascii="宋体" w:hAnsi="宋体" w:eastAsia="宋体" w:cs="宋体"/>
                      <w:color w:val="0000FF"/>
                      <w:sz w:val="21"/>
                      <w:szCs w:val="21"/>
                      <w:highlight w:val="none"/>
                    </w:rPr>
                    <w:t xml:space="preserve"> </w:t>
                  </w:r>
                  <w:r>
                    <w:rPr>
                      <w:rFonts w:hint="eastAsia" w:ascii="宋体" w:hAnsi="宋体" w:eastAsia="宋体" w:cs="宋体"/>
                      <w:color w:val="0000FF"/>
                      <w:spacing w:val="4"/>
                      <w:sz w:val="21"/>
                      <w:szCs w:val="21"/>
                      <w:highlight w:val="none"/>
                    </w:rPr>
                    <w:t>状态</w:t>
                  </w:r>
                </w:p>
              </w:tc>
              <w:tc>
                <w:tcPr>
                  <w:tcW w:w="518" w:type="dxa"/>
                  <w:vAlign w:val="center"/>
                </w:tcPr>
                <w:p w14:paraId="5975F04C">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5"/>
                      <w:sz w:val="21"/>
                      <w:szCs w:val="21"/>
                      <w:highlight w:val="none"/>
                    </w:rPr>
                    <w:t>储存</w:t>
                  </w:r>
                  <w:r>
                    <w:rPr>
                      <w:rFonts w:hint="eastAsia" w:ascii="宋体" w:hAnsi="宋体" w:eastAsia="宋体" w:cs="宋体"/>
                      <w:color w:val="0000FF"/>
                      <w:sz w:val="21"/>
                      <w:szCs w:val="21"/>
                      <w:highlight w:val="none"/>
                    </w:rPr>
                    <w:t xml:space="preserve"> </w:t>
                  </w:r>
                  <w:r>
                    <w:rPr>
                      <w:rFonts w:hint="eastAsia" w:ascii="宋体" w:hAnsi="宋体" w:eastAsia="宋体" w:cs="宋体"/>
                      <w:color w:val="0000FF"/>
                      <w:spacing w:val="4"/>
                      <w:sz w:val="21"/>
                      <w:szCs w:val="21"/>
                      <w:highlight w:val="none"/>
                    </w:rPr>
                    <w:t>方式</w:t>
                  </w:r>
                </w:p>
              </w:tc>
              <w:tc>
                <w:tcPr>
                  <w:tcW w:w="1241" w:type="dxa"/>
                  <w:vAlign w:val="center"/>
                </w:tcPr>
                <w:p w14:paraId="2F318948">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6"/>
                      <w:sz w:val="21"/>
                      <w:szCs w:val="21"/>
                      <w:highlight w:val="none"/>
                    </w:rPr>
                    <w:t>危险废物</w:t>
                  </w:r>
                  <w:r>
                    <w:rPr>
                      <w:rFonts w:hint="eastAsia" w:ascii="宋体" w:hAnsi="宋体" w:eastAsia="宋体" w:cs="宋体"/>
                      <w:color w:val="0000FF"/>
                      <w:spacing w:val="5"/>
                      <w:sz w:val="21"/>
                      <w:szCs w:val="21"/>
                      <w:highlight w:val="none"/>
                    </w:rPr>
                    <w:t>代码</w:t>
                  </w:r>
                </w:p>
              </w:tc>
              <w:tc>
                <w:tcPr>
                  <w:tcW w:w="867" w:type="dxa"/>
                  <w:vAlign w:val="center"/>
                </w:tcPr>
                <w:p w14:paraId="6830CB45">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hAnsi="宋体" w:eastAsia="宋体" w:cs="宋体"/>
                      <w:color w:val="0000FF"/>
                      <w:sz w:val="21"/>
                      <w:szCs w:val="21"/>
                      <w:highlight w:val="none"/>
                      <w:lang w:val="en-US" w:eastAsia="zh-CN"/>
                    </w:rPr>
                  </w:pPr>
                  <w:r>
                    <w:rPr>
                      <w:rFonts w:hint="eastAsia" w:cs="宋体"/>
                      <w:color w:val="0000FF"/>
                      <w:spacing w:val="6"/>
                      <w:sz w:val="21"/>
                      <w:szCs w:val="21"/>
                      <w:highlight w:val="none"/>
                      <w:lang w:val="en-US" w:eastAsia="zh-CN"/>
                    </w:rPr>
                    <w:t>全年处置量</w:t>
                  </w:r>
                </w:p>
              </w:tc>
              <w:tc>
                <w:tcPr>
                  <w:tcW w:w="613" w:type="dxa"/>
                  <w:vAlign w:val="center"/>
                </w:tcPr>
                <w:p w14:paraId="40A58474">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hAnsi="宋体" w:eastAsia="宋体" w:cs="宋体"/>
                      <w:color w:val="0000FF"/>
                      <w:spacing w:val="6"/>
                      <w:sz w:val="21"/>
                      <w:szCs w:val="21"/>
                      <w:highlight w:val="none"/>
                      <w:lang w:val="en-US" w:eastAsia="zh-CN"/>
                    </w:rPr>
                  </w:pPr>
                  <w:r>
                    <w:rPr>
                      <w:rFonts w:hint="eastAsia" w:cs="宋体"/>
                      <w:color w:val="0000FF"/>
                      <w:spacing w:val="6"/>
                      <w:sz w:val="21"/>
                      <w:szCs w:val="21"/>
                      <w:highlight w:val="none"/>
                      <w:lang w:val="en-US" w:eastAsia="zh-CN"/>
                    </w:rPr>
                    <w:t>转运周期</w:t>
                  </w:r>
                </w:p>
              </w:tc>
            </w:tr>
            <w:tr w14:paraId="708AA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94" w:type="dxa"/>
                  <w:vAlign w:val="center"/>
                </w:tcPr>
                <w:p w14:paraId="41D841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1</w:t>
                  </w:r>
                </w:p>
              </w:tc>
              <w:tc>
                <w:tcPr>
                  <w:tcW w:w="725" w:type="dxa"/>
                  <w:vAlign w:val="center"/>
                </w:tcPr>
                <w:p w14:paraId="163DC7F3">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7"/>
                      <w:sz w:val="21"/>
                      <w:szCs w:val="21"/>
                      <w:highlight w:val="none"/>
                    </w:rPr>
                    <w:t>废矿物</w:t>
                  </w:r>
                  <w:r>
                    <w:rPr>
                      <w:rFonts w:hint="eastAsia" w:ascii="宋体" w:hAnsi="宋体" w:eastAsia="宋体" w:cs="宋体"/>
                      <w:color w:val="0000FF"/>
                      <w:sz w:val="21"/>
                      <w:szCs w:val="21"/>
                      <w:highlight w:val="none"/>
                    </w:rPr>
                    <w:t xml:space="preserve"> 油</w:t>
                  </w:r>
                </w:p>
              </w:tc>
              <w:tc>
                <w:tcPr>
                  <w:tcW w:w="1222" w:type="dxa"/>
                  <w:vAlign w:val="center"/>
                </w:tcPr>
                <w:p w14:paraId="7C964AC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HW</w:t>
                  </w:r>
                  <w:r>
                    <w:rPr>
                      <w:rFonts w:hint="eastAsia" w:ascii="宋体" w:hAnsi="宋体" w:eastAsia="宋体" w:cs="宋体"/>
                      <w:color w:val="0000FF"/>
                      <w:spacing w:val="10"/>
                      <w:sz w:val="21"/>
                      <w:szCs w:val="21"/>
                      <w:highlight w:val="none"/>
                    </w:rPr>
                    <w:t>08</w:t>
                  </w:r>
                </w:p>
                <w:p w14:paraId="076F5AF2">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废矿物油与含 矿物油废物</w:t>
                  </w:r>
                </w:p>
              </w:tc>
              <w:tc>
                <w:tcPr>
                  <w:tcW w:w="741" w:type="dxa"/>
                  <w:vAlign w:val="center"/>
                </w:tcPr>
                <w:p w14:paraId="321413E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2"/>
                      <w:sz w:val="21"/>
                      <w:szCs w:val="21"/>
                      <w:highlight w:val="none"/>
                      <w:lang w:val="en-US" w:eastAsia="zh-CN"/>
                    </w:rPr>
                    <w:t>0.5</w:t>
                  </w:r>
                  <w:r>
                    <w:rPr>
                      <w:rFonts w:hint="eastAsia" w:ascii="宋体" w:hAnsi="宋体" w:eastAsia="宋体" w:cs="宋体"/>
                      <w:color w:val="0000FF"/>
                      <w:spacing w:val="2"/>
                      <w:sz w:val="21"/>
                      <w:szCs w:val="21"/>
                      <w:highlight w:val="none"/>
                    </w:rPr>
                    <w:t>t/a</w:t>
                  </w:r>
                </w:p>
              </w:tc>
              <w:tc>
                <w:tcPr>
                  <w:tcW w:w="589" w:type="dxa"/>
                  <w:vAlign w:val="center"/>
                </w:tcPr>
                <w:p w14:paraId="1FA30B88">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5"/>
                      <w:sz w:val="21"/>
                      <w:szCs w:val="21"/>
                      <w:highlight w:val="none"/>
                    </w:rPr>
                    <w:t>T</w:t>
                  </w:r>
                  <w:r>
                    <w:rPr>
                      <w:rFonts w:hint="eastAsia" w:ascii="宋体" w:hAnsi="宋体" w:eastAsia="宋体" w:cs="宋体"/>
                      <w:color w:val="0000FF"/>
                      <w:spacing w:val="-21"/>
                      <w:sz w:val="21"/>
                      <w:szCs w:val="21"/>
                      <w:highlight w:val="none"/>
                    </w:rPr>
                    <w:t xml:space="preserve"> </w:t>
                  </w:r>
                  <w:r>
                    <w:rPr>
                      <w:rFonts w:hint="eastAsia" w:ascii="宋体" w:hAnsi="宋体" w:eastAsia="宋体" w:cs="宋体"/>
                      <w:color w:val="0000FF"/>
                      <w:spacing w:val="-5"/>
                      <w:sz w:val="21"/>
                      <w:szCs w:val="21"/>
                      <w:highlight w:val="none"/>
                    </w:rPr>
                    <w:t>，I</w:t>
                  </w:r>
                </w:p>
              </w:tc>
              <w:tc>
                <w:tcPr>
                  <w:tcW w:w="525" w:type="dxa"/>
                  <w:vAlign w:val="center"/>
                </w:tcPr>
                <w:p w14:paraId="1F2C0ED4">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3"/>
                      <w:sz w:val="21"/>
                      <w:szCs w:val="21"/>
                      <w:highlight w:val="none"/>
                    </w:rPr>
                    <w:t>液态</w:t>
                  </w:r>
                </w:p>
              </w:tc>
              <w:tc>
                <w:tcPr>
                  <w:tcW w:w="518" w:type="dxa"/>
                  <w:vAlign w:val="center"/>
                </w:tcPr>
                <w:p w14:paraId="569CFE6A">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4"/>
                      <w:sz w:val="21"/>
                      <w:szCs w:val="21"/>
                      <w:highlight w:val="none"/>
                    </w:rPr>
                    <w:t>密封</w:t>
                  </w:r>
                  <w:r>
                    <w:rPr>
                      <w:rFonts w:hint="eastAsia" w:ascii="宋体" w:hAnsi="宋体" w:eastAsia="宋体" w:cs="宋体"/>
                      <w:color w:val="0000FF"/>
                      <w:sz w:val="21"/>
                      <w:szCs w:val="21"/>
                      <w:highlight w:val="none"/>
                    </w:rPr>
                    <w:t xml:space="preserve"> </w:t>
                  </w:r>
                  <w:r>
                    <w:rPr>
                      <w:rFonts w:hint="eastAsia" w:ascii="宋体" w:hAnsi="宋体" w:eastAsia="宋体" w:cs="宋体"/>
                      <w:color w:val="0000FF"/>
                      <w:spacing w:val="3"/>
                      <w:sz w:val="21"/>
                      <w:szCs w:val="21"/>
                      <w:highlight w:val="none"/>
                    </w:rPr>
                    <w:t>桶装</w:t>
                  </w:r>
                </w:p>
              </w:tc>
              <w:tc>
                <w:tcPr>
                  <w:tcW w:w="1241" w:type="dxa"/>
                  <w:vAlign w:val="center"/>
                </w:tcPr>
                <w:p w14:paraId="28D3D10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3"/>
                      <w:sz w:val="21"/>
                      <w:szCs w:val="21"/>
                      <w:highlight w:val="none"/>
                    </w:rPr>
                    <w:t>900-214-08</w:t>
                  </w:r>
                </w:p>
              </w:tc>
              <w:tc>
                <w:tcPr>
                  <w:tcW w:w="867" w:type="dxa"/>
                  <w:vAlign w:val="center"/>
                </w:tcPr>
                <w:p w14:paraId="0ABBC03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1"/>
                      <w:sz w:val="21"/>
                      <w:szCs w:val="21"/>
                      <w:highlight w:val="none"/>
                      <w:lang w:val="en-US" w:eastAsia="zh-CN"/>
                    </w:rPr>
                    <w:t>1.7</w:t>
                  </w:r>
                  <w:r>
                    <w:rPr>
                      <w:rFonts w:hint="eastAsia" w:ascii="宋体" w:hAnsi="宋体" w:eastAsia="宋体" w:cs="宋体"/>
                      <w:color w:val="0000FF"/>
                      <w:spacing w:val="1"/>
                      <w:sz w:val="21"/>
                      <w:szCs w:val="21"/>
                      <w:highlight w:val="none"/>
                    </w:rPr>
                    <w:t>t</w:t>
                  </w:r>
                </w:p>
              </w:tc>
              <w:tc>
                <w:tcPr>
                  <w:tcW w:w="613" w:type="dxa"/>
                  <w:vAlign w:val="center"/>
                </w:tcPr>
                <w:p w14:paraId="7B0DB32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hAnsi="宋体" w:eastAsia="宋体" w:cs="宋体"/>
                      <w:color w:val="0000FF"/>
                      <w:spacing w:val="1"/>
                      <w:sz w:val="21"/>
                      <w:szCs w:val="21"/>
                      <w:highlight w:val="none"/>
                      <w:lang w:val="en-US" w:eastAsia="zh-CN"/>
                    </w:rPr>
                  </w:pPr>
                  <w:r>
                    <w:rPr>
                      <w:rFonts w:hint="eastAsia" w:ascii="宋体" w:hAnsi="宋体" w:cs="宋体"/>
                      <w:color w:val="0000FF"/>
                      <w:spacing w:val="1"/>
                      <w:sz w:val="21"/>
                      <w:szCs w:val="21"/>
                      <w:highlight w:val="none"/>
                      <w:lang w:val="en-US" w:eastAsia="zh-CN"/>
                    </w:rPr>
                    <w:t>1年</w:t>
                  </w:r>
                </w:p>
              </w:tc>
            </w:tr>
            <w:tr w14:paraId="73D9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94" w:type="dxa"/>
                  <w:vAlign w:val="center"/>
                </w:tcPr>
                <w:p w14:paraId="0297952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2</w:t>
                  </w:r>
                </w:p>
              </w:tc>
              <w:tc>
                <w:tcPr>
                  <w:tcW w:w="725" w:type="dxa"/>
                  <w:vAlign w:val="center"/>
                </w:tcPr>
                <w:p w14:paraId="6F13E59B">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7"/>
                      <w:sz w:val="21"/>
                      <w:szCs w:val="21"/>
                      <w:highlight w:val="none"/>
                    </w:rPr>
                    <w:t>废油桶</w:t>
                  </w:r>
                </w:p>
              </w:tc>
              <w:tc>
                <w:tcPr>
                  <w:tcW w:w="1222" w:type="dxa"/>
                  <w:vAlign w:val="center"/>
                </w:tcPr>
                <w:p w14:paraId="742E9948">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hAnsi="宋体" w:eastAsia="宋体" w:cs="宋体"/>
                      <w:color w:val="0000FF"/>
                      <w:spacing w:val="7"/>
                      <w:sz w:val="21"/>
                      <w:szCs w:val="21"/>
                      <w:highlight w:val="none"/>
                      <w:lang w:val="en-US" w:eastAsia="zh-CN"/>
                    </w:rPr>
                  </w:pPr>
                  <w:r>
                    <w:rPr>
                      <w:rFonts w:hint="eastAsia" w:ascii="宋体" w:hAnsi="宋体" w:eastAsia="宋体" w:cs="宋体"/>
                      <w:color w:val="0000FF"/>
                      <w:sz w:val="21"/>
                      <w:szCs w:val="21"/>
                      <w:highlight w:val="none"/>
                    </w:rPr>
                    <w:t>HW</w:t>
                  </w:r>
                  <w:r>
                    <w:rPr>
                      <w:rFonts w:hint="eastAsia" w:cs="宋体"/>
                      <w:color w:val="0000FF"/>
                      <w:spacing w:val="7"/>
                      <w:sz w:val="21"/>
                      <w:szCs w:val="21"/>
                      <w:highlight w:val="none"/>
                      <w:lang w:val="en-US" w:eastAsia="zh-CN"/>
                    </w:rPr>
                    <w:t>49</w:t>
                  </w:r>
                </w:p>
                <w:p w14:paraId="56759D2E">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hAnsi="宋体" w:eastAsia="宋体" w:cs="宋体"/>
                      <w:color w:val="0000FF"/>
                      <w:sz w:val="21"/>
                      <w:szCs w:val="21"/>
                      <w:highlight w:val="none"/>
                      <w:lang w:val="en-US" w:eastAsia="zh-CN"/>
                    </w:rPr>
                  </w:pPr>
                  <w:r>
                    <w:rPr>
                      <w:rFonts w:hint="eastAsia" w:cs="宋体"/>
                      <w:color w:val="0000FF"/>
                      <w:spacing w:val="7"/>
                      <w:sz w:val="21"/>
                      <w:szCs w:val="21"/>
                      <w:highlight w:val="none"/>
                      <w:lang w:val="en-US" w:eastAsia="zh-CN"/>
                    </w:rPr>
                    <w:t>其他废物</w:t>
                  </w:r>
                </w:p>
              </w:tc>
              <w:tc>
                <w:tcPr>
                  <w:tcW w:w="741" w:type="dxa"/>
                  <w:vAlign w:val="center"/>
                </w:tcPr>
                <w:p w14:paraId="41AF842D">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2"/>
                      <w:sz w:val="21"/>
                      <w:szCs w:val="21"/>
                      <w:highlight w:val="none"/>
                      <w:lang w:val="en-US" w:eastAsia="zh-CN"/>
                    </w:rPr>
                    <w:t>3</w:t>
                  </w:r>
                  <w:r>
                    <w:rPr>
                      <w:rFonts w:hint="eastAsia" w:ascii="宋体" w:hAnsi="宋体" w:eastAsia="宋体" w:cs="宋体"/>
                      <w:color w:val="0000FF"/>
                      <w:spacing w:val="2"/>
                      <w:sz w:val="21"/>
                      <w:szCs w:val="21"/>
                      <w:highlight w:val="none"/>
                    </w:rPr>
                    <w:t>个/a</w:t>
                  </w:r>
                </w:p>
              </w:tc>
              <w:tc>
                <w:tcPr>
                  <w:tcW w:w="589" w:type="dxa"/>
                  <w:vAlign w:val="center"/>
                </w:tcPr>
                <w:p w14:paraId="204953E5">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5"/>
                      <w:sz w:val="21"/>
                      <w:szCs w:val="21"/>
                      <w:highlight w:val="none"/>
                    </w:rPr>
                    <w:t>T</w:t>
                  </w:r>
                  <w:r>
                    <w:rPr>
                      <w:rFonts w:hint="eastAsia" w:ascii="宋体" w:hAnsi="宋体" w:eastAsia="宋体" w:cs="宋体"/>
                      <w:color w:val="0000FF"/>
                      <w:spacing w:val="-21"/>
                      <w:sz w:val="21"/>
                      <w:szCs w:val="21"/>
                      <w:highlight w:val="none"/>
                    </w:rPr>
                    <w:t xml:space="preserve"> </w:t>
                  </w:r>
                  <w:r>
                    <w:rPr>
                      <w:rFonts w:hint="eastAsia" w:ascii="宋体" w:hAnsi="宋体" w:eastAsia="宋体" w:cs="宋体"/>
                      <w:color w:val="0000FF"/>
                      <w:spacing w:val="-5"/>
                      <w:sz w:val="21"/>
                      <w:szCs w:val="21"/>
                      <w:highlight w:val="none"/>
                    </w:rPr>
                    <w:t>，I</w:t>
                  </w:r>
                </w:p>
              </w:tc>
              <w:tc>
                <w:tcPr>
                  <w:tcW w:w="525" w:type="dxa"/>
                  <w:vAlign w:val="center"/>
                </w:tcPr>
                <w:p w14:paraId="4B95D05E">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5"/>
                      <w:sz w:val="21"/>
                      <w:szCs w:val="21"/>
                      <w:highlight w:val="none"/>
                    </w:rPr>
                    <w:t>固态</w:t>
                  </w:r>
                </w:p>
              </w:tc>
              <w:tc>
                <w:tcPr>
                  <w:tcW w:w="518" w:type="dxa"/>
                  <w:vAlign w:val="center"/>
                </w:tcPr>
                <w:p w14:paraId="4387FBE7">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4"/>
                      <w:sz w:val="21"/>
                      <w:szCs w:val="21"/>
                      <w:highlight w:val="none"/>
                    </w:rPr>
                    <w:t>堆放</w:t>
                  </w:r>
                </w:p>
              </w:tc>
              <w:tc>
                <w:tcPr>
                  <w:tcW w:w="1241" w:type="dxa"/>
                  <w:vAlign w:val="center"/>
                </w:tcPr>
                <w:p w14:paraId="1319576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hAnsi="宋体" w:eastAsia="宋体" w:cs="宋体"/>
                      <w:color w:val="0000FF"/>
                      <w:sz w:val="21"/>
                      <w:szCs w:val="21"/>
                      <w:highlight w:val="none"/>
                      <w:lang w:val="en-US" w:eastAsia="zh-CN"/>
                    </w:rPr>
                  </w:pPr>
                  <w:r>
                    <w:rPr>
                      <w:rFonts w:hint="eastAsia" w:ascii="宋体" w:hAnsi="宋体" w:eastAsia="宋体" w:cs="宋体"/>
                      <w:color w:val="0000FF"/>
                      <w:spacing w:val="3"/>
                      <w:sz w:val="21"/>
                      <w:szCs w:val="21"/>
                      <w:highlight w:val="none"/>
                    </w:rPr>
                    <w:t>900-</w:t>
                  </w:r>
                  <w:r>
                    <w:rPr>
                      <w:rFonts w:hint="eastAsia" w:ascii="宋体" w:hAnsi="宋体" w:cs="宋体"/>
                      <w:color w:val="0000FF"/>
                      <w:spacing w:val="3"/>
                      <w:sz w:val="21"/>
                      <w:szCs w:val="21"/>
                      <w:highlight w:val="none"/>
                      <w:lang w:val="en-US" w:eastAsia="zh-CN"/>
                    </w:rPr>
                    <w:t>041</w:t>
                  </w:r>
                  <w:r>
                    <w:rPr>
                      <w:rFonts w:hint="eastAsia" w:ascii="宋体" w:hAnsi="宋体" w:eastAsia="宋体" w:cs="宋体"/>
                      <w:color w:val="0000FF"/>
                      <w:spacing w:val="3"/>
                      <w:sz w:val="21"/>
                      <w:szCs w:val="21"/>
                      <w:highlight w:val="none"/>
                    </w:rPr>
                    <w:t>-</w:t>
                  </w:r>
                  <w:r>
                    <w:rPr>
                      <w:rFonts w:hint="eastAsia" w:ascii="宋体" w:hAnsi="宋体" w:cs="宋体"/>
                      <w:color w:val="0000FF"/>
                      <w:spacing w:val="3"/>
                      <w:sz w:val="21"/>
                      <w:szCs w:val="21"/>
                      <w:highlight w:val="none"/>
                      <w:lang w:val="en-US" w:eastAsia="zh-CN"/>
                    </w:rPr>
                    <w:t>49</w:t>
                  </w:r>
                </w:p>
              </w:tc>
              <w:tc>
                <w:tcPr>
                  <w:tcW w:w="867" w:type="dxa"/>
                  <w:vAlign w:val="center"/>
                </w:tcPr>
                <w:p w14:paraId="1501C004">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pacing w:val="2"/>
                      <w:sz w:val="21"/>
                      <w:szCs w:val="21"/>
                      <w:highlight w:val="none"/>
                      <w:lang w:val="en-US" w:eastAsia="zh-CN"/>
                    </w:rPr>
                    <w:t>10</w:t>
                  </w:r>
                  <w:r>
                    <w:rPr>
                      <w:rFonts w:hint="eastAsia" w:ascii="宋体" w:hAnsi="宋体" w:eastAsia="宋体" w:cs="宋体"/>
                      <w:color w:val="0000FF"/>
                      <w:spacing w:val="2"/>
                      <w:sz w:val="21"/>
                      <w:szCs w:val="21"/>
                      <w:highlight w:val="none"/>
                    </w:rPr>
                    <w:t>个</w:t>
                  </w:r>
                </w:p>
              </w:tc>
              <w:tc>
                <w:tcPr>
                  <w:tcW w:w="613" w:type="dxa"/>
                  <w:vAlign w:val="center"/>
                </w:tcPr>
                <w:p w14:paraId="3424E8E9">
                  <w:pPr>
                    <w:pStyle w:val="53"/>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hAnsi="宋体" w:eastAsia="宋体" w:cs="宋体"/>
                      <w:color w:val="0000FF"/>
                      <w:spacing w:val="2"/>
                      <w:sz w:val="21"/>
                      <w:szCs w:val="21"/>
                      <w:highlight w:val="none"/>
                      <w:lang w:val="en-US" w:eastAsia="zh-CN"/>
                    </w:rPr>
                  </w:pPr>
                  <w:r>
                    <w:rPr>
                      <w:rFonts w:hint="eastAsia" w:ascii="宋体" w:hAnsi="宋体" w:cs="宋体"/>
                      <w:color w:val="0000FF"/>
                      <w:spacing w:val="1"/>
                      <w:sz w:val="21"/>
                      <w:szCs w:val="21"/>
                      <w:highlight w:val="none"/>
                      <w:lang w:val="en-US" w:eastAsia="zh-CN"/>
                    </w:rPr>
                    <w:t>1年</w:t>
                  </w:r>
                </w:p>
              </w:tc>
            </w:tr>
          </w:tbl>
          <w:p w14:paraId="2E8644DE">
            <w:pPr>
              <w:pStyle w:val="56"/>
              <w:spacing w:before="240"/>
              <w:ind w:firstLine="480"/>
              <w:rPr>
                <w:color w:val="auto"/>
                <w:highlight w:val="none"/>
              </w:rPr>
            </w:pPr>
            <w:r>
              <w:rPr>
                <w:color w:val="auto"/>
                <w:highlight w:val="none"/>
              </w:rPr>
              <w:t>（1）收集、储存方式</w:t>
            </w:r>
          </w:p>
          <w:p w14:paraId="30A1A357">
            <w:pPr>
              <w:spacing w:line="360" w:lineRule="auto"/>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本</w:t>
            </w:r>
            <w:r>
              <w:rPr>
                <w:rFonts w:hint="default" w:ascii="Times New Roman" w:hAnsi="Times New Roman" w:cs="Times New Roman"/>
                <w:color w:val="auto"/>
                <w:sz w:val="24"/>
                <w:highlight w:val="none"/>
              </w:rPr>
              <w:t>项目设1座</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的危险废物暂存库，内设</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rPr>
              <w:t>个分区存放，用于暂存</w:t>
            </w:r>
            <w:r>
              <w:rPr>
                <w:rFonts w:hint="default" w:ascii="Times New Roman" w:hAnsi="Times New Roman" w:cs="Times New Roman"/>
                <w:color w:val="auto"/>
                <w:sz w:val="24"/>
                <w:highlight w:val="none"/>
                <w:lang w:val="en-US" w:eastAsia="zh-CN"/>
              </w:rPr>
              <w:t>伊金霍洛旗纳林塔纳林沟煤矿</w:t>
            </w:r>
            <w:r>
              <w:rPr>
                <w:rFonts w:hint="default" w:ascii="Times New Roman" w:hAnsi="Times New Roman" w:cs="Times New Roman"/>
                <w:color w:val="auto"/>
                <w:sz w:val="24"/>
                <w:highlight w:val="none"/>
              </w:rPr>
              <w:t>收集的各类危险废物，主要</w:t>
            </w:r>
            <w:r>
              <w:rPr>
                <w:rFonts w:hint="eastAsia" w:ascii="Times New Roman" w:hAnsi="Times New Roman" w:cs="Times New Roman"/>
                <w:color w:val="auto"/>
                <w:sz w:val="24"/>
                <w:highlight w:val="none"/>
                <w:lang w:val="en-US" w:eastAsia="zh-CN"/>
              </w:rPr>
              <w:t>为煤矿</w:t>
            </w:r>
            <w:r>
              <w:rPr>
                <w:rFonts w:hint="default" w:ascii="Times New Roman" w:hAnsi="Times New Roman" w:cs="Times New Roman"/>
                <w:color w:val="auto"/>
                <w:sz w:val="24"/>
                <w:highlight w:val="none"/>
              </w:rPr>
              <w:t>机械维修过程中产生的</w:t>
            </w:r>
            <w:r>
              <w:rPr>
                <w:rFonts w:hint="default" w:ascii="Times New Roman" w:hAnsi="Times New Roman" w:cs="Times New Roman"/>
                <w:color w:val="auto"/>
                <w:sz w:val="24"/>
                <w:highlight w:val="none"/>
                <w:lang w:val="en-US" w:eastAsia="zh-CN"/>
              </w:rPr>
              <w:t>废润滑油、废液压油</w:t>
            </w:r>
            <w:r>
              <w:rPr>
                <w:rFonts w:hint="default" w:ascii="Times New Roman" w:hAnsi="Times New Roman" w:cs="Times New Roman"/>
                <w:color w:val="auto"/>
                <w:sz w:val="24"/>
                <w:highlight w:val="none"/>
              </w:rPr>
              <w:t>（900-214-08）、沾染危险废物的废弃油桶（900-041-49）。储存周期为</w:t>
            </w:r>
            <w:r>
              <w:rPr>
                <w:rFonts w:hint="eastAsia" w:ascii="Times New Roman" w:hAnsi="Times New Roman" w:cs="Times New Roman"/>
                <w:color w:val="auto"/>
                <w:sz w:val="24"/>
                <w:highlight w:val="none"/>
                <w:lang w:val="en-US" w:eastAsia="zh-CN"/>
              </w:rPr>
              <w:t>12</w:t>
            </w:r>
            <w:r>
              <w:rPr>
                <w:rFonts w:hint="default" w:ascii="Times New Roman" w:hAnsi="Times New Roman" w:cs="Times New Roman"/>
                <w:color w:val="auto"/>
                <w:sz w:val="24"/>
                <w:highlight w:val="none"/>
              </w:rPr>
              <w:t>个月，委托有资质单位拉运，并按照《危险废物识别标志设置 技术规范》（HJ1276-2022）规范设置标识标牌，由专人管理，其他人不得进出。</w:t>
            </w:r>
          </w:p>
          <w:p w14:paraId="04B0A2AD">
            <w:pPr>
              <w:pStyle w:val="56"/>
              <w:ind w:firstLine="480"/>
              <w:rPr>
                <w:color w:val="auto"/>
                <w:highlight w:val="none"/>
              </w:rPr>
            </w:pPr>
            <w:r>
              <w:rPr>
                <w:color w:val="auto"/>
                <w:highlight w:val="none"/>
              </w:rPr>
              <w:t>（2）运输方式</w:t>
            </w:r>
          </w:p>
          <w:p w14:paraId="71B6BCC4">
            <w:pPr>
              <w:pStyle w:val="56"/>
              <w:ind w:firstLine="480"/>
              <w:rPr>
                <w:color w:val="auto"/>
                <w:highlight w:val="none"/>
              </w:rPr>
            </w:pPr>
            <w:r>
              <w:rPr>
                <w:color w:val="auto"/>
                <w:highlight w:val="none"/>
              </w:rPr>
              <w:t>根据</w:t>
            </w:r>
            <w:r>
              <w:rPr>
                <w:bCs/>
                <w:color w:val="auto"/>
                <w:highlight w:val="none"/>
              </w:rPr>
              <w:t>《危险废物收集、贮存、运输技术规范》（HJ2025-2012）</w:t>
            </w:r>
            <w:r>
              <w:rPr>
                <w:color w:val="auto"/>
                <w:highlight w:val="none"/>
              </w:rPr>
              <w:t>中规定：“危险废物运输应由持有危险废物经营许可证的单位按照其许可证的经营范围组织实施，承担危险废物运输的单位应获得交通运输部门颁发的危险货物运输资质”。</w:t>
            </w:r>
          </w:p>
          <w:p w14:paraId="69CCB949">
            <w:pPr>
              <w:pStyle w:val="56"/>
              <w:ind w:firstLine="480"/>
              <w:rPr>
                <w:color w:val="auto"/>
                <w:highlight w:val="none"/>
              </w:rPr>
            </w:pPr>
            <w:r>
              <w:rPr>
                <w:color w:val="auto"/>
                <w:highlight w:val="none"/>
              </w:rPr>
              <w:t>本项目危险废物运输依托有资质单位进行运输，本项目危险废物在收集后运送中途不更换容器。并根据《危险废物转移管理办法》的规定，办理危险废物转移联单手续。</w:t>
            </w:r>
          </w:p>
          <w:p w14:paraId="763CD4B4">
            <w:pPr>
              <w:pStyle w:val="56"/>
              <w:ind w:firstLine="482"/>
              <w:rPr>
                <w:b/>
                <w:color w:val="auto"/>
                <w:highlight w:val="none"/>
              </w:rPr>
            </w:pPr>
            <w:r>
              <w:rPr>
                <w:rFonts w:hint="eastAsia"/>
                <w:b/>
                <w:color w:val="auto"/>
                <w:highlight w:val="none"/>
                <w:lang w:val="en-US" w:eastAsia="zh-CN"/>
              </w:rPr>
              <w:t>5</w:t>
            </w:r>
            <w:r>
              <w:rPr>
                <w:b/>
                <w:color w:val="auto"/>
                <w:highlight w:val="none"/>
              </w:rPr>
              <w:t>、设计方案</w:t>
            </w:r>
          </w:p>
          <w:p w14:paraId="1352FF07">
            <w:pPr>
              <w:pStyle w:val="56"/>
              <w:ind w:firstLine="480"/>
              <w:rPr>
                <w:bCs/>
                <w:color w:val="auto"/>
                <w:highlight w:val="none"/>
              </w:rPr>
            </w:pPr>
            <w:r>
              <w:rPr>
                <w:bCs/>
                <w:color w:val="auto"/>
                <w:highlight w:val="none"/>
              </w:rPr>
              <w:t>（1）防渗设计方案</w:t>
            </w:r>
          </w:p>
          <w:p w14:paraId="2811D03B">
            <w:pPr>
              <w:pStyle w:val="56"/>
              <w:ind w:firstLine="480"/>
              <w:rPr>
                <w:bCs/>
                <w:color w:val="auto"/>
                <w:highlight w:val="none"/>
              </w:rPr>
            </w:pPr>
            <w:r>
              <w:rPr>
                <w:rFonts w:hint="default"/>
                <w:bCs/>
                <w:color w:val="auto"/>
                <w:highlight w:val="none"/>
                <w:lang w:val="en-US" w:eastAsia="zh-CN"/>
              </w:rPr>
              <w:t>危废库长3.</w:t>
            </w:r>
            <w:r>
              <w:rPr>
                <w:rFonts w:hint="eastAsia"/>
                <w:bCs/>
                <w:color w:val="auto"/>
                <w:highlight w:val="none"/>
                <w:lang w:val="en-US" w:eastAsia="zh-CN"/>
              </w:rPr>
              <w:t>5</w:t>
            </w:r>
            <w:r>
              <w:rPr>
                <w:rFonts w:hint="default"/>
                <w:bCs/>
                <w:color w:val="auto"/>
                <w:highlight w:val="none"/>
                <w:lang w:val="en-US" w:eastAsia="zh-CN"/>
              </w:rPr>
              <w:t>m，宽</w:t>
            </w:r>
            <w:r>
              <w:rPr>
                <w:rFonts w:hint="eastAsia"/>
                <w:bCs/>
                <w:color w:val="auto"/>
                <w:highlight w:val="none"/>
                <w:lang w:val="en-US" w:eastAsia="zh-CN"/>
              </w:rPr>
              <w:t>4.6</w:t>
            </w:r>
            <w:r>
              <w:rPr>
                <w:rFonts w:hint="default"/>
                <w:bCs/>
                <w:color w:val="auto"/>
                <w:highlight w:val="none"/>
                <w:lang w:val="en-US" w:eastAsia="zh-CN"/>
              </w:rPr>
              <w:t>m，总占地面积1</w:t>
            </w:r>
            <w:r>
              <w:rPr>
                <w:rFonts w:hint="eastAsia"/>
                <w:bCs/>
                <w:color w:val="auto"/>
                <w:highlight w:val="none"/>
                <w:lang w:val="en-US" w:eastAsia="zh-CN"/>
              </w:rPr>
              <w:t>6</w:t>
            </w:r>
            <w:r>
              <w:rPr>
                <w:rFonts w:hint="default"/>
                <w:bCs/>
                <w:color w:val="auto"/>
                <w:highlight w:val="none"/>
                <w:lang w:val="en-US" w:eastAsia="zh-CN"/>
              </w:rPr>
              <w:t>.1m</w:t>
            </w:r>
            <w:r>
              <w:rPr>
                <w:rFonts w:hint="default"/>
                <w:bCs/>
                <w:color w:val="auto"/>
                <w:highlight w:val="none"/>
                <w:vertAlign w:val="superscript"/>
                <w:lang w:val="en-US" w:eastAsia="zh-CN"/>
              </w:rPr>
              <w:t>2</w:t>
            </w:r>
            <w:r>
              <w:rPr>
                <w:rFonts w:hint="default"/>
                <w:bCs/>
                <w:color w:val="auto"/>
                <w:highlight w:val="none"/>
                <w:lang w:val="en-US" w:eastAsia="zh-CN"/>
              </w:rPr>
              <w:t>。危废库具体</w:t>
            </w:r>
            <w:r>
              <w:rPr>
                <w:rFonts w:hint="eastAsia"/>
                <w:bCs/>
                <w:color w:val="auto"/>
                <w:highlight w:val="none"/>
                <w:lang w:val="en-US" w:eastAsia="zh-CN"/>
              </w:rPr>
              <w:t>防渗方案如下</w:t>
            </w:r>
            <w:r>
              <w:rPr>
                <w:rFonts w:hint="default"/>
                <w:bCs/>
                <w:color w:val="auto"/>
                <w:highlight w:val="none"/>
                <w:lang w:val="en-US" w:eastAsia="zh-CN"/>
              </w:rPr>
              <w:t>：</w:t>
            </w:r>
            <w:r>
              <w:rPr>
                <w:rFonts w:hint="default"/>
                <w:bCs/>
                <w:color w:val="auto"/>
                <w:highlight w:val="none"/>
              </w:rPr>
              <w:t>危废库内四周设置导流渠，导流渠与四周墙体间距300mm，导流渠宽100mm，深100mm，之后用防渗水泥砂浆对原有水泥硬化地面、导流渠进行防渗，保证地面自下而上20cm混凝土缓冲层；防渗水泥上面，自下而上为：SBS防水层＋5cm的混凝土基础层+</w:t>
            </w:r>
            <w:r>
              <w:rPr>
                <w:rFonts w:hint="default"/>
                <w:bCs/>
                <w:color w:val="auto"/>
                <w:highlight w:val="none"/>
                <w:lang w:val="en-US" w:eastAsia="zh-CN"/>
              </w:rPr>
              <w:t>2</w:t>
            </w:r>
            <w:r>
              <w:rPr>
                <w:rFonts w:hint="default"/>
                <w:bCs/>
                <w:color w:val="auto"/>
                <w:highlight w:val="none"/>
              </w:rPr>
              <w:t>mmHDPE土工膜（地面+导流渠+四周墙壁高800mm）+5cm防渗砂浆地面找平层＋绿色0.2mm的环氧地坪层处理；应急收集池内，自下而上为：SBS防水层+5cm的混凝土基础层＋</w:t>
            </w:r>
            <w:r>
              <w:rPr>
                <w:rFonts w:hint="default"/>
                <w:bCs/>
                <w:color w:val="auto"/>
                <w:highlight w:val="none"/>
                <w:lang w:val="en-US" w:eastAsia="zh-CN"/>
              </w:rPr>
              <w:t>2</w:t>
            </w:r>
            <w:r>
              <w:rPr>
                <w:rFonts w:hint="default"/>
                <w:bCs/>
                <w:color w:val="auto"/>
                <w:highlight w:val="none"/>
              </w:rPr>
              <w:t>mmHDPE土工膜（地面+导流渠+四周墙壁高800mm）+5cm防渗砂浆地面找平层；</w:t>
            </w:r>
            <w:r>
              <w:rPr>
                <w:rFonts w:hint="eastAsia"/>
                <w:bCs/>
                <w:color w:val="auto"/>
                <w:highlight w:val="none"/>
                <w:lang w:eastAsia="zh-CN"/>
              </w:rPr>
              <w:t>做好</w:t>
            </w:r>
            <w:r>
              <w:rPr>
                <w:rFonts w:hint="default"/>
                <w:bCs/>
                <w:color w:val="auto"/>
                <w:highlight w:val="none"/>
              </w:rPr>
              <w:t>应急池内的防渗层与地面的防渗层与导流渠与墙体四周的防渗层焊接为一体的，这样更能保证防渗性能。门口设置高250mm，宽200mm围挡，并与地面防渗层相连接。</w:t>
            </w:r>
            <w:r>
              <w:rPr>
                <w:bCs/>
                <w:color w:val="auto"/>
                <w:highlight w:val="none"/>
              </w:rPr>
              <w:t>库内均设置导流槽和集液池，收集事故情况下</w:t>
            </w:r>
            <w:r>
              <w:rPr>
                <w:rFonts w:hint="eastAsia"/>
                <w:bCs/>
                <w:color w:val="auto"/>
                <w:highlight w:val="none"/>
                <w:lang w:eastAsia="zh-CN"/>
              </w:rPr>
              <w:t>泄漏</w:t>
            </w:r>
            <w:r>
              <w:rPr>
                <w:bCs/>
                <w:color w:val="auto"/>
                <w:highlight w:val="none"/>
              </w:rPr>
              <w:t>的危险废物。</w:t>
            </w:r>
            <w:r>
              <w:rPr>
                <w:rFonts w:hint="eastAsia"/>
                <w:bCs/>
                <w:color w:val="auto"/>
                <w:highlight w:val="none"/>
                <w:lang w:val="en-US" w:eastAsia="zh-CN"/>
              </w:rPr>
              <w:t>应急收集</w:t>
            </w:r>
            <w:r>
              <w:rPr>
                <w:bCs/>
                <w:color w:val="auto"/>
                <w:highlight w:val="none"/>
              </w:rPr>
              <w:t>池容积为</w:t>
            </w:r>
            <w:r>
              <w:rPr>
                <w:rFonts w:hint="eastAsia"/>
                <w:bCs/>
                <w:color w:val="auto"/>
                <w:highlight w:val="none"/>
                <w:lang w:val="en-US" w:eastAsia="zh-CN"/>
              </w:rPr>
              <w:t>1</w:t>
            </w:r>
            <w:r>
              <w:rPr>
                <w:bCs/>
                <w:color w:val="auto"/>
                <w:highlight w:val="none"/>
              </w:rPr>
              <w:t>m</w:t>
            </w:r>
            <w:r>
              <w:rPr>
                <w:bCs/>
                <w:color w:val="auto"/>
                <w:highlight w:val="none"/>
                <w:vertAlign w:val="superscript"/>
              </w:rPr>
              <w:t>3</w:t>
            </w:r>
            <w:r>
              <w:rPr>
                <w:bCs/>
                <w:color w:val="auto"/>
                <w:highlight w:val="none"/>
              </w:rPr>
              <w:t>，导流槽沿内墙墙壁布置，与集液池连通。流槽及集液池采取防渗措施，渗透系数不大于1.0×10</w:t>
            </w:r>
            <w:r>
              <w:rPr>
                <w:bCs/>
                <w:color w:val="auto"/>
                <w:highlight w:val="none"/>
                <w:vertAlign w:val="superscript"/>
              </w:rPr>
              <w:t>-10</w:t>
            </w:r>
            <w:r>
              <w:rPr>
                <w:bCs/>
                <w:color w:val="auto"/>
                <w:highlight w:val="none"/>
              </w:rPr>
              <w:t>cm/s。</w:t>
            </w:r>
          </w:p>
          <w:p w14:paraId="4BF47649">
            <w:pPr>
              <w:pStyle w:val="56"/>
              <w:ind w:firstLine="480"/>
              <w:rPr>
                <w:bCs/>
                <w:color w:val="auto"/>
                <w:highlight w:val="none"/>
              </w:rPr>
            </w:pPr>
            <w:r>
              <w:rPr>
                <w:bCs/>
                <w:color w:val="auto"/>
                <w:highlight w:val="none"/>
              </w:rPr>
              <w:t>（2）储存区设计方案</w:t>
            </w:r>
          </w:p>
          <w:p w14:paraId="243BF61D">
            <w:pPr>
              <w:pStyle w:val="56"/>
              <w:ind w:firstLine="480"/>
              <w:rPr>
                <w:bCs/>
                <w:color w:val="auto"/>
                <w:highlight w:val="none"/>
              </w:rPr>
            </w:pPr>
            <w:r>
              <w:rPr>
                <w:bCs/>
                <w:color w:val="auto"/>
                <w:highlight w:val="none"/>
              </w:rPr>
              <w:t>1）危废暂存库内根据危险废物的废物类别分区存放；</w:t>
            </w:r>
          </w:p>
          <w:p w14:paraId="0276E558">
            <w:pPr>
              <w:pStyle w:val="56"/>
              <w:ind w:firstLine="480"/>
              <w:rPr>
                <w:bCs/>
                <w:color w:val="auto"/>
                <w:highlight w:val="none"/>
              </w:rPr>
            </w:pPr>
            <w:r>
              <w:rPr>
                <w:bCs/>
                <w:color w:val="auto"/>
                <w:highlight w:val="none"/>
              </w:rPr>
              <w:t>2）储存区设置安全照明设施；</w:t>
            </w:r>
          </w:p>
          <w:p w14:paraId="78396552">
            <w:pPr>
              <w:pStyle w:val="56"/>
              <w:ind w:firstLine="480"/>
              <w:rPr>
                <w:bCs/>
                <w:color w:val="auto"/>
                <w:highlight w:val="none"/>
              </w:rPr>
            </w:pPr>
            <w:r>
              <w:rPr>
                <w:bCs/>
                <w:color w:val="auto"/>
                <w:highlight w:val="none"/>
              </w:rPr>
              <w:t>3）设置导流槽及集液池，导流槽与集液池相连，事故情况下的废水、泄漏的废液等通过导流槽流入集液池；</w:t>
            </w:r>
          </w:p>
          <w:p w14:paraId="715C32BE">
            <w:pPr>
              <w:pStyle w:val="56"/>
              <w:ind w:firstLine="480"/>
              <w:rPr>
                <w:bCs/>
                <w:color w:val="auto"/>
                <w:highlight w:val="none"/>
              </w:rPr>
            </w:pPr>
            <w:r>
              <w:rPr>
                <w:bCs/>
                <w:color w:val="auto"/>
                <w:highlight w:val="none"/>
              </w:rPr>
              <w:t>4）危险废物暂存要求：盛装危险废物的容器上必须粘贴符合《危险废物识别标志设置技术规范》（HJ 1276-2022）规定的标签，注明危废产生单位、地址、电话、联系人等，废物化学成分、危险情况、安全措施；</w:t>
            </w:r>
          </w:p>
          <w:p w14:paraId="711E2BD6">
            <w:pPr>
              <w:pStyle w:val="56"/>
              <w:ind w:firstLine="480"/>
              <w:rPr>
                <w:rFonts w:hint="default"/>
                <w:bCs/>
                <w:color w:val="auto"/>
                <w:highlight w:val="none"/>
              </w:rPr>
            </w:pPr>
            <w:r>
              <w:rPr>
                <w:bCs/>
                <w:color w:val="auto"/>
                <w:highlight w:val="none"/>
              </w:rPr>
              <w:t>5）不相容的废物混合时会产生有毒有害气体，导致刺激眼睛、灼伤皮肤和致命，也可能引起强烈及爆炸性的反应热能，因此，不相容的危险废物必须分开存放于不同的堆存区。</w:t>
            </w:r>
          </w:p>
          <w:p w14:paraId="46A7E2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highlight w:val="none"/>
              </w:rPr>
            </w:pPr>
            <w:r>
              <w:rPr>
                <w:rFonts w:hint="eastAsia" w:cs="Times New Roman"/>
                <w:b/>
                <w:color w:val="auto"/>
                <w:sz w:val="24"/>
                <w:highlight w:val="none"/>
                <w:lang w:val="en-US" w:eastAsia="zh-CN"/>
              </w:rPr>
              <w:t>6</w:t>
            </w:r>
            <w:r>
              <w:rPr>
                <w:rFonts w:hint="default" w:ascii="Times New Roman" w:hAnsi="Times New Roman" w:cs="Times New Roman"/>
                <w:b/>
                <w:color w:val="auto"/>
                <w:sz w:val="24"/>
                <w:highlight w:val="none"/>
              </w:rPr>
              <w:t>、劳动定员及工作制度</w:t>
            </w:r>
          </w:p>
          <w:p w14:paraId="649444E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本项目不新增劳动人员，依托</w:t>
            </w:r>
            <w:r>
              <w:rPr>
                <w:rFonts w:hint="default" w:ascii="Times New Roman" w:hAnsi="Times New Roman" w:cs="Times New Roman"/>
                <w:color w:val="auto"/>
                <w:sz w:val="24"/>
                <w:highlight w:val="none"/>
                <w:lang w:val="en-US" w:eastAsia="zh-CN"/>
              </w:rPr>
              <w:t>煤矿</w:t>
            </w:r>
            <w:r>
              <w:rPr>
                <w:rFonts w:hint="default" w:ascii="Times New Roman" w:hAnsi="Times New Roman" w:cs="Times New Roman"/>
                <w:color w:val="auto"/>
                <w:sz w:val="24"/>
                <w:highlight w:val="none"/>
              </w:rPr>
              <w:t>现有工作人员。</w:t>
            </w:r>
          </w:p>
          <w:p w14:paraId="2771DC5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highlight w:val="none"/>
              </w:rPr>
            </w:pPr>
            <w:r>
              <w:rPr>
                <w:rFonts w:hint="eastAsia" w:cs="Times New Roman"/>
                <w:b/>
                <w:color w:val="auto"/>
                <w:sz w:val="24"/>
                <w:highlight w:val="none"/>
                <w:lang w:val="en-US" w:eastAsia="zh-CN"/>
              </w:rPr>
              <w:t>7</w:t>
            </w:r>
            <w:r>
              <w:rPr>
                <w:rFonts w:hint="default" w:ascii="Times New Roman" w:hAnsi="Times New Roman" w:cs="Times New Roman"/>
                <w:b/>
                <w:color w:val="auto"/>
                <w:sz w:val="24"/>
                <w:highlight w:val="none"/>
              </w:rPr>
              <w:t>、给排水</w:t>
            </w:r>
          </w:p>
          <w:p w14:paraId="4233E60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（1）给水工程</w:t>
            </w:r>
          </w:p>
          <w:p w14:paraId="31F9B1F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拟建项目无生产用水，无新增劳动定员。</w:t>
            </w:r>
          </w:p>
          <w:p w14:paraId="09029FE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（2）排水</w:t>
            </w:r>
          </w:p>
          <w:p w14:paraId="0D87F83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拟建项目无生产废水，无新增生活污水。</w:t>
            </w:r>
          </w:p>
          <w:p w14:paraId="064CA2B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highlight w:val="none"/>
              </w:rPr>
            </w:pPr>
            <w:r>
              <w:rPr>
                <w:rFonts w:hint="eastAsia" w:cs="Times New Roman"/>
                <w:b/>
                <w:color w:val="auto"/>
                <w:sz w:val="24"/>
                <w:highlight w:val="none"/>
                <w:lang w:val="en-US" w:eastAsia="zh-CN"/>
              </w:rPr>
              <w:t>8、</w:t>
            </w:r>
            <w:r>
              <w:rPr>
                <w:rFonts w:hint="default" w:ascii="Times New Roman" w:hAnsi="Times New Roman" w:cs="Times New Roman"/>
                <w:b/>
                <w:color w:val="auto"/>
                <w:sz w:val="24"/>
                <w:highlight w:val="none"/>
              </w:rPr>
              <w:t>消防</w:t>
            </w:r>
          </w:p>
          <w:p w14:paraId="62CC17EE">
            <w:pPr>
              <w:spacing w:line="360" w:lineRule="auto"/>
              <w:ind w:firstLine="480" w:firstLineChars="200"/>
              <w:rPr>
                <w:bCs/>
                <w:color w:val="auto"/>
                <w:sz w:val="24"/>
                <w:highlight w:val="none"/>
              </w:rPr>
            </w:pPr>
            <w:r>
              <w:rPr>
                <w:color w:val="auto"/>
                <w:sz w:val="24"/>
                <w:highlight w:val="none"/>
              </w:rPr>
              <w:t>在危废暂存库设置一定数量的灭火器、</w:t>
            </w:r>
            <w:r>
              <w:rPr>
                <w:bCs/>
                <w:color w:val="auto"/>
                <w:sz w:val="24"/>
                <w:highlight w:val="none"/>
              </w:rPr>
              <w:t>消防砂</w:t>
            </w:r>
            <w:r>
              <w:rPr>
                <w:color w:val="auto"/>
                <w:sz w:val="24"/>
                <w:highlight w:val="none"/>
              </w:rPr>
              <w:t>等消防设施。</w:t>
            </w:r>
            <w:r>
              <w:rPr>
                <w:bCs/>
                <w:color w:val="auto"/>
                <w:sz w:val="24"/>
                <w:highlight w:val="none"/>
              </w:rPr>
              <w:t>消防器材配置详见表2-3。</w:t>
            </w:r>
          </w:p>
          <w:p w14:paraId="198D79BE">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表2-3 消防器材配置表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2670"/>
              <w:gridCol w:w="2127"/>
              <w:gridCol w:w="980"/>
              <w:gridCol w:w="918"/>
            </w:tblGrid>
            <w:tr w14:paraId="2D22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blHeader/>
                <w:jc w:val="center"/>
              </w:trPr>
              <w:tc>
                <w:tcPr>
                  <w:tcW w:w="497" w:type="pct"/>
                  <w:noWrap w:val="0"/>
                  <w:vAlign w:val="center"/>
                </w:tcPr>
                <w:p w14:paraId="3601B259">
                  <w:pPr>
                    <w:tabs>
                      <w:tab w:val="left" w:pos="6555"/>
                    </w:tabs>
                    <w:spacing w:line="320" w:lineRule="exact"/>
                    <w:jc w:val="center"/>
                    <w:rPr>
                      <w:color w:val="auto"/>
                      <w:szCs w:val="21"/>
                      <w:highlight w:val="none"/>
                    </w:rPr>
                  </w:pPr>
                  <w:r>
                    <w:rPr>
                      <w:color w:val="auto"/>
                      <w:szCs w:val="21"/>
                      <w:highlight w:val="none"/>
                    </w:rPr>
                    <w:t>序号</w:t>
                  </w:r>
                </w:p>
              </w:tc>
              <w:tc>
                <w:tcPr>
                  <w:tcW w:w="1795" w:type="pct"/>
                  <w:noWrap w:val="0"/>
                  <w:vAlign w:val="center"/>
                </w:tcPr>
                <w:p w14:paraId="015CCE4B">
                  <w:pPr>
                    <w:tabs>
                      <w:tab w:val="left" w:pos="6555"/>
                    </w:tabs>
                    <w:spacing w:line="320" w:lineRule="exact"/>
                    <w:jc w:val="center"/>
                    <w:rPr>
                      <w:color w:val="auto"/>
                      <w:szCs w:val="21"/>
                      <w:highlight w:val="none"/>
                    </w:rPr>
                  </w:pPr>
                  <w:r>
                    <w:rPr>
                      <w:color w:val="auto"/>
                      <w:szCs w:val="21"/>
                      <w:highlight w:val="none"/>
                    </w:rPr>
                    <w:t>名称</w:t>
                  </w:r>
                </w:p>
              </w:tc>
              <w:tc>
                <w:tcPr>
                  <w:tcW w:w="1430" w:type="pct"/>
                  <w:noWrap w:val="0"/>
                  <w:vAlign w:val="center"/>
                </w:tcPr>
                <w:p w14:paraId="5711BCA0">
                  <w:pPr>
                    <w:tabs>
                      <w:tab w:val="left" w:pos="6555"/>
                    </w:tabs>
                    <w:spacing w:line="320" w:lineRule="exact"/>
                    <w:jc w:val="center"/>
                    <w:rPr>
                      <w:color w:val="auto"/>
                      <w:szCs w:val="21"/>
                      <w:highlight w:val="none"/>
                    </w:rPr>
                  </w:pPr>
                  <w:r>
                    <w:rPr>
                      <w:color w:val="auto"/>
                      <w:szCs w:val="21"/>
                      <w:highlight w:val="none"/>
                    </w:rPr>
                    <w:t>规格、型号</w:t>
                  </w:r>
                </w:p>
              </w:tc>
              <w:tc>
                <w:tcPr>
                  <w:tcW w:w="659" w:type="pct"/>
                  <w:noWrap w:val="0"/>
                  <w:vAlign w:val="center"/>
                </w:tcPr>
                <w:p w14:paraId="1B445575">
                  <w:pPr>
                    <w:tabs>
                      <w:tab w:val="left" w:pos="6555"/>
                    </w:tabs>
                    <w:spacing w:line="320" w:lineRule="exact"/>
                    <w:jc w:val="center"/>
                    <w:rPr>
                      <w:color w:val="auto"/>
                      <w:szCs w:val="21"/>
                      <w:highlight w:val="none"/>
                    </w:rPr>
                  </w:pPr>
                  <w:r>
                    <w:rPr>
                      <w:color w:val="auto"/>
                      <w:szCs w:val="21"/>
                      <w:highlight w:val="none"/>
                    </w:rPr>
                    <w:t>单位</w:t>
                  </w:r>
                </w:p>
              </w:tc>
              <w:tc>
                <w:tcPr>
                  <w:tcW w:w="617" w:type="pct"/>
                  <w:noWrap w:val="0"/>
                  <w:vAlign w:val="center"/>
                </w:tcPr>
                <w:p w14:paraId="38884C5C">
                  <w:pPr>
                    <w:tabs>
                      <w:tab w:val="left" w:pos="6555"/>
                    </w:tabs>
                    <w:spacing w:line="320" w:lineRule="exact"/>
                    <w:jc w:val="center"/>
                    <w:rPr>
                      <w:color w:val="auto"/>
                      <w:szCs w:val="21"/>
                      <w:highlight w:val="none"/>
                    </w:rPr>
                  </w:pPr>
                  <w:r>
                    <w:rPr>
                      <w:color w:val="auto"/>
                      <w:szCs w:val="21"/>
                      <w:highlight w:val="none"/>
                    </w:rPr>
                    <w:t>数量</w:t>
                  </w:r>
                </w:p>
              </w:tc>
            </w:tr>
            <w:tr w14:paraId="68D6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7" w:type="pct"/>
                  <w:noWrap w:val="0"/>
                  <w:vAlign w:val="center"/>
                </w:tcPr>
                <w:p w14:paraId="6846ACD4">
                  <w:pPr>
                    <w:tabs>
                      <w:tab w:val="left" w:pos="6555"/>
                    </w:tabs>
                    <w:spacing w:line="320" w:lineRule="exact"/>
                    <w:jc w:val="center"/>
                    <w:rPr>
                      <w:color w:val="auto"/>
                      <w:szCs w:val="21"/>
                      <w:highlight w:val="none"/>
                    </w:rPr>
                  </w:pPr>
                  <w:r>
                    <w:rPr>
                      <w:color w:val="auto"/>
                      <w:szCs w:val="21"/>
                      <w:highlight w:val="none"/>
                    </w:rPr>
                    <w:t>1</w:t>
                  </w:r>
                </w:p>
              </w:tc>
              <w:tc>
                <w:tcPr>
                  <w:tcW w:w="1795" w:type="pct"/>
                  <w:noWrap w:val="0"/>
                  <w:vAlign w:val="center"/>
                </w:tcPr>
                <w:p w14:paraId="2A8482F0">
                  <w:pPr>
                    <w:spacing w:line="280" w:lineRule="exact"/>
                    <w:jc w:val="center"/>
                    <w:rPr>
                      <w:color w:val="auto"/>
                      <w:szCs w:val="21"/>
                      <w:highlight w:val="none"/>
                    </w:rPr>
                  </w:pPr>
                  <w:r>
                    <w:rPr>
                      <w:color w:val="auto"/>
                      <w:szCs w:val="21"/>
                      <w:highlight w:val="none"/>
                    </w:rPr>
                    <w:t>推车式干粉灭火器</w:t>
                  </w:r>
                </w:p>
              </w:tc>
              <w:tc>
                <w:tcPr>
                  <w:tcW w:w="1430" w:type="pct"/>
                  <w:noWrap w:val="0"/>
                  <w:vAlign w:val="center"/>
                </w:tcPr>
                <w:p w14:paraId="4F758506">
                  <w:pPr>
                    <w:spacing w:line="280" w:lineRule="exact"/>
                    <w:jc w:val="center"/>
                    <w:rPr>
                      <w:color w:val="auto"/>
                      <w:szCs w:val="21"/>
                      <w:highlight w:val="none"/>
                    </w:rPr>
                  </w:pPr>
                  <w:r>
                    <w:rPr>
                      <w:color w:val="auto"/>
                      <w:szCs w:val="21"/>
                      <w:highlight w:val="none"/>
                    </w:rPr>
                    <w:t>MFT/ABC-35</w:t>
                  </w:r>
                </w:p>
              </w:tc>
              <w:tc>
                <w:tcPr>
                  <w:tcW w:w="659" w:type="pct"/>
                  <w:noWrap w:val="0"/>
                  <w:vAlign w:val="center"/>
                </w:tcPr>
                <w:p w14:paraId="2A5CBF7A">
                  <w:pPr>
                    <w:spacing w:line="280" w:lineRule="exact"/>
                    <w:jc w:val="center"/>
                    <w:rPr>
                      <w:color w:val="auto"/>
                      <w:szCs w:val="21"/>
                      <w:highlight w:val="none"/>
                    </w:rPr>
                  </w:pPr>
                  <w:r>
                    <w:rPr>
                      <w:color w:val="auto"/>
                      <w:szCs w:val="21"/>
                      <w:highlight w:val="none"/>
                    </w:rPr>
                    <w:t>台</w:t>
                  </w:r>
                </w:p>
              </w:tc>
              <w:tc>
                <w:tcPr>
                  <w:tcW w:w="617" w:type="pct"/>
                  <w:noWrap w:val="0"/>
                  <w:vAlign w:val="center"/>
                </w:tcPr>
                <w:p w14:paraId="1DE147BD">
                  <w:pPr>
                    <w:spacing w:line="280" w:lineRule="exact"/>
                    <w:jc w:val="center"/>
                    <w:rPr>
                      <w:rFonts w:hint="eastAsia" w:eastAsia="宋体"/>
                      <w:color w:val="auto"/>
                      <w:szCs w:val="21"/>
                      <w:highlight w:val="none"/>
                      <w:lang w:eastAsia="zh-CN"/>
                    </w:rPr>
                  </w:pPr>
                  <w:r>
                    <w:rPr>
                      <w:rFonts w:hint="eastAsia"/>
                      <w:color w:val="auto"/>
                      <w:szCs w:val="21"/>
                      <w:highlight w:val="none"/>
                      <w:lang w:val="en-US" w:eastAsia="zh-CN"/>
                    </w:rPr>
                    <w:t>1</w:t>
                  </w:r>
                </w:p>
              </w:tc>
            </w:tr>
            <w:tr w14:paraId="0A9B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497" w:type="pct"/>
                  <w:noWrap w:val="0"/>
                  <w:vAlign w:val="center"/>
                </w:tcPr>
                <w:p w14:paraId="4F268DEE">
                  <w:pPr>
                    <w:tabs>
                      <w:tab w:val="left" w:pos="6555"/>
                    </w:tabs>
                    <w:spacing w:line="320" w:lineRule="exact"/>
                    <w:jc w:val="center"/>
                    <w:rPr>
                      <w:color w:val="auto"/>
                      <w:szCs w:val="21"/>
                      <w:highlight w:val="none"/>
                    </w:rPr>
                  </w:pPr>
                  <w:r>
                    <w:rPr>
                      <w:color w:val="auto"/>
                      <w:szCs w:val="21"/>
                      <w:highlight w:val="none"/>
                    </w:rPr>
                    <w:t>2</w:t>
                  </w:r>
                </w:p>
              </w:tc>
              <w:tc>
                <w:tcPr>
                  <w:tcW w:w="1795" w:type="pct"/>
                  <w:noWrap w:val="0"/>
                  <w:vAlign w:val="center"/>
                </w:tcPr>
                <w:p w14:paraId="53A695AC">
                  <w:pPr>
                    <w:spacing w:line="280" w:lineRule="exact"/>
                    <w:jc w:val="center"/>
                    <w:rPr>
                      <w:color w:val="auto"/>
                      <w:szCs w:val="21"/>
                      <w:highlight w:val="none"/>
                    </w:rPr>
                  </w:pPr>
                  <w:r>
                    <w:rPr>
                      <w:color w:val="auto"/>
                      <w:szCs w:val="21"/>
                      <w:highlight w:val="none"/>
                    </w:rPr>
                    <w:t>手提式干粉灭火器</w:t>
                  </w:r>
                </w:p>
              </w:tc>
              <w:tc>
                <w:tcPr>
                  <w:tcW w:w="1430" w:type="pct"/>
                  <w:noWrap w:val="0"/>
                  <w:vAlign w:val="center"/>
                </w:tcPr>
                <w:p w14:paraId="225F5FA7">
                  <w:pPr>
                    <w:spacing w:line="280" w:lineRule="exact"/>
                    <w:jc w:val="center"/>
                    <w:rPr>
                      <w:color w:val="auto"/>
                      <w:szCs w:val="21"/>
                      <w:highlight w:val="none"/>
                    </w:rPr>
                  </w:pPr>
                  <w:r>
                    <w:rPr>
                      <w:color w:val="auto"/>
                      <w:szCs w:val="21"/>
                      <w:highlight w:val="none"/>
                    </w:rPr>
                    <w:t>MF/ABC5</w:t>
                  </w:r>
                </w:p>
              </w:tc>
              <w:tc>
                <w:tcPr>
                  <w:tcW w:w="659" w:type="pct"/>
                  <w:noWrap w:val="0"/>
                  <w:vAlign w:val="center"/>
                </w:tcPr>
                <w:p w14:paraId="2F1B3B9D">
                  <w:pPr>
                    <w:spacing w:line="280" w:lineRule="exact"/>
                    <w:jc w:val="center"/>
                    <w:rPr>
                      <w:color w:val="auto"/>
                      <w:szCs w:val="21"/>
                      <w:highlight w:val="none"/>
                    </w:rPr>
                  </w:pPr>
                  <w:r>
                    <w:rPr>
                      <w:color w:val="auto"/>
                      <w:szCs w:val="21"/>
                      <w:highlight w:val="none"/>
                    </w:rPr>
                    <w:t>具</w:t>
                  </w:r>
                </w:p>
              </w:tc>
              <w:tc>
                <w:tcPr>
                  <w:tcW w:w="617" w:type="pct"/>
                  <w:noWrap w:val="0"/>
                  <w:vAlign w:val="top"/>
                </w:tcPr>
                <w:p w14:paraId="2E870B7B">
                  <w:pPr>
                    <w:spacing w:line="280" w:lineRule="exact"/>
                    <w:jc w:val="center"/>
                    <w:rPr>
                      <w:rFonts w:hint="eastAsia" w:eastAsia="宋体"/>
                      <w:color w:val="auto"/>
                      <w:szCs w:val="21"/>
                      <w:highlight w:val="none"/>
                      <w:lang w:eastAsia="zh-CN"/>
                    </w:rPr>
                  </w:pPr>
                  <w:r>
                    <w:rPr>
                      <w:rFonts w:hint="eastAsia"/>
                      <w:color w:val="auto"/>
                      <w:szCs w:val="21"/>
                      <w:highlight w:val="none"/>
                      <w:lang w:val="en-US" w:eastAsia="zh-CN"/>
                    </w:rPr>
                    <w:t>1</w:t>
                  </w:r>
                </w:p>
              </w:tc>
            </w:tr>
            <w:tr w14:paraId="0BE3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7" w:type="pct"/>
                  <w:noWrap w:val="0"/>
                  <w:vAlign w:val="center"/>
                </w:tcPr>
                <w:p w14:paraId="4E2428FA">
                  <w:pPr>
                    <w:tabs>
                      <w:tab w:val="left" w:pos="6555"/>
                    </w:tabs>
                    <w:spacing w:line="320" w:lineRule="exact"/>
                    <w:jc w:val="center"/>
                    <w:rPr>
                      <w:color w:val="auto"/>
                      <w:szCs w:val="21"/>
                      <w:highlight w:val="none"/>
                    </w:rPr>
                  </w:pPr>
                  <w:r>
                    <w:rPr>
                      <w:color w:val="auto"/>
                      <w:szCs w:val="21"/>
                      <w:highlight w:val="none"/>
                    </w:rPr>
                    <w:t>3</w:t>
                  </w:r>
                </w:p>
              </w:tc>
              <w:tc>
                <w:tcPr>
                  <w:tcW w:w="1795" w:type="pct"/>
                  <w:noWrap w:val="0"/>
                  <w:vAlign w:val="center"/>
                </w:tcPr>
                <w:p w14:paraId="4B058935">
                  <w:pPr>
                    <w:spacing w:line="280" w:lineRule="exact"/>
                    <w:jc w:val="center"/>
                    <w:rPr>
                      <w:color w:val="auto"/>
                      <w:szCs w:val="21"/>
                      <w:highlight w:val="none"/>
                    </w:rPr>
                  </w:pPr>
                  <w:r>
                    <w:rPr>
                      <w:color w:val="auto"/>
                      <w:szCs w:val="21"/>
                      <w:highlight w:val="none"/>
                    </w:rPr>
                    <w:t>灭火毯</w:t>
                  </w:r>
                </w:p>
              </w:tc>
              <w:tc>
                <w:tcPr>
                  <w:tcW w:w="1430" w:type="pct"/>
                  <w:noWrap w:val="0"/>
                  <w:vAlign w:val="center"/>
                </w:tcPr>
                <w:p w14:paraId="79D357F8">
                  <w:pPr>
                    <w:spacing w:line="280" w:lineRule="exact"/>
                    <w:jc w:val="center"/>
                    <w:rPr>
                      <w:color w:val="auto"/>
                      <w:szCs w:val="21"/>
                      <w:highlight w:val="none"/>
                    </w:rPr>
                  </w:pPr>
                  <w:r>
                    <w:rPr>
                      <w:color w:val="auto"/>
                      <w:szCs w:val="21"/>
                      <w:highlight w:val="none"/>
                    </w:rPr>
                    <w:t>1.5m×1.5m</w:t>
                  </w:r>
                </w:p>
              </w:tc>
              <w:tc>
                <w:tcPr>
                  <w:tcW w:w="659" w:type="pct"/>
                  <w:noWrap w:val="0"/>
                  <w:vAlign w:val="center"/>
                </w:tcPr>
                <w:p w14:paraId="0411BD11">
                  <w:pPr>
                    <w:spacing w:line="280" w:lineRule="exact"/>
                    <w:jc w:val="center"/>
                    <w:rPr>
                      <w:color w:val="auto"/>
                      <w:szCs w:val="21"/>
                      <w:highlight w:val="none"/>
                    </w:rPr>
                  </w:pPr>
                  <w:r>
                    <w:rPr>
                      <w:color w:val="auto"/>
                      <w:szCs w:val="21"/>
                      <w:highlight w:val="none"/>
                    </w:rPr>
                    <w:t>块</w:t>
                  </w:r>
                </w:p>
              </w:tc>
              <w:tc>
                <w:tcPr>
                  <w:tcW w:w="617" w:type="pct"/>
                  <w:noWrap w:val="0"/>
                  <w:vAlign w:val="center"/>
                </w:tcPr>
                <w:p w14:paraId="51CBF69B">
                  <w:pPr>
                    <w:spacing w:line="280" w:lineRule="exact"/>
                    <w:jc w:val="center"/>
                    <w:rPr>
                      <w:rFonts w:hint="eastAsia" w:eastAsia="宋体"/>
                      <w:color w:val="auto"/>
                      <w:szCs w:val="21"/>
                      <w:highlight w:val="none"/>
                      <w:lang w:eastAsia="zh-CN"/>
                    </w:rPr>
                  </w:pPr>
                  <w:r>
                    <w:rPr>
                      <w:rFonts w:hint="eastAsia"/>
                      <w:color w:val="auto"/>
                      <w:szCs w:val="21"/>
                      <w:highlight w:val="none"/>
                      <w:lang w:val="en-US" w:eastAsia="zh-CN"/>
                    </w:rPr>
                    <w:t>2</w:t>
                  </w:r>
                </w:p>
              </w:tc>
            </w:tr>
            <w:tr w14:paraId="365A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7" w:type="pct"/>
                  <w:noWrap w:val="0"/>
                  <w:vAlign w:val="center"/>
                </w:tcPr>
                <w:p w14:paraId="5F42C875">
                  <w:pPr>
                    <w:tabs>
                      <w:tab w:val="left" w:pos="6555"/>
                    </w:tabs>
                    <w:spacing w:line="320" w:lineRule="exact"/>
                    <w:jc w:val="center"/>
                    <w:rPr>
                      <w:color w:val="auto"/>
                      <w:szCs w:val="21"/>
                      <w:highlight w:val="none"/>
                    </w:rPr>
                  </w:pPr>
                  <w:r>
                    <w:rPr>
                      <w:color w:val="auto"/>
                      <w:szCs w:val="21"/>
                      <w:highlight w:val="none"/>
                    </w:rPr>
                    <w:t>4</w:t>
                  </w:r>
                </w:p>
              </w:tc>
              <w:tc>
                <w:tcPr>
                  <w:tcW w:w="1795" w:type="pct"/>
                  <w:noWrap w:val="0"/>
                  <w:vAlign w:val="center"/>
                </w:tcPr>
                <w:p w14:paraId="5D5AE7A9">
                  <w:pPr>
                    <w:spacing w:line="280" w:lineRule="exact"/>
                    <w:jc w:val="center"/>
                    <w:rPr>
                      <w:color w:val="auto"/>
                      <w:szCs w:val="21"/>
                      <w:highlight w:val="none"/>
                    </w:rPr>
                  </w:pPr>
                  <w:r>
                    <w:rPr>
                      <w:color w:val="auto"/>
                      <w:szCs w:val="21"/>
                      <w:highlight w:val="none"/>
                    </w:rPr>
                    <w:t>消防沙</w:t>
                  </w:r>
                </w:p>
              </w:tc>
              <w:tc>
                <w:tcPr>
                  <w:tcW w:w="1430" w:type="pct"/>
                  <w:noWrap w:val="0"/>
                  <w:vAlign w:val="center"/>
                </w:tcPr>
                <w:p w14:paraId="0B0FE93E">
                  <w:pPr>
                    <w:spacing w:line="280" w:lineRule="exact"/>
                    <w:jc w:val="center"/>
                    <w:rPr>
                      <w:color w:val="auto"/>
                      <w:szCs w:val="21"/>
                      <w:highlight w:val="none"/>
                    </w:rPr>
                  </w:pPr>
                  <w:r>
                    <w:rPr>
                      <w:color w:val="auto"/>
                      <w:szCs w:val="21"/>
                      <w:highlight w:val="none"/>
                    </w:rPr>
                    <w:t>--</w:t>
                  </w:r>
                </w:p>
              </w:tc>
              <w:tc>
                <w:tcPr>
                  <w:tcW w:w="659" w:type="pct"/>
                  <w:noWrap w:val="0"/>
                  <w:vAlign w:val="center"/>
                </w:tcPr>
                <w:p w14:paraId="3935AADC">
                  <w:pPr>
                    <w:spacing w:line="280" w:lineRule="exact"/>
                    <w:jc w:val="center"/>
                    <w:rPr>
                      <w:color w:val="auto"/>
                      <w:szCs w:val="21"/>
                      <w:highlight w:val="none"/>
                    </w:rPr>
                  </w:pPr>
                  <w:r>
                    <w:rPr>
                      <w:color w:val="auto"/>
                      <w:szCs w:val="21"/>
                      <w:highlight w:val="none"/>
                    </w:rPr>
                    <w:t>m</w:t>
                  </w:r>
                  <w:r>
                    <w:rPr>
                      <w:color w:val="auto"/>
                      <w:szCs w:val="21"/>
                      <w:highlight w:val="none"/>
                      <w:vertAlign w:val="superscript"/>
                    </w:rPr>
                    <w:t>3</w:t>
                  </w:r>
                </w:p>
              </w:tc>
              <w:tc>
                <w:tcPr>
                  <w:tcW w:w="617" w:type="pct"/>
                  <w:noWrap w:val="0"/>
                  <w:vAlign w:val="center"/>
                </w:tcPr>
                <w:p w14:paraId="3CB0AD14">
                  <w:pPr>
                    <w:spacing w:line="280" w:lineRule="exact"/>
                    <w:jc w:val="center"/>
                    <w:rPr>
                      <w:rFonts w:hint="eastAsia" w:eastAsia="宋体"/>
                      <w:color w:val="auto"/>
                      <w:szCs w:val="21"/>
                      <w:highlight w:val="none"/>
                      <w:lang w:eastAsia="zh-CN"/>
                    </w:rPr>
                  </w:pPr>
                  <w:r>
                    <w:rPr>
                      <w:rFonts w:hint="eastAsia"/>
                      <w:color w:val="auto"/>
                      <w:szCs w:val="21"/>
                      <w:highlight w:val="none"/>
                      <w:lang w:val="en-US" w:eastAsia="zh-CN"/>
                    </w:rPr>
                    <w:t>1</w:t>
                  </w:r>
                </w:p>
              </w:tc>
            </w:tr>
            <w:tr w14:paraId="1D37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97" w:type="pct"/>
                  <w:noWrap w:val="0"/>
                  <w:vAlign w:val="center"/>
                </w:tcPr>
                <w:p w14:paraId="3FF07A50">
                  <w:pPr>
                    <w:tabs>
                      <w:tab w:val="left" w:pos="6555"/>
                    </w:tabs>
                    <w:spacing w:line="320" w:lineRule="exact"/>
                    <w:jc w:val="center"/>
                    <w:rPr>
                      <w:color w:val="auto"/>
                      <w:szCs w:val="21"/>
                      <w:highlight w:val="none"/>
                    </w:rPr>
                  </w:pPr>
                  <w:r>
                    <w:rPr>
                      <w:color w:val="auto"/>
                      <w:szCs w:val="21"/>
                      <w:highlight w:val="none"/>
                    </w:rPr>
                    <w:t>5</w:t>
                  </w:r>
                </w:p>
              </w:tc>
              <w:tc>
                <w:tcPr>
                  <w:tcW w:w="1795" w:type="pct"/>
                  <w:noWrap w:val="0"/>
                  <w:vAlign w:val="center"/>
                </w:tcPr>
                <w:p w14:paraId="0AA89872">
                  <w:pPr>
                    <w:spacing w:line="280" w:lineRule="exact"/>
                    <w:jc w:val="center"/>
                    <w:rPr>
                      <w:color w:val="auto"/>
                      <w:szCs w:val="21"/>
                      <w:highlight w:val="none"/>
                    </w:rPr>
                  </w:pPr>
                  <w:r>
                    <w:rPr>
                      <w:color w:val="auto"/>
                      <w:szCs w:val="21"/>
                      <w:highlight w:val="none"/>
                    </w:rPr>
                    <w:t>铁锹</w:t>
                  </w:r>
                </w:p>
              </w:tc>
              <w:tc>
                <w:tcPr>
                  <w:tcW w:w="1430" w:type="pct"/>
                  <w:noWrap w:val="0"/>
                  <w:vAlign w:val="center"/>
                </w:tcPr>
                <w:p w14:paraId="2DCC3936">
                  <w:pPr>
                    <w:spacing w:line="280" w:lineRule="exact"/>
                    <w:jc w:val="center"/>
                    <w:rPr>
                      <w:color w:val="auto"/>
                      <w:szCs w:val="21"/>
                      <w:highlight w:val="none"/>
                    </w:rPr>
                  </w:pPr>
                  <w:r>
                    <w:rPr>
                      <w:color w:val="auto"/>
                      <w:szCs w:val="21"/>
                      <w:highlight w:val="none"/>
                    </w:rPr>
                    <w:t>--</w:t>
                  </w:r>
                </w:p>
              </w:tc>
              <w:tc>
                <w:tcPr>
                  <w:tcW w:w="659" w:type="pct"/>
                  <w:noWrap w:val="0"/>
                  <w:vAlign w:val="center"/>
                </w:tcPr>
                <w:p w14:paraId="5176E304">
                  <w:pPr>
                    <w:spacing w:line="280" w:lineRule="exact"/>
                    <w:jc w:val="center"/>
                    <w:rPr>
                      <w:color w:val="auto"/>
                      <w:szCs w:val="21"/>
                      <w:highlight w:val="none"/>
                    </w:rPr>
                  </w:pPr>
                  <w:r>
                    <w:rPr>
                      <w:color w:val="auto"/>
                      <w:szCs w:val="21"/>
                      <w:highlight w:val="none"/>
                    </w:rPr>
                    <w:t>把</w:t>
                  </w:r>
                </w:p>
              </w:tc>
              <w:tc>
                <w:tcPr>
                  <w:tcW w:w="617" w:type="pct"/>
                  <w:noWrap w:val="0"/>
                  <w:vAlign w:val="center"/>
                </w:tcPr>
                <w:p w14:paraId="0CE01FB5">
                  <w:pPr>
                    <w:spacing w:line="280" w:lineRule="exact"/>
                    <w:jc w:val="center"/>
                    <w:rPr>
                      <w:rFonts w:hint="eastAsia" w:eastAsia="宋体"/>
                      <w:color w:val="auto"/>
                      <w:szCs w:val="21"/>
                      <w:highlight w:val="none"/>
                      <w:lang w:eastAsia="zh-CN"/>
                    </w:rPr>
                  </w:pPr>
                  <w:r>
                    <w:rPr>
                      <w:rFonts w:hint="eastAsia"/>
                      <w:color w:val="auto"/>
                      <w:szCs w:val="21"/>
                      <w:highlight w:val="none"/>
                      <w:lang w:val="en-US" w:eastAsia="zh-CN"/>
                    </w:rPr>
                    <w:t>1</w:t>
                  </w:r>
                </w:p>
              </w:tc>
            </w:tr>
          </w:tbl>
          <w:p w14:paraId="5C583FE1">
            <w:pPr>
              <w:spacing w:before="156" w:beforeLines="50" w:line="360" w:lineRule="auto"/>
              <w:ind w:firstLine="482" w:firstLineChars="200"/>
              <w:rPr>
                <w:rFonts w:hint="default" w:ascii="Times New Roman" w:hAnsi="Times New Roman" w:cs="Times New Roman"/>
                <w:b/>
                <w:color w:val="auto"/>
                <w:sz w:val="24"/>
                <w:highlight w:val="none"/>
                <w:lang w:val="en-US"/>
              </w:rPr>
            </w:pPr>
            <w:r>
              <w:rPr>
                <w:rFonts w:hint="eastAsia" w:cs="Times New Roman"/>
                <w:b/>
                <w:color w:val="auto"/>
                <w:sz w:val="24"/>
                <w:highlight w:val="none"/>
                <w:lang w:val="en-US" w:eastAsia="zh-CN"/>
              </w:rPr>
              <w:t>6</w:t>
            </w:r>
            <w:r>
              <w:rPr>
                <w:rFonts w:hint="default" w:ascii="Times New Roman" w:hAnsi="Times New Roman" w:cs="Times New Roman"/>
                <w:b/>
                <w:color w:val="auto"/>
                <w:sz w:val="24"/>
                <w:highlight w:val="none"/>
              </w:rPr>
              <w:t>、</w:t>
            </w:r>
            <w:r>
              <w:rPr>
                <w:rFonts w:hint="eastAsia" w:cs="Times New Roman"/>
                <w:b/>
                <w:color w:val="auto"/>
                <w:sz w:val="24"/>
                <w:highlight w:val="none"/>
                <w:lang w:val="en-US" w:eastAsia="zh-CN"/>
              </w:rPr>
              <w:t>平面布置</w:t>
            </w:r>
          </w:p>
          <w:p w14:paraId="4816B4D5">
            <w:pPr>
              <w:spacing w:line="360" w:lineRule="auto"/>
              <w:ind w:firstLine="480" w:firstLineChars="200"/>
              <w:rPr>
                <w:rFonts w:hint="default" w:ascii="Times New Roman" w:hAnsi="Times New Roman" w:eastAsia="宋体" w:cs="Times New Roman"/>
                <w:bCs/>
                <w:color w:val="auto"/>
                <w:sz w:val="24"/>
                <w:highlight w:val="none"/>
                <w:lang w:val="en-US" w:eastAsia="zh-CN"/>
              </w:rPr>
            </w:pPr>
            <w:bookmarkStart w:id="6" w:name="_Hlk60218414"/>
            <w:r>
              <w:rPr>
                <w:rFonts w:hint="eastAsia" w:cs="Times New Roman"/>
                <w:bCs/>
                <w:color w:val="auto"/>
                <w:sz w:val="24"/>
                <w:highlight w:val="none"/>
                <w:lang w:val="en-US" w:eastAsia="zh-CN"/>
              </w:rPr>
              <w:t>危废库东西方向布置，内部设置</w:t>
            </w:r>
            <w:r>
              <w:rPr>
                <w:rFonts w:hint="eastAsia" w:ascii="Times New Roman" w:hAnsi="Times New Roman" w:eastAsia="宋体" w:cs="Times New Roman"/>
                <w:bCs/>
                <w:color w:val="auto"/>
                <w:sz w:val="24"/>
                <w:highlight w:val="none"/>
                <w:lang w:val="en-US" w:eastAsia="zh-CN"/>
              </w:rPr>
              <w:t>废矿物油暂存区、废油桶暂存区、</w:t>
            </w:r>
            <w:r>
              <w:rPr>
                <w:rFonts w:hint="default" w:ascii="Times New Roman" w:hAnsi="Times New Roman" w:eastAsia="宋体" w:cs="Times New Roman"/>
                <w:bCs/>
                <w:color w:val="auto"/>
                <w:sz w:val="24"/>
                <w:highlight w:val="none"/>
                <w:lang w:val="en-US" w:eastAsia="zh-CN"/>
              </w:rPr>
              <w:t>沾染废矿物油的劳保</w:t>
            </w:r>
            <w:r>
              <w:rPr>
                <w:rFonts w:hint="eastAsia" w:cs="Times New Roman"/>
                <w:bCs/>
                <w:color w:val="auto"/>
                <w:sz w:val="24"/>
                <w:highlight w:val="none"/>
                <w:lang w:val="en-US" w:eastAsia="zh-CN"/>
              </w:rPr>
              <w:t>物品暂存区以及放置消防物品及电子秤的区域，同时危废库四周设置了导流槽，在危废库最低点设置了配套的应急收集池，项目总体布置满足企业生产运行需要及管理需要。</w:t>
            </w:r>
          </w:p>
          <w:bookmarkEnd w:id="6"/>
          <w:p w14:paraId="457646D9">
            <w:pPr>
              <w:adjustRightInd w:val="0"/>
              <w:snapToGrid w:val="0"/>
              <w:spacing w:line="360" w:lineRule="auto"/>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项目地理位置见附图</w:t>
            </w:r>
            <w:r>
              <w:rPr>
                <w:rFonts w:hint="eastAsia"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，项目</w:t>
            </w:r>
            <w:r>
              <w:rPr>
                <w:rFonts w:hint="default" w:ascii="Times New Roman" w:hAnsi="Times New Roman" w:cs="Times New Roman"/>
                <w:color w:val="auto"/>
                <w:sz w:val="24"/>
                <w:highlight w:val="none"/>
                <w:lang w:val="en-US" w:eastAsia="zh-CN"/>
              </w:rPr>
              <w:t>平面布置图</w:t>
            </w:r>
            <w:r>
              <w:rPr>
                <w:rFonts w:hint="default" w:ascii="Times New Roman" w:hAnsi="Times New Roman" w:cs="Times New Roman"/>
                <w:color w:val="auto"/>
                <w:sz w:val="24"/>
                <w:highlight w:val="none"/>
              </w:rPr>
              <w:t>见附图</w:t>
            </w:r>
            <w:r>
              <w:rPr>
                <w:rFonts w:hint="eastAsia"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w:t>
            </w:r>
          </w:p>
        </w:tc>
      </w:tr>
      <w:tr w14:paraId="3FDB6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3" w:hRule="atLeast"/>
          <w:jc w:val="center"/>
        </w:trPr>
        <w:tc>
          <w:tcPr>
            <w:tcW w:w="823" w:type="dxa"/>
            <w:vAlign w:val="center"/>
          </w:tcPr>
          <w:p w14:paraId="42E6BDD3">
            <w:pPr>
              <w:widowControl/>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工艺流程和产排污环节</w:t>
            </w:r>
          </w:p>
        </w:tc>
        <w:tc>
          <w:tcPr>
            <w:tcW w:w="7662" w:type="dxa"/>
          </w:tcPr>
          <w:p w14:paraId="502E3886">
            <w:pPr>
              <w:keepNext w:val="0"/>
              <w:keepLines w:val="0"/>
              <w:pageBreakBefore w:val="0"/>
              <w:widowControl w:val="0"/>
              <w:kinsoku/>
              <w:wordWrap/>
              <w:overflowPunct/>
              <w:topLinePunct w:val="0"/>
              <w:bidi w:val="0"/>
              <w:spacing w:line="360" w:lineRule="auto"/>
              <w:ind w:left="0" w:right="0" w:firstLine="110"/>
              <w:textAlignment w:val="auto"/>
              <w:rPr>
                <w:rFonts w:ascii="宋体" w:hAnsi="宋体" w:eastAsia="宋体" w:cs="宋体"/>
                <w:color w:val="auto"/>
                <w:spacing w:val="-1"/>
                <w:sz w:val="24"/>
                <w:szCs w:val="24"/>
                <w:highlight w:val="none"/>
              </w:rPr>
            </w:pPr>
            <w:r>
              <w:rPr>
                <w:rFonts w:ascii="宋体" w:hAnsi="宋体" w:eastAsia="宋体" w:cs="宋体"/>
                <w:b/>
                <w:bCs/>
                <w:color w:val="auto"/>
                <w:spacing w:val="-1"/>
                <w:sz w:val="24"/>
                <w:szCs w:val="24"/>
                <w:highlight w:val="none"/>
              </w:rPr>
              <w:t>一、施工期工艺流程及产污节点</w:t>
            </w:r>
          </w:p>
          <w:p w14:paraId="4FE82DAF">
            <w:pPr>
              <w:keepNext w:val="0"/>
              <w:keepLines w:val="0"/>
              <w:pageBreakBefore w:val="0"/>
              <w:widowControl w:val="0"/>
              <w:kinsoku/>
              <w:wordWrap/>
              <w:overflowPunct/>
              <w:topLinePunct w:val="0"/>
              <w:bidi w:val="0"/>
              <w:spacing w:line="360" w:lineRule="auto"/>
              <w:ind w:left="0" w:right="0" w:firstLine="478"/>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本项目施工期间的基础工程、主体工程、装饰工程、工程验收等</w:t>
            </w:r>
            <w:r>
              <w:rPr>
                <w:rFonts w:ascii="宋体" w:hAnsi="宋体" w:eastAsia="宋体" w:cs="宋体"/>
                <w:color w:val="auto"/>
                <w:spacing w:val="-1"/>
                <w:sz w:val="24"/>
                <w:szCs w:val="24"/>
                <w:highlight w:val="none"/>
              </w:rPr>
              <w:t>建设工序将产生噪声、固体废弃物、废水和废气等污染物。</w:t>
            </w:r>
          </w:p>
          <w:p w14:paraId="5792897B">
            <w:pPr>
              <w:keepNext w:val="0"/>
              <w:keepLines w:val="0"/>
              <w:pageBreakBefore w:val="0"/>
              <w:widowControl w:val="0"/>
              <w:kinsoku/>
              <w:wordWrap/>
              <w:overflowPunct/>
              <w:topLinePunct w:val="0"/>
              <w:bidi w:val="0"/>
              <w:spacing w:line="360" w:lineRule="auto"/>
              <w:ind w:left="0" w:right="0" w:firstLine="593"/>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w:t>
            </w:r>
            <w:r>
              <w:rPr>
                <w:rFonts w:ascii="Times New Roman" w:hAnsi="Times New Roman" w:eastAsia="Times New Roman" w:cs="Times New Roman"/>
                <w:color w:val="auto"/>
                <w:spacing w:val="-2"/>
                <w:sz w:val="24"/>
                <w:szCs w:val="24"/>
                <w:highlight w:val="none"/>
              </w:rPr>
              <w:t>1</w:t>
            </w:r>
            <w:r>
              <w:rPr>
                <w:rFonts w:ascii="宋体" w:hAnsi="宋体" w:eastAsia="宋体" w:cs="宋体"/>
                <w:color w:val="auto"/>
                <w:spacing w:val="-2"/>
                <w:sz w:val="24"/>
                <w:szCs w:val="24"/>
                <w:highlight w:val="none"/>
              </w:rPr>
              <w:t>）基础工程施工</w:t>
            </w:r>
          </w:p>
          <w:p w14:paraId="69C39E38">
            <w:pPr>
              <w:keepNext w:val="0"/>
              <w:keepLines w:val="0"/>
              <w:pageBreakBefore w:val="0"/>
              <w:widowControl w:val="0"/>
              <w:kinsoku/>
              <w:wordWrap/>
              <w:overflowPunct/>
              <w:topLinePunct w:val="0"/>
              <w:bidi w:val="0"/>
              <w:spacing w:line="360" w:lineRule="auto"/>
              <w:ind w:left="0" w:right="0" w:firstLine="586"/>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基础开挖、场地平整时，</w:t>
            </w:r>
            <w:r>
              <w:rPr>
                <w:rFonts w:ascii="宋体" w:hAnsi="宋体" w:eastAsia="宋体" w:cs="宋体"/>
                <w:color w:val="auto"/>
                <w:spacing w:val="-10"/>
                <w:sz w:val="24"/>
                <w:szCs w:val="24"/>
                <w:highlight w:val="none"/>
              </w:rPr>
              <w:t>同时产生施工扬尘、车辆运输扬尘和施工废水。</w:t>
            </w:r>
          </w:p>
          <w:p w14:paraId="29BBEBA9">
            <w:pPr>
              <w:keepNext w:val="0"/>
              <w:keepLines w:val="0"/>
              <w:pageBreakBefore w:val="0"/>
              <w:widowControl w:val="0"/>
              <w:kinsoku/>
              <w:wordWrap/>
              <w:overflowPunct/>
              <w:topLinePunct w:val="0"/>
              <w:bidi w:val="0"/>
              <w:spacing w:line="360" w:lineRule="auto"/>
              <w:ind w:left="0" w:right="0" w:firstLine="593"/>
              <w:textAlignment w:val="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w:t>
            </w:r>
            <w:r>
              <w:rPr>
                <w:rFonts w:ascii="Times New Roman" w:hAnsi="Times New Roman" w:eastAsia="Times New Roman" w:cs="Times New Roman"/>
                <w:color w:val="auto"/>
                <w:spacing w:val="-1"/>
                <w:sz w:val="24"/>
                <w:szCs w:val="24"/>
                <w:highlight w:val="none"/>
              </w:rPr>
              <w:t>2</w:t>
            </w:r>
            <w:r>
              <w:rPr>
                <w:rFonts w:ascii="宋体" w:hAnsi="宋体" w:eastAsia="宋体" w:cs="宋体"/>
                <w:color w:val="auto"/>
                <w:spacing w:val="-1"/>
                <w:sz w:val="24"/>
                <w:szCs w:val="24"/>
                <w:highlight w:val="none"/>
              </w:rPr>
              <w:t>）主体工程、装饰工程及设备安装施工</w:t>
            </w:r>
          </w:p>
          <w:p w14:paraId="100D191A">
            <w:pPr>
              <w:keepNext w:val="0"/>
              <w:keepLines w:val="0"/>
              <w:pageBreakBefore w:val="0"/>
              <w:widowControl w:val="0"/>
              <w:kinsoku/>
              <w:wordWrap/>
              <w:overflowPunct/>
              <w:topLinePunct w:val="0"/>
              <w:bidi w:val="0"/>
              <w:spacing w:line="360" w:lineRule="auto"/>
              <w:ind w:left="0" w:right="0" w:firstLine="48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原料、材料运输车辆产生噪声、尾气、扬尘等，同时随着施工的</w:t>
            </w:r>
            <w:r>
              <w:rPr>
                <w:rFonts w:hint="eastAsia" w:ascii="宋体" w:hAnsi="宋体" w:eastAsia="宋体" w:cs="宋体"/>
                <w:color w:val="auto"/>
                <w:sz w:val="24"/>
                <w:szCs w:val="24"/>
                <w:highlight w:val="none"/>
                <w:lang w:eastAsia="zh-CN"/>
              </w:rPr>
              <w:t>进行</w:t>
            </w:r>
            <w:r>
              <w:rPr>
                <w:rFonts w:ascii="宋体" w:hAnsi="宋体" w:eastAsia="宋体" w:cs="宋体"/>
                <w:color w:val="auto"/>
                <w:sz w:val="24"/>
                <w:szCs w:val="24"/>
                <w:highlight w:val="none"/>
              </w:rPr>
              <w:t>还将产生原材料废弃物、施工人员生活垃圾</w:t>
            </w:r>
            <w:r>
              <w:rPr>
                <w:rFonts w:ascii="宋体" w:hAnsi="宋体" w:eastAsia="宋体" w:cs="宋体"/>
                <w:color w:val="auto"/>
                <w:spacing w:val="-1"/>
                <w:sz w:val="24"/>
                <w:szCs w:val="24"/>
                <w:highlight w:val="none"/>
              </w:rPr>
              <w:t>以及施工废水和生活污水。</w:t>
            </w:r>
          </w:p>
          <w:p w14:paraId="49851C3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textAlignment w:val="auto"/>
              <w:rPr>
                <w:rFonts w:ascii="宋体" w:hAnsi="宋体" w:eastAsia="宋体" w:cs="宋体"/>
                <w:color w:val="auto"/>
                <w:spacing w:val="-1"/>
                <w:sz w:val="24"/>
                <w:szCs w:val="24"/>
                <w:highlight w:val="none"/>
              </w:rPr>
            </w:pPr>
            <w:r>
              <w:rPr>
                <w:color w:val="auto"/>
                <w:highlight w:val="none"/>
              </w:rPr>
              <w:drawing>
                <wp:anchor distT="0" distB="0" distL="114300" distR="114300" simplePos="0" relativeHeight="251662336" behindDoc="0" locked="0" layoutInCell="1" allowOverlap="1">
                  <wp:simplePos x="0" y="0"/>
                  <wp:positionH relativeFrom="column">
                    <wp:posOffset>250190</wp:posOffset>
                  </wp:positionH>
                  <wp:positionV relativeFrom="paragraph">
                    <wp:posOffset>885825</wp:posOffset>
                  </wp:positionV>
                  <wp:extent cx="4229100" cy="963930"/>
                  <wp:effectExtent l="0" t="0" r="0" b="7620"/>
                  <wp:wrapNone/>
                  <wp:docPr id="2" name="IM 24"/>
                  <wp:cNvGraphicFramePr/>
                  <a:graphic xmlns:a="http://schemas.openxmlformats.org/drawingml/2006/main">
                    <a:graphicData uri="http://schemas.openxmlformats.org/drawingml/2006/picture">
                      <pic:pic xmlns:pic="http://schemas.openxmlformats.org/drawingml/2006/picture">
                        <pic:nvPicPr>
                          <pic:cNvPr id="2" name="IM 24"/>
                          <pic:cNvPicPr/>
                        </pic:nvPicPr>
                        <pic:blipFill>
                          <a:blip r:embed="rId8"/>
                          <a:stretch>
                            <a:fillRect/>
                          </a:stretch>
                        </pic:blipFill>
                        <pic:spPr>
                          <a:xfrm>
                            <a:off x="0" y="0"/>
                            <a:ext cx="4229100" cy="963930"/>
                          </a:xfrm>
                          <a:prstGeom prst="rect">
                            <a:avLst/>
                          </a:prstGeom>
                          <a:noFill/>
                          <a:ln>
                            <a:noFill/>
                          </a:ln>
                        </pic:spPr>
                      </pic:pic>
                    </a:graphicData>
                  </a:graphic>
                </wp:anchor>
              </w:drawing>
            </w:r>
            <w:r>
              <w:rPr>
                <w:rFonts w:ascii="宋体" w:hAnsi="宋体" w:eastAsia="宋体" w:cs="宋体"/>
                <w:color w:val="auto"/>
                <w:spacing w:val="-12"/>
                <w:sz w:val="24"/>
                <w:szCs w:val="24"/>
                <w:highlight w:val="none"/>
              </w:rPr>
              <w:t>因此，从总体来讲，该项目施</w:t>
            </w:r>
            <w:r>
              <w:rPr>
                <w:rFonts w:hint="eastAsia" w:ascii="宋体" w:hAnsi="宋体" w:cs="宋体"/>
                <w:color w:val="auto"/>
                <w:spacing w:val="-12"/>
                <w:sz w:val="24"/>
                <w:szCs w:val="24"/>
                <w:highlight w:val="none"/>
                <w:lang w:eastAsia="zh-CN"/>
              </w:rPr>
              <w:t>工中</w:t>
            </w:r>
            <w:r>
              <w:rPr>
                <w:rFonts w:ascii="宋体" w:hAnsi="宋体" w:eastAsia="宋体" w:cs="宋体"/>
                <w:color w:val="auto"/>
                <w:spacing w:val="-12"/>
                <w:sz w:val="24"/>
                <w:szCs w:val="24"/>
                <w:highlight w:val="none"/>
              </w:rPr>
              <w:t>以施工噪声、废弃物料（废渣）、施工废水、</w:t>
            </w:r>
            <w:r>
              <w:rPr>
                <w:rFonts w:ascii="宋体" w:hAnsi="宋体" w:eastAsia="宋体" w:cs="宋体"/>
                <w:color w:val="auto"/>
                <w:spacing w:val="-1"/>
                <w:sz w:val="24"/>
                <w:szCs w:val="24"/>
                <w:highlight w:val="none"/>
              </w:rPr>
              <w:t>生活污水、生活垃圾和施工扬尘为主要污染物。施工流程及产污节点见下图。</w:t>
            </w:r>
          </w:p>
          <w:p w14:paraId="0B4B4ED7">
            <w:pPr>
              <w:pStyle w:val="3"/>
              <w:rPr>
                <w:color w:val="auto"/>
                <w:highlight w:val="none"/>
              </w:rPr>
            </w:pPr>
          </w:p>
          <w:p w14:paraId="33320A4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76" w:firstLineChars="200"/>
              <w:textAlignment w:val="auto"/>
              <w:rPr>
                <w:rFonts w:ascii="宋体" w:hAnsi="宋体" w:eastAsia="宋体" w:cs="宋体"/>
                <w:color w:val="auto"/>
                <w:spacing w:val="-1"/>
                <w:sz w:val="24"/>
                <w:szCs w:val="24"/>
                <w:highlight w:val="none"/>
              </w:rPr>
            </w:pPr>
          </w:p>
          <w:p w14:paraId="32EB14C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32" w:firstLineChars="200"/>
              <w:textAlignment w:val="auto"/>
              <w:rPr>
                <w:rFonts w:ascii="宋体" w:hAnsi="宋体" w:eastAsia="宋体" w:cs="宋体"/>
                <w:color w:val="auto"/>
                <w:spacing w:val="-12"/>
                <w:sz w:val="24"/>
                <w:szCs w:val="24"/>
                <w:highlight w:val="none"/>
              </w:rPr>
            </w:pPr>
          </w:p>
          <w:p w14:paraId="03C01B6B">
            <w:pPr>
              <w:pStyle w:val="37"/>
              <w:keepNext w:val="0"/>
              <w:keepLines w:val="0"/>
              <w:pageBreakBefore w:val="0"/>
              <w:widowControl w:val="0"/>
              <w:kinsoku/>
              <w:wordWrap/>
              <w:overflowPunct/>
              <w:topLinePunct w:val="0"/>
              <w:bidi w:val="0"/>
              <w:spacing w:line="360" w:lineRule="auto"/>
              <w:ind w:left="0" w:right="0"/>
              <w:textAlignment w:val="auto"/>
              <w:rPr>
                <w:rFonts w:ascii="宋体" w:hAnsi="宋体" w:eastAsia="宋体" w:cs="宋体"/>
                <w:color w:val="auto"/>
                <w:spacing w:val="-12"/>
                <w:sz w:val="24"/>
                <w:szCs w:val="24"/>
                <w:highlight w:val="none"/>
              </w:rPr>
            </w:pPr>
          </w:p>
          <w:p w14:paraId="7A6AC217">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ascii="宋体" w:hAnsi="宋体" w:eastAsia="宋体" w:cs="宋体"/>
                <w:b/>
                <w:bCs/>
                <w:color w:val="auto"/>
                <w:spacing w:val="-3"/>
                <w:sz w:val="21"/>
                <w:szCs w:val="21"/>
                <w:highlight w:val="none"/>
              </w:rPr>
            </w:pPr>
            <w:r>
              <w:rPr>
                <w:rFonts w:hint="eastAsia" w:ascii="宋体" w:hAnsi="宋体" w:eastAsia="宋体" w:cs="宋体"/>
                <w:b/>
                <w:bCs/>
                <w:color w:val="auto"/>
                <w:spacing w:val="-3"/>
                <w:sz w:val="21"/>
                <w:szCs w:val="21"/>
                <w:highlight w:val="none"/>
                <w:lang w:val="en-US" w:eastAsia="zh-CN"/>
              </w:rPr>
              <w:t xml:space="preserve">图1 </w:t>
            </w:r>
            <w:r>
              <w:rPr>
                <w:rFonts w:hint="default" w:ascii="宋体" w:hAnsi="宋体" w:eastAsia="宋体" w:cs="宋体"/>
                <w:b/>
                <w:bCs/>
                <w:color w:val="auto"/>
                <w:spacing w:val="-3"/>
                <w:sz w:val="21"/>
                <w:szCs w:val="21"/>
                <w:highlight w:val="none"/>
                <w:lang w:val="en-US" w:eastAsia="zh-CN"/>
              </w:rPr>
              <w:t>施工流程及产污节点图</w:t>
            </w:r>
          </w:p>
          <w:p w14:paraId="307229AB">
            <w:pPr>
              <w:spacing w:line="360" w:lineRule="auto"/>
              <w:rPr>
                <w:rFonts w:hint="default" w:ascii="Times New Roman" w:hAnsi="Times New Roman" w:cs="Times New Roman"/>
                <w:b/>
                <w:color w:val="auto"/>
                <w:sz w:val="24"/>
                <w:highlight w:val="none"/>
              </w:rPr>
            </w:pPr>
            <w:r>
              <w:rPr>
                <w:rFonts w:hint="eastAsia" w:cs="Times New Roman"/>
                <w:b/>
                <w:color w:val="auto"/>
                <w:sz w:val="24"/>
                <w:highlight w:val="none"/>
                <w:lang w:val="en-US" w:eastAsia="zh-CN"/>
              </w:rPr>
              <w:t>二、运营期</w:t>
            </w:r>
            <w:r>
              <w:rPr>
                <w:rFonts w:ascii="宋体" w:hAnsi="宋体" w:eastAsia="宋体" w:cs="宋体"/>
                <w:b/>
                <w:bCs/>
                <w:color w:val="auto"/>
                <w:spacing w:val="-1"/>
                <w:sz w:val="24"/>
                <w:szCs w:val="24"/>
                <w:highlight w:val="none"/>
              </w:rPr>
              <w:t>流程及产污节点</w:t>
            </w:r>
            <w:r>
              <w:rPr>
                <w:rFonts w:hint="default" w:ascii="Times New Roman" w:hAnsi="Times New Roman" w:cs="Times New Roman"/>
                <w:b/>
                <w:color w:val="auto"/>
                <w:sz w:val="24"/>
                <w:highlight w:val="none"/>
              </w:rPr>
              <w:t>：</w:t>
            </w:r>
          </w:p>
          <w:p w14:paraId="7E63340C">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①</w:t>
            </w:r>
            <w:r>
              <w:rPr>
                <w:rFonts w:hint="default" w:ascii="Times New Roman" w:hAnsi="Times New Roman" w:cs="Times New Roman"/>
                <w:color w:val="auto"/>
                <w:sz w:val="24"/>
                <w:highlight w:val="none"/>
              </w:rPr>
              <w:t>收集：对机械维修过程中产生的废矿物油（废</w:t>
            </w:r>
            <w:r>
              <w:rPr>
                <w:rFonts w:hint="default" w:ascii="Times New Roman" w:hAnsi="Times New Roman" w:cs="Times New Roman"/>
                <w:color w:val="auto"/>
                <w:sz w:val="24"/>
                <w:highlight w:val="none"/>
                <w:lang w:val="en-US" w:eastAsia="zh-CN"/>
              </w:rPr>
              <w:t>润滑油</w:t>
            </w:r>
            <w:r>
              <w:rPr>
                <w:rFonts w:hint="default" w:ascii="Times New Roman" w:hAnsi="Times New Roman" w:cs="Times New Roman"/>
                <w:color w:val="auto"/>
                <w:sz w:val="24"/>
                <w:highlight w:val="none"/>
              </w:rPr>
              <w:t>、废</w:t>
            </w:r>
            <w:r>
              <w:rPr>
                <w:rFonts w:hint="default" w:ascii="Times New Roman" w:hAnsi="Times New Roman" w:cs="Times New Roman"/>
                <w:color w:val="auto"/>
                <w:sz w:val="24"/>
                <w:highlight w:val="none"/>
                <w:lang w:val="en-US" w:eastAsia="zh-CN"/>
              </w:rPr>
              <w:t>液压油</w:t>
            </w:r>
            <w:r>
              <w:rPr>
                <w:rFonts w:hint="default" w:ascii="Times New Roman" w:hAnsi="Times New Roman" w:cs="Times New Roman"/>
                <w:color w:val="auto"/>
                <w:sz w:val="24"/>
                <w:highlight w:val="none"/>
              </w:rPr>
              <w:t>）、沾染危险物的废弃油桶由专人统一收集，并做好登记；其中废矿物油必须收集至镀锌铁皮桶中，并及时进行密封。</w:t>
            </w:r>
          </w:p>
          <w:p w14:paraId="2169046E">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②</w:t>
            </w:r>
            <w:r>
              <w:rPr>
                <w:rFonts w:hint="default" w:ascii="Times New Roman" w:hAnsi="Times New Roman" w:cs="Times New Roman"/>
                <w:color w:val="auto"/>
                <w:sz w:val="24"/>
                <w:highlight w:val="none"/>
              </w:rPr>
              <w:t>运输：利用叉车将装有废矿物油的铁桶、废弃油桶装入运输车辆内后运输至危险废物暂存库入口。</w:t>
            </w:r>
            <w:r>
              <w:rPr>
                <w:rFonts w:hint="eastAsia" w:cs="Times New Roman"/>
                <w:color w:val="auto"/>
                <w:sz w:val="24"/>
                <w:highlight w:val="none"/>
                <w:lang w:val="en-US" w:eastAsia="zh-CN"/>
              </w:rPr>
              <w:t>运输过程中会产生废气和噪声，通过</w:t>
            </w:r>
            <w:r>
              <w:rPr>
                <w:rFonts w:hint="default" w:ascii="Times New Roman" w:hAnsi="Times New Roman" w:cs="Times New Roman"/>
                <w:color w:val="auto"/>
                <w:sz w:val="24"/>
                <w:highlight w:val="none"/>
              </w:rPr>
              <w:t>限制运输车辆的行驶速度</w:t>
            </w:r>
            <w:r>
              <w:rPr>
                <w:rFonts w:hint="eastAsia" w:ascii="Times New Roman" w:hAnsi="Times New Roman" w:cs="Times New Roman"/>
                <w:color w:val="auto"/>
                <w:sz w:val="24"/>
                <w:highlight w:val="none"/>
                <w:lang w:val="en-US" w:eastAsia="zh-CN"/>
              </w:rPr>
              <w:t>来降低噪声影响，</w:t>
            </w:r>
            <w:r>
              <w:rPr>
                <w:rFonts w:hint="default" w:ascii="Times New Roman" w:hAnsi="Times New Roman" w:cs="Times New Roman"/>
                <w:color w:val="auto"/>
                <w:sz w:val="24"/>
                <w:highlight w:val="none"/>
              </w:rPr>
              <w:t>及时洒水以减少</w:t>
            </w:r>
            <w:r>
              <w:rPr>
                <w:rFonts w:hint="eastAsia" w:cs="Times New Roman"/>
                <w:color w:val="auto"/>
                <w:sz w:val="24"/>
                <w:highlight w:val="none"/>
                <w:lang w:eastAsia="zh-CN"/>
              </w:rPr>
              <w:t>车辆</w:t>
            </w:r>
            <w:r>
              <w:rPr>
                <w:rFonts w:hint="default" w:ascii="Times New Roman" w:hAnsi="Times New Roman" w:cs="Times New Roman"/>
                <w:color w:val="auto"/>
                <w:sz w:val="24"/>
                <w:highlight w:val="none"/>
              </w:rPr>
              <w:t>行驶</w:t>
            </w:r>
            <w:r>
              <w:rPr>
                <w:rFonts w:hint="eastAsia" w:ascii="Times New Roman" w:hAnsi="Times New Roman" w:cs="Times New Roman"/>
                <w:color w:val="auto"/>
                <w:sz w:val="24"/>
                <w:highlight w:val="none"/>
                <w:lang w:val="en-US" w:eastAsia="zh-CN"/>
              </w:rPr>
              <w:t>产生的废气。</w:t>
            </w:r>
          </w:p>
          <w:p w14:paraId="384004EF">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③</w:t>
            </w:r>
            <w:r>
              <w:rPr>
                <w:rFonts w:hint="default" w:ascii="Times New Roman" w:hAnsi="Times New Roman" w:cs="Times New Roman"/>
                <w:color w:val="auto"/>
                <w:sz w:val="24"/>
                <w:highlight w:val="none"/>
              </w:rPr>
              <w:t>入库：利用叉车将上述</w:t>
            </w:r>
            <w:r>
              <w:rPr>
                <w:rFonts w:hint="eastAsia" w:ascii="Times New Roman" w:hAnsi="Times New Roman" w:cs="Times New Roman"/>
                <w:color w:val="auto"/>
                <w:sz w:val="24"/>
                <w:highlight w:val="none"/>
                <w:lang w:eastAsia="zh-CN"/>
              </w:rPr>
              <w:t>危险物品</w:t>
            </w:r>
            <w:r>
              <w:rPr>
                <w:rFonts w:hint="default" w:ascii="Times New Roman" w:hAnsi="Times New Roman" w:cs="Times New Roman"/>
                <w:color w:val="auto"/>
                <w:sz w:val="24"/>
                <w:highlight w:val="none"/>
              </w:rPr>
              <w:t>搬运至危险废物暂存库内相应分区，同时填写好记录台账。</w:t>
            </w:r>
            <w:r>
              <w:rPr>
                <w:rFonts w:hint="eastAsia" w:cs="Times New Roman"/>
                <w:color w:val="auto"/>
                <w:sz w:val="24"/>
                <w:highlight w:val="none"/>
                <w:lang w:val="en-US" w:eastAsia="zh-CN"/>
              </w:rPr>
              <w:t>入库过程中会产生废气和噪声，通过入库过程轻拿轻放来降低噪声影响，通过及时通风降低废气造成的影响。</w:t>
            </w:r>
          </w:p>
          <w:p w14:paraId="58C50089">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④</w:t>
            </w:r>
            <w:r>
              <w:rPr>
                <w:rFonts w:hint="default" w:ascii="Times New Roman" w:hAnsi="Times New Roman" w:cs="Times New Roman"/>
                <w:color w:val="auto"/>
                <w:sz w:val="24"/>
                <w:highlight w:val="none"/>
              </w:rPr>
              <w:t>委托收集：危废储存到一定量时，委托有资质单位集中收集运走处置，同时厂内做好台账记录，记录上注明危险废物的名称、来源、数量、特性和包装容器的类别、入库日期、存放库位、废物出库日期及接收单位名称，危险废物的记录和货单在危险废物回取后应继续保留三年，本项目危废储存周期最长不超过1年。危废转移前需要</w:t>
            </w:r>
            <w:r>
              <w:rPr>
                <w:rFonts w:hint="default" w:ascii="Times New Roman" w:hAnsi="Times New Roman" w:cs="Times New Roman"/>
                <w:color w:val="auto"/>
                <w:sz w:val="24"/>
                <w:highlight w:val="none"/>
                <w:lang w:val="en-US" w:eastAsia="zh-CN"/>
              </w:rPr>
              <w:t>根据</w:t>
            </w:r>
            <w:r>
              <w:rPr>
                <w:rFonts w:hint="default" w:ascii="Times New Roman" w:hAnsi="Times New Roman" w:cs="Times New Roman"/>
                <w:color w:val="auto"/>
                <w:sz w:val="24"/>
                <w:highlight w:val="none"/>
              </w:rPr>
              <w:t>生态环境部门</w:t>
            </w:r>
            <w:r>
              <w:rPr>
                <w:rFonts w:hint="default" w:ascii="Times New Roman" w:hAnsi="Times New Roman" w:cs="Times New Roman"/>
                <w:color w:val="auto"/>
                <w:sz w:val="24"/>
                <w:highlight w:val="none"/>
                <w:lang w:val="en-US" w:eastAsia="zh-CN"/>
              </w:rPr>
              <w:t>要求进行处置并进行登记</w:t>
            </w:r>
            <w:r>
              <w:rPr>
                <w:rFonts w:hint="default" w:ascii="Times New Roman" w:hAnsi="Times New Roman" w:cs="Times New Roman"/>
                <w:color w:val="auto"/>
                <w:sz w:val="24"/>
                <w:highlight w:val="none"/>
                <w:lang w:eastAsia="zh-CN"/>
              </w:rPr>
              <w:t>。</w:t>
            </w:r>
          </w:p>
          <w:p w14:paraId="1986EB24">
            <w:pPr>
              <w:keepNext/>
              <w:spacing w:line="360" w:lineRule="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4667250" cy="3629025"/>
                  <wp:effectExtent l="0" t="0" r="0" b="9525"/>
                  <wp:docPr id="1" name="图片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2"/>
                          <pic:cNvPicPr>
                            <a:picLocks noChangeAspect="1"/>
                          </pic:cNvPicPr>
                        </pic:nvPicPr>
                        <pic:blipFill>
                          <a:blip r:embed="rId9"/>
                          <a:stretch>
                            <a:fillRect/>
                          </a:stretch>
                        </pic:blipFill>
                        <pic:spPr>
                          <a:xfrm>
                            <a:off x="0" y="0"/>
                            <a:ext cx="4667250" cy="3629025"/>
                          </a:xfrm>
                          <a:prstGeom prst="rect">
                            <a:avLst/>
                          </a:prstGeom>
                        </pic:spPr>
                      </pic:pic>
                    </a:graphicData>
                  </a:graphic>
                </wp:inline>
              </w:drawing>
            </w:r>
          </w:p>
          <w:p w14:paraId="4E65E3E5">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eastAsia="宋体" w:cs="Times New Roman"/>
                <w:b/>
                <w:color w:val="auto"/>
                <w:sz w:val="21"/>
                <w:szCs w:val="21"/>
                <w:highlight w:val="none"/>
              </w:rPr>
            </w:pPr>
            <w:r>
              <w:rPr>
                <w:rFonts w:hint="default" w:ascii="宋体" w:hAnsi="宋体" w:eastAsia="宋体" w:cs="宋体"/>
                <w:b/>
                <w:bCs/>
                <w:color w:val="auto"/>
                <w:spacing w:val="-3"/>
                <w:sz w:val="21"/>
                <w:szCs w:val="21"/>
                <w:highlight w:val="none"/>
                <w:lang w:val="en-US" w:eastAsia="zh-CN"/>
              </w:rPr>
              <w:t>图</w:t>
            </w:r>
            <w:r>
              <w:rPr>
                <w:rFonts w:hint="eastAsia" w:ascii="宋体" w:hAnsi="宋体" w:eastAsia="宋体" w:cs="宋体"/>
                <w:b/>
                <w:bCs/>
                <w:color w:val="auto"/>
                <w:spacing w:val="-3"/>
                <w:sz w:val="21"/>
                <w:szCs w:val="21"/>
                <w:highlight w:val="none"/>
                <w:lang w:val="en-US" w:eastAsia="zh-CN"/>
              </w:rPr>
              <w:t xml:space="preserve">2 </w:t>
            </w:r>
            <w:r>
              <w:rPr>
                <w:rFonts w:hint="default" w:ascii="宋体" w:hAnsi="宋体" w:eastAsia="宋体" w:cs="宋体"/>
                <w:b/>
                <w:bCs/>
                <w:color w:val="auto"/>
                <w:spacing w:val="-3"/>
                <w:sz w:val="21"/>
                <w:szCs w:val="21"/>
                <w:highlight w:val="none"/>
                <w:lang w:val="en-US" w:eastAsia="zh-CN"/>
              </w:rPr>
              <w:t>运营期工艺流程及产污节点图</w:t>
            </w:r>
          </w:p>
        </w:tc>
      </w:tr>
      <w:tr w14:paraId="27829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6" w:hRule="atLeast"/>
          <w:jc w:val="center"/>
        </w:trPr>
        <w:tc>
          <w:tcPr>
            <w:tcW w:w="823" w:type="dxa"/>
            <w:vAlign w:val="center"/>
          </w:tcPr>
          <w:p w14:paraId="5284ECF5">
            <w:pPr>
              <w:widowControl/>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bCs/>
                <w:color w:val="auto"/>
                <w:sz w:val="24"/>
                <w:highlight w:val="none"/>
              </w:rPr>
              <w:t>与项目有关的原有环境污染问题</w:t>
            </w:r>
          </w:p>
        </w:tc>
        <w:tc>
          <w:tcPr>
            <w:tcW w:w="7662" w:type="dxa"/>
            <w:vAlign w:val="center"/>
          </w:tcPr>
          <w:p w14:paraId="04F4230B">
            <w:pPr>
              <w:keepLines/>
              <w:autoSpaceDE/>
              <w:autoSpaceDN/>
              <w:spacing w:line="520" w:lineRule="exact"/>
              <w:ind w:firstLine="480" w:firstLineChars="200"/>
              <w:jc w:val="both"/>
              <w:rPr>
                <w:rFonts w:hint="default" w:ascii="Times New Roman" w:hAnsi="Times New Roman" w:cs="Times New Roman"/>
                <w:bCs/>
                <w:color w:val="auto"/>
                <w:sz w:val="24"/>
                <w:highlight w:val="none"/>
              </w:rPr>
            </w:pPr>
            <w:bookmarkStart w:id="7" w:name="_Hlk60824080"/>
            <w:bookmarkStart w:id="8" w:name="_Hlk58257521"/>
            <w:r>
              <w:rPr>
                <w:rFonts w:hint="default" w:ascii="Times New Roman" w:hAnsi="Times New Roman" w:eastAsia="宋体" w:cs="Times New Roman"/>
                <w:color w:val="auto"/>
                <w:sz w:val="24"/>
                <w:szCs w:val="24"/>
                <w:highlight w:val="none"/>
                <w:lang w:val="en-US" w:eastAsia="zh-CN"/>
              </w:rPr>
              <w:t>伊金霍洛旗纳林塔纳林沟煤矿</w:t>
            </w:r>
            <w:r>
              <w:rPr>
                <w:rFonts w:hint="eastAsia" w:cs="Times New Roman"/>
                <w:color w:val="auto"/>
                <w:sz w:val="24"/>
                <w:szCs w:val="24"/>
                <w:highlight w:val="none"/>
                <w:lang w:val="en-US" w:eastAsia="zh-CN"/>
              </w:rPr>
              <w:t>（60万吨/年）技术改造</w:t>
            </w:r>
            <w:r>
              <w:rPr>
                <w:rFonts w:hint="default" w:ascii="Times New Roman" w:hAnsi="Times New Roman" w:eastAsia="宋体" w:cs="Times New Roman"/>
                <w:color w:val="auto"/>
                <w:sz w:val="24"/>
                <w:szCs w:val="24"/>
                <w:highlight w:val="none"/>
                <w:lang w:val="en-US" w:eastAsia="zh-CN"/>
              </w:rPr>
              <w:t>项目环境影响报告</w:t>
            </w:r>
            <w:r>
              <w:rPr>
                <w:rFonts w:hint="eastAsia" w:cs="Times New Roman"/>
                <w:color w:val="auto"/>
                <w:sz w:val="24"/>
                <w:szCs w:val="24"/>
                <w:highlight w:val="none"/>
                <w:lang w:val="en-US" w:eastAsia="zh-CN"/>
              </w:rPr>
              <w:t>书</w:t>
            </w:r>
            <w:r>
              <w:rPr>
                <w:rFonts w:hint="default" w:ascii="Times New Roman" w:hAnsi="Times New Roman" w:cs="Times New Roman"/>
                <w:color w:val="auto"/>
                <w:sz w:val="24"/>
                <w:szCs w:val="24"/>
                <w:highlight w:val="none"/>
                <w:lang w:val="en-US" w:eastAsia="zh-CN"/>
              </w:rPr>
              <w:t>由</w:t>
            </w:r>
            <w:r>
              <w:rPr>
                <w:rFonts w:hint="eastAsia" w:cs="Times New Roman"/>
                <w:color w:val="auto"/>
                <w:sz w:val="24"/>
                <w:szCs w:val="24"/>
                <w:highlight w:val="none"/>
                <w:lang w:val="en-US" w:eastAsia="zh-CN"/>
              </w:rPr>
              <w:t>内蒙古自治区环境保护厅</w:t>
            </w:r>
            <w:r>
              <w:rPr>
                <w:rFonts w:hint="default" w:ascii="Times New Roman" w:hAnsi="Times New Roman" w:cs="Times New Roman"/>
                <w:color w:val="auto"/>
                <w:sz w:val="24"/>
                <w:szCs w:val="24"/>
                <w:highlight w:val="none"/>
                <w:lang w:val="en-US" w:eastAsia="zh-CN"/>
              </w:rPr>
              <w:t>20</w:t>
            </w:r>
            <w:r>
              <w:rPr>
                <w:rFonts w:hint="eastAsia" w:cs="Times New Roman"/>
                <w:color w:val="auto"/>
                <w:sz w:val="24"/>
                <w:szCs w:val="24"/>
                <w:highlight w:val="none"/>
                <w:lang w:val="en-US" w:eastAsia="zh-CN"/>
              </w:rPr>
              <w:t>11</w:t>
            </w:r>
            <w:r>
              <w:rPr>
                <w:rFonts w:hint="default" w:ascii="Times New Roman" w:hAnsi="Times New Roman" w:cs="Times New Roman"/>
                <w:color w:val="auto"/>
                <w:sz w:val="24"/>
                <w:szCs w:val="24"/>
                <w:highlight w:val="none"/>
                <w:lang w:val="en-US" w:eastAsia="zh-CN"/>
              </w:rPr>
              <w:t>年</w:t>
            </w:r>
            <w:r>
              <w:rPr>
                <w:rFonts w:hint="eastAsia" w:cs="Times New Roman"/>
                <w:color w:val="auto"/>
                <w:sz w:val="24"/>
                <w:szCs w:val="24"/>
                <w:highlight w:val="none"/>
                <w:lang w:val="en-US" w:eastAsia="zh-CN"/>
              </w:rPr>
              <w:t>12</w:t>
            </w:r>
            <w:r>
              <w:rPr>
                <w:rFonts w:hint="default" w:ascii="Times New Roman" w:hAnsi="Times New Roman" w:cs="Times New Roman"/>
                <w:color w:val="auto"/>
                <w:sz w:val="24"/>
                <w:szCs w:val="24"/>
                <w:highlight w:val="none"/>
                <w:lang w:val="en-US" w:eastAsia="zh-CN"/>
              </w:rPr>
              <w:t>月</w:t>
            </w:r>
            <w:r>
              <w:rPr>
                <w:rFonts w:hint="eastAsia" w:cs="Times New Roman"/>
                <w:color w:val="auto"/>
                <w:sz w:val="24"/>
                <w:szCs w:val="24"/>
                <w:highlight w:val="none"/>
                <w:lang w:val="en-US" w:eastAsia="zh-CN"/>
              </w:rPr>
              <w:t>16</w:t>
            </w:r>
            <w:r>
              <w:rPr>
                <w:rFonts w:hint="default" w:ascii="Times New Roman" w:hAnsi="Times New Roman" w:cs="Times New Roman"/>
                <w:color w:val="auto"/>
                <w:sz w:val="24"/>
                <w:szCs w:val="24"/>
                <w:highlight w:val="none"/>
                <w:lang w:val="en-US" w:eastAsia="zh-CN"/>
              </w:rPr>
              <w:t>日以</w:t>
            </w:r>
            <w:r>
              <w:rPr>
                <w:rFonts w:hint="eastAsia" w:cs="Times New Roman"/>
                <w:color w:val="auto"/>
                <w:sz w:val="24"/>
                <w:szCs w:val="24"/>
                <w:highlight w:val="none"/>
                <w:lang w:val="en-US" w:eastAsia="zh-CN"/>
              </w:rPr>
              <w:t>内环审</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cs="Times New Roman"/>
                <w:color w:val="auto"/>
                <w:sz w:val="24"/>
                <w:szCs w:val="24"/>
                <w:highlight w:val="none"/>
                <w:lang w:val="en-US" w:eastAsia="zh-CN"/>
              </w:rPr>
              <w:t>11</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367</w:t>
            </w:r>
            <w:r>
              <w:rPr>
                <w:rFonts w:hint="default" w:ascii="Times New Roman" w:hAnsi="Times New Roman" w:eastAsia="宋体" w:cs="Times New Roman"/>
                <w:color w:val="auto"/>
                <w:sz w:val="24"/>
                <w:szCs w:val="24"/>
                <w:highlight w:val="none"/>
              </w:rPr>
              <w:t>号</w:t>
            </w:r>
            <w:r>
              <w:rPr>
                <w:rFonts w:hint="default" w:ascii="Times New Roman" w:hAnsi="Times New Roman" w:cs="Times New Roman"/>
                <w:color w:val="auto"/>
                <w:sz w:val="24"/>
                <w:szCs w:val="24"/>
                <w:highlight w:val="none"/>
                <w:lang w:val="en-US" w:eastAsia="zh-CN"/>
              </w:rPr>
              <w:t>予以批复；20</w:t>
            </w:r>
            <w:r>
              <w:rPr>
                <w:rFonts w:hint="eastAsia" w:cs="Times New Roman"/>
                <w:color w:val="auto"/>
                <w:sz w:val="24"/>
                <w:szCs w:val="24"/>
                <w:highlight w:val="none"/>
                <w:lang w:val="en-US" w:eastAsia="zh-CN"/>
              </w:rPr>
              <w:t>12</w:t>
            </w:r>
            <w:r>
              <w:rPr>
                <w:rFonts w:hint="default" w:ascii="Times New Roman" w:hAnsi="Times New Roman" w:cs="Times New Roman"/>
                <w:color w:val="auto"/>
                <w:sz w:val="24"/>
                <w:szCs w:val="24"/>
                <w:highlight w:val="none"/>
                <w:lang w:val="en-US" w:eastAsia="zh-CN"/>
              </w:rPr>
              <w:t>年1</w:t>
            </w:r>
            <w:r>
              <w:rPr>
                <w:rFonts w:hint="eastAsia"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月</w:t>
            </w:r>
            <w:r>
              <w:rPr>
                <w:rFonts w:hint="eastAsia"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val="en-US" w:eastAsia="zh-CN"/>
              </w:rPr>
              <w:t>日由</w:t>
            </w:r>
            <w:r>
              <w:rPr>
                <w:rFonts w:hint="eastAsia" w:cs="Times New Roman"/>
                <w:color w:val="auto"/>
                <w:sz w:val="24"/>
                <w:szCs w:val="24"/>
                <w:highlight w:val="none"/>
                <w:lang w:val="en-US" w:eastAsia="zh-CN"/>
              </w:rPr>
              <w:t>内蒙古自治区环境保护厅</w:t>
            </w:r>
            <w:r>
              <w:rPr>
                <w:rFonts w:hint="default" w:ascii="Times New Roman" w:hAnsi="Times New Roman" w:cs="Times New Roman"/>
                <w:color w:val="auto"/>
                <w:sz w:val="24"/>
                <w:szCs w:val="24"/>
                <w:highlight w:val="none"/>
                <w:lang w:val="en-US" w:eastAsia="zh-CN"/>
              </w:rPr>
              <w:t>以</w:t>
            </w:r>
            <w:r>
              <w:rPr>
                <w:rFonts w:hint="eastAsia" w:cs="Times New Roman"/>
                <w:color w:val="auto"/>
                <w:sz w:val="24"/>
                <w:szCs w:val="24"/>
                <w:highlight w:val="none"/>
                <w:lang w:val="en-US" w:eastAsia="zh-CN"/>
              </w:rPr>
              <w:t>内环验</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115</w:t>
            </w:r>
            <w:r>
              <w:rPr>
                <w:rFonts w:hint="default" w:ascii="Times New Roman" w:hAnsi="Times New Roman" w:eastAsia="宋体" w:cs="Times New Roman"/>
                <w:color w:val="auto"/>
                <w:sz w:val="24"/>
                <w:szCs w:val="24"/>
                <w:highlight w:val="none"/>
              </w:rPr>
              <w:t>号</w:t>
            </w:r>
            <w:r>
              <w:rPr>
                <w:rFonts w:hint="default" w:ascii="Times New Roman" w:hAnsi="Times New Roman" w:eastAsia="宋体" w:cs="Times New Roman"/>
                <w:color w:val="auto"/>
                <w:sz w:val="24"/>
                <w:szCs w:val="24"/>
                <w:highlight w:val="none"/>
                <w:lang w:val="en-US" w:eastAsia="zh-CN"/>
              </w:rPr>
              <w:t>予以通过验收</w:t>
            </w:r>
            <w:r>
              <w:rPr>
                <w:rFonts w:hint="default" w:ascii="Times New Roman" w:hAnsi="Times New Roman" w:cs="Times New Roman"/>
                <w:color w:val="auto"/>
                <w:sz w:val="24"/>
                <w:szCs w:val="24"/>
                <w:highlight w:val="none"/>
                <w:lang w:val="en-US" w:eastAsia="zh-CN"/>
              </w:rPr>
              <w:t>批复</w:t>
            </w:r>
            <w:r>
              <w:rPr>
                <w:rFonts w:hint="default" w:ascii="Times New Roman" w:hAnsi="Times New Roman" w:cs="Times New Roman"/>
                <w:color w:val="auto"/>
                <w:kern w:val="2"/>
                <w:sz w:val="24"/>
                <w:szCs w:val="20"/>
                <w:highlight w:val="none"/>
                <w:lang w:val="en-US" w:bidi="ar"/>
              </w:rPr>
              <w:t>。</w:t>
            </w:r>
          </w:p>
          <w:p w14:paraId="6B281009">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本项目为新建项目，项目建设场地为</w:t>
            </w:r>
            <w:r>
              <w:rPr>
                <w:rFonts w:hint="default" w:ascii="Times New Roman" w:hAnsi="Times New Roman" w:eastAsia="宋体" w:cs="Times New Roman"/>
                <w:bCs/>
                <w:color w:val="auto"/>
                <w:sz w:val="24"/>
                <w:highlight w:val="none"/>
                <w:lang w:val="en-US" w:eastAsia="zh-CN"/>
              </w:rPr>
              <w:t>伊金霍洛旗纳林塔纳林沟煤矿工业场地范围内</w:t>
            </w:r>
            <w:r>
              <w:rPr>
                <w:rFonts w:hint="default" w:ascii="Times New Roman" w:hAnsi="Times New Roman" w:cs="Times New Roman"/>
                <w:bCs/>
                <w:color w:val="auto"/>
                <w:sz w:val="24"/>
                <w:highlight w:val="none"/>
              </w:rPr>
              <w:t>，不存在有关的原有污染情况及主要环境问题</w:t>
            </w:r>
            <w:r>
              <w:rPr>
                <w:rFonts w:hint="default" w:ascii="Times New Roman" w:hAnsi="Times New Roman" w:cs="Times New Roman"/>
                <w:bCs/>
                <w:color w:val="auto"/>
                <w:sz w:val="24"/>
                <w:highlight w:val="none"/>
                <w:lang w:eastAsia="zh-CN"/>
              </w:rPr>
              <w:t>。</w:t>
            </w:r>
          </w:p>
          <w:bookmarkEnd w:id="7"/>
          <w:bookmarkEnd w:id="8"/>
          <w:p w14:paraId="6B58000B">
            <w:pPr>
              <w:spacing w:line="360" w:lineRule="auto"/>
              <w:rPr>
                <w:rFonts w:hint="default" w:ascii="Times New Roman" w:hAnsi="Times New Roman" w:cs="Times New Roman"/>
                <w:bCs/>
                <w:color w:val="auto"/>
                <w:sz w:val="24"/>
                <w:highlight w:val="none"/>
              </w:rPr>
            </w:pPr>
          </w:p>
          <w:p w14:paraId="1DDBD48A">
            <w:pPr>
              <w:spacing w:line="360" w:lineRule="auto"/>
              <w:rPr>
                <w:rFonts w:hint="default" w:ascii="Times New Roman" w:hAnsi="Times New Roman" w:cs="Times New Roman"/>
                <w:bCs/>
                <w:color w:val="auto"/>
                <w:sz w:val="24"/>
                <w:highlight w:val="none"/>
              </w:rPr>
            </w:pPr>
          </w:p>
          <w:p w14:paraId="5CCDF4DE">
            <w:pPr>
              <w:spacing w:line="360" w:lineRule="auto"/>
              <w:rPr>
                <w:rFonts w:hint="default" w:ascii="Times New Roman" w:hAnsi="Times New Roman" w:cs="Times New Roman"/>
                <w:bCs/>
                <w:color w:val="auto"/>
                <w:sz w:val="24"/>
                <w:highlight w:val="none"/>
              </w:rPr>
            </w:pPr>
          </w:p>
          <w:p w14:paraId="7451028A">
            <w:pPr>
              <w:pStyle w:val="5"/>
              <w:rPr>
                <w:rFonts w:hint="default"/>
                <w:color w:val="auto"/>
                <w:highlight w:val="none"/>
              </w:rPr>
            </w:pPr>
          </w:p>
          <w:p w14:paraId="459F26B3">
            <w:pPr>
              <w:spacing w:line="360" w:lineRule="auto"/>
              <w:rPr>
                <w:rFonts w:hint="default" w:ascii="Times New Roman" w:hAnsi="Times New Roman" w:cs="Times New Roman"/>
                <w:bCs/>
                <w:color w:val="auto"/>
                <w:sz w:val="24"/>
                <w:highlight w:val="none"/>
              </w:rPr>
            </w:pPr>
          </w:p>
          <w:p w14:paraId="1FF24C92">
            <w:pPr>
              <w:spacing w:line="360" w:lineRule="auto"/>
              <w:rPr>
                <w:rFonts w:hint="default" w:ascii="Times New Roman" w:hAnsi="Times New Roman" w:cs="Times New Roman"/>
                <w:bCs/>
                <w:color w:val="auto"/>
                <w:sz w:val="24"/>
                <w:highlight w:val="none"/>
              </w:rPr>
            </w:pPr>
          </w:p>
        </w:tc>
      </w:tr>
    </w:tbl>
    <w:p w14:paraId="1A0920DF">
      <w:pPr>
        <w:pStyle w:val="5"/>
        <w:ind w:left="0" w:leftChars="0" w:firstLine="0" w:firstLineChars="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br w:type="page"/>
      </w:r>
    </w:p>
    <w:p w14:paraId="04388D8C">
      <w:pPr>
        <w:pStyle w:val="31"/>
        <w:widowControl/>
        <w:numPr>
          <w:ilvl w:val="0"/>
          <w:numId w:val="2"/>
        </w:numPr>
        <w:spacing w:before="100" w:beforeAutospacing="1" w:after="100" w:afterAutospacing="1"/>
        <w:ind w:firstLineChars="0"/>
        <w:jc w:val="center"/>
        <w:outlineLvl w:val="0"/>
        <w:rPr>
          <w:rFonts w:hint="default" w:ascii="Times New Roman" w:hAnsi="Times New Roman" w:cs="Times New Roman"/>
          <w:b/>
          <w:bCs/>
          <w:snapToGrid w:val="0"/>
          <w:color w:val="auto"/>
          <w:kern w:val="0"/>
          <w:sz w:val="30"/>
          <w:szCs w:val="30"/>
          <w:highlight w:val="none"/>
        </w:rPr>
      </w:pPr>
      <w:r>
        <w:rPr>
          <w:rFonts w:hint="default" w:ascii="Times New Roman" w:hAnsi="Times New Roman" w:cs="Times New Roman"/>
          <w:b/>
          <w:bCs/>
          <w:snapToGrid w:val="0"/>
          <w:color w:val="auto"/>
          <w:kern w:val="0"/>
          <w:sz w:val="30"/>
          <w:szCs w:val="30"/>
          <w:highlight w:val="none"/>
        </w:rPr>
        <w:t>区域环境质量现状、环境保护目标及评价标准</w:t>
      </w:r>
    </w:p>
    <w:tbl>
      <w:tblPr>
        <w:tblStyle w:val="2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76"/>
        <w:gridCol w:w="8144"/>
      </w:tblGrid>
      <w:tr w14:paraId="77E58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09" w:hRule="atLeast"/>
          <w:jc w:val="center"/>
        </w:trPr>
        <w:tc>
          <w:tcPr>
            <w:tcW w:w="221" w:type="pct"/>
            <w:vAlign w:val="center"/>
          </w:tcPr>
          <w:p w14:paraId="5AF63C64">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区域</w:t>
            </w:r>
          </w:p>
          <w:p w14:paraId="7A76D175">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环境</w:t>
            </w:r>
          </w:p>
          <w:p w14:paraId="25247CA3">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质量</w:t>
            </w:r>
          </w:p>
          <w:p w14:paraId="7A347F27">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现状</w:t>
            </w:r>
          </w:p>
        </w:tc>
        <w:tc>
          <w:tcPr>
            <w:tcW w:w="4778" w:type="pct"/>
            <w:vAlign w:val="center"/>
          </w:tcPr>
          <w:p w14:paraId="1C84EEC8">
            <w:pPr>
              <w:pStyle w:val="31"/>
              <w:numPr>
                <w:ilvl w:val="0"/>
                <w:numId w:val="6"/>
              </w:numPr>
              <w:spacing w:line="360" w:lineRule="auto"/>
              <w:ind w:firstLineChars="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环境空气</w:t>
            </w:r>
          </w:p>
          <w:p w14:paraId="21740A15">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1.1项目所在区域达标判定</w:t>
            </w:r>
          </w:p>
          <w:p w14:paraId="4FE0C0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eastAsia="宋体" w:cs="Times New Roman"/>
                <w:color w:val="auto"/>
                <w:kern w:val="2"/>
                <w:sz w:val="24"/>
                <w:szCs w:val="24"/>
                <w:highlight w:val="none"/>
                <w:lang w:val="en-US" w:eastAsia="zh-CN" w:bidi="zh-CN"/>
              </w:rPr>
              <w:t>根据内蒙古自治区生态环境厅2025年6月4日公布的2024年《内蒙古自治区生态环境状况公报》，鄂尔多斯市2024年环境空气质量满足《环境空气质量标准》（GB3095-2012）及其修改单二级标准浓度限值要求。本项目位于鄂尔多斯市伊金霍洛旗，属于环境空气质量达标区。</w:t>
            </w:r>
          </w:p>
          <w:p w14:paraId="2A096F94">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1.2其他污染物环境质量现状</w:t>
            </w:r>
          </w:p>
          <w:p w14:paraId="4D10FC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eastAsia="宋体" w:cs="Times New Roman"/>
                <w:color w:val="auto"/>
                <w:kern w:val="2"/>
                <w:sz w:val="24"/>
                <w:szCs w:val="24"/>
                <w:highlight w:val="none"/>
                <w:lang w:val="en-US" w:eastAsia="zh-CN" w:bidi="zh-CN"/>
              </w:rPr>
              <w:t>本次大气环境现状委托</w:t>
            </w:r>
            <w:r>
              <w:rPr>
                <w:rFonts w:hint="eastAsia" w:cs="Times New Roman"/>
                <w:color w:val="auto"/>
                <w:kern w:val="2"/>
                <w:sz w:val="24"/>
                <w:szCs w:val="24"/>
                <w:highlight w:val="none"/>
                <w:lang w:val="en-US" w:eastAsia="zh-CN" w:bidi="zh-CN"/>
              </w:rPr>
              <w:t>内蒙古华智鼎检测技术有限公司</w:t>
            </w:r>
            <w:r>
              <w:rPr>
                <w:rFonts w:hint="default" w:ascii="Times New Roman" w:hAnsi="Times New Roman" w:eastAsia="宋体" w:cs="Times New Roman"/>
                <w:color w:val="auto"/>
                <w:kern w:val="2"/>
                <w:sz w:val="24"/>
                <w:szCs w:val="24"/>
                <w:highlight w:val="none"/>
                <w:lang w:val="en-US" w:eastAsia="zh-CN" w:bidi="zh-CN"/>
              </w:rPr>
              <w:t>于202</w:t>
            </w:r>
            <w:r>
              <w:rPr>
                <w:rFonts w:hint="eastAsia" w:cs="Times New Roman"/>
                <w:color w:val="auto"/>
                <w:kern w:val="2"/>
                <w:sz w:val="24"/>
                <w:szCs w:val="24"/>
                <w:highlight w:val="none"/>
                <w:lang w:val="en-US" w:eastAsia="zh-CN" w:bidi="zh-CN"/>
              </w:rPr>
              <w:t>5</w:t>
            </w:r>
            <w:r>
              <w:rPr>
                <w:rFonts w:hint="default" w:ascii="Times New Roman" w:hAnsi="Times New Roman" w:eastAsia="宋体" w:cs="Times New Roman"/>
                <w:color w:val="auto"/>
                <w:kern w:val="2"/>
                <w:sz w:val="24"/>
                <w:szCs w:val="24"/>
                <w:highlight w:val="none"/>
                <w:lang w:val="en-US" w:eastAsia="zh-CN" w:bidi="zh-CN"/>
              </w:rPr>
              <w:t>年</w:t>
            </w:r>
            <w:r>
              <w:rPr>
                <w:rFonts w:hint="eastAsia" w:cs="Times New Roman"/>
                <w:color w:val="auto"/>
                <w:kern w:val="2"/>
                <w:sz w:val="24"/>
                <w:szCs w:val="24"/>
                <w:highlight w:val="none"/>
                <w:lang w:val="en-US" w:eastAsia="zh-CN" w:bidi="zh-CN"/>
              </w:rPr>
              <w:t>11</w:t>
            </w:r>
            <w:r>
              <w:rPr>
                <w:rFonts w:hint="default" w:ascii="Times New Roman" w:hAnsi="Times New Roman" w:eastAsia="宋体" w:cs="Times New Roman"/>
                <w:color w:val="auto"/>
                <w:kern w:val="2"/>
                <w:sz w:val="24"/>
                <w:szCs w:val="24"/>
                <w:highlight w:val="none"/>
                <w:lang w:val="en-US" w:eastAsia="zh-CN" w:bidi="zh-CN"/>
              </w:rPr>
              <w:t>月1</w:t>
            </w:r>
            <w:r>
              <w:rPr>
                <w:rFonts w:hint="eastAsia" w:cs="Times New Roman"/>
                <w:color w:val="auto"/>
                <w:kern w:val="2"/>
                <w:sz w:val="24"/>
                <w:szCs w:val="24"/>
                <w:highlight w:val="none"/>
                <w:lang w:val="en-US" w:eastAsia="zh-CN" w:bidi="zh-CN"/>
              </w:rPr>
              <w:t>6</w:t>
            </w:r>
            <w:r>
              <w:rPr>
                <w:rFonts w:hint="default" w:ascii="Times New Roman" w:hAnsi="Times New Roman" w:eastAsia="宋体" w:cs="Times New Roman"/>
                <w:color w:val="auto"/>
                <w:kern w:val="2"/>
                <w:sz w:val="24"/>
                <w:szCs w:val="24"/>
                <w:highlight w:val="none"/>
                <w:lang w:val="en-US" w:eastAsia="zh-CN" w:bidi="zh-CN"/>
              </w:rPr>
              <w:t>日～202</w:t>
            </w:r>
            <w:r>
              <w:rPr>
                <w:rFonts w:hint="eastAsia" w:cs="Times New Roman"/>
                <w:color w:val="auto"/>
                <w:kern w:val="2"/>
                <w:sz w:val="24"/>
                <w:szCs w:val="24"/>
                <w:highlight w:val="none"/>
                <w:lang w:val="en-US" w:eastAsia="zh-CN" w:bidi="zh-CN"/>
              </w:rPr>
              <w:t>5</w:t>
            </w:r>
            <w:r>
              <w:rPr>
                <w:rFonts w:hint="default" w:ascii="Times New Roman" w:hAnsi="Times New Roman" w:eastAsia="宋体" w:cs="Times New Roman"/>
                <w:color w:val="auto"/>
                <w:kern w:val="2"/>
                <w:sz w:val="24"/>
                <w:szCs w:val="24"/>
                <w:highlight w:val="none"/>
                <w:lang w:val="en-US" w:eastAsia="zh-CN" w:bidi="zh-CN"/>
              </w:rPr>
              <w:t>年</w:t>
            </w:r>
            <w:r>
              <w:rPr>
                <w:rFonts w:hint="eastAsia" w:cs="Times New Roman"/>
                <w:color w:val="auto"/>
                <w:kern w:val="2"/>
                <w:sz w:val="24"/>
                <w:szCs w:val="24"/>
                <w:highlight w:val="none"/>
                <w:lang w:val="en-US" w:eastAsia="zh-CN" w:bidi="zh-CN"/>
              </w:rPr>
              <w:t>11</w:t>
            </w:r>
            <w:r>
              <w:rPr>
                <w:rFonts w:hint="default" w:ascii="Times New Roman" w:hAnsi="Times New Roman" w:eastAsia="宋体" w:cs="Times New Roman"/>
                <w:color w:val="auto"/>
                <w:kern w:val="2"/>
                <w:sz w:val="24"/>
                <w:szCs w:val="24"/>
                <w:highlight w:val="none"/>
                <w:lang w:val="en-US" w:eastAsia="zh-CN" w:bidi="zh-CN"/>
              </w:rPr>
              <w:t>月</w:t>
            </w:r>
            <w:r>
              <w:rPr>
                <w:rFonts w:hint="eastAsia" w:cs="Times New Roman"/>
                <w:color w:val="auto"/>
                <w:kern w:val="2"/>
                <w:sz w:val="24"/>
                <w:szCs w:val="24"/>
                <w:highlight w:val="none"/>
                <w:lang w:val="en-US" w:eastAsia="zh-CN" w:bidi="zh-CN"/>
              </w:rPr>
              <w:t>18</w:t>
            </w:r>
            <w:r>
              <w:rPr>
                <w:rFonts w:hint="default" w:ascii="Times New Roman" w:hAnsi="Times New Roman" w:eastAsia="宋体" w:cs="Times New Roman"/>
                <w:color w:val="auto"/>
                <w:kern w:val="2"/>
                <w:sz w:val="24"/>
                <w:szCs w:val="24"/>
                <w:highlight w:val="none"/>
                <w:lang w:val="en-US" w:eastAsia="zh-CN" w:bidi="zh-CN"/>
              </w:rPr>
              <w:t>日在项目区进行了连续3天监测，监测因子为非甲烷总烃，监测点位情况见表3-1，环境空气质量现状监测采取的分析方法见表3-</w:t>
            </w:r>
            <w:r>
              <w:rPr>
                <w:rFonts w:hint="eastAsia" w:cs="Times New Roman"/>
                <w:color w:val="auto"/>
                <w:kern w:val="2"/>
                <w:sz w:val="24"/>
                <w:szCs w:val="24"/>
                <w:highlight w:val="none"/>
                <w:lang w:val="en-US" w:eastAsia="zh-CN" w:bidi="zh-CN"/>
              </w:rPr>
              <w:t>2，</w:t>
            </w:r>
            <w:r>
              <w:rPr>
                <w:rFonts w:hint="default" w:ascii="Times New Roman" w:hAnsi="Times New Roman" w:eastAsia="宋体" w:cs="Times New Roman"/>
                <w:color w:val="auto"/>
                <w:kern w:val="2"/>
                <w:sz w:val="24"/>
                <w:szCs w:val="24"/>
                <w:highlight w:val="none"/>
                <w:lang w:val="en-US" w:eastAsia="zh-CN" w:bidi="zh-CN"/>
              </w:rPr>
              <w:t>监测结果统计见表3-</w:t>
            </w:r>
            <w:r>
              <w:rPr>
                <w:rFonts w:hint="eastAsia" w:cs="Times New Roman"/>
                <w:color w:val="auto"/>
                <w:kern w:val="2"/>
                <w:sz w:val="24"/>
                <w:szCs w:val="24"/>
                <w:highlight w:val="none"/>
                <w:lang w:val="en-US" w:eastAsia="zh-CN" w:bidi="zh-CN"/>
              </w:rPr>
              <w:t>3</w:t>
            </w:r>
            <w:r>
              <w:rPr>
                <w:rFonts w:hint="default" w:ascii="Times New Roman" w:hAnsi="Times New Roman" w:eastAsia="宋体" w:cs="Times New Roman"/>
                <w:color w:val="auto"/>
                <w:kern w:val="2"/>
                <w:sz w:val="24"/>
                <w:szCs w:val="24"/>
                <w:highlight w:val="none"/>
                <w:lang w:val="en-US" w:eastAsia="zh-CN" w:bidi="zh-CN"/>
              </w:rPr>
              <w:t>。</w:t>
            </w:r>
          </w:p>
          <w:p w14:paraId="4A60FE92">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eastAsia="宋体" w:cs="Times New Roman"/>
                <w:b/>
                <w:bCs/>
                <w:color w:val="auto"/>
                <w:sz w:val="24"/>
                <w:highlight w:val="none"/>
                <w:lang w:val="en-US" w:eastAsia="zh-CN"/>
              </w:rPr>
            </w:pPr>
            <w:r>
              <w:rPr>
                <w:rFonts w:hint="default" w:ascii="宋体" w:hAnsi="宋体" w:eastAsia="宋体" w:cs="宋体"/>
                <w:b/>
                <w:bCs/>
                <w:color w:val="auto"/>
                <w:spacing w:val="-3"/>
                <w:sz w:val="21"/>
                <w:szCs w:val="21"/>
                <w:highlight w:val="none"/>
                <w:lang w:val="en-US" w:eastAsia="zh-CN"/>
              </w:rPr>
              <w:t>表3-1   其他污染物环境监测点位基本信息</w:t>
            </w:r>
          </w:p>
          <w:tbl>
            <w:tblPr>
              <w:tblStyle w:val="20"/>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26"/>
              <w:gridCol w:w="1332"/>
              <w:gridCol w:w="1748"/>
              <w:gridCol w:w="2303"/>
              <w:gridCol w:w="1616"/>
            </w:tblGrid>
            <w:tr w14:paraId="475223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84" w:type="pct"/>
                  <w:tcBorders>
                    <w:top w:val="single" w:color="auto" w:sz="4" w:space="0"/>
                    <w:left w:val="single" w:color="auto" w:sz="0" w:space="0"/>
                  </w:tcBorders>
                  <w:noWrap w:val="0"/>
                  <w:vAlign w:val="center"/>
                </w:tcPr>
                <w:p w14:paraId="10AC2421">
                  <w:pPr>
                    <w:spacing w:line="360" w:lineRule="exact"/>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rPr>
                    <w:t>编号</w:t>
                  </w:r>
                </w:p>
              </w:tc>
              <w:tc>
                <w:tcPr>
                  <w:tcW w:w="840" w:type="pct"/>
                  <w:tcBorders>
                    <w:top w:val="single" w:color="auto" w:sz="4" w:space="0"/>
                  </w:tcBorders>
                  <w:noWrap w:val="0"/>
                  <w:vAlign w:val="center"/>
                </w:tcPr>
                <w:p w14:paraId="71B65A2E">
                  <w:pPr>
                    <w:spacing w:line="360" w:lineRule="exact"/>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rPr>
                    <w:t>监测点位</w:t>
                  </w:r>
                </w:p>
              </w:tc>
              <w:tc>
                <w:tcPr>
                  <w:tcW w:w="1102" w:type="pct"/>
                  <w:tcBorders>
                    <w:top w:val="single" w:color="auto" w:sz="4" w:space="0"/>
                  </w:tcBorders>
                  <w:noWrap w:val="0"/>
                  <w:vAlign w:val="center"/>
                </w:tcPr>
                <w:p w14:paraId="296B4100">
                  <w:pPr>
                    <w:spacing w:line="360" w:lineRule="exact"/>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rPr>
                    <w:t>相对本项目方位</w:t>
                  </w:r>
                </w:p>
              </w:tc>
              <w:tc>
                <w:tcPr>
                  <w:tcW w:w="1452" w:type="pct"/>
                  <w:tcBorders>
                    <w:top w:val="single" w:color="auto" w:sz="4" w:space="0"/>
                  </w:tcBorders>
                  <w:noWrap w:val="0"/>
                  <w:vAlign w:val="center"/>
                </w:tcPr>
                <w:p w14:paraId="3207ABE7">
                  <w:pPr>
                    <w:spacing w:line="360" w:lineRule="exact"/>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rPr>
                    <w:t>相对本项目距离（m）</w:t>
                  </w:r>
                </w:p>
              </w:tc>
              <w:tc>
                <w:tcPr>
                  <w:tcW w:w="1019" w:type="pct"/>
                  <w:tcBorders>
                    <w:top w:val="single" w:color="auto" w:sz="4" w:space="0"/>
                    <w:right w:val="single" w:color="auto" w:sz="4" w:space="0"/>
                  </w:tcBorders>
                  <w:noWrap w:val="0"/>
                  <w:vAlign w:val="center"/>
                </w:tcPr>
                <w:p w14:paraId="077DFC5F">
                  <w:pPr>
                    <w:spacing w:line="360" w:lineRule="exact"/>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rPr>
                    <w:t>监测项目</w:t>
                  </w:r>
                </w:p>
              </w:tc>
            </w:tr>
            <w:tr w14:paraId="4D1376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84" w:type="pct"/>
                  <w:tcBorders>
                    <w:left w:val="single" w:color="auto" w:sz="4" w:space="0"/>
                    <w:bottom w:val="single" w:color="auto" w:sz="4" w:space="0"/>
                  </w:tcBorders>
                  <w:noWrap w:val="0"/>
                  <w:vAlign w:val="center"/>
                </w:tcPr>
                <w:p w14:paraId="4C8694FF">
                  <w:pPr>
                    <w:spacing w:line="3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840" w:type="pct"/>
                  <w:tcBorders>
                    <w:bottom w:val="single" w:color="auto" w:sz="4" w:space="0"/>
                  </w:tcBorders>
                  <w:noWrap w:val="0"/>
                  <w:vAlign w:val="center"/>
                </w:tcPr>
                <w:p w14:paraId="485E276E">
                  <w:pPr>
                    <w:spacing w:line="3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下风向</w:t>
                  </w:r>
                </w:p>
              </w:tc>
              <w:tc>
                <w:tcPr>
                  <w:tcW w:w="1102" w:type="pct"/>
                  <w:tcBorders>
                    <w:bottom w:val="single" w:color="auto" w:sz="4" w:space="0"/>
                  </w:tcBorders>
                  <w:noWrap w:val="0"/>
                  <w:vAlign w:val="center"/>
                </w:tcPr>
                <w:p w14:paraId="7B9068EE">
                  <w:pPr>
                    <w:spacing w:line="3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东南侧</w:t>
                  </w:r>
                </w:p>
              </w:tc>
              <w:tc>
                <w:tcPr>
                  <w:tcW w:w="1452" w:type="pct"/>
                  <w:tcBorders>
                    <w:bottom w:val="single" w:color="auto" w:sz="4" w:space="0"/>
                  </w:tcBorders>
                  <w:noWrap w:val="0"/>
                  <w:vAlign w:val="center"/>
                </w:tcPr>
                <w:p w14:paraId="2371E033">
                  <w:pPr>
                    <w:spacing w:line="3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100</w:t>
                  </w:r>
                </w:p>
              </w:tc>
              <w:tc>
                <w:tcPr>
                  <w:tcW w:w="1019" w:type="pct"/>
                  <w:tcBorders>
                    <w:bottom w:val="single" w:color="auto" w:sz="4" w:space="0"/>
                    <w:right w:val="single" w:color="auto" w:sz="4" w:space="0"/>
                  </w:tcBorders>
                  <w:noWrap w:val="0"/>
                  <w:vAlign w:val="center"/>
                </w:tcPr>
                <w:p w14:paraId="25E11771">
                  <w:pPr>
                    <w:spacing w:line="3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r>
          </w:tbl>
          <w:p w14:paraId="045C2B38">
            <w:pPr>
              <w:adjustRightInd w:val="0"/>
              <w:snapToGrid w:val="0"/>
              <w:spacing w:line="360" w:lineRule="auto"/>
              <w:jc w:val="center"/>
              <w:rPr>
                <w:rFonts w:hint="eastAsia" w:ascii="宋体" w:hAnsi="宋体" w:eastAsia="宋体" w:cs="宋体"/>
                <w:b/>
                <w:bCs/>
                <w:color w:val="auto"/>
                <w:spacing w:val="-3"/>
                <w:kern w:val="2"/>
                <w:sz w:val="21"/>
                <w:szCs w:val="21"/>
                <w:highlight w:val="none"/>
                <w:lang w:val="en-US" w:eastAsia="zh-CN" w:bidi="ar-SA"/>
              </w:rPr>
            </w:pPr>
            <w:r>
              <w:rPr>
                <w:rFonts w:hint="default" w:ascii="宋体" w:hAnsi="宋体" w:eastAsia="宋体" w:cs="宋体"/>
                <w:b/>
                <w:bCs/>
                <w:color w:val="auto"/>
                <w:spacing w:val="-3"/>
                <w:kern w:val="2"/>
                <w:sz w:val="21"/>
                <w:szCs w:val="21"/>
                <w:highlight w:val="none"/>
                <w:lang w:val="en-US" w:eastAsia="zh-CN" w:bidi="ar-SA"/>
              </w:rPr>
              <w:t>表3-</w:t>
            </w:r>
            <w:r>
              <w:rPr>
                <w:rFonts w:hint="eastAsia" w:ascii="宋体" w:hAnsi="宋体" w:eastAsia="宋体" w:cs="宋体"/>
                <w:b/>
                <w:bCs/>
                <w:color w:val="auto"/>
                <w:spacing w:val="-3"/>
                <w:kern w:val="2"/>
                <w:sz w:val="21"/>
                <w:szCs w:val="21"/>
                <w:highlight w:val="none"/>
                <w:lang w:val="en-US" w:eastAsia="zh-CN" w:bidi="ar-SA"/>
              </w:rPr>
              <w:t>2   环境空气分析方法</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851"/>
              <w:gridCol w:w="2666"/>
              <w:gridCol w:w="724"/>
              <w:gridCol w:w="1701"/>
              <w:gridCol w:w="1511"/>
            </w:tblGrid>
            <w:tr w14:paraId="04E5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292" w:type="pct"/>
                  <w:noWrap w:val="0"/>
                  <w:vAlign w:val="center"/>
                </w:tcPr>
                <w:p w14:paraId="1A6174A5">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序号</w:t>
                  </w:r>
                </w:p>
              </w:tc>
              <w:tc>
                <w:tcPr>
                  <w:tcW w:w="537" w:type="pct"/>
                  <w:noWrap w:val="0"/>
                  <w:vAlign w:val="center"/>
                </w:tcPr>
                <w:p w14:paraId="18FA70A7">
                  <w:pPr>
                    <w:widowControl w:val="0"/>
                    <w:spacing w:line="240" w:lineRule="auto"/>
                    <w:ind w:firstLine="0" w:firstLineChars="0"/>
                    <w:jc w:val="center"/>
                    <w:rPr>
                      <w:rFonts w:ascii="Times New Roman" w:hAnsi="Times New Roman" w:eastAsia="宋体" w:cs="Times New Roman"/>
                      <w:b/>
                      <w:bCs/>
                      <w:color w:val="auto"/>
                      <w:kern w:val="2"/>
                      <w:sz w:val="21"/>
                      <w:szCs w:val="21"/>
                      <w:highlight w:val="none"/>
                      <w:lang w:val="en-US" w:eastAsia="zh-CN" w:bidi="ar-SA"/>
                    </w:rPr>
                  </w:pPr>
                  <w:r>
                    <w:rPr>
                      <w:rFonts w:ascii="Times New Roman" w:hAnsi="Times New Roman" w:eastAsia="宋体" w:cs="Times New Roman"/>
                      <w:b/>
                      <w:bCs/>
                      <w:color w:val="auto"/>
                      <w:kern w:val="2"/>
                      <w:sz w:val="21"/>
                      <w:szCs w:val="21"/>
                      <w:highlight w:val="none"/>
                      <w:lang w:val="en-US" w:eastAsia="zh-CN" w:bidi="ar-SA"/>
                    </w:rPr>
                    <w:t>检测项目</w:t>
                  </w:r>
                </w:p>
              </w:tc>
              <w:tc>
                <w:tcPr>
                  <w:tcW w:w="1683" w:type="pct"/>
                  <w:noWrap w:val="0"/>
                  <w:vAlign w:val="center"/>
                </w:tcPr>
                <w:p w14:paraId="3F906527">
                  <w:pPr>
                    <w:widowControl w:val="0"/>
                    <w:spacing w:line="240" w:lineRule="auto"/>
                    <w:ind w:firstLine="0" w:firstLineChars="0"/>
                    <w:jc w:val="center"/>
                    <w:rPr>
                      <w:rFonts w:ascii="Times New Roman" w:hAnsi="Times New Roman" w:eastAsia="宋体" w:cs="Times New Roman"/>
                      <w:color w:val="auto"/>
                      <w:kern w:val="0"/>
                      <w:sz w:val="21"/>
                      <w:szCs w:val="21"/>
                      <w:highlight w:val="none"/>
                      <w:lang w:val="en-US" w:eastAsia="zh-CN" w:bidi="ar"/>
                    </w:rPr>
                  </w:pPr>
                  <w:r>
                    <w:rPr>
                      <w:rFonts w:ascii="Times New Roman" w:hAnsi="Times New Roman" w:eastAsia="宋体" w:cs="Times New Roman"/>
                      <w:b/>
                      <w:bCs/>
                      <w:color w:val="auto"/>
                      <w:kern w:val="2"/>
                      <w:sz w:val="21"/>
                      <w:szCs w:val="21"/>
                      <w:highlight w:val="none"/>
                      <w:lang w:val="en-US" w:eastAsia="zh-CN" w:bidi="ar-SA"/>
                    </w:rPr>
                    <w:t>分析方法及来源</w:t>
                  </w:r>
                </w:p>
              </w:tc>
              <w:tc>
                <w:tcPr>
                  <w:tcW w:w="457" w:type="pct"/>
                  <w:noWrap w:val="0"/>
                  <w:vAlign w:val="center"/>
                </w:tcPr>
                <w:p w14:paraId="03903B35">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b/>
                      <w:bCs/>
                      <w:color w:val="auto"/>
                      <w:kern w:val="2"/>
                      <w:sz w:val="21"/>
                      <w:szCs w:val="21"/>
                      <w:highlight w:val="none"/>
                      <w:lang w:val="en-US" w:eastAsia="zh-CN" w:bidi="ar-SA"/>
                    </w:rPr>
                    <w:t>检出限</w:t>
                  </w:r>
                </w:p>
              </w:tc>
              <w:tc>
                <w:tcPr>
                  <w:tcW w:w="1074" w:type="pct"/>
                  <w:noWrap w:val="0"/>
                  <w:vAlign w:val="center"/>
                </w:tcPr>
                <w:p w14:paraId="452C0D68">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b/>
                      <w:bCs/>
                      <w:color w:val="auto"/>
                      <w:kern w:val="2"/>
                      <w:sz w:val="21"/>
                      <w:szCs w:val="21"/>
                      <w:highlight w:val="none"/>
                      <w:lang w:val="en-US" w:eastAsia="zh-CN" w:bidi="ar-SA"/>
                    </w:rPr>
                    <w:t>仪器设备名称/型号</w:t>
                  </w:r>
                </w:p>
              </w:tc>
              <w:tc>
                <w:tcPr>
                  <w:tcW w:w="954" w:type="pct"/>
                  <w:noWrap w:val="0"/>
                  <w:vAlign w:val="center"/>
                </w:tcPr>
                <w:p w14:paraId="0E7CEE76">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b/>
                      <w:bCs/>
                      <w:color w:val="auto"/>
                      <w:kern w:val="2"/>
                      <w:sz w:val="21"/>
                      <w:szCs w:val="21"/>
                      <w:highlight w:val="none"/>
                      <w:lang w:val="en-US" w:eastAsia="zh-CN" w:bidi="ar-SA"/>
                    </w:rPr>
                    <w:t>仪器管理编号</w:t>
                  </w:r>
                </w:p>
              </w:tc>
            </w:tr>
            <w:tr w14:paraId="3E45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292" w:type="pct"/>
                  <w:noWrap w:val="0"/>
                  <w:vAlign w:val="center"/>
                </w:tcPr>
                <w:p w14:paraId="238FD50E">
                  <w:pPr>
                    <w:widowControl w:val="0"/>
                    <w:bidi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w:t>
                  </w:r>
                </w:p>
              </w:tc>
              <w:tc>
                <w:tcPr>
                  <w:tcW w:w="537" w:type="pct"/>
                  <w:noWrap w:val="0"/>
                  <w:vAlign w:val="center"/>
                </w:tcPr>
                <w:p w14:paraId="511398AE">
                  <w:pPr>
                    <w:pStyle w:val="41"/>
                    <w:ind w:firstLine="0" w:firstLineChars="0"/>
                    <w:rPr>
                      <w:rFonts w:hint="eastAsia"/>
                      <w:color w:val="auto"/>
                      <w:kern w:val="2"/>
                      <w:sz w:val="21"/>
                      <w:szCs w:val="22"/>
                      <w:highlight w:val="none"/>
                      <w:lang w:val="en-US" w:eastAsia="zh-CN" w:bidi="ar-SA"/>
                    </w:rPr>
                  </w:pPr>
                  <w:r>
                    <w:rPr>
                      <w:color w:val="auto"/>
                      <w:szCs w:val="22"/>
                      <w:highlight w:val="none"/>
                    </w:rPr>
                    <w:t>非甲烷总烃</w:t>
                  </w:r>
                </w:p>
              </w:tc>
              <w:tc>
                <w:tcPr>
                  <w:tcW w:w="1683" w:type="pct"/>
                  <w:noWrap w:val="0"/>
                  <w:vAlign w:val="center"/>
                </w:tcPr>
                <w:p w14:paraId="15F5659C">
                  <w:pPr>
                    <w:pStyle w:val="41"/>
                    <w:ind w:firstLine="0" w:firstLineChars="0"/>
                    <w:rPr>
                      <w:rFonts w:hint="default"/>
                      <w:color w:val="auto"/>
                      <w:kern w:val="2"/>
                      <w:sz w:val="21"/>
                      <w:szCs w:val="22"/>
                      <w:highlight w:val="none"/>
                      <w:lang w:val="en-US" w:eastAsia="zh-CN" w:bidi="ar-SA"/>
                    </w:rPr>
                  </w:pPr>
                  <w:r>
                    <w:rPr>
                      <w:color w:val="auto"/>
                      <w:szCs w:val="22"/>
                      <w:highlight w:val="none"/>
                    </w:rPr>
                    <w:t>《环境空气 总烃、甲烷和非甲烷总烃的测定 直接进样-气相色谱法》（HJ 604-2017 ）</w:t>
                  </w:r>
                </w:p>
              </w:tc>
              <w:tc>
                <w:tcPr>
                  <w:tcW w:w="457" w:type="pct"/>
                  <w:noWrap w:val="0"/>
                  <w:vAlign w:val="center"/>
                </w:tcPr>
                <w:p w14:paraId="3C4E117E">
                  <w:pPr>
                    <w:pStyle w:val="41"/>
                    <w:rPr>
                      <w:color w:val="auto"/>
                      <w:highlight w:val="none"/>
                    </w:rPr>
                  </w:pPr>
                  <w:r>
                    <w:rPr>
                      <w:color w:val="auto"/>
                      <w:highlight w:val="none"/>
                    </w:rPr>
                    <w:t>0.07</w:t>
                  </w:r>
                </w:p>
                <w:p w14:paraId="272C2A03">
                  <w:pPr>
                    <w:pStyle w:val="41"/>
                    <w:ind w:firstLine="0" w:firstLineChars="0"/>
                    <w:rPr>
                      <w:rFonts w:hint="eastAsia"/>
                      <w:color w:val="auto"/>
                      <w:kern w:val="2"/>
                      <w:sz w:val="21"/>
                      <w:highlight w:val="none"/>
                      <w:lang w:val="en-US" w:eastAsia="zh-CN" w:bidi="ar-SA"/>
                    </w:rPr>
                  </w:pPr>
                  <w:r>
                    <w:rPr>
                      <w:color w:val="auto"/>
                      <w:highlight w:val="none"/>
                    </w:rPr>
                    <w:t>mg/m</w:t>
                  </w:r>
                  <w:r>
                    <w:rPr>
                      <w:color w:val="auto"/>
                      <w:highlight w:val="none"/>
                      <w:vertAlign w:val="superscript"/>
                    </w:rPr>
                    <w:t>3</w:t>
                  </w:r>
                </w:p>
              </w:tc>
              <w:tc>
                <w:tcPr>
                  <w:tcW w:w="1074" w:type="pct"/>
                  <w:noWrap w:val="0"/>
                  <w:vAlign w:val="center"/>
                </w:tcPr>
                <w:p w14:paraId="07F52FA0">
                  <w:pPr>
                    <w:pStyle w:val="41"/>
                    <w:rPr>
                      <w:color w:val="auto"/>
                      <w:szCs w:val="21"/>
                      <w:highlight w:val="none"/>
                    </w:rPr>
                  </w:pPr>
                  <w:r>
                    <w:rPr>
                      <w:color w:val="auto"/>
                      <w:szCs w:val="21"/>
                      <w:highlight w:val="none"/>
                    </w:rPr>
                    <w:t>气相色谱仪</w:t>
                  </w:r>
                </w:p>
                <w:p w14:paraId="31E241E8">
                  <w:pPr>
                    <w:pStyle w:val="41"/>
                    <w:ind w:firstLine="0" w:firstLineChars="0"/>
                    <w:rPr>
                      <w:rFonts w:hint="eastAsia"/>
                      <w:color w:val="auto"/>
                      <w:kern w:val="2"/>
                      <w:sz w:val="21"/>
                      <w:szCs w:val="21"/>
                      <w:highlight w:val="none"/>
                      <w:lang w:val="en-US" w:eastAsia="zh-CN" w:bidi="ar-SA"/>
                    </w:rPr>
                  </w:pPr>
                  <w:r>
                    <w:rPr>
                      <w:rFonts w:hint="eastAsia"/>
                      <w:color w:val="auto"/>
                      <w:szCs w:val="21"/>
                      <w:highlight w:val="none"/>
                    </w:rPr>
                    <w:t>/</w:t>
                  </w:r>
                  <w:r>
                    <w:rPr>
                      <w:color w:val="auto"/>
                      <w:szCs w:val="21"/>
                      <w:highlight w:val="none"/>
                    </w:rPr>
                    <w:t>GC9790Ⅱ</w:t>
                  </w:r>
                </w:p>
              </w:tc>
              <w:tc>
                <w:tcPr>
                  <w:tcW w:w="954" w:type="pct"/>
                  <w:noWrap w:val="0"/>
                  <w:vAlign w:val="center"/>
                </w:tcPr>
                <w:p w14:paraId="2A4F0FCC">
                  <w:pPr>
                    <w:pStyle w:val="41"/>
                    <w:ind w:firstLine="0" w:firstLineChars="0"/>
                    <w:rPr>
                      <w:rFonts w:hint="default"/>
                      <w:color w:val="auto"/>
                      <w:kern w:val="2"/>
                      <w:sz w:val="21"/>
                      <w:szCs w:val="21"/>
                      <w:highlight w:val="none"/>
                      <w:lang w:val="en-US" w:eastAsia="zh-CN" w:bidi="ar-SA"/>
                    </w:rPr>
                  </w:pPr>
                  <w:r>
                    <w:rPr>
                      <w:color w:val="auto"/>
                      <w:szCs w:val="21"/>
                      <w:highlight w:val="none"/>
                    </w:rPr>
                    <w:t>HZD-002-</w:t>
                  </w:r>
                  <w:r>
                    <w:rPr>
                      <w:rFonts w:hint="eastAsia"/>
                      <w:color w:val="auto"/>
                      <w:szCs w:val="21"/>
                      <w:highlight w:val="none"/>
                    </w:rPr>
                    <w:t>A</w:t>
                  </w:r>
                </w:p>
              </w:tc>
            </w:tr>
          </w:tbl>
          <w:p w14:paraId="31624C97">
            <w:pPr>
              <w:adjustRightInd w:val="0"/>
              <w:snapToGrid w:val="0"/>
              <w:spacing w:line="360" w:lineRule="auto"/>
              <w:jc w:val="center"/>
              <w:rPr>
                <w:rFonts w:hint="default" w:ascii="Times New Roman" w:hAnsi="Times New Roman" w:eastAsia="宋体" w:cs="Times New Roman"/>
                <w:b/>
                <w:bCs/>
                <w:color w:val="auto"/>
                <w:sz w:val="24"/>
                <w:highlight w:val="none"/>
                <w:lang w:val="en-US" w:eastAsia="zh-CN"/>
              </w:rPr>
            </w:pPr>
            <w:r>
              <w:rPr>
                <w:rFonts w:hint="default" w:ascii="宋体" w:hAnsi="宋体" w:eastAsia="宋体" w:cs="宋体"/>
                <w:b/>
                <w:bCs/>
                <w:color w:val="auto"/>
                <w:spacing w:val="-3"/>
                <w:kern w:val="2"/>
                <w:sz w:val="21"/>
                <w:szCs w:val="21"/>
                <w:highlight w:val="none"/>
                <w:lang w:val="en-US" w:eastAsia="zh-CN" w:bidi="ar-SA"/>
              </w:rPr>
              <w:t>表3-</w:t>
            </w:r>
            <w:r>
              <w:rPr>
                <w:rFonts w:hint="eastAsia" w:ascii="宋体" w:hAnsi="宋体" w:eastAsia="宋体" w:cs="宋体"/>
                <w:b/>
                <w:bCs/>
                <w:color w:val="auto"/>
                <w:spacing w:val="-3"/>
                <w:kern w:val="2"/>
                <w:sz w:val="21"/>
                <w:szCs w:val="21"/>
                <w:highlight w:val="none"/>
                <w:lang w:val="en-US" w:eastAsia="zh-CN" w:bidi="ar-SA"/>
              </w:rPr>
              <w:t>3</w:t>
            </w:r>
            <w:r>
              <w:rPr>
                <w:rFonts w:hint="default" w:ascii="宋体" w:hAnsi="宋体" w:eastAsia="宋体" w:cs="宋体"/>
                <w:b/>
                <w:bCs/>
                <w:color w:val="auto"/>
                <w:spacing w:val="-3"/>
                <w:kern w:val="2"/>
                <w:sz w:val="21"/>
                <w:szCs w:val="21"/>
                <w:highlight w:val="none"/>
                <w:lang w:val="en-US" w:eastAsia="zh-CN" w:bidi="ar-SA"/>
              </w:rPr>
              <w:t xml:space="preserve">  环境空气检测结果</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214"/>
              <w:gridCol w:w="633"/>
              <w:gridCol w:w="1074"/>
              <w:gridCol w:w="1373"/>
              <w:gridCol w:w="340"/>
              <w:gridCol w:w="1611"/>
              <w:gridCol w:w="298"/>
              <w:gridCol w:w="1479"/>
              <w:gridCol w:w="374"/>
            </w:tblGrid>
            <w:tr w14:paraId="21C7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5" w:type="pct"/>
                  <w:gridSpan w:val="3"/>
                  <w:noWrap w:val="0"/>
                  <w:vAlign w:val="center"/>
                </w:tcPr>
                <w:p w14:paraId="1F4AFCF0">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检测类别</w:t>
                  </w:r>
                </w:p>
              </w:tc>
              <w:tc>
                <w:tcPr>
                  <w:tcW w:w="1545" w:type="pct"/>
                  <w:gridSpan w:val="2"/>
                  <w:noWrap w:val="0"/>
                  <w:vAlign w:val="center"/>
                </w:tcPr>
                <w:p w14:paraId="38976030">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环境空气</w:t>
                  </w:r>
                </w:p>
              </w:tc>
              <w:tc>
                <w:tcPr>
                  <w:tcW w:w="1420" w:type="pct"/>
                  <w:gridSpan w:val="3"/>
                  <w:noWrap w:val="0"/>
                  <w:vAlign w:val="center"/>
                </w:tcPr>
                <w:p w14:paraId="7D673080">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检测性质</w:t>
                  </w:r>
                </w:p>
              </w:tc>
              <w:tc>
                <w:tcPr>
                  <w:tcW w:w="1168" w:type="pct"/>
                  <w:gridSpan w:val="2"/>
                  <w:noWrap w:val="0"/>
                  <w:vAlign w:val="center"/>
                </w:tcPr>
                <w:p w14:paraId="2FD1E67B">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现状检测</w:t>
                  </w:r>
                </w:p>
              </w:tc>
            </w:tr>
            <w:tr w14:paraId="7F13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restart"/>
                  <w:noWrap w:val="0"/>
                  <w:vAlign w:val="center"/>
                </w:tcPr>
                <w:p w14:paraId="493E6728">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检测点位</w:t>
                  </w:r>
                </w:p>
              </w:tc>
              <w:tc>
                <w:tcPr>
                  <w:tcW w:w="135" w:type="pct"/>
                  <w:vMerge w:val="restart"/>
                  <w:noWrap w:val="0"/>
                  <w:vAlign w:val="center"/>
                </w:tcPr>
                <w:p w14:paraId="3B045794">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检测</w:t>
                  </w:r>
                  <w:r>
                    <w:rPr>
                      <w:rFonts w:ascii="Times New Roman" w:hAnsi="Times New Roman" w:eastAsia="宋体" w:cs="Times New Roman"/>
                      <w:color w:val="auto"/>
                      <w:kern w:val="2"/>
                      <w:sz w:val="21"/>
                      <w:szCs w:val="21"/>
                      <w:highlight w:val="none"/>
                      <w:lang w:val="en-US" w:eastAsia="zh-CN" w:bidi="ar-SA"/>
                    </w:rPr>
                    <w:t>项目</w:t>
                  </w:r>
                </w:p>
              </w:tc>
              <w:tc>
                <w:tcPr>
                  <w:tcW w:w="399" w:type="pct"/>
                  <w:vMerge w:val="restart"/>
                  <w:noWrap w:val="0"/>
                  <w:vAlign w:val="center"/>
                </w:tcPr>
                <w:p w14:paraId="2F820081">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单位</w:t>
                  </w:r>
                </w:p>
              </w:tc>
              <w:tc>
                <w:tcPr>
                  <w:tcW w:w="678" w:type="pct"/>
                  <w:vMerge w:val="restart"/>
                  <w:noWrap w:val="0"/>
                  <w:vAlign w:val="center"/>
                </w:tcPr>
                <w:p w14:paraId="2DA99363">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检测</w:t>
                  </w:r>
                  <w:r>
                    <w:rPr>
                      <w:rFonts w:ascii="Times New Roman" w:hAnsi="Times New Roman" w:eastAsia="宋体" w:cs="Times New Roman"/>
                      <w:color w:val="auto"/>
                      <w:kern w:val="2"/>
                      <w:sz w:val="21"/>
                      <w:szCs w:val="21"/>
                      <w:highlight w:val="none"/>
                      <w:lang w:val="en-US" w:eastAsia="zh-CN" w:bidi="ar-SA"/>
                    </w:rPr>
                    <w:t>时间</w:t>
                  </w:r>
                </w:p>
              </w:tc>
              <w:tc>
                <w:tcPr>
                  <w:tcW w:w="3221" w:type="pct"/>
                  <w:gridSpan w:val="5"/>
                  <w:noWrap w:val="0"/>
                  <w:vAlign w:val="center"/>
                </w:tcPr>
                <w:p w14:paraId="42809A04">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检测日期：2025年11月1</w:t>
                  </w:r>
                  <w:r>
                    <w:rPr>
                      <w:rFonts w:hint="eastAsia" w:cs="Times New Roman"/>
                      <w:color w:val="auto"/>
                      <w:kern w:val="2"/>
                      <w:sz w:val="21"/>
                      <w:szCs w:val="21"/>
                      <w:highlight w:val="none"/>
                      <w:lang w:val="en-US" w:eastAsia="zh-CN" w:bidi="ar-SA"/>
                    </w:rPr>
                    <w:t>6</w:t>
                  </w:r>
                  <w:r>
                    <w:rPr>
                      <w:rFonts w:hint="eastAsia" w:ascii="Times New Roman" w:hAnsi="Times New Roman" w:eastAsia="宋体" w:cs="Times New Roman"/>
                      <w:color w:val="auto"/>
                      <w:kern w:val="2"/>
                      <w:sz w:val="21"/>
                      <w:szCs w:val="21"/>
                      <w:highlight w:val="none"/>
                      <w:lang w:val="en-US" w:eastAsia="zh-CN" w:bidi="ar-SA"/>
                    </w:rPr>
                    <w:t>日~2025年11月1</w:t>
                  </w:r>
                  <w:r>
                    <w:rPr>
                      <w:rFonts w:hint="eastAsia" w:cs="Times New Roman"/>
                      <w:color w:val="auto"/>
                      <w:kern w:val="2"/>
                      <w:sz w:val="21"/>
                      <w:szCs w:val="21"/>
                      <w:highlight w:val="none"/>
                      <w:lang w:val="en-US" w:eastAsia="zh-CN" w:bidi="ar-SA"/>
                    </w:rPr>
                    <w:t>8</w:t>
                  </w:r>
                  <w:r>
                    <w:rPr>
                      <w:rFonts w:hint="eastAsia" w:ascii="Times New Roman" w:hAnsi="Times New Roman" w:eastAsia="宋体" w:cs="Times New Roman"/>
                      <w:color w:val="auto"/>
                      <w:kern w:val="2"/>
                      <w:sz w:val="21"/>
                      <w:szCs w:val="21"/>
                      <w:highlight w:val="none"/>
                      <w:lang w:val="en-US" w:eastAsia="zh-CN" w:bidi="ar-SA"/>
                    </w:rPr>
                    <w:t>日</w:t>
                  </w:r>
                </w:p>
              </w:tc>
              <w:tc>
                <w:tcPr>
                  <w:tcW w:w="234" w:type="pct"/>
                  <w:vMerge w:val="restart"/>
                  <w:noWrap w:val="0"/>
                  <w:vAlign w:val="center"/>
                </w:tcPr>
                <w:p w14:paraId="35227352">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标准</w:t>
                  </w:r>
                </w:p>
                <w:p w14:paraId="58E4527F">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限值</w:t>
                  </w:r>
                </w:p>
              </w:tc>
            </w:tr>
            <w:tr w14:paraId="0FBB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1318FF25">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73A82B94">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399" w:type="pct"/>
                  <w:vMerge w:val="continue"/>
                  <w:noWrap w:val="0"/>
                  <w:vAlign w:val="center"/>
                </w:tcPr>
                <w:p w14:paraId="24240901">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678" w:type="pct"/>
                  <w:vMerge w:val="continue"/>
                  <w:noWrap w:val="0"/>
                  <w:vAlign w:val="center"/>
                </w:tcPr>
                <w:p w14:paraId="5EA00868">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3221" w:type="pct"/>
                  <w:gridSpan w:val="5"/>
                  <w:noWrap w:val="0"/>
                  <w:vAlign w:val="center"/>
                </w:tcPr>
                <w:p w14:paraId="7F01D89F">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采样日期及检测结果（2025年）</w:t>
                  </w:r>
                </w:p>
              </w:tc>
              <w:tc>
                <w:tcPr>
                  <w:tcW w:w="234" w:type="pct"/>
                  <w:vMerge w:val="continue"/>
                  <w:noWrap w:val="0"/>
                  <w:vAlign w:val="center"/>
                </w:tcPr>
                <w:p w14:paraId="415E50A6">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r>
            <w:tr w14:paraId="6C1B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7075C264">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5F733F22">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399" w:type="pct"/>
                  <w:vMerge w:val="continue"/>
                  <w:noWrap w:val="0"/>
                  <w:vAlign w:val="center"/>
                </w:tcPr>
                <w:p w14:paraId="5EA9B711">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678" w:type="pct"/>
                  <w:vMerge w:val="continue"/>
                  <w:noWrap w:val="0"/>
                  <w:vAlign w:val="center"/>
                </w:tcPr>
                <w:p w14:paraId="6E7A55A2">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1082" w:type="pct"/>
                  <w:gridSpan w:val="2"/>
                  <w:noWrap w:val="0"/>
                  <w:vAlign w:val="center"/>
                </w:tcPr>
                <w:p w14:paraId="4DDA9A2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11月15日</w:t>
                  </w:r>
                </w:p>
              </w:tc>
              <w:tc>
                <w:tcPr>
                  <w:tcW w:w="1017" w:type="pct"/>
                  <w:noWrap w:val="0"/>
                  <w:vAlign w:val="center"/>
                </w:tcPr>
                <w:p w14:paraId="76D3FC8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11月1</w:t>
                  </w:r>
                  <w:r>
                    <w:rPr>
                      <w:rFonts w:hint="eastAsia" w:ascii="Times New Roman" w:hAnsi="Times New Roman" w:eastAsia="宋体" w:cs="Times New Roman"/>
                      <w:color w:val="auto"/>
                      <w:kern w:val="2"/>
                      <w:sz w:val="21"/>
                      <w:szCs w:val="21"/>
                      <w:highlight w:val="none"/>
                      <w:lang w:val="en-US" w:eastAsia="zh-CN" w:bidi="ar-SA"/>
                    </w:rPr>
                    <w:t>6</w:t>
                  </w:r>
                  <w:r>
                    <w:rPr>
                      <w:rFonts w:hint="default" w:ascii="Times New Roman" w:hAnsi="Times New Roman" w:eastAsia="宋体" w:cs="Times New Roman"/>
                      <w:color w:val="auto"/>
                      <w:kern w:val="2"/>
                      <w:sz w:val="21"/>
                      <w:szCs w:val="21"/>
                      <w:highlight w:val="none"/>
                      <w:lang w:val="en-US" w:eastAsia="zh-CN" w:bidi="ar-SA"/>
                    </w:rPr>
                    <w:t>日</w:t>
                  </w:r>
                </w:p>
              </w:tc>
              <w:tc>
                <w:tcPr>
                  <w:tcW w:w="1120" w:type="pct"/>
                  <w:gridSpan w:val="2"/>
                  <w:noWrap w:val="0"/>
                  <w:vAlign w:val="center"/>
                </w:tcPr>
                <w:p w14:paraId="6E4CBC02">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11月17日</w:t>
                  </w:r>
                </w:p>
              </w:tc>
              <w:tc>
                <w:tcPr>
                  <w:tcW w:w="234" w:type="pct"/>
                  <w:vMerge w:val="continue"/>
                  <w:noWrap w:val="0"/>
                  <w:vAlign w:val="center"/>
                </w:tcPr>
                <w:p w14:paraId="3CF9D9E1">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r>
            <w:tr w14:paraId="37E6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restart"/>
                  <w:noWrap w:val="0"/>
                  <w:vAlign w:val="center"/>
                </w:tcPr>
                <w:p w14:paraId="3CA3B293">
                  <w:pPr>
                    <w:widowControl w:val="0"/>
                    <w:spacing w:line="240" w:lineRule="auto"/>
                    <w:ind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下风向○1</w:t>
                  </w:r>
                </w:p>
              </w:tc>
              <w:tc>
                <w:tcPr>
                  <w:tcW w:w="135" w:type="pct"/>
                  <w:vMerge w:val="restart"/>
                  <w:noWrap w:val="0"/>
                  <w:vAlign w:val="center"/>
                </w:tcPr>
                <w:p w14:paraId="15ED84E8">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非甲烷总烃</w:t>
                  </w:r>
                </w:p>
              </w:tc>
              <w:tc>
                <w:tcPr>
                  <w:tcW w:w="399" w:type="pct"/>
                  <w:vMerge w:val="restart"/>
                  <w:noWrap w:val="0"/>
                  <w:vAlign w:val="center"/>
                </w:tcPr>
                <w:p w14:paraId="109250E4">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w:t>
                  </w:r>
                  <w:r>
                    <w:rPr>
                      <w:rFonts w:ascii="Times New Roman" w:hAnsi="Times New Roman" w:eastAsia="宋体" w:cs="Times New Roman"/>
                      <w:color w:val="auto"/>
                      <w:kern w:val="2"/>
                      <w:sz w:val="21"/>
                      <w:highlight w:val="none"/>
                      <w:lang w:val="en-US" w:eastAsia="zh-CN" w:bidi="ar-SA"/>
                    </w:rPr>
                    <w:t>g/m</w:t>
                  </w:r>
                  <w:r>
                    <w:rPr>
                      <w:rFonts w:ascii="Times New Roman" w:hAnsi="Times New Roman" w:eastAsia="宋体" w:cs="Times New Roman"/>
                      <w:color w:val="auto"/>
                      <w:kern w:val="2"/>
                      <w:sz w:val="21"/>
                      <w:highlight w:val="none"/>
                      <w:vertAlign w:val="superscript"/>
                      <w:lang w:val="en-US" w:eastAsia="zh-CN" w:bidi="ar-SA"/>
                    </w:rPr>
                    <w:t>3</w:t>
                  </w:r>
                </w:p>
              </w:tc>
              <w:tc>
                <w:tcPr>
                  <w:tcW w:w="678" w:type="pct"/>
                  <w:noWrap w:val="0"/>
                  <w:vAlign w:val="center"/>
                </w:tcPr>
                <w:p w14:paraId="16502280">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样品编号</w:t>
                  </w:r>
                </w:p>
              </w:tc>
              <w:tc>
                <w:tcPr>
                  <w:tcW w:w="1082" w:type="pct"/>
                  <w:gridSpan w:val="2"/>
                  <w:noWrap w:val="0"/>
                  <w:vAlign w:val="center"/>
                </w:tcPr>
                <w:p w14:paraId="432C08E5">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25HCFF-1-QH-1-1-1</w:t>
                  </w:r>
                </w:p>
              </w:tc>
              <w:tc>
                <w:tcPr>
                  <w:tcW w:w="1017" w:type="pct"/>
                  <w:noWrap w:val="0"/>
                  <w:vAlign w:val="center"/>
                </w:tcPr>
                <w:p w14:paraId="63FD3B15">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25HCFF-1-QH-1-2-1</w:t>
                  </w:r>
                </w:p>
              </w:tc>
              <w:tc>
                <w:tcPr>
                  <w:tcW w:w="1120" w:type="pct"/>
                  <w:gridSpan w:val="2"/>
                  <w:noWrap w:val="0"/>
                  <w:vAlign w:val="center"/>
                </w:tcPr>
                <w:p w14:paraId="46DCD0A8">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25HCFF-1-QH-1-3-1</w:t>
                  </w:r>
                </w:p>
              </w:tc>
              <w:tc>
                <w:tcPr>
                  <w:tcW w:w="234" w:type="pct"/>
                  <w:vMerge w:val="restart"/>
                  <w:noWrap w:val="0"/>
                  <w:vAlign w:val="center"/>
                </w:tcPr>
                <w:p w14:paraId="6C6227D9">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2.0</w:t>
                  </w:r>
                </w:p>
              </w:tc>
            </w:tr>
            <w:tr w14:paraId="6696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00898150">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2FF22695">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c>
                <w:tcPr>
                  <w:tcW w:w="399" w:type="pct"/>
                  <w:vMerge w:val="continue"/>
                  <w:noWrap w:val="0"/>
                  <w:vAlign w:val="center"/>
                </w:tcPr>
                <w:p w14:paraId="3955222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p>
              </w:tc>
              <w:tc>
                <w:tcPr>
                  <w:tcW w:w="678" w:type="pct"/>
                  <w:noWrap w:val="0"/>
                  <w:vAlign w:val="center"/>
                </w:tcPr>
                <w:p w14:paraId="0C38E9AE">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02:00-03:00</w:t>
                  </w:r>
                </w:p>
              </w:tc>
              <w:tc>
                <w:tcPr>
                  <w:tcW w:w="1082" w:type="pct"/>
                  <w:gridSpan w:val="2"/>
                  <w:noWrap w:val="0"/>
                  <w:vAlign w:val="center"/>
                </w:tcPr>
                <w:p w14:paraId="7983630E">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0.25</w:t>
                  </w:r>
                </w:p>
              </w:tc>
              <w:tc>
                <w:tcPr>
                  <w:tcW w:w="1017" w:type="pct"/>
                  <w:noWrap w:val="0"/>
                  <w:vAlign w:val="center"/>
                </w:tcPr>
                <w:p w14:paraId="695C3335">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0.29</w:t>
                  </w:r>
                </w:p>
              </w:tc>
              <w:tc>
                <w:tcPr>
                  <w:tcW w:w="1120" w:type="pct"/>
                  <w:gridSpan w:val="2"/>
                  <w:noWrap w:val="0"/>
                  <w:vAlign w:val="center"/>
                </w:tcPr>
                <w:p w14:paraId="6ED9757E">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0.19</w:t>
                  </w:r>
                </w:p>
              </w:tc>
              <w:tc>
                <w:tcPr>
                  <w:tcW w:w="234" w:type="pct"/>
                  <w:vMerge w:val="continue"/>
                  <w:noWrap w:val="0"/>
                  <w:vAlign w:val="center"/>
                </w:tcPr>
                <w:p w14:paraId="4D3B6DD6">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r>
            <w:tr w14:paraId="4CBB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12BEB1A9">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50A17C45">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c>
                <w:tcPr>
                  <w:tcW w:w="399" w:type="pct"/>
                  <w:vMerge w:val="continue"/>
                  <w:noWrap w:val="0"/>
                  <w:vAlign w:val="center"/>
                </w:tcPr>
                <w:p w14:paraId="41BD824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p>
              </w:tc>
              <w:tc>
                <w:tcPr>
                  <w:tcW w:w="678" w:type="pct"/>
                  <w:noWrap w:val="0"/>
                  <w:vAlign w:val="center"/>
                </w:tcPr>
                <w:p w14:paraId="14A90CA6">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样品编号</w:t>
                  </w:r>
                </w:p>
              </w:tc>
              <w:tc>
                <w:tcPr>
                  <w:tcW w:w="1082" w:type="pct"/>
                  <w:gridSpan w:val="2"/>
                  <w:noWrap w:val="0"/>
                  <w:vAlign w:val="center"/>
                </w:tcPr>
                <w:p w14:paraId="58D1FAF1">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25HCFF-1-QH-1-1-</w:t>
                  </w:r>
                  <w:r>
                    <w:rPr>
                      <w:rFonts w:hint="eastAsia" w:ascii="Times New Roman" w:hAnsi="Times New Roman" w:eastAsia="宋体" w:cs="Times New Roman"/>
                      <w:color w:val="auto"/>
                      <w:kern w:val="2"/>
                      <w:sz w:val="21"/>
                      <w:highlight w:val="none"/>
                      <w:lang w:val="en-US" w:eastAsia="zh-CN" w:bidi="ar-SA"/>
                    </w:rPr>
                    <w:t>2</w:t>
                  </w:r>
                </w:p>
              </w:tc>
              <w:tc>
                <w:tcPr>
                  <w:tcW w:w="1017" w:type="pct"/>
                  <w:noWrap w:val="0"/>
                  <w:vAlign w:val="center"/>
                </w:tcPr>
                <w:p w14:paraId="297C1B03">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25HCFF-1-QH-1-2-</w:t>
                  </w:r>
                  <w:r>
                    <w:rPr>
                      <w:rFonts w:hint="eastAsia" w:ascii="Times New Roman" w:hAnsi="Times New Roman" w:eastAsia="宋体" w:cs="Times New Roman"/>
                      <w:color w:val="auto"/>
                      <w:kern w:val="2"/>
                      <w:sz w:val="21"/>
                      <w:highlight w:val="none"/>
                      <w:lang w:val="en-US" w:eastAsia="zh-CN" w:bidi="ar-SA"/>
                    </w:rPr>
                    <w:t>2</w:t>
                  </w:r>
                </w:p>
              </w:tc>
              <w:tc>
                <w:tcPr>
                  <w:tcW w:w="1120" w:type="pct"/>
                  <w:gridSpan w:val="2"/>
                  <w:noWrap w:val="0"/>
                  <w:vAlign w:val="center"/>
                </w:tcPr>
                <w:p w14:paraId="03DD62A3">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25HCFF-1-QH-1-3-2</w:t>
                  </w:r>
                </w:p>
              </w:tc>
              <w:tc>
                <w:tcPr>
                  <w:tcW w:w="234" w:type="pct"/>
                  <w:vMerge w:val="continue"/>
                  <w:noWrap w:val="0"/>
                  <w:vAlign w:val="center"/>
                </w:tcPr>
                <w:p w14:paraId="6B8471D2">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r>
            <w:tr w14:paraId="3C64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18A5E734">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2018B8A2">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c>
                <w:tcPr>
                  <w:tcW w:w="399" w:type="pct"/>
                  <w:vMerge w:val="continue"/>
                  <w:noWrap w:val="0"/>
                  <w:vAlign w:val="center"/>
                </w:tcPr>
                <w:p w14:paraId="149388EF">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p>
              </w:tc>
              <w:tc>
                <w:tcPr>
                  <w:tcW w:w="678" w:type="pct"/>
                  <w:noWrap w:val="0"/>
                  <w:vAlign w:val="center"/>
                </w:tcPr>
                <w:p w14:paraId="2C8FD8D0">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08:00-09:00</w:t>
                  </w:r>
                </w:p>
              </w:tc>
              <w:tc>
                <w:tcPr>
                  <w:tcW w:w="1082" w:type="pct"/>
                  <w:gridSpan w:val="2"/>
                  <w:noWrap w:val="0"/>
                  <w:vAlign w:val="center"/>
                </w:tcPr>
                <w:p w14:paraId="7571B981">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0.35</w:t>
                  </w:r>
                </w:p>
              </w:tc>
              <w:tc>
                <w:tcPr>
                  <w:tcW w:w="1017" w:type="pct"/>
                  <w:noWrap w:val="0"/>
                  <w:vAlign w:val="center"/>
                </w:tcPr>
                <w:p w14:paraId="34487365">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0.14</w:t>
                  </w:r>
                </w:p>
              </w:tc>
              <w:tc>
                <w:tcPr>
                  <w:tcW w:w="1120" w:type="pct"/>
                  <w:gridSpan w:val="2"/>
                  <w:noWrap w:val="0"/>
                  <w:vAlign w:val="center"/>
                </w:tcPr>
                <w:p w14:paraId="5DCFF2B6">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0.27</w:t>
                  </w:r>
                </w:p>
              </w:tc>
              <w:tc>
                <w:tcPr>
                  <w:tcW w:w="234" w:type="pct"/>
                  <w:vMerge w:val="continue"/>
                  <w:noWrap w:val="0"/>
                  <w:vAlign w:val="center"/>
                </w:tcPr>
                <w:p w14:paraId="64DA4C64">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r>
            <w:tr w14:paraId="0A2A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18CCF1DC">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74D1DF0F">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c>
                <w:tcPr>
                  <w:tcW w:w="399" w:type="pct"/>
                  <w:vMerge w:val="continue"/>
                  <w:noWrap w:val="0"/>
                  <w:vAlign w:val="center"/>
                </w:tcPr>
                <w:p w14:paraId="3E772F4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p>
              </w:tc>
              <w:tc>
                <w:tcPr>
                  <w:tcW w:w="678" w:type="pct"/>
                  <w:noWrap w:val="0"/>
                  <w:vAlign w:val="center"/>
                </w:tcPr>
                <w:p w14:paraId="3AC9FDC1">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样品编号</w:t>
                  </w:r>
                </w:p>
              </w:tc>
              <w:tc>
                <w:tcPr>
                  <w:tcW w:w="1082" w:type="pct"/>
                  <w:gridSpan w:val="2"/>
                  <w:noWrap w:val="0"/>
                  <w:vAlign w:val="center"/>
                </w:tcPr>
                <w:p w14:paraId="7D524594">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25HCFF-1-QH-1-1-</w:t>
                  </w:r>
                  <w:r>
                    <w:rPr>
                      <w:rFonts w:hint="eastAsia" w:ascii="Times New Roman" w:hAnsi="Times New Roman" w:eastAsia="宋体" w:cs="Times New Roman"/>
                      <w:color w:val="auto"/>
                      <w:kern w:val="2"/>
                      <w:sz w:val="21"/>
                      <w:highlight w:val="none"/>
                      <w:lang w:val="en-US" w:eastAsia="zh-CN" w:bidi="ar-SA"/>
                    </w:rPr>
                    <w:t>3</w:t>
                  </w:r>
                </w:p>
              </w:tc>
              <w:tc>
                <w:tcPr>
                  <w:tcW w:w="1017" w:type="pct"/>
                  <w:noWrap w:val="0"/>
                  <w:vAlign w:val="center"/>
                </w:tcPr>
                <w:p w14:paraId="481A234E">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25HCFF-1-QH-1-2-</w:t>
                  </w:r>
                  <w:r>
                    <w:rPr>
                      <w:rFonts w:hint="eastAsia" w:ascii="Times New Roman" w:hAnsi="Times New Roman" w:eastAsia="宋体" w:cs="Times New Roman"/>
                      <w:color w:val="auto"/>
                      <w:kern w:val="2"/>
                      <w:sz w:val="21"/>
                      <w:highlight w:val="none"/>
                      <w:lang w:val="en-US" w:eastAsia="zh-CN" w:bidi="ar-SA"/>
                    </w:rPr>
                    <w:t>3</w:t>
                  </w:r>
                </w:p>
              </w:tc>
              <w:tc>
                <w:tcPr>
                  <w:tcW w:w="1120" w:type="pct"/>
                  <w:gridSpan w:val="2"/>
                  <w:noWrap w:val="0"/>
                  <w:vAlign w:val="center"/>
                </w:tcPr>
                <w:p w14:paraId="3DB5F56C">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25HCFF-1-QH-1-3-3</w:t>
                  </w:r>
                </w:p>
              </w:tc>
              <w:tc>
                <w:tcPr>
                  <w:tcW w:w="234" w:type="pct"/>
                  <w:vMerge w:val="continue"/>
                  <w:noWrap w:val="0"/>
                  <w:vAlign w:val="center"/>
                </w:tcPr>
                <w:p w14:paraId="3EE55399">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r>
            <w:tr w14:paraId="3DF5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6765B6DD">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4888C55E">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c>
                <w:tcPr>
                  <w:tcW w:w="399" w:type="pct"/>
                  <w:vMerge w:val="continue"/>
                  <w:noWrap w:val="0"/>
                  <w:vAlign w:val="center"/>
                </w:tcPr>
                <w:p w14:paraId="3139509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p>
              </w:tc>
              <w:tc>
                <w:tcPr>
                  <w:tcW w:w="678" w:type="pct"/>
                  <w:noWrap w:val="0"/>
                  <w:vAlign w:val="center"/>
                </w:tcPr>
                <w:p w14:paraId="5C3D8698">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14:00-15:00</w:t>
                  </w:r>
                </w:p>
              </w:tc>
              <w:tc>
                <w:tcPr>
                  <w:tcW w:w="1082" w:type="pct"/>
                  <w:gridSpan w:val="2"/>
                  <w:noWrap w:val="0"/>
                  <w:vAlign w:val="center"/>
                </w:tcPr>
                <w:p w14:paraId="54C7F378">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0.31</w:t>
                  </w:r>
                </w:p>
              </w:tc>
              <w:tc>
                <w:tcPr>
                  <w:tcW w:w="1017" w:type="pct"/>
                  <w:noWrap w:val="0"/>
                  <w:vAlign w:val="center"/>
                </w:tcPr>
                <w:p w14:paraId="37718132">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0.22</w:t>
                  </w:r>
                </w:p>
              </w:tc>
              <w:tc>
                <w:tcPr>
                  <w:tcW w:w="1120" w:type="pct"/>
                  <w:gridSpan w:val="2"/>
                  <w:noWrap w:val="0"/>
                  <w:vAlign w:val="center"/>
                </w:tcPr>
                <w:p w14:paraId="1E05F78A">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0.21</w:t>
                  </w:r>
                </w:p>
              </w:tc>
              <w:tc>
                <w:tcPr>
                  <w:tcW w:w="234" w:type="pct"/>
                  <w:vMerge w:val="continue"/>
                  <w:noWrap w:val="0"/>
                  <w:vAlign w:val="center"/>
                </w:tcPr>
                <w:p w14:paraId="7767D4E5">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r>
            <w:tr w14:paraId="5D8E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4ECE2E65">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2B3466E4">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c>
                <w:tcPr>
                  <w:tcW w:w="399" w:type="pct"/>
                  <w:vMerge w:val="continue"/>
                  <w:noWrap w:val="0"/>
                  <w:vAlign w:val="center"/>
                </w:tcPr>
                <w:p w14:paraId="33E1BE5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p>
              </w:tc>
              <w:tc>
                <w:tcPr>
                  <w:tcW w:w="678" w:type="pct"/>
                  <w:noWrap w:val="0"/>
                  <w:vAlign w:val="center"/>
                </w:tcPr>
                <w:p w14:paraId="373B2B4E">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样品编号</w:t>
                  </w:r>
                </w:p>
              </w:tc>
              <w:tc>
                <w:tcPr>
                  <w:tcW w:w="1082" w:type="pct"/>
                  <w:gridSpan w:val="2"/>
                  <w:noWrap w:val="0"/>
                  <w:vAlign w:val="center"/>
                </w:tcPr>
                <w:p w14:paraId="4FA2BFCC">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25HCFF-1-QH-1-1-</w:t>
                  </w:r>
                  <w:r>
                    <w:rPr>
                      <w:rFonts w:hint="eastAsia" w:ascii="Times New Roman" w:hAnsi="Times New Roman" w:eastAsia="宋体" w:cs="Times New Roman"/>
                      <w:color w:val="auto"/>
                      <w:kern w:val="2"/>
                      <w:sz w:val="21"/>
                      <w:highlight w:val="none"/>
                      <w:lang w:val="en-US" w:eastAsia="zh-CN" w:bidi="ar-SA"/>
                    </w:rPr>
                    <w:t>4</w:t>
                  </w:r>
                </w:p>
              </w:tc>
              <w:tc>
                <w:tcPr>
                  <w:tcW w:w="1017" w:type="pct"/>
                  <w:noWrap w:val="0"/>
                  <w:vAlign w:val="center"/>
                </w:tcPr>
                <w:p w14:paraId="6A644CB8">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25HCFF-1-QH-1-2-</w:t>
                  </w:r>
                  <w:r>
                    <w:rPr>
                      <w:rFonts w:hint="eastAsia" w:ascii="Times New Roman" w:hAnsi="Times New Roman" w:eastAsia="宋体" w:cs="Times New Roman"/>
                      <w:color w:val="auto"/>
                      <w:kern w:val="2"/>
                      <w:sz w:val="21"/>
                      <w:highlight w:val="none"/>
                      <w:lang w:val="en-US" w:eastAsia="zh-CN" w:bidi="ar-SA"/>
                    </w:rPr>
                    <w:t>4</w:t>
                  </w:r>
                </w:p>
              </w:tc>
              <w:tc>
                <w:tcPr>
                  <w:tcW w:w="1120" w:type="pct"/>
                  <w:gridSpan w:val="2"/>
                  <w:noWrap w:val="0"/>
                  <w:vAlign w:val="center"/>
                </w:tcPr>
                <w:p w14:paraId="72625319">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25HCFF-1-QH-1-3-4</w:t>
                  </w:r>
                </w:p>
              </w:tc>
              <w:tc>
                <w:tcPr>
                  <w:tcW w:w="234" w:type="pct"/>
                  <w:vMerge w:val="continue"/>
                  <w:noWrap w:val="0"/>
                  <w:vAlign w:val="center"/>
                </w:tcPr>
                <w:p w14:paraId="24A9009A">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r>
            <w:tr w14:paraId="00DA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vAlign w:val="center"/>
                </w:tcPr>
                <w:p w14:paraId="4B2B5A6C">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135" w:type="pct"/>
                  <w:vMerge w:val="continue"/>
                  <w:noWrap w:val="0"/>
                  <w:vAlign w:val="center"/>
                </w:tcPr>
                <w:p w14:paraId="691C6FB9">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c>
                <w:tcPr>
                  <w:tcW w:w="399" w:type="pct"/>
                  <w:vMerge w:val="continue"/>
                  <w:noWrap w:val="0"/>
                  <w:vAlign w:val="center"/>
                </w:tcPr>
                <w:p w14:paraId="62725BE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p>
              </w:tc>
              <w:tc>
                <w:tcPr>
                  <w:tcW w:w="678" w:type="pct"/>
                  <w:noWrap w:val="0"/>
                  <w:vAlign w:val="center"/>
                </w:tcPr>
                <w:p w14:paraId="5F2D37A5">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20:00-21:00</w:t>
                  </w:r>
                </w:p>
              </w:tc>
              <w:tc>
                <w:tcPr>
                  <w:tcW w:w="1082" w:type="pct"/>
                  <w:gridSpan w:val="2"/>
                  <w:noWrap w:val="0"/>
                  <w:vAlign w:val="center"/>
                </w:tcPr>
                <w:p w14:paraId="70AEAF6D">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0.22</w:t>
                  </w:r>
                </w:p>
              </w:tc>
              <w:tc>
                <w:tcPr>
                  <w:tcW w:w="1017" w:type="pct"/>
                  <w:noWrap w:val="0"/>
                  <w:vAlign w:val="center"/>
                </w:tcPr>
                <w:p w14:paraId="742E6DBC">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0.31</w:t>
                  </w:r>
                </w:p>
              </w:tc>
              <w:tc>
                <w:tcPr>
                  <w:tcW w:w="1120" w:type="pct"/>
                  <w:gridSpan w:val="2"/>
                  <w:noWrap w:val="0"/>
                  <w:vAlign w:val="center"/>
                </w:tcPr>
                <w:p w14:paraId="2137DAB9">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0.23</w:t>
                  </w:r>
                </w:p>
              </w:tc>
              <w:tc>
                <w:tcPr>
                  <w:tcW w:w="234" w:type="pct"/>
                  <w:vMerge w:val="continue"/>
                  <w:noWrap w:val="0"/>
                  <w:vAlign w:val="center"/>
                </w:tcPr>
                <w:p w14:paraId="3B38773E">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p>
              </w:tc>
            </w:tr>
            <w:tr w14:paraId="6D6E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noWrap w:val="0"/>
                  <w:vAlign w:val="center"/>
                </w:tcPr>
                <w:p w14:paraId="27D8CBE3">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w:t>
                  </w:r>
                </w:p>
              </w:tc>
              <w:tc>
                <w:tcPr>
                  <w:tcW w:w="4669" w:type="pct"/>
                  <w:gridSpan w:val="9"/>
                  <w:noWrap w:val="0"/>
                  <w:vAlign w:val="center"/>
                </w:tcPr>
                <w:p w14:paraId="74BE9AB2">
                  <w:pPr>
                    <w:widowControl w:val="0"/>
                    <w:numPr>
                      <w:ilvl w:val="0"/>
                      <w:numId w:val="0"/>
                    </w:numPr>
                    <w:spacing w:line="240" w:lineRule="auto"/>
                    <w:jc w:val="left"/>
                    <w:rPr>
                      <w:rFonts w:hint="default" w:ascii="Times New Roman" w:hAnsi="Times New Roman" w:eastAsia="宋体" w:cs="Times New Roman"/>
                      <w:color w:val="auto"/>
                      <w:w w:val="100"/>
                      <w:kern w:val="2"/>
                      <w:sz w:val="21"/>
                      <w:szCs w:val="21"/>
                      <w:highlight w:val="none"/>
                      <w:vertAlign w:val="superscript"/>
                      <w:lang w:val="en-US" w:eastAsia="zh-CN" w:bidi="ar-SA"/>
                    </w:rPr>
                  </w:pPr>
                  <w:r>
                    <w:rPr>
                      <w:rFonts w:hint="eastAsia" w:ascii="Times New Roman" w:hAnsi="Times New Roman" w:eastAsia="宋体" w:cs="Times New Roman"/>
                      <w:color w:val="auto"/>
                      <w:kern w:val="2"/>
                      <w:sz w:val="21"/>
                      <w:szCs w:val="21"/>
                      <w:highlight w:val="none"/>
                      <w:lang w:val="en-US" w:eastAsia="zh-CN" w:bidi="ar-SA"/>
                    </w:rPr>
                    <w:t>1.检测点位和</w:t>
                  </w:r>
                  <w:r>
                    <w:rPr>
                      <w:rFonts w:hint="default" w:ascii="Times New Roman" w:hAnsi="Times New Roman" w:eastAsia="宋体" w:cs="Times New Roman"/>
                      <w:color w:val="auto"/>
                      <w:kern w:val="2"/>
                      <w:sz w:val="21"/>
                      <w:szCs w:val="21"/>
                      <w:highlight w:val="none"/>
                      <w:lang w:val="en-US" w:eastAsia="zh-CN" w:bidi="ar-SA"/>
                    </w:rPr>
                    <w:t>执行标准由委托方提供</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w w:val="100"/>
                      <w:kern w:val="2"/>
                      <w:sz w:val="21"/>
                      <w:szCs w:val="21"/>
                      <w:highlight w:val="none"/>
                      <w:lang w:val="en-US" w:eastAsia="zh-CN" w:bidi="ar-SA"/>
                    </w:rPr>
                    <w:t>执行《</w:t>
                  </w:r>
                  <w:r>
                    <w:rPr>
                      <w:rFonts w:hint="eastAsia" w:ascii="Times New Roman" w:hAnsi="Times New Roman" w:eastAsia="宋体" w:cs="Times New Roman"/>
                      <w:color w:val="auto"/>
                      <w:w w:val="100"/>
                      <w:kern w:val="2"/>
                      <w:sz w:val="21"/>
                      <w:szCs w:val="21"/>
                      <w:highlight w:val="none"/>
                      <w:lang w:val="en-US" w:eastAsia="zh-CN" w:bidi="ar-SA"/>
                    </w:rPr>
                    <w:t>环境空气质量 非甲烷总烃限值</w:t>
                  </w:r>
                  <w:r>
                    <w:rPr>
                      <w:rFonts w:hint="default" w:ascii="Times New Roman" w:hAnsi="Times New Roman" w:eastAsia="宋体" w:cs="Times New Roman"/>
                      <w:color w:val="auto"/>
                      <w:w w:val="100"/>
                      <w:kern w:val="2"/>
                      <w:sz w:val="21"/>
                      <w:szCs w:val="21"/>
                      <w:highlight w:val="none"/>
                      <w:lang w:val="en-US" w:eastAsia="zh-CN" w:bidi="ar-SA"/>
                    </w:rPr>
                    <w:t>》</w:t>
                  </w:r>
                  <w:r>
                    <w:rPr>
                      <w:rFonts w:hint="eastAsia" w:ascii="Times New Roman" w:hAnsi="Times New Roman" w:eastAsia="宋体" w:cs="Times New Roman"/>
                      <w:color w:val="auto"/>
                      <w:w w:val="100"/>
                      <w:kern w:val="2"/>
                      <w:sz w:val="21"/>
                      <w:szCs w:val="21"/>
                      <w:highlight w:val="none"/>
                      <w:lang w:val="en-US" w:eastAsia="zh-CN" w:bidi="ar-SA"/>
                    </w:rPr>
                    <w:t>（DB 13/1577-2012）二级标准限值；</w:t>
                  </w:r>
                </w:p>
                <w:p w14:paraId="062336F3">
                  <w:pPr>
                    <w:widowControl w:val="0"/>
                    <w:numPr>
                      <w:ilvl w:val="0"/>
                      <w:numId w:val="0"/>
                    </w:numPr>
                    <w:spacing w:line="240" w:lineRule="auto"/>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r>
                    <w:rPr>
                      <w:rFonts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E</w:t>
                  </w:r>
                  <w:r>
                    <w:rPr>
                      <w:rFonts w:hint="default" w:ascii="Times New Roman" w:hAnsi="Times New Roman" w:eastAsia="宋体" w:cs="Times New Roman"/>
                      <w:color w:val="auto"/>
                      <w:kern w:val="2"/>
                      <w:sz w:val="21"/>
                      <w:szCs w:val="21"/>
                      <w:highlight w:val="none"/>
                      <w:lang w:val="en-US" w:eastAsia="zh-CN" w:bidi="ar-SA"/>
                    </w:rPr>
                    <w:t>110°16′35.67″,</w:t>
                  </w:r>
                  <w:r>
                    <w:rPr>
                      <w:rFonts w:hint="eastAsia" w:ascii="Times New Roman" w:hAnsi="Times New Roman" w:eastAsia="宋体" w:cs="Times New Roman"/>
                      <w:color w:val="auto"/>
                      <w:kern w:val="2"/>
                      <w:sz w:val="21"/>
                      <w:szCs w:val="21"/>
                      <w:highlight w:val="none"/>
                      <w:lang w:val="en-US" w:eastAsia="zh-CN" w:bidi="ar-SA"/>
                    </w:rPr>
                    <w:t>N</w:t>
                  </w:r>
                  <w:r>
                    <w:rPr>
                      <w:rFonts w:hint="default" w:ascii="Times New Roman" w:hAnsi="Times New Roman" w:eastAsia="宋体" w:cs="Times New Roman"/>
                      <w:color w:val="auto"/>
                      <w:kern w:val="2"/>
                      <w:sz w:val="21"/>
                      <w:szCs w:val="21"/>
                      <w:highlight w:val="none"/>
                      <w:lang w:val="en-US" w:eastAsia="zh-CN" w:bidi="ar-SA"/>
                    </w:rPr>
                    <w:t>39°35′15.57″</w:t>
                  </w:r>
                  <w:r>
                    <w:rPr>
                      <w:rFonts w:hint="eastAsia" w:ascii="Times New Roman" w:hAnsi="Times New Roman" w:eastAsia="宋体" w:cs="Times New Roman"/>
                      <w:color w:val="auto"/>
                      <w:kern w:val="2"/>
                      <w:sz w:val="21"/>
                      <w:szCs w:val="22"/>
                      <w:highlight w:val="none"/>
                      <w:lang w:val="en-US" w:eastAsia="zh-CN" w:bidi="ar-SA"/>
                    </w:rPr>
                    <w:t>。</w:t>
                  </w:r>
                </w:p>
              </w:tc>
            </w:tr>
          </w:tbl>
          <w:p w14:paraId="0F83986E">
            <w:pPr>
              <w:pStyle w:val="39"/>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auto"/>
                <w:sz w:val="24"/>
                <w:szCs w:val="24"/>
                <w:highlight w:val="none"/>
                <w:lang w:val="en-US" w:eastAsia="zh-CN" w:bidi="zh-CN"/>
              </w:rPr>
            </w:pPr>
            <w:r>
              <w:rPr>
                <w:rFonts w:hint="default" w:ascii="Times New Roman" w:hAnsi="Times New Roman" w:eastAsia="宋体" w:cs="Times New Roman"/>
                <w:color w:val="auto"/>
                <w:sz w:val="24"/>
                <w:szCs w:val="24"/>
                <w:highlight w:val="none"/>
                <w:lang w:val="en-US"/>
              </w:rPr>
              <w:t>由</w:t>
            </w:r>
            <w:r>
              <w:rPr>
                <w:rFonts w:hint="default" w:ascii="Times New Roman" w:hAnsi="Times New Roman" w:cs="Times New Roman"/>
                <w:color w:val="auto"/>
                <w:sz w:val="24"/>
                <w:szCs w:val="24"/>
                <w:highlight w:val="none"/>
                <w:lang w:val="en-US" w:eastAsia="zh-CN"/>
              </w:rPr>
              <w:t>检测</w:t>
            </w:r>
            <w:r>
              <w:rPr>
                <w:rFonts w:hint="default" w:ascii="Times New Roman" w:hAnsi="Times New Roman" w:eastAsia="宋体" w:cs="Times New Roman"/>
                <w:color w:val="auto"/>
                <w:sz w:val="24"/>
                <w:szCs w:val="24"/>
                <w:highlight w:val="none"/>
                <w:lang w:val="en-US"/>
              </w:rPr>
              <w:t>结果可知，</w:t>
            </w:r>
            <w:r>
              <w:rPr>
                <w:rFonts w:hint="default" w:ascii="Times New Roman" w:hAnsi="Times New Roman" w:cs="Times New Roman"/>
                <w:color w:val="auto"/>
                <w:sz w:val="24"/>
                <w:szCs w:val="24"/>
                <w:highlight w:val="none"/>
                <w:lang w:val="en-US" w:eastAsia="zh-CN"/>
              </w:rPr>
              <w:t>检测</w:t>
            </w:r>
            <w:r>
              <w:rPr>
                <w:rFonts w:hint="default" w:ascii="Times New Roman" w:hAnsi="Times New Roman" w:eastAsia="宋体" w:cs="Times New Roman"/>
                <w:color w:val="auto"/>
                <w:sz w:val="24"/>
                <w:szCs w:val="24"/>
                <w:highlight w:val="none"/>
                <w:lang w:val="en-US"/>
              </w:rPr>
              <w:t>点位</w:t>
            </w:r>
            <w:r>
              <w:rPr>
                <w:rFonts w:hint="default" w:ascii="Times New Roman" w:hAnsi="Times New Roman" w:eastAsia="宋体" w:cs="Times New Roman"/>
                <w:color w:val="auto"/>
                <w:sz w:val="24"/>
                <w:szCs w:val="24"/>
                <w:highlight w:val="none"/>
                <w:lang w:val="en-US" w:eastAsia="zh-CN"/>
              </w:rPr>
              <w:t>非甲烷总烃</w:t>
            </w:r>
            <w:r>
              <w:rPr>
                <w:rFonts w:hint="default" w:ascii="Times New Roman" w:hAnsi="Times New Roman" w:eastAsia="宋体" w:cs="Times New Roman"/>
                <w:color w:val="auto"/>
                <w:sz w:val="24"/>
                <w:szCs w:val="24"/>
                <w:highlight w:val="none"/>
                <w:lang w:val="en-US"/>
              </w:rPr>
              <w:t>污染物污染指数均小于1</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bidi="zh-CN"/>
              </w:rPr>
              <w:t>本项目所在区域环境空气质量因子非甲烷总烃满足《环境空气质量 非甲烷总烃限值》（DB13/1577—2012）限值。</w:t>
            </w:r>
          </w:p>
          <w:p w14:paraId="33C50475">
            <w:pPr>
              <w:keepNext w:val="0"/>
              <w:keepLines w:val="0"/>
              <w:pageBreakBefore w:val="0"/>
              <w:widowControl w:val="0"/>
              <w:numPr>
                <w:ilvl w:val="0"/>
                <w:numId w:val="6"/>
              </w:numPr>
              <w:kinsoku/>
              <w:wordWrap/>
              <w:overflowPunct/>
              <w:topLinePunct w:val="0"/>
              <w:autoSpaceDE/>
              <w:autoSpaceDN/>
              <w:bidi w:val="0"/>
              <w:adjustRightInd/>
              <w:spacing w:line="360" w:lineRule="auto"/>
              <w:ind w:left="857" w:leftChars="0" w:hanging="375" w:firstLineChars="0"/>
              <w:jc w:val="both"/>
              <w:textAlignment w:val="auto"/>
              <w:rPr>
                <w:rFonts w:hint="default" w:ascii="Times New Roman" w:hAnsi="Times New Roman" w:cs="Times New Roman"/>
                <w:b/>
                <w:bCs/>
                <w:color w:val="auto"/>
                <w:sz w:val="24"/>
                <w:szCs w:val="24"/>
                <w:highlight w:val="none"/>
                <w:lang w:val="en-US"/>
              </w:rPr>
            </w:pPr>
            <w:r>
              <w:rPr>
                <w:rFonts w:hint="default" w:ascii="Times New Roman" w:hAnsi="Times New Roman" w:cs="Times New Roman"/>
                <w:b/>
                <w:bCs/>
                <w:color w:val="auto"/>
                <w:sz w:val="24"/>
                <w:szCs w:val="24"/>
                <w:highlight w:val="none"/>
                <w:lang w:val="en-US"/>
              </w:rPr>
              <w:t>地下水环境质量现状</w:t>
            </w:r>
          </w:p>
          <w:p w14:paraId="22D97BCF">
            <w:pPr>
              <w:snapToGrid w:val="0"/>
              <w:spacing w:line="360" w:lineRule="auto"/>
              <w:ind w:firstLine="480" w:firstLineChars="200"/>
              <w:rPr>
                <w:rFonts w:hint="default" w:ascii="Times New Roman" w:hAnsi="Times New Roman" w:cs="Times New Roman"/>
                <w:color w:val="auto"/>
                <w:highlight w:val="none"/>
                <w:lang w:val="en-US"/>
              </w:rPr>
            </w:pPr>
            <w:r>
              <w:rPr>
                <w:rFonts w:hint="default" w:ascii="Times New Roman" w:hAnsi="Times New Roman" w:cs="Times New Roman"/>
                <w:color w:val="auto"/>
                <w:sz w:val="24"/>
                <w:szCs w:val="20"/>
                <w:highlight w:val="none"/>
              </w:rPr>
              <w:t>根据《建设项目环境影响报告表编制技术指南（污染影响类）（试行）》要求：“地下水、土壤环境原则上不开展环境质量现状调查”，因本项目在</w:t>
            </w:r>
            <w:r>
              <w:rPr>
                <w:rFonts w:hint="eastAsia" w:cs="Times New Roman"/>
                <w:color w:val="auto"/>
                <w:sz w:val="24"/>
                <w:szCs w:val="20"/>
                <w:highlight w:val="none"/>
                <w:lang w:val="en-US" w:eastAsia="zh-CN"/>
              </w:rPr>
              <w:t>存储过程</w:t>
            </w:r>
            <w:r>
              <w:rPr>
                <w:rFonts w:hint="default" w:ascii="Times New Roman" w:hAnsi="Times New Roman" w:cs="Times New Roman"/>
                <w:color w:val="auto"/>
                <w:sz w:val="24"/>
                <w:szCs w:val="20"/>
                <w:highlight w:val="none"/>
              </w:rPr>
              <w:t>中可能产生</w:t>
            </w:r>
            <w:r>
              <w:rPr>
                <w:rFonts w:hint="eastAsia" w:cs="Times New Roman"/>
                <w:color w:val="auto"/>
                <w:sz w:val="24"/>
                <w:szCs w:val="20"/>
                <w:highlight w:val="none"/>
                <w:lang w:val="en-US" w:eastAsia="zh-CN"/>
              </w:rPr>
              <w:t>地下水</w:t>
            </w:r>
            <w:r>
              <w:rPr>
                <w:rFonts w:hint="default" w:ascii="Times New Roman" w:hAnsi="Times New Roman" w:cs="Times New Roman"/>
                <w:color w:val="auto"/>
                <w:sz w:val="24"/>
                <w:szCs w:val="20"/>
                <w:highlight w:val="none"/>
              </w:rPr>
              <w:t>污染途径，本项目为</w:t>
            </w:r>
            <w:r>
              <w:rPr>
                <w:rFonts w:hint="default" w:ascii="Times New Roman" w:hAnsi="Times New Roman" w:cs="Times New Roman"/>
                <w:bCs/>
                <w:color w:val="auto"/>
                <w:sz w:val="24"/>
                <w:highlight w:val="none"/>
                <w:lang w:val="en-US" w:eastAsia="zh-CN"/>
              </w:rPr>
              <w:t>现有厂区配套环保工程</w:t>
            </w:r>
            <w:r>
              <w:rPr>
                <w:rFonts w:hint="default" w:ascii="Times New Roman" w:hAnsi="Times New Roman" w:cs="Times New Roman"/>
                <w:color w:val="auto"/>
                <w:sz w:val="24"/>
                <w:szCs w:val="20"/>
                <w:highlight w:val="none"/>
              </w:rPr>
              <w:t>，</w:t>
            </w:r>
            <w:r>
              <w:rPr>
                <w:rFonts w:hint="default" w:ascii="Times New Roman" w:hAnsi="Times New Roman" w:cs="Times New Roman"/>
                <w:color w:val="auto"/>
                <w:sz w:val="24"/>
                <w:szCs w:val="20"/>
                <w:highlight w:val="none"/>
                <w:lang w:val="en-US" w:eastAsia="zh-CN"/>
              </w:rPr>
              <w:t>危废暂存</w:t>
            </w:r>
            <w:r>
              <w:rPr>
                <w:rFonts w:hint="default" w:ascii="Times New Roman" w:hAnsi="Times New Roman" w:cs="Times New Roman"/>
                <w:color w:val="auto"/>
                <w:sz w:val="24"/>
                <w:szCs w:val="20"/>
                <w:highlight w:val="none"/>
              </w:rPr>
              <w:t>涉及危险废物，</w:t>
            </w:r>
            <w:r>
              <w:rPr>
                <w:rFonts w:hint="eastAsia" w:cs="Times New Roman"/>
                <w:color w:val="auto"/>
                <w:sz w:val="24"/>
                <w:szCs w:val="20"/>
                <w:highlight w:val="none"/>
                <w:lang w:val="en-US" w:eastAsia="zh-CN"/>
              </w:rPr>
              <w:t>因此，</w:t>
            </w:r>
            <w:r>
              <w:rPr>
                <w:rFonts w:hint="default" w:ascii="Times New Roman" w:hAnsi="Times New Roman" w:cs="Times New Roman"/>
                <w:color w:val="auto"/>
                <w:sz w:val="24"/>
                <w:szCs w:val="20"/>
                <w:highlight w:val="none"/>
              </w:rPr>
              <w:t>本次对项目区地下水环境进行现状调查。</w:t>
            </w:r>
          </w:p>
          <w:p w14:paraId="7ED5DEDA">
            <w:pPr>
              <w:snapToGrid w:val="0"/>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cs="Times New Roman"/>
                <w:color w:val="auto"/>
                <w:sz w:val="24"/>
                <w:szCs w:val="20"/>
                <w:highlight w:val="none"/>
                <w:lang w:val="en-US" w:eastAsia="zh-CN"/>
              </w:rPr>
              <w:t>根据调查，本项目区域地下水流向为</w:t>
            </w:r>
            <w:r>
              <w:rPr>
                <w:rFonts w:hint="eastAsia" w:ascii="Times New Roman" w:hAnsi="Times New Roman" w:cs="Times New Roman"/>
                <w:color w:val="auto"/>
                <w:sz w:val="24"/>
                <w:szCs w:val="20"/>
                <w:highlight w:val="none"/>
                <w:lang w:val="en-US" w:eastAsia="zh-CN"/>
              </w:rPr>
              <w:t>东南向西北流向</w:t>
            </w:r>
            <w:r>
              <w:rPr>
                <w:rFonts w:hint="default" w:ascii="Times New Roman" w:hAnsi="Times New Roman" w:cs="Times New Roman"/>
                <w:color w:val="auto"/>
                <w:sz w:val="24"/>
                <w:szCs w:val="20"/>
                <w:highlight w:val="none"/>
                <w:lang w:val="en-US" w:eastAsia="zh-CN"/>
              </w:rPr>
              <w:t>，本次引用</w:t>
            </w:r>
            <w:r>
              <w:rPr>
                <w:rFonts w:hint="default" w:ascii="Times New Roman" w:hAnsi="Times New Roman" w:eastAsia="宋体" w:cs="Times New Roman"/>
                <w:color w:val="auto"/>
                <w:sz w:val="24"/>
                <w:szCs w:val="20"/>
                <w:highlight w:val="none"/>
                <w:lang w:val="en-US" w:eastAsia="zh-CN"/>
              </w:rPr>
              <w:t>《伊金霍洛旗赛特煤业有限责任公司机井队巴龙图沟煤矿改建项目（扩大开采范围）环境质量现状监测》中的</w:t>
            </w:r>
            <w:r>
              <w:rPr>
                <w:rFonts w:hint="eastAsia" w:cs="Times New Roman"/>
                <w:color w:val="auto"/>
                <w:sz w:val="24"/>
                <w:szCs w:val="20"/>
                <w:highlight w:val="none"/>
                <w:lang w:val="en-US" w:eastAsia="zh-CN"/>
              </w:rPr>
              <w:t>3</w:t>
            </w:r>
            <w:r>
              <w:rPr>
                <w:rFonts w:hint="default" w:ascii="Times New Roman" w:hAnsi="Times New Roman" w:eastAsia="宋体" w:cs="Times New Roman"/>
                <w:color w:val="auto"/>
                <w:sz w:val="24"/>
                <w:szCs w:val="20"/>
                <w:highlight w:val="none"/>
                <w:lang w:val="en-US" w:eastAsia="zh-CN"/>
              </w:rPr>
              <w:t>个地下水检测数据，位于项目西北侧约</w:t>
            </w:r>
            <w:r>
              <w:rPr>
                <w:rFonts w:hint="eastAsia" w:ascii="Times New Roman" w:hAnsi="Times New Roman" w:eastAsia="宋体" w:cs="Times New Roman"/>
                <w:color w:val="auto"/>
                <w:sz w:val="24"/>
                <w:szCs w:val="20"/>
                <w:highlight w:val="none"/>
                <w:lang w:val="en-US" w:eastAsia="zh-CN"/>
              </w:rPr>
              <w:t>4.8</w:t>
            </w:r>
            <w:r>
              <w:rPr>
                <w:rFonts w:hint="default" w:ascii="Times New Roman" w:hAnsi="Times New Roman" w:eastAsia="宋体" w:cs="Times New Roman"/>
                <w:color w:val="auto"/>
                <w:sz w:val="24"/>
                <w:szCs w:val="20"/>
                <w:highlight w:val="none"/>
                <w:lang w:val="en-US" w:eastAsia="zh-CN"/>
              </w:rPr>
              <w:t>km处的机井队巴龙图沟煤矿矿区外东北侧地下水井地下水检测数据</w:t>
            </w:r>
            <w:r>
              <w:rPr>
                <w:rFonts w:hint="eastAsia" w:ascii="Times New Roman" w:hAnsi="Times New Roman" w:eastAsia="宋体"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位于项目西北侧约</w:t>
            </w:r>
            <w:r>
              <w:rPr>
                <w:rFonts w:hint="eastAsia" w:cs="Times New Roman"/>
                <w:color w:val="auto"/>
                <w:sz w:val="24"/>
                <w:szCs w:val="20"/>
                <w:highlight w:val="none"/>
                <w:lang w:val="en-US" w:eastAsia="zh-CN"/>
              </w:rPr>
              <w:t>3.2</w:t>
            </w:r>
            <w:r>
              <w:rPr>
                <w:rFonts w:hint="default" w:ascii="Times New Roman" w:hAnsi="Times New Roman" w:eastAsia="宋体" w:cs="Times New Roman"/>
                <w:color w:val="auto"/>
                <w:sz w:val="24"/>
                <w:szCs w:val="20"/>
                <w:highlight w:val="none"/>
                <w:lang w:val="en-US" w:eastAsia="zh-CN"/>
              </w:rPr>
              <w:t>km处的机井队巴龙图沟煤矿矿区外西南侧地下水井地下水检测数据</w:t>
            </w:r>
            <w:r>
              <w:rPr>
                <w:rFonts w:hint="eastAsia"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位于项目西北侧约</w:t>
            </w:r>
            <w:r>
              <w:rPr>
                <w:rFonts w:hint="eastAsia" w:ascii="Times New Roman" w:hAnsi="Times New Roman" w:eastAsia="宋体" w:cs="Times New Roman"/>
                <w:color w:val="auto"/>
                <w:sz w:val="24"/>
                <w:szCs w:val="20"/>
                <w:highlight w:val="none"/>
                <w:lang w:val="en-US" w:eastAsia="zh-CN"/>
              </w:rPr>
              <w:t>3.3</w:t>
            </w:r>
            <w:r>
              <w:rPr>
                <w:rFonts w:hint="default" w:ascii="Times New Roman" w:hAnsi="Times New Roman" w:eastAsia="宋体" w:cs="Times New Roman"/>
                <w:color w:val="auto"/>
                <w:sz w:val="24"/>
                <w:szCs w:val="20"/>
                <w:highlight w:val="none"/>
                <w:lang w:val="en-US" w:eastAsia="zh-CN"/>
              </w:rPr>
              <w:t>km处的机井队巴龙图沟煤矿矿区和二号外排土场东南侧居民点2地下水井地下水检测数据</w:t>
            </w:r>
            <w:r>
              <w:rPr>
                <w:rFonts w:hint="eastAsia" w:ascii="Times New Roman" w:hAnsi="Times New Roman" w:eastAsia="宋体"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lang w:val="en-US" w:eastAsia="zh-CN"/>
              </w:rPr>
              <w:t>地下水由内蒙古泽铭技术检测有限公司对项目所在区域的地下水环境现状进行监测，监测时间为202</w:t>
            </w:r>
            <w:r>
              <w:rPr>
                <w:rFonts w:hint="eastAsia" w:ascii="Times New Roman" w:hAnsi="Times New Roman" w:eastAsia="宋体" w:cs="Times New Roman"/>
                <w:color w:val="auto"/>
                <w:sz w:val="24"/>
                <w:szCs w:val="20"/>
                <w:highlight w:val="none"/>
                <w:lang w:val="en-US" w:eastAsia="zh-CN"/>
              </w:rPr>
              <w:t>5</w:t>
            </w:r>
            <w:r>
              <w:rPr>
                <w:rFonts w:hint="default" w:ascii="Times New Roman" w:hAnsi="Times New Roman" w:eastAsia="宋体" w:cs="Times New Roman"/>
                <w:color w:val="auto"/>
                <w:sz w:val="24"/>
                <w:szCs w:val="20"/>
                <w:highlight w:val="none"/>
                <w:lang w:val="en-US" w:eastAsia="zh-CN"/>
              </w:rPr>
              <w:t>年</w:t>
            </w:r>
            <w:r>
              <w:rPr>
                <w:rFonts w:hint="eastAsia" w:ascii="Times New Roman" w:hAnsi="Times New Roman" w:eastAsia="宋体" w:cs="Times New Roman"/>
                <w:color w:val="auto"/>
                <w:sz w:val="24"/>
                <w:szCs w:val="20"/>
                <w:highlight w:val="none"/>
                <w:lang w:val="en-US" w:eastAsia="zh-CN"/>
              </w:rPr>
              <w:t>9</w:t>
            </w:r>
            <w:r>
              <w:rPr>
                <w:rFonts w:hint="default" w:ascii="Times New Roman" w:hAnsi="Times New Roman" w:eastAsia="宋体" w:cs="Times New Roman"/>
                <w:color w:val="auto"/>
                <w:sz w:val="24"/>
                <w:szCs w:val="20"/>
                <w:highlight w:val="none"/>
                <w:lang w:val="en-US" w:eastAsia="zh-CN"/>
              </w:rPr>
              <w:t>月</w:t>
            </w:r>
            <w:r>
              <w:rPr>
                <w:rFonts w:hint="eastAsia" w:ascii="Times New Roman" w:hAnsi="Times New Roman" w:eastAsia="宋体" w:cs="Times New Roman"/>
                <w:color w:val="auto"/>
                <w:sz w:val="24"/>
                <w:szCs w:val="20"/>
                <w:highlight w:val="none"/>
                <w:lang w:val="en-US" w:eastAsia="zh-CN"/>
              </w:rPr>
              <w:t>3</w:t>
            </w:r>
            <w:r>
              <w:rPr>
                <w:rFonts w:hint="default" w:ascii="Times New Roman" w:hAnsi="Times New Roman" w:eastAsia="宋体" w:cs="Times New Roman"/>
                <w:color w:val="auto"/>
                <w:sz w:val="24"/>
                <w:szCs w:val="20"/>
                <w:highlight w:val="none"/>
                <w:lang w:val="en-US" w:eastAsia="zh-CN"/>
              </w:rPr>
              <w:t>日。</w:t>
            </w:r>
            <w:r>
              <w:rPr>
                <w:rFonts w:hint="eastAsia" w:cs="Times New Roman"/>
                <w:color w:val="auto"/>
                <w:kern w:val="2"/>
                <w:sz w:val="24"/>
                <w:szCs w:val="24"/>
                <w:highlight w:val="none"/>
                <w:lang w:val="en-US" w:eastAsia="zh-CN" w:bidi="zh-CN"/>
              </w:rPr>
              <w:t>地下水</w:t>
            </w:r>
            <w:r>
              <w:rPr>
                <w:rFonts w:hint="default" w:ascii="Times New Roman" w:hAnsi="Times New Roman" w:eastAsia="宋体" w:cs="Times New Roman"/>
                <w:color w:val="auto"/>
                <w:kern w:val="2"/>
                <w:sz w:val="24"/>
                <w:szCs w:val="24"/>
                <w:highlight w:val="none"/>
                <w:lang w:val="en-US" w:eastAsia="zh-CN" w:bidi="zh-CN"/>
              </w:rPr>
              <w:t>监测</w:t>
            </w:r>
            <w:r>
              <w:rPr>
                <w:rFonts w:hint="eastAsia" w:cs="Times New Roman"/>
                <w:color w:val="auto"/>
                <w:kern w:val="2"/>
                <w:sz w:val="24"/>
                <w:szCs w:val="24"/>
                <w:highlight w:val="none"/>
                <w:lang w:val="en-US" w:eastAsia="zh-CN" w:bidi="zh-CN"/>
              </w:rPr>
              <w:t>布</w:t>
            </w:r>
            <w:r>
              <w:rPr>
                <w:rFonts w:hint="default" w:ascii="Times New Roman" w:hAnsi="Times New Roman" w:eastAsia="宋体" w:cs="Times New Roman"/>
                <w:color w:val="auto"/>
                <w:kern w:val="2"/>
                <w:sz w:val="24"/>
                <w:szCs w:val="24"/>
                <w:highlight w:val="none"/>
                <w:lang w:val="en-US" w:eastAsia="zh-CN" w:bidi="zh-CN"/>
              </w:rPr>
              <w:t>点情况见表3-</w:t>
            </w:r>
            <w:r>
              <w:rPr>
                <w:rFonts w:hint="eastAsia" w:cs="Times New Roman"/>
                <w:color w:val="auto"/>
                <w:kern w:val="2"/>
                <w:sz w:val="24"/>
                <w:szCs w:val="24"/>
                <w:highlight w:val="none"/>
                <w:lang w:val="en-US" w:eastAsia="zh-CN" w:bidi="zh-CN"/>
              </w:rPr>
              <w:t>4</w:t>
            </w:r>
            <w:r>
              <w:rPr>
                <w:rFonts w:hint="default" w:ascii="Times New Roman" w:hAnsi="Times New Roman" w:eastAsia="宋体" w:cs="Times New Roman"/>
                <w:color w:val="auto"/>
                <w:kern w:val="2"/>
                <w:sz w:val="24"/>
                <w:szCs w:val="24"/>
                <w:highlight w:val="none"/>
                <w:lang w:val="en-US" w:eastAsia="zh-CN" w:bidi="zh-CN"/>
              </w:rPr>
              <w:t>，地下水水位监测点信息及监测结果表</w:t>
            </w:r>
            <w:r>
              <w:rPr>
                <w:rFonts w:hint="eastAsia" w:cs="Times New Roman"/>
                <w:color w:val="auto"/>
                <w:kern w:val="2"/>
                <w:sz w:val="24"/>
                <w:szCs w:val="24"/>
                <w:highlight w:val="none"/>
                <w:lang w:val="en-US" w:eastAsia="zh-CN" w:bidi="zh-CN"/>
              </w:rPr>
              <w:t>见表3-5，</w:t>
            </w:r>
            <w:r>
              <w:rPr>
                <w:rFonts w:hint="default" w:ascii="Times New Roman" w:hAnsi="Times New Roman" w:eastAsia="宋体" w:cs="Times New Roman"/>
                <w:color w:val="auto"/>
                <w:kern w:val="2"/>
                <w:sz w:val="24"/>
                <w:szCs w:val="24"/>
                <w:highlight w:val="none"/>
                <w:lang w:val="en-US" w:eastAsia="zh-CN" w:bidi="zh-CN"/>
              </w:rPr>
              <w:t>地下水检测项目及分析方法一览表</w:t>
            </w:r>
            <w:r>
              <w:rPr>
                <w:rFonts w:hint="eastAsia" w:cs="Times New Roman"/>
                <w:color w:val="auto"/>
                <w:kern w:val="2"/>
                <w:sz w:val="24"/>
                <w:szCs w:val="24"/>
                <w:highlight w:val="none"/>
                <w:lang w:val="en-US" w:eastAsia="zh-CN" w:bidi="zh-CN"/>
              </w:rPr>
              <w:t>见表3-6，</w:t>
            </w:r>
            <w:r>
              <w:rPr>
                <w:rFonts w:hint="default" w:ascii="Times New Roman" w:hAnsi="Times New Roman" w:eastAsia="宋体" w:cs="Times New Roman"/>
                <w:color w:val="auto"/>
                <w:kern w:val="2"/>
                <w:sz w:val="24"/>
                <w:szCs w:val="24"/>
                <w:highlight w:val="none"/>
                <w:lang w:val="en-US" w:eastAsia="zh-CN" w:bidi="zh-CN"/>
              </w:rPr>
              <w:t>监测结果统计见表3-</w:t>
            </w:r>
            <w:r>
              <w:rPr>
                <w:rFonts w:hint="eastAsia" w:cs="Times New Roman"/>
                <w:color w:val="auto"/>
                <w:kern w:val="2"/>
                <w:sz w:val="24"/>
                <w:szCs w:val="24"/>
                <w:highlight w:val="none"/>
                <w:lang w:val="en-US" w:eastAsia="zh-CN" w:bidi="zh-CN"/>
              </w:rPr>
              <w:t>7</w:t>
            </w:r>
            <w:r>
              <w:rPr>
                <w:rFonts w:hint="default" w:ascii="Times New Roman" w:hAnsi="Times New Roman" w:eastAsia="宋体" w:cs="Times New Roman"/>
                <w:color w:val="auto"/>
                <w:kern w:val="2"/>
                <w:sz w:val="24"/>
                <w:szCs w:val="24"/>
                <w:highlight w:val="none"/>
                <w:lang w:val="en-US" w:eastAsia="zh-CN" w:bidi="zh-CN"/>
              </w:rPr>
              <w:t>。</w:t>
            </w:r>
          </w:p>
          <w:p w14:paraId="5724EC3B">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eastAsia="宋体" w:cs="Times New Roman"/>
                <w:b/>
                <w:bCs/>
                <w:color w:val="auto"/>
                <w:sz w:val="24"/>
                <w:highlight w:val="none"/>
                <w:lang w:val="en-US" w:eastAsia="zh-CN"/>
              </w:rPr>
            </w:pPr>
            <w:r>
              <w:rPr>
                <w:rFonts w:hint="default" w:ascii="宋体" w:hAnsi="宋体" w:eastAsia="宋体" w:cs="宋体"/>
                <w:b/>
                <w:bCs/>
                <w:color w:val="auto"/>
                <w:spacing w:val="-3"/>
                <w:sz w:val="21"/>
                <w:szCs w:val="21"/>
                <w:highlight w:val="none"/>
                <w:lang w:val="en-US" w:eastAsia="zh-CN"/>
              </w:rPr>
              <w:t>表3-</w:t>
            </w:r>
            <w:r>
              <w:rPr>
                <w:rFonts w:hint="eastAsia" w:cs="宋体"/>
                <w:b/>
                <w:bCs/>
                <w:color w:val="auto"/>
                <w:spacing w:val="-3"/>
                <w:sz w:val="21"/>
                <w:szCs w:val="21"/>
                <w:highlight w:val="none"/>
                <w:lang w:val="en-US" w:eastAsia="zh-CN"/>
              </w:rPr>
              <w:t>4</w:t>
            </w:r>
            <w:r>
              <w:rPr>
                <w:rFonts w:hint="default" w:ascii="宋体" w:hAnsi="宋体" w:eastAsia="宋体" w:cs="宋体"/>
                <w:b/>
                <w:bCs/>
                <w:color w:val="auto"/>
                <w:spacing w:val="-3"/>
                <w:sz w:val="21"/>
                <w:szCs w:val="21"/>
                <w:highlight w:val="none"/>
                <w:lang w:val="en-US" w:eastAsia="zh-CN"/>
              </w:rPr>
              <w:t>地下水监测布点一览表</w:t>
            </w:r>
          </w:p>
          <w:tbl>
            <w:tblPr>
              <w:tblStyle w:val="2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75"/>
              <w:gridCol w:w="1413"/>
              <w:gridCol w:w="850"/>
              <w:gridCol w:w="4391"/>
            </w:tblGrid>
            <w:tr w14:paraId="00CE3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5" w:type="pct"/>
                  <w:noWrap w:val="0"/>
                  <w:vAlign w:val="center"/>
                </w:tcPr>
                <w:p w14:paraId="0A7CA624">
                  <w:pPr>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编号</w:t>
                  </w:r>
                </w:p>
              </w:tc>
              <w:tc>
                <w:tcPr>
                  <w:tcW w:w="490" w:type="pct"/>
                  <w:noWrap w:val="0"/>
                  <w:vAlign w:val="center"/>
                </w:tcPr>
                <w:p w14:paraId="42BD2284">
                  <w:pPr>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监测点位</w:t>
                  </w:r>
                </w:p>
              </w:tc>
              <w:tc>
                <w:tcPr>
                  <w:tcW w:w="894" w:type="pct"/>
                  <w:noWrap w:val="0"/>
                  <w:vAlign w:val="center"/>
                </w:tcPr>
                <w:p w14:paraId="0ADA37D2">
                  <w:pPr>
                    <w:spacing w:line="240" w:lineRule="auto"/>
                    <w:ind w:firstLine="0" w:firstLineChars="0"/>
                    <w:jc w:val="center"/>
                    <w:rPr>
                      <w:rFonts w:hint="default" w:ascii="Times New Roman" w:hAnsi="Times New Roman"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eastAsia="zh-CN"/>
                    </w:rPr>
                    <w:t>相对本项目方位</w:t>
                  </w:r>
                  <w:r>
                    <w:rPr>
                      <w:rFonts w:hint="eastAsia" w:ascii="Times New Roman" w:hAnsi="Times New Roman" w:eastAsia="宋体" w:cs="Times New Roman"/>
                      <w:b/>
                      <w:bCs/>
                      <w:color w:val="auto"/>
                      <w:sz w:val="21"/>
                      <w:szCs w:val="21"/>
                      <w:highlight w:val="none"/>
                      <w:lang w:val="en-US" w:eastAsia="zh-CN"/>
                    </w:rPr>
                    <w:t>和距离</w:t>
                  </w:r>
                </w:p>
              </w:tc>
              <w:tc>
                <w:tcPr>
                  <w:tcW w:w="538" w:type="pct"/>
                  <w:noWrap w:val="0"/>
                  <w:vAlign w:val="center"/>
                </w:tcPr>
                <w:p w14:paraId="75B06962">
                  <w:pPr>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监测类型</w:t>
                  </w:r>
                </w:p>
              </w:tc>
              <w:tc>
                <w:tcPr>
                  <w:tcW w:w="2780" w:type="pct"/>
                  <w:noWrap w:val="0"/>
                  <w:vAlign w:val="center"/>
                </w:tcPr>
                <w:p w14:paraId="23D4DC1E">
                  <w:pPr>
                    <w:spacing w:line="240" w:lineRule="auto"/>
                    <w:ind w:firstLine="0" w:firstLineChars="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监测项目</w:t>
                  </w:r>
                </w:p>
              </w:tc>
            </w:tr>
            <w:tr w14:paraId="25DD8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5" w:type="pct"/>
                  <w:noWrap w:val="0"/>
                  <w:vAlign w:val="center"/>
                </w:tcPr>
                <w:p w14:paraId="766CB2D9">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1</w:t>
                  </w:r>
                </w:p>
              </w:tc>
              <w:tc>
                <w:tcPr>
                  <w:tcW w:w="490" w:type="pct"/>
                  <w:vMerge w:val="restart"/>
                  <w:noWrap w:val="0"/>
                  <w:vAlign w:val="center"/>
                </w:tcPr>
                <w:p w14:paraId="023D67B4">
                  <w:pPr>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下游</w:t>
                  </w:r>
                </w:p>
              </w:tc>
              <w:tc>
                <w:tcPr>
                  <w:tcW w:w="894" w:type="pct"/>
                  <w:noWrap w:val="0"/>
                  <w:vAlign w:val="center"/>
                </w:tcPr>
                <w:p w14:paraId="74AF1DDD">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西北侧4800m</w:t>
                  </w:r>
                </w:p>
              </w:tc>
              <w:tc>
                <w:tcPr>
                  <w:tcW w:w="538" w:type="pct"/>
                  <w:vMerge w:val="restart"/>
                  <w:noWrap w:val="0"/>
                  <w:vAlign w:val="center"/>
                </w:tcPr>
                <w:p w14:paraId="701ED11E">
                  <w:pPr>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水质、水位</w:t>
                  </w:r>
                </w:p>
              </w:tc>
              <w:tc>
                <w:tcPr>
                  <w:tcW w:w="2780" w:type="pct"/>
                  <w:vMerge w:val="restart"/>
                  <w:noWrap w:val="0"/>
                  <w:vAlign w:val="center"/>
                </w:tcPr>
                <w:p w14:paraId="6F5886D7">
                  <w:pPr>
                    <w:spacing w:line="240" w:lineRule="auto"/>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pH值、总硬度（钙和镁总量）、溶解性总固体、硫酸盐、氯化物、铁、铜、锌、铝、氨氮、硫化物、钙、钾、镁、钠、亚硝酸盐氮、硝酸盐氮、氟化物、砷、镉、铅、碱度(碳酸盐)、碱度(碳酸氢盐)、化学需氧量、六价铬、石油类、高锰酸盐指数、总大肠菌群、细菌总数</w:t>
                  </w:r>
                </w:p>
              </w:tc>
            </w:tr>
            <w:tr w14:paraId="57A32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5" w:type="pct"/>
                  <w:noWrap w:val="0"/>
                  <w:vAlign w:val="center"/>
                </w:tcPr>
                <w:p w14:paraId="0567A5AF">
                  <w:pPr>
                    <w:spacing w:line="240" w:lineRule="auto"/>
                    <w:ind w:firstLine="0" w:firstLineChars="0"/>
                    <w:jc w:val="center"/>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2</w:t>
                  </w:r>
                </w:p>
              </w:tc>
              <w:tc>
                <w:tcPr>
                  <w:tcW w:w="490" w:type="pct"/>
                  <w:vMerge w:val="continue"/>
                  <w:shd w:val="clear" w:color="auto" w:fill="auto"/>
                  <w:noWrap w:val="0"/>
                  <w:vAlign w:val="center"/>
                </w:tcPr>
                <w:p w14:paraId="255C4B81">
                  <w:pPr>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894" w:type="pct"/>
                  <w:shd w:val="clear" w:color="auto" w:fill="auto"/>
                  <w:noWrap w:val="0"/>
                  <w:vAlign w:val="center"/>
                </w:tcPr>
                <w:p w14:paraId="68201239">
                  <w:pPr>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西北侧3200m</w:t>
                  </w:r>
                </w:p>
              </w:tc>
              <w:tc>
                <w:tcPr>
                  <w:tcW w:w="538" w:type="pct"/>
                  <w:vMerge w:val="continue"/>
                  <w:noWrap w:val="0"/>
                  <w:vAlign w:val="center"/>
                </w:tcPr>
                <w:p w14:paraId="6EAC4897">
                  <w:pPr>
                    <w:spacing w:line="240" w:lineRule="auto"/>
                    <w:ind w:firstLine="0" w:firstLineChars="0"/>
                    <w:jc w:val="center"/>
                    <w:rPr>
                      <w:rFonts w:hint="default" w:ascii="Times New Roman" w:hAnsi="Times New Roman" w:cs="Times New Roman"/>
                      <w:color w:val="auto"/>
                      <w:sz w:val="21"/>
                      <w:szCs w:val="21"/>
                      <w:highlight w:val="none"/>
                    </w:rPr>
                  </w:pPr>
                </w:p>
              </w:tc>
              <w:tc>
                <w:tcPr>
                  <w:tcW w:w="2780" w:type="pct"/>
                  <w:vMerge w:val="continue"/>
                  <w:noWrap w:val="0"/>
                  <w:vAlign w:val="center"/>
                </w:tcPr>
                <w:p w14:paraId="628C8146">
                  <w:pPr>
                    <w:spacing w:line="240" w:lineRule="auto"/>
                    <w:ind w:firstLine="0" w:firstLineChars="0"/>
                    <w:jc w:val="center"/>
                    <w:rPr>
                      <w:rFonts w:hint="eastAsia" w:cs="Times New Roman"/>
                      <w:color w:val="auto"/>
                      <w:sz w:val="21"/>
                      <w:szCs w:val="21"/>
                      <w:highlight w:val="none"/>
                      <w:lang w:val="en-US" w:eastAsia="zh-CN"/>
                    </w:rPr>
                  </w:pPr>
                </w:p>
              </w:tc>
            </w:tr>
            <w:tr w14:paraId="48C8E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5" w:type="pct"/>
                  <w:noWrap w:val="0"/>
                  <w:vAlign w:val="center"/>
                </w:tcPr>
                <w:p w14:paraId="1BAD1D9E">
                  <w:pPr>
                    <w:spacing w:line="240" w:lineRule="auto"/>
                    <w:ind w:firstLine="0" w:firstLineChars="0"/>
                    <w:jc w:val="center"/>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3</w:t>
                  </w:r>
                </w:p>
              </w:tc>
              <w:tc>
                <w:tcPr>
                  <w:tcW w:w="490" w:type="pct"/>
                  <w:vMerge w:val="continue"/>
                  <w:noWrap w:val="0"/>
                  <w:vAlign w:val="center"/>
                </w:tcPr>
                <w:p w14:paraId="116F77D3">
                  <w:pPr>
                    <w:spacing w:line="240" w:lineRule="auto"/>
                    <w:ind w:firstLine="0" w:firstLineChars="0"/>
                    <w:jc w:val="center"/>
                    <w:rPr>
                      <w:rFonts w:hint="eastAsia" w:cs="Times New Roman"/>
                      <w:color w:val="auto"/>
                      <w:sz w:val="21"/>
                      <w:szCs w:val="21"/>
                      <w:highlight w:val="none"/>
                      <w:lang w:val="en-US" w:eastAsia="zh-CN"/>
                    </w:rPr>
                  </w:pPr>
                </w:p>
              </w:tc>
              <w:tc>
                <w:tcPr>
                  <w:tcW w:w="894" w:type="pct"/>
                  <w:noWrap w:val="0"/>
                  <w:vAlign w:val="center"/>
                </w:tcPr>
                <w:p w14:paraId="5AA9F7C7">
                  <w:pPr>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西北侧3300m</w:t>
                  </w:r>
                </w:p>
              </w:tc>
              <w:tc>
                <w:tcPr>
                  <w:tcW w:w="538" w:type="pct"/>
                  <w:vMerge w:val="continue"/>
                  <w:noWrap w:val="0"/>
                  <w:vAlign w:val="center"/>
                </w:tcPr>
                <w:p w14:paraId="61F74D6F">
                  <w:pPr>
                    <w:spacing w:line="240" w:lineRule="auto"/>
                    <w:ind w:firstLine="0" w:firstLineChars="0"/>
                    <w:jc w:val="center"/>
                    <w:rPr>
                      <w:rFonts w:hint="default" w:ascii="Times New Roman" w:hAnsi="Times New Roman" w:cs="Times New Roman"/>
                      <w:color w:val="auto"/>
                      <w:sz w:val="21"/>
                      <w:szCs w:val="21"/>
                      <w:highlight w:val="none"/>
                    </w:rPr>
                  </w:pPr>
                </w:p>
              </w:tc>
              <w:tc>
                <w:tcPr>
                  <w:tcW w:w="2780" w:type="pct"/>
                  <w:vMerge w:val="continue"/>
                  <w:noWrap w:val="0"/>
                  <w:vAlign w:val="center"/>
                </w:tcPr>
                <w:p w14:paraId="0F69C29D">
                  <w:pPr>
                    <w:spacing w:line="240" w:lineRule="auto"/>
                    <w:ind w:firstLine="0" w:firstLineChars="0"/>
                    <w:jc w:val="center"/>
                    <w:rPr>
                      <w:rFonts w:hint="eastAsia" w:cs="Times New Roman"/>
                      <w:color w:val="auto"/>
                      <w:sz w:val="21"/>
                      <w:szCs w:val="21"/>
                      <w:highlight w:val="none"/>
                      <w:lang w:val="en-US" w:eastAsia="zh-CN"/>
                    </w:rPr>
                  </w:pPr>
                </w:p>
              </w:tc>
            </w:tr>
          </w:tbl>
          <w:p w14:paraId="2163548A">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default" w:ascii="宋体" w:hAnsi="宋体" w:eastAsia="宋体" w:cs="宋体"/>
                <w:b/>
                <w:bCs/>
                <w:color w:val="auto"/>
                <w:spacing w:val="-3"/>
                <w:sz w:val="21"/>
                <w:szCs w:val="21"/>
                <w:highlight w:val="none"/>
                <w:lang w:val="en-US" w:eastAsia="zh-CN"/>
              </w:rPr>
            </w:pPr>
            <w:r>
              <w:rPr>
                <w:rFonts w:hint="default" w:ascii="宋体" w:hAnsi="宋体" w:eastAsia="宋体" w:cs="宋体"/>
                <w:b/>
                <w:bCs/>
                <w:color w:val="auto"/>
                <w:spacing w:val="-3"/>
                <w:sz w:val="21"/>
                <w:szCs w:val="21"/>
                <w:highlight w:val="none"/>
                <w:lang w:val="en-US" w:eastAsia="zh-CN"/>
              </w:rPr>
              <w:t>表3-</w:t>
            </w:r>
            <w:r>
              <w:rPr>
                <w:rFonts w:hint="eastAsia" w:cs="宋体"/>
                <w:b/>
                <w:bCs/>
                <w:color w:val="auto"/>
                <w:spacing w:val="-3"/>
                <w:sz w:val="21"/>
                <w:szCs w:val="21"/>
                <w:highlight w:val="none"/>
                <w:lang w:val="en-US" w:eastAsia="zh-CN"/>
              </w:rPr>
              <w:t>5</w:t>
            </w:r>
            <w:r>
              <w:rPr>
                <w:rFonts w:hint="default" w:ascii="宋体" w:hAnsi="宋体" w:eastAsia="宋体" w:cs="宋体"/>
                <w:b/>
                <w:bCs/>
                <w:color w:val="auto"/>
                <w:spacing w:val="-3"/>
                <w:sz w:val="21"/>
                <w:szCs w:val="21"/>
                <w:highlight w:val="none"/>
                <w:lang w:val="en-US" w:eastAsia="zh-CN"/>
              </w:rPr>
              <w:t xml:space="preserve"> 地下水水位监测点信息及监测结果表</w:t>
            </w:r>
          </w:p>
          <w:tbl>
            <w:tblPr>
              <w:tblStyle w:val="20"/>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8"/>
              <w:gridCol w:w="946"/>
              <w:gridCol w:w="2927"/>
              <w:gridCol w:w="1245"/>
              <w:gridCol w:w="799"/>
              <w:gridCol w:w="1137"/>
            </w:tblGrid>
            <w:tr w14:paraId="3072E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noWrap w:val="0"/>
                  <w:vAlign w:val="center"/>
                </w:tcPr>
                <w:p w14:paraId="7A45BCD9">
                  <w:pPr>
                    <w:pStyle w:val="52"/>
                    <w:rPr>
                      <w:rFonts w:hint="default" w:ascii="Times New Roman" w:hAnsi="Times New Roman" w:cs="Times New Roman"/>
                      <w:color w:val="auto"/>
                      <w:highlight w:val="none"/>
                    </w:rPr>
                  </w:pPr>
                  <w:r>
                    <w:rPr>
                      <w:rFonts w:hint="default" w:ascii="Times New Roman" w:hAnsi="Times New Roman" w:cs="Times New Roman"/>
                      <w:color w:val="auto"/>
                      <w:highlight w:val="none"/>
                    </w:rPr>
                    <w:t>编号</w:t>
                  </w:r>
                </w:p>
              </w:tc>
              <w:tc>
                <w:tcPr>
                  <w:tcW w:w="599" w:type="pct"/>
                  <w:noWrap w:val="0"/>
                  <w:vAlign w:val="center"/>
                </w:tcPr>
                <w:p w14:paraId="1A244635">
                  <w:pPr>
                    <w:pStyle w:val="52"/>
                    <w:rPr>
                      <w:rFonts w:hint="default" w:ascii="Times New Roman" w:hAnsi="Times New Roman" w:cs="Times New Roman"/>
                      <w:color w:val="auto"/>
                      <w:highlight w:val="none"/>
                    </w:rPr>
                  </w:pPr>
                  <w:r>
                    <w:rPr>
                      <w:rFonts w:hint="default" w:ascii="Times New Roman" w:hAnsi="Times New Roman" w:cs="Times New Roman"/>
                      <w:color w:val="auto"/>
                      <w:highlight w:val="none"/>
                    </w:rPr>
                    <w:t>点位</w:t>
                  </w:r>
                </w:p>
                <w:p w14:paraId="008531B6">
                  <w:pPr>
                    <w:pStyle w:val="52"/>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p>
              </w:tc>
              <w:tc>
                <w:tcPr>
                  <w:tcW w:w="1854" w:type="pct"/>
                  <w:noWrap w:val="0"/>
                  <w:vAlign w:val="center"/>
                </w:tcPr>
                <w:p w14:paraId="28FA9DC6">
                  <w:pPr>
                    <w:pStyle w:val="52"/>
                    <w:rPr>
                      <w:rFonts w:hint="default" w:ascii="Times New Roman" w:hAnsi="Times New Roman" w:cs="Times New Roman"/>
                      <w:color w:val="auto"/>
                      <w:highlight w:val="none"/>
                    </w:rPr>
                  </w:pPr>
                  <w:r>
                    <w:rPr>
                      <w:rFonts w:hint="default" w:ascii="Times New Roman" w:hAnsi="Times New Roman" w:cs="Times New Roman"/>
                      <w:color w:val="auto"/>
                      <w:highlight w:val="none"/>
                    </w:rPr>
                    <w:t>坐标</w:t>
                  </w:r>
                </w:p>
              </w:tc>
              <w:tc>
                <w:tcPr>
                  <w:tcW w:w="788" w:type="pct"/>
                  <w:noWrap w:val="0"/>
                  <w:vAlign w:val="center"/>
                </w:tcPr>
                <w:p w14:paraId="5346FE2A">
                  <w:pPr>
                    <w:pStyle w:val="41"/>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水位埋深</w:t>
                  </w:r>
                  <w:r>
                    <w:rPr>
                      <w:rFonts w:hint="default" w:ascii="Times New Roman" w:hAnsi="Times New Roman" w:eastAsia="宋体" w:cs="Times New Roman"/>
                      <w:color w:val="auto"/>
                      <w:kern w:val="2"/>
                      <w:sz w:val="21"/>
                      <w:szCs w:val="21"/>
                      <w:highlight w:val="none"/>
                      <w:lang w:val="en-US" w:eastAsia="zh-CN" w:bidi="ar-SA"/>
                    </w:rPr>
                    <w:t>（m）</w:t>
                  </w:r>
                </w:p>
              </w:tc>
              <w:tc>
                <w:tcPr>
                  <w:tcW w:w="506" w:type="pct"/>
                  <w:noWrap w:val="0"/>
                  <w:vAlign w:val="center"/>
                </w:tcPr>
                <w:p w14:paraId="5039F766">
                  <w:pPr>
                    <w:pStyle w:val="41"/>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井</w:t>
                  </w:r>
                  <w:r>
                    <w:rPr>
                      <w:rFonts w:hint="default" w:ascii="Times New Roman" w:hAnsi="Times New Roman" w:eastAsia="宋体" w:cs="Times New Roman"/>
                      <w:color w:val="auto"/>
                      <w:kern w:val="2"/>
                      <w:sz w:val="21"/>
                      <w:szCs w:val="21"/>
                      <w:highlight w:val="none"/>
                      <w:lang w:val="en-US" w:eastAsia="zh-CN" w:bidi="ar-SA"/>
                    </w:rPr>
                    <w:t>深（m）</w:t>
                  </w:r>
                </w:p>
              </w:tc>
              <w:tc>
                <w:tcPr>
                  <w:tcW w:w="720" w:type="pct"/>
                  <w:noWrap w:val="0"/>
                  <w:vAlign w:val="center"/>
                </w:tcPr>
                <w:p w14:paraId="04BAC55C">
                  <w:pPr>
                    <w:pStyle w:val="41"/>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井口高程</w:t>
                  </w:r>
                  <w:r>
                    <w:rPr>
                      <w:rFonts w:hint="default" w:ascii="Times New Roman" w:hAnsi="Times New Roman" w:eastAsia="宋体" w:cs="Times New Roman"/>
                      <w:color w:val="auto"/>
                      <w:kern w:val="2"/>
                      <w:sz w:val="21"/>
                      <w:szCs w:val="21"/>
                      <w:highlight w:val="none"/>
                      <w:lang w:val="en-US" w:eastAsia="zh-CN" w:bidi="ar-SA"/>
                    </w:rPr>
                    <w:t>（m）</w:t>
                  </w:r>
                </w:p>
              </w:tc>
            </w:tr>
            <w:tr w14:paraId="65507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noWrap w:val="0"/>
                  <w:vAlign w:val="center"/>
                </w:tcPr>
                <w:p w14:paraId="783BC52E">
                  <w:pPr>
                    <w:pStyle w:val="52"/>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☆1</w:t>
                  </w:r>
                </w:p>
              </w:tc>
              <w:tc>
                <w:tcPr>
                  <w:tcW w:w="599" w:type="pct"/>
                  <w:noWrap w:val="0"/>
                  <w:vAlign w:val="center"/>
                </w:tcPr>
                <w:p w14:paraId="372EB5E3">
                  <w:pPr>
                    <w:pStyle w:val="52"/>
                    <w:rPr>
                      <w:rFonts w:hint="default" w:ascii="Times New Roman" w:hAnsi="Times New Roman" w:eastAsia="宋体" w:cs="Times New Roman"/>
                      <w:bCs/>
                      <w:color w:val="auto"/>
                      <w:highlight w:val="none"/>
                      <w:lang w:val="en-US" w:eastAsia="zh-CN"/>
                    </w:rPr>
                  </w:pPr>
                  <w:r>
                    <w:rPr>
                      <w:rFonts w:hint="eastAsia" w:cs="Times New Roman"/>
                      <w:bCs/>
                      <w:color w:val="auto"/>
                      <w:highlight w:val="none"/>
                      <w:lang w:val="en-US" w:eastAsia="zh-CN"/>
                    </w:rPr>
                    <w:t>1</w:t>
                  </w:r>
                  <w:r>
                    <w:rPr>
                      <w:rFonts w:hint="default" w:ascii="Times New Roman" w:hAnsi="Times New Roman" w:eastAsia="宋体" w:cs="Times New Roman"/>
                      <w:bCs/>
                      <w:color w:val="auto"/>
                      <w:highlight w:val="none"/>
                      <w:lang w:val="en-US" w:eastAsia="zh-CN"/>
                    </w:rPr>
                    <w:t>#☆1</w:t>
                  </w:r>
                </w:p>
              </w:tc>
              <w:tc>
                <w:tcPr>
                  <w:tcW w:w="1854" w:type="pct"/>
                  <w:shd w:val="clear" w:color="auto" w:fill="auto"/>
                  <w:noWrap w:val="0"/>
                  <w:vAlign w:val="center"/>
                </w:tcPr>
                <w:p w14:paraId="24ECAA96">
                  <w:pPr>
                    <w:adjustRightInd w:val="0"/>
                    <w:snapToGrid w:val="0"/>
                    <w:spacing w:line="0" w:lineRule="atLeast"/>
                    <w:jc w:val="center"/>
                    <w:rPr>
                      <w:rFonts w:hint="default" w:ascii="Times New Roman" w:hAnsi="Times New Roman" w:eastAsia="宋体" w:cs="Times New Roman"/>
                      <w:snapToGrid w:val="0"/>
                      <w:color w:val="auto"/>
                      <w:kern w:val="0"/>
                      <w:sz w:val="21"/>
                      <w:szCs w:val="24"/>
                      <w:highlight w:val="none"/>
                      <w:lang w:val="en-US" w:eastAsia="zh-CN" w:bidi="ar-SA"/>
                    </w:rPr>
                  </w:pPr>
                  <w:r>
                    <w:rPr>
                      <w:rFonts w:ascii="Times New Roman" w:hAnsi="Times New Roman" w:cs="Times New Roman"/>
                      <w:color w:val="auto"/>
                      <w:szCs w:val="21"/>
                      <w:highlight w:val="none"/>
                    </w:rPr>
                    <w:t>110°1</w:t>
                  </w:r>
                  <w:r>
                    <w:rPr>
                      <w:rFonts w:hint="eastAsia" w:ascii="Times New Roman" w:hAnsi="Times New Roman" w:cs="Times New Roman"/>
                      <w:color w:val="auto"/>
                      <w:szCs w:val="21"/>
                      <w:highlight w:val="none"/>
                      <w:lang w:val="en-US" w:eastAsia="zh-CN"/>
                    </w:rPr>
                    <w:t>4</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1</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07</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E；</w:t>
                  </w:r>
                  <w:r>
                    <w:rPr>
                      <w:rFonts w:ascii="Times New Roman" w:hAnsi="Times New Roman" w:cs="Times New Roman"/>
                      <w:color w:val="auto"/>
                      <w:szCs w:val="21"/>
                      <w:highlight w:val="none"/>
                    </w:rPr>
                    <w:t>39°</w:t>
                  </w:r>
                  <w:r>
                    <w:rPr>
                      <w:rFonts w:hint="eastAsia" w:ascii="Times New Roman" w:hAnsi="Times New Roman" w:cs="Times New Roman"/>
                      <w:color w:val="auto"/>
                      <w:szCs w:val="21"/>
                      <w:highlight w:val="none"/>
                      <w:lang w:val="en-US" w:eastAsia="zh-CN"/>
                    </w:rPr>
                    <w:t>36</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7</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80</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N</w:t>
                  </w:r>
                </w:p>
              </w:tc>
              <w:tc>
                <w:tcPr>
                  <w:tcW w:w="788" w:type="pct"/>
                  <w:shd w:val="clear" w:color="auto" w:fill="auto"/>
                  <w:noWrap w:val="0"/>
                  <w:vAlign w:val="center"/>
                </w:tcPr>
                <w:p w14:paraId="4C62D75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3</w:t>
                  </w:r>
                </w:p>
              </w:tc>
              <w:tc>
                <w:tcPr>
                  <w:tcW w:w="506" w:type="pct"/>
                  <w:shd w:val="clear" w:color="auto" w:fill="auto"/>
                  <w:noWrap w:val="0"/>
                  <w:vAlign w:val="center"/>
                </w:tcPr>
                <w:p w14:paraId="2ACCCBF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41</w:t>
                  </w:r>
                </w:p>
              </w:tc>
              <w:tc>
                <w:tcPr>
                  <w:tcW w:w="720" w:type="pct"/>
                  <w:shd w:val="clear" w:color="auto" w:fill="auto"/>
                  <w:noWrap w:val="0"/>
                  <w:vAlign w:val="center"/>
                </w:tcPr>
                <w:p w14:paraId="17D70A5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1253</w:t>
                  </w:r>
                </w:p>
              </w:tc>
            </w:tr>
            <w:tr w14:paraId="4E7A0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noWrap w:val="0"/>
                  <w:vAlign w:val="center"/>
                </w:tcPr>
                <w:p w14:paraId="3CECA67F">
                  <w:pPr>
                    <w:pStyle w:val="52"/>
                    <w:ind w:firstLine="0" w:firstLineChars="0"/>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lang w:val="en-US" w:eastAsia="zh-CN"/>
                    </w:rPr>
                    <w:t>2</w:t>
                  </w:r>
                </w:p>
              </w:tc>
              <w:tc>
                <w:tcPr>
                  <w:tcW w:w="599" w:type="pct"/>
                  <w:noWrap w:val="0"/>
                  <w:vAlign w:val="center"/>
                </w:tcPr>
                <w:p w14:paraId="44641FBA">
                  <w:pPr>
                    <w:pStyle w:val="52"/>
                    <w:ind w:firstLine="0" w:firstLineChars="0"/>
                    <w:rPr>
                      <w:rFonts w:hint="default" w:ascii="Times New Roman" w:hAnsi="Times New Roman" w:eastAsia="宋体" w:cs="Times New Roman"/>
                      <w:bCs/>
                      <w:color w:val="auto"/>
                      <w:highlight w:val="none"/>
                      <w:lang w:val="en-US" w:eastAsia="zh-CN"/>
                    </w:rPr>
                  </w:pPr>
                  <w:r>
                    <w:rPr>
                      <w:rFonts w:hint="eastAsia" w:ascii="Times New Roman" w:hAnsi="Times New Roman" w:eastAsia="宋体" w:cs="Times New Roman"/>
                      <w:bCs/>
                      <w:color w:val="auto"/>
                      <w:highlight w:val="none"/>
                      <w:lang w:val="en-US" w:eastAsia="zh-CN"/>
                    </w:rPr>
                    <w:t>2</w:t>
                  </w:r>
                  <w:r>
                    <w:rPr>
                      <w:rFonts w:hint="default"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lang w:val="en-US" w:eastAsia="zh-CN"/>
                    </w:rPr>
                    <w:t>2</w:t>
                  </w:r>
                </w:p>
              </w:tc>
              <w:tc>
                <w:tcPr>
                  <w:tcW w:w="1854" w:type="pct"/>
                  <w:shd w:val="clear" w:color="auto" w:fill="auto"/>
                  <w:noWrap w:val="0"/>
                  <w:vAlign w:val="center"/>
                </w:tcPr>
                <w:p w14:paraId="5CCD1245">
                  <w:pPr>
                    <w:pStyle w:val="52"/>
                    <w:ind w:firstLine="0" w:firstLineChars="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highlight w:val="none"/>
                      <w:lang w:val="en-US" w:eastAsia="zh-CN"/>
                    </w:rPr>
                    <w:t>110°1</w:t>
                  </w:r>
                  <w:r>
                    <w:rPr>
                      <w:rFonts w:hint="eastAsia" w:cs="Times New Roman"/>
                      <w:bCs/>
                      <w:color w:val="auto"/>
                      <w:highlight w:val="none"/>
                      <w:lang w:val="en-US" w:eastAsia="zh-CN"/>
                    </w:rPr>
                    <w:t>4</w:t>
                  </w:r>
                  <w:r>
                    <w:rPr>
                      <w:rFonts w:hint="default" w:ascii="Times New Roman" w:hAnsi="Times New Roman" w:cs="Times New Roman"/>
                      <w:bCs/>
                      <w:color w:val="auto"/>
                      <w:highlight w:val="none"/>
                      <w:lang w:val="en-US" w:eastAsia="zh-CN"/>
                    </w:rPr>
                    <w:t>′</w:t>
                  </w:r>
                  <w:r>
                    <w:rPr>
                      <w:rFonts w:hint="eastAsia" w:cs="Times New Roman"/>
                      <w:bCs/>
                      <w:color w:val="auto"/>
                      <w:highlight w:val="none"/>
                      <w:lang w:val="en-US" w:eastAsia="zh-CN"/>
                    </w:rPr>
                    <w:t>30.50</w:t>
                  </w:r>
                  <w:r>
                    <w:rPr>
                      <w:rFonts w:hint="default" w:ascii="Times New Roman" w:hAnsi="Times New Roman" w:cs="Times New Roman"/>
                      <w:bCs/>
                      <w:color w:val="auto"/>
                      <w:highlight w:val="none"/>
                      <w:lang w:val="en-US" w:eastAsia="zh-CN"/>
                    </w:rPr>
                    <w:t>″E</w:t>
                  </w:r>
                  <w:r>
                    <w:rPr>
                      <w:rFonts w:hint="eastAsia" w:ascii="Times New Roman" w:hAnsi="Times New Roman" w:cs="Times New Roman"/>
                      <w:bCs/>
                      <w:color w:val="auto"/>
                      <w:highlight w:val="none"/>
                      <w:lang w:val="en-US" w:eastAsia="zh-CN"/>
                    </w:rPr>
                    <w:t>；</w:t>
                  </w:r>
                  <w:r>
                    <w:rPr>
                      <w:rFonts w:hint="default" w:ascii="Times New Roman" w:hAnsi="Times New Roman" w:cs="Times New Roman"/>
                      <w:bCs/>
                      <w:color w:val="auto"/>
                      <w:highlight w:val="none"/>
                      <w:lang w:val="en-US" w:eastAsia="zh-CN"/>
                    </w:rPr>
                    <w:t>39°3</w:t>
                  </w:r>
                  <w:r>
                    <w:rPr>
                      <w:rFonts w:hint="eastAsia" w:cs="Times New Roman"/>
                      <w:bCs/>
                      <w:color w:val="auto"/>
                      <w:highlight w:val="none"/>
                      <w:lang w:val="en-US" w:eastAsia="zh-CN"/>
                    </w:rPr>
                    <w:t>5</w:t>
                  </w:r>
                  <w:r>
                    <w:rPr>
                      <w:rFonts w:hint="default" w:ascii="Times New Roman" w:hAnsi="Times New Roman" w:cs="Times New Roman"/>
                      <w:bCs/>
                      <w:color w:val="auto"/>
                      <w:highlight w:val="none"/>
                      <w:lang w:val="en-US" w:eastAsia="zh-CN"/>
                    </w:rPr>
                    <w:t>′</w:t>
                  </w:r>
                  <w:r>
                    <w:rPr>
                      <w:rFonts w:hint="eastAsia" w:cs="Times New Roman"/>
                      <w:bCs/>
                      <w:color w:val="auto"/>
                      <w:highlight w:val="none"/>
                      <w:lang w:val="en-US" w:eastAsia="zh-CN"/>
                    </w:rPr>
                    <w:t>58.63</w:t>
                  </w:r>
                  <w:r>
                    <w:rPr>
                      <w:rFonts w:hint="default" w:ascii="Times New Roman" w:hAnsi="Times New Roman" w:cs="Times New Roman"/>
                      <w:bCs/>
                      <w:color w:val="auto"/>
                      <w:highlight w:val="none"/>
                      <w:lang w:val="en-US" w:eastAsia="zh-CN"/>
                    </w:rPr>
                    <w:t>″N</w:t>
                  </w:r>
                </w:p>
              </w:tc>
              <w:tc>
                <w:tcPr>
                  <w:tcW w:w="788" w:type="pct"/>
                  <w:shd w:val="clear" w:color="auto" w:fill="auto"/>
                  <w:noWrap w:val="0"/>
                  <w:vAlign w:val="center"/>
                </w:tcPr>
                <w:p w14:paraId="3ABF0B67">
                  <w:pPr>
                    <w:keepNext w:val="0"/>
                    <w:keepLines w:val="0"/>
                    <w:widowControl/>
                    <w:suppressLineNumbers w:val="0"/>
                    <w:ind w:firstLine="0" w:firstLineChars="0"/>
                    <w:jc w:val="center"/>
                    <w:textAlignment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3</w:t>
                  </w:r>
                </w:p>
              </w:tc>
              <w:tc>
                <w:tcPr>
                  <w:tcW w:w="506" w:type="pct"/>
                  <w:shd w:val="clear" w:color="auto" w:fill="auto"/>
                  <w:noWrap w:val="0"/>
                  <w:vAlign w:val="center"/>
                </w:tcPr>
                <w:p w14:paraId="01215BEF">
                  <w:pPr>
                    <w:keepNext w:val="0"/>
                    <w:keepLines w:val="0"/>
                    <w:widowControl/>
                    <w:suppressLineNumbers w:val="0"/>
                    <w:ind w:firstLine="0" w:firstLineChars="0"/>
                    <w:jc w:val="center"/>
                    <w:textAlignment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43</w:t>
                  </w:r>
                </w:p>
              </w:tc>
              <w:tc>
                <w:tcPr>
                  <w:tcW w:w="720" w:type="pct"/>
                  <w:shd w:val="clear" w:color="auto" w:fill="auto"/>
                  <w:noWrap w:val="0"/>
                  <w:vAlign w:val="center"/>
                </w:tcPr>
                <w:p w14:paraId="56223026">
                  <w:pPr>
                    <w:keepNext w:val="0"/>
                    <w:keepLines w:val="0"/>
                    <w:widowControl/>
                    <w:suppressLineNumbers w:val="0"/>
                    <w:ind w:firstLine="0" w:firstLineChars="0"/>
                    <w:jc w:val="center"/>
                    <w:textAlignment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1250</w:t>
                  </w:r>
                </w:p>
              </w:tc>
            </w:tr>
            <w:tr w14:paraId="4EC0B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noWrap w:val="0"/>
                  <w:vAlign w:val="center"/>
                </w:tcPr>
                <w:p w14:paraId="236E4B72">
                  <w:pPr>
                    <w:pStyle w:val="52"/>
                    <w:ind w:firstLine="0" w:firstLineChars="0"/>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lang w:val="en-US" w:eastAsia="zh-CN"/>
                    </w:rPr>
                    <w:t>3</w:t>
                  </w:r>
                </w:p>
              </w:tc>
              <w:tc>
                <w:tcPr>
                  <w:tcW w:w="599" w:type="pct"/>
                  <w:noWrap w:val="0"/>
                  <w:vAlign w:val="center"/>
                </w:tcPr>
                <w:p w14:paraId="19311B0D">
                  <w:pPr>
                    <w:pStyle w:val="52"/>
                    <w:ind w:firstLine="0" w:firstLineChars="0"/>
                    <w:rPr>
                      <w:rFonts w:hint="default" w:ascii="Times New Roman" w:hAnsi="Times New Roman" w:eastAsia="宋体" w:cs="Times New Roman"/>
                      <w:bCs/>
                      <w:color w:val="auto"/>
                      <w:highlight w:val="none"/>
                      <w:lang w:val="en-US" w:eastAsia="zh-CN"/>
                    </w:rPr>
                  </w:pPr>
                  <w:r>
                    <w:rPr>
                      <w:rFonts w:hint="eastAsia" w:ascii="Times New Roman" w:hAnsi="Times New Roman" w:eastAsia="宋体" w:cs="Times New Roman"/>
                      <w:bCs/>
                      <w:color w:val="auto"/>
                      <w:highlight w:val="none"/>
                      <w:lang w:val="en-US" w:eastAsia="zh-CN"/>
                    </w:rPr>
                    <w:t>3</w:t>
                  </w:r>
                  <w:r>
                    <w:rPr>
                      <w:rFonts w:hint="default"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lang w:val="en-US" w:eastAsia="zh-CN"/>
                    </w:rPr>
                    <w:t>3</w:t>
                  </w:r>
                </w:p>
              </w:tc>
              <w:tc>
                <w:tcPr>
                  <w:tcW w:w="1854" w:type="pct"/>
                  <w:shd w:val="clear" w:color="auto" w:fill="auto"/>
                  <w:noWrap w:val="0"/>
                  <w:vAlign w:val="center"/>
                </w:tcPr>
                <w:p w14:paraId="107F284D">
                  <w:pPr>
                    <w:adjustRightInd w:val="0"/>
                    <w:snapToGrid w:val="0"/>
                    <w:spacing w:line="0" w:lineRule="atLeast"/>
                    <w:jc w:val="center"/>
                    <w:rPr>
                      <w:rFonts w:hint="default" w:ascii="Times New Roman" w:hAnsi="Times New Roman" w:eastAsia="宋体" w:cs="Times New Roman"/>
                      <w:snapToGrid w:val="0"/>
                      <w:color w:val="auto"/>
                      <w:kern w:val="0"/>
                      <w:sz w:val="21"/>
                      <w:szCs w:val="24"/>
                      <w:highlight w:val="none"/>
                      <w:lang w:val="en-US" w:eastAsia="zh-CN" w:bidi="ar-SA"/>
                    </w:rPr>
                  </w:pPr>
                  <w:r>
                    <w:rPr>
                      <w:rFonts w:ascii="Times New Roman" w:hAnsi="Times New Roman" w:cs="Times New Roman"/>
                      <w:color w:val="auto"/>
                      <w:szCs w:val="21"/>
                      <w:highlight w:val="none"/>
                    </w:rPr>
                    <w:t>110°1</w:t>
                  </w:r>
                  <w:r>
                    <w:rPr>
                      <w:rFonts w:hint="eastAsia" w:ascii="Times New Roman" w:hAnsi="Times New Roman" w:cs="Times New Roman"/>
                      <w:color w:val="auto"/>
                      <w:szCs w:val="21"/>
                      <w:highlight w:val="none"/>
                      <w:lang w:val="en-US" w:eastAsia="zh-CN"/>
                    </w:rPr>
                    <w:t>3</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51</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25</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E；</w:t>
                  </w:r>
                  <w:r>
                    <w:rPr>
                      <w:rFonts w:ascii="Times New Roman" w:hAnsi="Times New Roman" w:cs="Times New Roman"/>
                      <w:color w:val="auto"/>
                      <w:szCs w:val="21"/>
                      <w:highlight w:val="none"/>
                    </w:rPr>
                    <w:t>39°</w:t>
                  </w:r>
                  <w:r>
                    <w:rPr>
                      <w:rFonts w:hint="eastAsia" w:ascii="Times New Roman" w:hAnsi="Times New Roman" w:cs="Times New Roman"/>
                      <w:color w:val="auto"/>
                      <w:szCs w:val="21"/>
                      <w:highlight w:val="none"/>
                      <w:lang w:val="en-US" w:eastAsia="zh-CN"/>
                    </w:rPr>
                    <w:t>36</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53.53</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N</w:t>
                  </w:r>
                </w:p>
              </w:tc>
              <w:tc>
                <w:tcPr>
                  <w:tcW w:w="788" w:type="pct"/>
                  <w:shd w:val="clear" w:color="auto" w:fill="auto"/>
                  <w:noWrap w:val="0"/>
                  <w:vAlign w:val="center"/>
                </w:tcPr>
                <w:p w14:paraId="347DD41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5</w:t>
                  </w:r>
                </w:p>
              </w:tc>
              <w:tc>
                <w:tcPr>
                  <w:tcW w:w="506" w:type="pct"/>
                  <w:shd w:val="clear" w:color="auto" w:fill="auto"/>
                  <w:noWrap w:val="0"/>
                  <w:vAlign w:val="center"/>
                </w:tcPr>
                <w:p w14:paraId="7EFEDD2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48</w:t>
                  </w:r>
                </w:p>
              </w:tc>
              <w:tc>
                <w:tcPr>
                  <w:tcW w:w="720" w:type="pct"/>
                  <w:shd w:val="clear" w:color="auto" w:fill="auto"/>
                  <w:noWrap w:val="0"/>
                  <w:vAlign w:val="center"/>
                </w:tcPr>
                <w:p w14:paraId="0D94C65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1268</w:t>
                  </w:r>
                </w:p>
              </w:tc>
            </w:tr>
          </w:tbl>
          <w:p w14:paraId="0241A272">
            <w:pPr>
              <w:adjustRightInd w:val="0"/>
              <w:snapToGrid w:val="0"/>
              <w:spacing w:line="360" w:lineRule="auto"/>
              <w:jc w:val="center"/>
              <w:rPr>
                <w:rFonts w:hint="eastAsia" w:ascii="宋体" w:hAnsi="宋体" w:eastAsia="宋体" w:cs="宋体"/>
                <w:b/>
                <w:bCs/>
                <w:color w:val="auto"/>
                <w:spacing w:val="-3"/>
                <w:kern w:val="2"/>
                <w:sz w:val="21"/>
                <w:szCs w:val="21"/>
                <w:highlight w:val="none"/>
                <w:lang w:val="en-US" w:eastAsia="zh-CN" w:bidi="ar-SA"/>
              </w:rPr>
            </w:pPr>
            <w:r>
              <w:rPr>
                <w:rFonts w:hint="default" w:ascii="宋体" w:hAnsi="宋体" w:eastAsia="宋体" w:cs="宋体"/>
                <w:b/>
                <w:bCs/>
                <w:color w:val="auto"/>
                <w:spacing w:val="-3"/>
                <w:kern w:val="2"/>
                <w:sz w:val="21"/>
                <w:szCs w:val="21"/>
                <w:highlight w:val="none"/>
                <w:lang w:val="en-US" w:eastAsia="zh-CN" w:bidi="ar-SA"/>
              </w:rPr>
              <w:t>表3-</w:t>
            </w:r>
            <w:r>
              <w:rPr>
                <w:rFonts w:hint="eastAsia" w:ascii="宋体" w:hAnsi="宋体" w:eastAsia="宋体" w:cs="宋体"/>
                <w:b/>
                <w:bCs/>
                <w:color w:val="auto"/>
                <w:spacing w:val="-3"/>
                <w:kern w:val="2"/>
                <w:sz w:val="21"/>
                <w:szCs w:val="21"/>
                <w:highlight w:val="none"/>
                <w:lang w:val="en-US" w:eastAsia="zh-CN" w:bidi="ar-SA"/>
              </w:rPr>
              <w:t>6 地下水检测项目及分析方法一览表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95"/>
              <w:gridCol w:w="2609"/>
              <w:gridCol w:w="1267"/>
              <w:gridCol w:w="1438"/>
              <w:gridCol w:w="1180"/>
            </w:tblGrid>
            <w:tr w14:paraId="7E50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vAlign w:val="center"/>
                </w:tcPr>
                <w:p w14:paraId="1D204A1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序号</w:t>
                  </w:r>
                </w:p>
              </w:tc>
              <w:tc>
                <w:tcPr>
                  <w:tcW w:w="628" w:type="pct"/>
                  <w:vAlign w:val="center"/>
                </w:tcPr>
                <w:p w14:paraId="07D92B8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检测项目</w:t>
                  </w:r>
                </w:p>
              </w:tc>
              <w:tc>
                <w:tcPr>
                  <w:tcW w:w="1647" w:type="pct"/>
                  <w:vAlign w:val="center"/>
                </w:tcPr>
                <w:p w14:paraId="326620E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eastAsia="zh-CN"/>
                    </w:rPr>
                    <w:t>检测</w:t>
                  </w:r>
                  <w:r>
                    <w:rPr>
                      <w:rFonts w:hint="default" w:ascii="Times New Roman" w:hAnsi="Times New Roman" w:eastAsia="宋体" w:cs="Times New Roman"/>
                      <w:color w:val="auto"/>
                      <w:kern w:val="0"/>
                      <w:sz w:val="21"/>
                      <w:szCs w:val="21"/>
                      <w:highlight w:val="none"/>
                    </w:rPr>
                    <w:t>标准（方法）</w:t>
                  </w:r>
                </w:p>
              </w:tc>
              <w:tc>
                <w:tcPr>
                  <w:tcW w:w="800" w:type="pct"/>
                  <w:vAlign w:val="center"/>
                </w:tcPr>
                <w:p w14:paraId="5322EF0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检出限</w:t>
                  </w:r>
                </w:p>
              </w:tc>
              <w:tc>
                <w:tcPr>
                  <w:tcW w:w="908" w:type="pct"/>
                  <w:vAlign w:val="center"/>
                </w:tcPr>
                <w:p w14:paraId="3AFE47C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仪器名称型号</w:t>
                  </w:r>
                </w:p>
              </w:tc>
              <w:tc>
                <w:tcPr>
                  <w:tcW w:w="744" w:type="pct"/>
                  <w:vAlign w:val="center"/>
                </w:tcPr>
                <w:p w14:paraId="2DA73D8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编号</w:t>
                  </w:r>
                </w:p>
              </w:tc>
            </w:tr>
            <w:tr w14:paraId="73CD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103FF14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w:t>
                  </w:r>
                </w:p>
              </w:tc>
              <w:tc>
                <w:tcPr>
                  <w:tcW w:w="628" w:type="pct"/>
                  <w:shd w:val="clear" w:color="auto" w:fill="auto"/>
                  <w:vAlign w:val="center"/>
                </w:tcPr>
                <w:p w14:paraId="51ED940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pH</w:t>
                  </w:r>
                </w:p>
              </w:tc>
              <w:tc>
                <w:tcPr>
                  <w:tcW w:w="1647" w:type="pct"/>
                  <w:vAlign w:val="center"/>
                </w:tcPr>
                <w:p w14:paraId="1AEF599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《水质 pH值的测定电极法》HJ 1147-2020</w:t>
                  </w:r>
                </w:p>
              </w:tc>
              <w:tc>
                <w:tcPr>
                  <w:tcW w:w="800" w:type="pct"/>
                  <w:vAlign w:val="center"/>
                </w:tcPr>
                <w:p w14:paraId="629A388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908" w:type="pct"/>
                  <w:vAlign w:val="center"/>
                </w:tcPr>
                <w:p w14:paraId="2E0D15C5">
                  <w:pPr>
                    <w:pStyle w:val="11"/>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便携式PH计PHBJ-260</w:t>
                  </w:r>
                </w:p>
              </w:tc>
              <w:tc>
                <w:tcPr>
                  <w:tcW w:w="744" w:type="pct"/>
                  <w:vAlign w:val="center"/>
                </w:tcPr>
                <w:p w14:paraId="1B4B029F">
                  <w:pPr>
                    <w:pStyle w:val="11"/>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ZMSB-031</w:t>
                  </w:r>
                </w:p>
              </w:tc>
            </w:tr>
            <w:tr w14:paraId="328E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10959B3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2</w:t>
                  </w:r>
                </w:p>
              </w:tc>
              <w:tc>
                <w:tcPr>
                  <w:tcW w:w="628" w:type="pct"/>
                  <w:shd w:val="clear" w:color="auto" w:fill="auto"/>
                  <w:vAlign w:val="center"/>
                </w:tcPr>
                <w:p w14:paraId="15633B14">
                  <w:pPr>
                    <w:pStyle w:val="11"/>
                    <w:keepNext w:val="0"/>
                    <w:keepLines w:val="0"/>
                    <w:pageBreakBefore w:val="0"/>
                    <w:kinsoku/>
                    <w:wordWrap/>
                    <w:overflowPunct/>
                    <w:topLinePunct w:val="0"/>
                    <w:autoSpaceDE/>
                    <w:autoSpaceDN/>
                    <w:bidi w:val="0"/>
                    <w:adjustRightInd w:val="0"/>
                    <w:snapToGrid w:val="0"/>
                    <w:spacing w:before="0" w:beforeAutospacing="0" w:after="0" w:afterAutospacing="0"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highlight w:val="none"/>
                    </w:rPr>
                    <w:t>总硬度</w:t>
                  </w:r>
                </w:p>
              </w:tc>
              <w:tc>
                <w:tcPr>
                  <w:tcW w:w="1647" w:type="pct"/>
                  <w:shd w:val="clear" w:color="auto" w:fill="auto"/>
                  <w:vAlign w:val="center"/>
                </w:tcPr>
                <w:p w14:paraId="03A0FF89">
                  <w:pPr>
                    <w:pStyle w:val="11"/>
                    <w:keepNext w:val="0"/>
                    <w:keepLines w:val="0"/>
                    <w:pageBreakBefore w:val="0"/>
                    <w:kinsoku/>
                    <w:wordWrap/>
                    <w:overflowPunct/>
                    <w:topLinePunct w:val="0"/>
                    <w:autoSpaceDE/>
                    <w:autoSpaceDN/>
                    <w:bidi w:val="0"/>
                    <w:adjustRightInd w:val="0"/>
                    <w:snapToGrid w:val="0"/>
                    <w:spacing w:before="0" w:beforeAutospacing="0" w:after="0" w:afterAutospacing="0"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rPr>
                    <w:t>《生活饮用水标准检验方法 第4部分：感官性状和物理指标》GB/T5750.4-2023</w:t>
                  </w:r>
                  <w:r>
                    <w:rPr>
                      <w:rFonts w:hint="default" w:ascii="Times New Roman" w:hAnsi="Times New Roman" w:eastAsia="宋体" w:cs="Times New Roman"/>
                      <w:snapToGrid w:val="0"/>
                      <w:color w:val="auto"/>
                      <w:sz w:val="21"/>
                      <w:szCs w:val="21"/>
                      <w:highlight w:val="none"/>
                      <w:lang w:eastAsia="zh-CN"/>
                    </w:rPr>
                    <w:t>（</w:t>
                  </w:r>
                  <w:r>
                    <w:rPr>
                      <w:rFonts w:hint="default" w:ascii="Times New Roman" w:hAnsi="Times New Roman" w:eastAsia="宋体" w:cs="Times New Roman"/>
                      <w:snapToGrid w:val="0"/>
                      <w:color w:val="auto"/>
                      <w:sz w:val="21"/>
                      <w:szCs w:val="21"/>
                      <w:highlight w:val="none"/>
                    </w:rPr>
                    <w:t>10.1乙二胺四乙酸二钠滴定法</w:t>
                  </w:r>
                  <w:r>
                    <w:rPr>
                      <w:rFonts w:hint="default" w:ascii="Times New Roman" w:hAnsi="Times New Roman" w:eastAsia="宋体" w:cs="Times New Roman"/>
                      <w:snapToGrid w:val="0"/>
                      <w:color w:val="auto"/>
                      <w:sz w:val="21"/>
                      <w:szCs w:val="21"/>
                      <w:highlight w:val="none"/>
                      <w:lang w:eastAsia="zh-CN"/>
                    </w:rPr>
                    <w:t>）</w:t>
                  </w:r>
                </w:p>
              </w:tc>
              <w:tc>
                <w:tcPr>
                  <w:tcW w:w="800" w:type="pct"/>
                  <w:shd w:val="clear" w:color="auto" w:fill="auto"/>
                  <w:vAlign w:val="center"/>
                </w:tcPr>
                <w:p w14:paraId="7BC81367">
                  <w:pPr>
                    <w:pStyle w:val="11"/>
                    <w:keepNext w:val="0"/>
                    <w:keepLines w:val="0"/>
                    <w:pageBreakBefore w:val="0"/>
                    <w:kinsoku/>
                    <w:wordWrap/>
                    <w:overflowPunct/>
                    <w:topLinePunct w:val="0"/>
                    <w:autoSpaceDE/>
                    <w:autoSpaceDN/>
                    <w:bidi w:val="0"/>
                    <w:adjustRightInd w:val="0"/>
                    <w:snapToGrid w:val="0"/>
                    <w:spacing w:before="0" w:beforeAutospacing="0" w:after="0" w:afterAutospacing="0"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1.0</w:t>
                  </w:r>
                  <w:r>
                    <w:rPr>
                      <w:rFonts w:hint="default" w:ascii="Times New Roman" w:hAnsi="Times New Roman" w:eastAsia="宋体" w:cs="Times New Roman"/>
                      <w:snapToGrid w:val="0"/>
                      <w:color w:val="auto"/>
                      <w:kern w:val="0"/>
                      <w:sz w:val="21"/>
                      <w:szCs w:val="21"/>
                      <w:highlight w:val="none"/>
                      <w:lang w:val="en-US" w:eastAsia="zh-CN" w:bidi="ar-SA"/>
                    </w:rPr>
                    <w:t>mg/L</w:t>
                  </w:r>
                </w:p>
              </w:tc>
              <w:tc>
                <w:tcPr>
                  <w:tcW w:w="908" w:type="pct"/>
                  <w:shd w:val="clear" w:color="auto" w:fill="auto"/>
                  <w:vAlign w:val="center"/>
                </w:tcPr>
                <w:p w14:paraId="3040BDE1">
                  <w:pPr>
                    <w:pStyle w:val="11"/>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position w:val="-1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酸式滴定管50.00mL</w:t>
                  </w:r>
                </w:p>
              </w:tc>
              <w:tc>
                <w:tcPr>
                  <w:tcW w:w="744" w:type="pct"/>
                  <w:shd w:val="clear" w:color="auto" w:fill="auto"/>
                  <w:vAlign w:val="center"/>
                </w:tcPr>
                <w:p w14:paraId="618F8500">
                  <w:pPr>
                    <w:pStyle w:val="11"/>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ZMSB-102</w:t>
                  </w:r>
                </w:p>
              </w:tc>
            </w:tr>
            <w:tr w14:paraId="07DD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3E8A71E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w:t>
                  </w:r>
                </w:p>
              </w:tc>
              <w:tc>
                <w:tcPr>
                  <w:tcW w:w="628" w:type="pct"/>
                  <w:shd w:val="clear" w:color="auto" w:fill="auto"/>
                  <w:vAlign w:val="center"/>
                </w:tcPr>
                <w:p w14:paraId="640D77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溶解性总固体</w:t>
                  </w:r>
                </w:p>
              </w:tc>
              <w:tc>
                <w:tcPr>
                  <w:tcW w:w="1647" w:type="pct"/>
                  <w:shd w:val="clear" w:color="auto" w:fill="auto"/>
                  <w:vAlign w:val="center"/>
                </w:tcPr>
                <w:p w14:paraId="14619335">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《生活饮用水标准检验方法 第4部分：感官性状和物理指标》 GB/T5750.4-2023（11.1 称量法）</w:t>
                  </w:r>
                </w:p>
              </w:tc>
              <w:tc>
                <w:tcPr>
                  <w:tcW w:w="800" w:type="pct"/>
                  <w:shd w:val="clear" w:color="auto" w:fill="auto"/>
                  <w:vAlign w:val="center"/>
                </w:tcPr>
                <w:p w14:paraId="64CE49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908" w:type="pct"/>
                  <w:shd w:val="clear" w:color="auto" w:fill="auto"/>
                  <w:vAlign w:val="center"/>
                </w:tcPr>
                <w:p w14:paraId="509B0C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电子天平</w:t>
                  </w:r>
                </w:p>
                <w:p w14:paraId="60CDFC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FA2004</w:t>
                  </w:r>
                </w:p>
              </w:tc>
              <w:tc>
                <w:tcPr>
                  <w:tcW w:w="744" w:type="pct"/>
                  <w:shd w:val="clear" w:color="auto" w:fill="auto"/>
                  <w:vAlign w:val="center"/>
                </w:tcPr>
                <w:p w14:paraId="3A68FC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ZMSB-012</w:t>
                  </w:r>
                </w:p>
              </w:tc>
            </w:tr>
            <w:tr w14:paraId="3576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289C828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4</w:t>
                  </w:r>
                </w:p>
              </w:tc>
              <w:tc>
                <w:tcPr>
                  <w:tcW w:w="628" w:type="pct"/>
                  <w:shd w:val="clear" w:color="auto" w:fill="auto"/>
                  <w:vAlign w:val="center"/>
                </w:tcPr>
                <w:p w14:paraId="1A0B7E7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高锰酸盐指数</w:t>
                  </w:r>
                </w:p>
              </w:tc>
              <w:tc>
                <w:tcPr>
                  <w:tcW w:w="1647" w:type="pct"/>
                  <w:shd w:val="clear" w:color="auto" w:fill="auto"/>
                  <w:vAlign w:val="center"/>
                </w:tcPr>
                <w:p w14:paraId="473A7D2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《水质 高锰酸盐指数的测定》GB 11892-89</w:t>
                  </w:r>
                </w:p>
              </w:tc>
              <w:tc>
                <w:tcPr>
                  <w:tcW w:w="800" w:type="pct"/>
                  <w:shd w:val="clear" w:color="auto" w:fill="auto"/>
                  <w:vAlign w:val="center"/>
                </w:tcPr>
                <w:p w14:paraId="25190A6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0.5mg/L</w:t>
                  </w:r>
                </w:p>
              </w:tc>
              <w:tc>
                <w:tcPr>
                  <w:tcW w:w="908" w:type="pct"/>
                  <w:shd w:val="clear" w:color="auto" w:fill="auto"/>
                  <w:vAlign w:val="center"/>
                </w:tcPr>
                <w:p w14:paraId="712575D7">
                  <w:pPr>
                    <w:pStyle w:val="11"/>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酸式滴定管50.00mL</w:t>
                  </w:r>
                </w:p>
              </w:tc>
              <w:tc>
                <w:tcPr>
                  <w:tcW w:w="744" w:type="pct"/>
                  <w:shd w:val="clear" w:color="auto" w:fill="auto"/>
                  <w:vAlign w:val="center"/>
                </w:tcPr>
                <w:p w14:paraId="093026A3">
                  <w:pPr>
                    <w:pStyle w:val="11"/>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ZMSB-102</w:t>
                  </w:r>
                </w:p>
              </w:tc>
            </w:tr>
            <w:tr w14:paraId="4FA7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5D07F49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5</w:t>
                  </w:r>
                </w:p>
              </w:tc>
              <w:tc>
                <w:tcPr>
                  <w:tcW w:w="628" w:type="pct"/>
                  <w:shd w:val="clear" w:color="auto" w:fill="auto"/>
                  <w:vAlign w:val="center"/>
                </w:tcPr>
                <w:p w14:paraId="75CD8B4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kern w:val="2"/>
                      <w:sz w:val="21"/>
                      <w:szCs w:val="21"/>
                      <w:highlight w:val="none"/>
                    </w:rPr>
                    <w:t>氨氮</w:t>
                  </w:r>
                </w:p>
              </w:tc>
              <w:tc>
                <w:tcPr>
                  <w:tcW w:w="1647" w:type="pct"/>
                  <w:vAlign w:val="center"/>
                </w:tcPr>
                <w:p w14:paraId="4E28F08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《水质 氨氮的测定 纳氏试剂分光光度法》HJ 535-2009</w:t>
                  </w:r>
                </w:p>
              </w:tc>
              <w:tc>
                <w:tcPr>
                  <w:tcW w:w="800" w:type="pct"/>
                  <w:vAlign w:val="center"/>
                </w:tcPr>
                <w:p w14:paraId="711E1B1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0.025mg/L</w:t>
                  </w:r>
                </w:p>
              </w:tc>
              <w:tc>
                <w:tcPr>
                  <w:tcW w:w="908" w:type="pct"/>
                  <w:vAlign w:val="center"/>
                </w:tcPr>
                <w:p w14:paraId="0CEAF7F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vAlign w:val="center"/>
                </w:tcPr>
                <w:p w14:paraId="2C440427">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55FB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2EC9947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6</w:t>
                  </w:r>
                </w:p>
              </w:tc>
              <w:tc>
                <w:tcPr>
                  <w:tcW w:w="628" w:type="pct"/>
                  <w:shd w:val="clear" w:color="auto" w:fill="auto"/>
                  <w:vAlign w:val="center"/>
                </w:tcPr>
                <w:p w14:paraId="35FB5D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硝酸盐氮</w:t>
                  </w:r>
                </w:p>
              </w:tc>
              <w:tc>
                <w:tcPr>
                  <w:tcW w:w="1647" w:type="pct"/>
                  <w:vAlign w:val="center"/>
                </w:tcPr>
                <w:p w14:paraId="5F7FC3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《水质 硝酸盐氮的测定 酚二磺酸分光光度法》GB 7480-87 </w:t>
                  </w:r>
                </w:p>
              </w:tc>
              <w:tc>
                <w:tcPr>
                  <w:tcW w:w="800" w:type="pct"/>
                  <w:vAlign w:val="center"/>
                </w:tcPr>
                <w:p w14:paraId="1FB21C27">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0.02mg/L</w:t>
                  </w:r>
                </w:p>
              </w:tc>
              <w:tc>
                <w:tcPr>
                  <w:tcW w:w="908" w:type="pct"/>
                  <w:vAlign w:val="center"/>
                </w:tcPr>
                <w:p w14:paraId="59676A3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vAlign w:val="center"/>
                </w:tcPr>
                <w:p w14:paraId="2AA4D56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01C8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168FA2D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7</w:t>
                  </w:r>
                </w:p>
              </w:tc>
              <w:tc>
                <w:tcPr>
                  <w:tcW w:w="628" w:type="pct"/>
                  <w:shd w:val="clear" w:color="auto" w:fill="auto"/>
                  <w:vAlign w:val="center"/>
                </w:tcPr>
                <w:p w14:paraId="23A629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亚硝酸盐氮</w:t>
                  </w:r>
                </w:p>
              </w:tc>
              <w:tc>
                <w:tcPr>
                  <w:tcW w:w="1647" w:type="pct"/>
                  <w:vAlign w:val="center"/>
                </w:tcPr>
                <w:p w14:paraId="6F5455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《水质 亚硝酸盐氮的测定 分光光度法》GB 7493-87</w:t>
                  </w:r>
                </w:p>
              </w:tc>
              <w:tc>
                <w:tcPr>
                  <w:tcW w:w="800" w:type="pct"/>
                  <w:vAlign w:val="center"/>
                </w:tcPr>
                <w:p w14:paraId="667023F2">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0.003mg/L</w:t>
                  </w:r>
                </w:p>
              </w:tc>
              <w:tc>
                <w:tcPr>
                  <w:tcW w:w="908" w:type="pct"/>
                  <w:vAlign w:val="center"/>
                </w:tcPr>
                <w:p w14:paraId="64A6B3AF">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vAlign w:val="center"/>
                </w:tcPr>
                <w:p w14:paraId="68CDD47E">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009D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4E22692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8</w:t>
                  </w:r>
                </w:p>
              </w:tc>
              <w:tc>
                <w:tcPr>
                  <w:tcW w:w="628" w:type="pct"/>
                  <w:shd w:val="clear" w:color="auto" w:fill="auto"/>
                  <w:vAlign w:val="center"/>
                </w:tcPr>
                <w:p w14:paraId="5EEB4E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挥发酚</w:t>
                  </w:r>
                </w:p>
              </w:tc>
              <w:tc>
                <w:tcPr>
                  <w:tcW w:w="1647" w:type="pct"/>
                  <w:vAlign w:val="center"/>
                </w:tcPr>
                <w:p w14:paraId="7B1361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lang w:val="en-US" w:eastAsia="zh-CN"/>
                    </w:rPr>
                    <w:t xml:space="preserve">《水质 挥发酚的测定4-氨基安替吡啉分光光度法》HJ 503-2009 </w:t>
                  </w:r>
                </w:p>
              </w:tc>
              <w:tc>
                <w:tcPr>
                  <w:tcW w:w="800" w:type="pct"/>
                  <w:vAlign w:val="center"/>
                </w:tcPr>
                <w:p w14:paraId="45403256">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0.0003mg/L</w:t>
                  </w:r>
                </w:p>
              </w:tc>
              <w:tc>
                <w:tcPr>
                  <w:tcW w:w="908" w:type="pct"/>
                  <w:vAlign w:val="center"/>
                </w:tcPr>
                <w:p w14:paraId="35439EE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vAlign w:val="center"/>
                </w:tcPr>
                <w:p w14:paraId="044FD97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4F9C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0898C05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9</w:t>
                  </w:r>
                </w:p>
              </w:tc>
              <w:tc>
                <w:tcPr>
                  <w:tcW w:w="628" w:type="pct"/>
                  <w:shd w:val="clear" w:color="auto" w:fill="auto"/>
                  <w:vAlign w:val="center"/>
                </w:tcPr>
                <w:p w14:paraId="14987D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氰化物</w:t>
                  </w:r>
                </w:p>
              </w:tc>
              <w:tc>
                <w:tcPr>
                  <w:tcW w:w="1647" w:type="pct"/>
                  <w:vAlign w:val="center"/>
                </w:tcPr>
                <w:p w14:paraId="327363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《生活饮用水标准检验方法 第5部分：无机非金属指标》</w:t>
                  </w:r>
                </w:p>
                <w:p w14:paraId="211DB8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lang w:val="en-US" w:eastAsia="zh-CN"/>
                    </w:rPr>
                    <w:t>GB/T 5750.5-2023（7.1 异烟酸—吡唑啉酮分光光度法）</w:t>
                  </w:r>
                </w:p>
              </w:tc>
              <w:tc>
                <w:tcPr>
                  <w:tcW w:w="800" w:type="pct"/>
                  <w:vAlign w:val="center"/>
                </w:tcPr>
                <w:p w14:paraId="5AC6231E">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0.002mg/L</w:t>
                  </w:r>
                </w:p>
              </w:tc>
              <w:tc>
                <w:tcPr>
                  <w:tcW w:w="908" w:type="pct"/>
                  <w:vAlign w:val="center"/>
                </w:tcPr>
                <w:p w14:paraId="63BCDDC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vAlign w:val="center"/>
                </w:tcPr>
                <w:p w14:paraId="1866A699">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0ADB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790605D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10</w:t>
                  </w:r>
                </w:p>
              </w:tc>
              <w:tc>
                <w:tcPr>
                  <w:tcW w:w="628" w:type="pct"/>
                  <w:shd w:val="clear" w:color="auto" w:fill="auto"/>
                  <w:vAlign w:val="center"/>
                </w:tcPr>
                <w:p w14:paraId="4A63DE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氟化物</w:t>
                  </w:r>
                </w:p>
              </w:tc>
              <w:tc>
                <w:tcPr>
                  <w:tcW w:w="1647" w:type="pct"/>
                  <w:shd w:val="clear" w:color="auto" w:fill="auto"/>
                  <w:vAlign w:val="center"/>
                </w:tcPr>
                <w:p w14:paraId="1703F4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《水质 氟化物的测定 氟试剂分光光度法》HJ 488-2009</w:t>
                  </w:r>
                </w:p>
              </w:tc>
              <w:tc>
                <w:tcPr>
                  <w:tcW w:w="800" w:type="pct"/>
                  <w:shd w:val="clear" w:color="auto" w:fill="auto"/>
                  <w:vAlign w:val="center"/>
                </w:tcPr>
                <w:p w14:paraId="65FD30FA">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0.02mg/L</w:t>
                  </w:r>
                </w:p>
              </w:tc>
              <w:tc>
                <w:tcPr>
                  <w:tcW w:w="908" w:type="pct"/>
                  <w:shd w:val="clear" w:color="auto" w:fill="auto"/>
                  <w:vAlign w:val="center"/>
                </w:tcPr>
                <w:p w14:paraId="0E36CFC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shd w:val="clear" w:color="auto" w:fill="auto"/>
                  <w:vAlign w:val="center"/>
                </w:tcPr>
                <w:p w14:paraId="214EE05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1585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blHeader/>
                <w:jc w:val="center"/>
              </w:trPr>
              <w:tc>
                <w:tcPr>
                  <w:tcW w:w="269" w:type="pct"/>
                  <w:shd w:val="clear" w:color="auto" w:fill="auto"/>
                  <w:vAlign w:val="center"/>
                </w:tcPr>
                <w:p w14:paraId="6B1081E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11</w:t>
                  </w:r>
                </w:p>
              </w:tc>
              <w:tc>
                <w:tcPr>
                  <w:tcW w:w="628" w:type="pct"/>
                  <w:shd w:val="clear" w:color="auto" w:fill="auto"/>
                  <w:vAlign w:val="center"/>
                </w:tcPr>
                <w:p w14:paraId="61E3E8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砷</w:t>
                  </w:r>
                </w:p>
              </w:tc>
              <w:tc>
                <w:tcPr>
                  <w:tcW w:w="1647" w:type="pct"/>
                  <w:vMerge w:val="restart"/>
                  <w:vAlign w:val="center"/>
                </w:tcPr>
                <w:p w14:paraId="292628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z w:val="21"/>
                      <w:szCs w:val="21"/>
                      <w:highlight w:val="none"/>
                      <w:lang w:val="en-US" w:eastAsia="zh-CN"/>
                    </w:rPr>
                    <w:t>《水质 汞、砷、硒、铋和锑的测定 原子荧光法》HJ 694-2014</w:t>
                  </w:r>
                </w:p>
              </w:tc>
              <w:tc>
                <w:tcPr>
                  <w:tcW w:w="800" w:type="pct"/>
                  <w:vAlign w:val="center"/>
                </w:tcPr>
                <w:p w14:paraId="7259C5CD">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0.3µg/L</w:t>
                  </w:r>
                </w:p>
              </w:tc>
              <w:tc>
                <w:tcPr>
                  <w:tcW w:w="908" w:type="pct"/>
                  <w:vMerge w:val="restart"/>
                  <w:vAlign w:val="center"/>
                </w:tcPr>
                <w:p w14:paraId="4FD8FEA0">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原子荧光光谱仪AFS200S</w:t>
                  </w:r>
                </w:p>
              </w:tc>
              <w:tc>
                <w:tcPr>
                  <w:tcW w:w="744" w:type="pct"/>
                  <w:vMerge w:val="restart"/>
                  <w:vAlign w:val="center"/>
                </w:tcPr>
                <w:p w14:paraId="3BCFCB45">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ZMSB-076</w:t>
                  </w:r>
                </w:p>
              </w:tc>
            </w:tr>
            <w:tr w14:paraId="0925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479193F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12</w:t>
                  </w:r>
                </w:p>
              </w:tc>
              <w:tc>
                <w:tcPr>
                  <w:tcW w:w="628" w:type="pct"/>
                  <w:shd w:val="clear" w:color="auto" w:fill="auto"/>
                  <w:vAlign w:val="center"/>
                </w:tcPr>
                <w:p w14:paraId="624FEB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汞</w:t>
                  </w:r>
                </w:p>
              </w:tc>
              <w:tc>
                <w:tcPr>
                  <w:tcW w:w="1647" w:type="pct"/>
                  <w:vMerge w:val="continue"/>
                  <w:vAlign w:val="center"/>
                </w:tcPr>
                <w:p w14:paraId="519296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rPr>
                  </w:pPr>
                </w:p>
              </w:tc>
              <w:tc>
                <w:tcPr>
                  <w:tcW w:w="800" w:type="pct"/>
                  <w:vAlign w:val="center"/>
                </w:tcPr>
                <w:p w14:paraId="32000863">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0.04µg/L</w:t>
                  </w:r>
                </w:p>
              </w:tc>
              <w:tc>
                <w:tcPr>
                  <w:tcW w:w="908" w:type="pct"/>
                  <w:vMerge w:val="continue"/>
                  <w:vAlign w:val="center"/>
                </w:tcPr>
                <w:p w14:paraId="4144D192">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p>
              </w:tc>
              <w:tc>
                <w:tcPr>
                  <w:tcW w:w="744" w:type="pct"/>
                  <w:vMerge w:val="continue"/>
                  <w:vAlign w:val="center"/>
                </w:tcPr>
                <w:p w14:paraId="78F93FA5">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p>
              </w:tc>
            </w:tr>
            <w:tr w14:paraId="3589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4261ED2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13</w:t>
                  </w:r>
                </w:p>
              </w:tc>
              <w:tc>
                <w:tcPr>
                  <w:tcW w:w="628" w:type="pct"/>
                  <w:shd w:val="clear" w:color="auto" w:fill="auto"/>
                  <w:vAlign w:val="center"/>
                </w:tcPr>
                <w:p w14:paraId="2EE8CAB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pacing w:val="-2"/>
                      <w:sz w:val="21"/>
                      <w:szCs w:val="21"/>
                      <w:highlight w:val="none"/>
                    </w:rPr>
                    <w:t>铬（六价）</w:t>
                  </w:r>
                </w:p>
              </w:tc>
              <w:tc>
                <w:tcPr>
                  <w:tcW w:w="1647" w:type="pct"/>
                  <w:vAlign w:val="center"/>
                </w:tcPr>
                <w:p w14:paraId="4753798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color w:val="auto"/>
                      <w:spacing w:val="-2"/>
                      <w:sz w:val="21"/>
                      <w:szCs w:val="21"/>
                      <w:highlight w:val="none"/>
                    </w:rPr>
                    <w:t xml:space="preserve">《生活饮用水标准检验方法 第6部分：金属和类金属指标》GB/T 5750.6-2023（13.1 二苯碳酰二肼分光光度法）      </w:t>
                  </w:r>
                </w:p>
              </w:tc>
              <w:tc>
                <w:tcPr>
                  <w:tcW w:w="800" w:type="pct"/>
                  <w:vAlign w:val="center"/>
                </w:tcPr>
                <w:p w14:paraId="1D25E35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0.004mg/L</w:t>
                  </w:r>
                </w:p>
              </w:tc>
              <w:tc>
                <w:tcPr>
                  <w:tcW w:w="908" w:type="pct"/>
                  <w:vAlign w:val="center"/>
                </w:tcPr>
                <w:p w14:paraId="2DFC2B27">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position w:val="-10"/>
                      <w:sz w:val="21"/>
                      <w:szCs w:val="21"/>
                      <w:highlight w:val="none"/>
                      <w:lang w:val="en-US"/>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vAlign w:val="center"/>
                </w:tcPr>
                <w:p w14:paraId="1BB25ED1">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5E8F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26A138A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14</w:t>
                  </w:r>
                </w:p>
              </w:tc>
              <w:tc>
                <w:tcPr>
                  <w:tcW w:w="628" w:type="pct"/>
                  <w:shd w:val="clear" w:color="auto" w:fill="auto"/>
                  <w:vAlign w:val="center"/>
                </w:tcPr>
                <w:p w14:paraId="29725B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镉</w:t>
                  </w:r>
                </w:p>
              </w:tc>
              <w:tc>
                <w:tcPr>
                  <w:tcW w:w="1647" w:type="pct"/>
                  <w:vMerge w:val="restart"/>
                  <w:shd w:val="clear" w:color="auto" w:fill="auto"/>
                  <w:vAlign w:val="center"/>
                </w:tcPr>
                <w:p w14:paraId="03D346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《水质 铜、锌、铅、镉的测定 原子吸收分光光度法》GB7475-87</w:t>
                  </w:r>
                </w:p>
              </w:tc>
              <w:tc>
                <w:tcPr>
                  <w:tcW w:w="800" w:type="pct"/>
                  <w:shd w:val="clear" w:color="auto" w:fill="auto"/>
                  <w:vAlign w:val="center"/>
                </w:tcPr>
                <w:p w14:paraId="1F80E3B9">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0.001</w:t>
                  </w:r>
                  <w:r>
                    <w:rPr>
                      <w:rFonts w:hint="default" w:ascii="Times New Roman" w:hAnsi="Times New Roman" w:eastAsia="宋体" w:cs="Times New Roman"/>
                      <w:snapToGrid w:val="0"/>
                      <w:color w:val="auto"/>
                      <w:kern w:val="0"/>
                      <w:sz w:val="21"/>
                      <w:szCs w:val="21"/>
                      <w:highlight w:val="none"/>
                      <w:lang w:val="en-US" w:eastAsia="zh-CN" w:bidi="ar-SA"/>
                    </w:rPr>
                    <w:t>mg/L</w:t>
                  </w:r>
                </w:p>
              </w:tc>
              <w:tc>
                <w:tcPr>
                  <w:tcW w:w="908" w:type="pct"/>
                  <w:vMerge w:val="restart"/>
                  <w:shd w:val="clear" w:color="auto" w:fill="auto"/>
                  <w:vAlign w:val="center"/>
                </w:tcPr>
                <w:p w14:paraId="3F0714E8">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一体式原子吸收分光光度计AAS9000</w:t>
                  </w:r>
                </w:p>
              </w:tc>
              <w:tc>
                <w:tcPr>
                  <w:tcW w:w="744" w:type="pct"/>
                  <w:vMerge w:val="restart"/>
                  <w:shd w:val="clear" w:color="auto" w:fill="auto"/>
                  <w:vAlign w:val="center"/>
                </w:tcPr>
                <w:p w14:paraId="260D8FC1">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ZMSB-075</w:t>
                  </w:r>
                </w:p>
              </w:tc>
            </w:tr>
            <w:tr w14:paraId="0E37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4796D8C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15</w:t>
                  </w:r>
                </w:p>
              </w:tc>
              <w:tc>
                <w:tcPr>
                  <w:tcW w:w="628" w:type="pct"/>
                  <w:shd w:val="clear" w:color="auto" w:fill="auto"/>
                  <w:vAlign w:val="center"/>
                </w:tcPr>
                <w:p w14:paraId="78A840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铜</w:t>
                  </w:r>
                </w:p>
              </w:tc>
              <w:tc>
                <w:tcPr>
                  <w:tcW w:w="1647" w:type="pct"/>
                  <w:vMerge w:val="continue"/>
                  <w:shd w:val="clear" w:color="auto" w:fill="auto"/>
                  <w:vAlign w:val="center"/>
                </w:tcPr>
                <w:p w14:paraId="61F49E3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p>
              </w:tc>
              <w:tc>
                <w:tcPr>
                  <w:tcW w:w="800" w:type="pct"/>
                  <w:shd w:val="clear" w:color="auto" w:fill="auto"/>
                  <w:vAlign w:val="center"/>
                </w:tcPr>
                <w:p w14:paraId="7277946F">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0.05mg/L</w:t>
                  </w:r>
                </w:p>
              </w:tc>
              <w:tc>
                <w:tcPr>
                  <w:tcW w:w="908" w:type="pct"/>
                  <w:vMerge w:val="continue"/>
                  <w:shd w:val="clear" w:color="auto" w:fill="auto"/>
                  <w:vAlign w:val="center"/>
                </w:tcPr>
                <w:p w14:paraId="4A69007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p>
              </w:tc>
              <w:tc>
                <w:tcPr>
                  <w:tcW w:w="744" w:type="pct"/>
                  <w:vMerge w:val="continue"/>
                  <w:shd w:val="clear" w:color="auto" w:fill="auto"/>
                  <w:vAlign w:val="center"/>
                </w:tcPr>
                <w:p w14:paraId="6B9CE04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p>
              </w:tc>
            </w:tr>
            <w:tr w14:paraId="128D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6407764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16</w:t>
                  </w:r>
                </w:p>
              </w:tc>
              <w:tc>
                <w:tcPr>
                  <w:tcW w:w="628" w:type="pct"/>
                  <w:shd w:val="clear" w:color="auto" w:fill="auto"/>
                  <w:vAlign w:val="center"/>
                </w:tcPr>
                <w:p w14:paraId="4C1381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锌</w:t>
                  </w:r>
                </w:p>
              </w:tc>
              <w:tc>
                <w:tcPr>
                  <w:tcW w:w="1647" w:type="pct"/>
                  <w:vMerge w:val="continue"/>
                  <w:shd w:val="clear" w:color="auto" w:fill="auto"/>
                  <w:vAlign w:val="center"/>
                </w:tcPr>
                <w:p w14:paraId="1815B12A">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highlight w:val="none"/>
                      <w:lang w:val="en-US" w:eastAsia="zh-CN" w:bidi="ar"/>
                    </w:rPr>
                  </w:pPr>
                </w:p>
              </w:tc>
              <w:tc>
                <w:tcPr>
                  <w:tcW w:w="800" w:type="pct"/>
                  <w:shd w:val="clear" w:color="auto" w:fill="auto"/>
                  <w:vAlign w:val="center"/>
                </w:tcPr>
                <w:p w14:paraId="1C3EE09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0.05mg/L</w:t>
                  </w:r>
                </w:p>
              </w:tc>
              <w:tc>
                <w:tcPr>
                  <w:tcW w:w="908" w:type="pct"/>
                  <w:vMerge w:val="continue"/>
                  <w:shd w:val="clear" w:color="auto" w:fill="auto"/>
                  <w:vAlign w:val="center"/>
                </w:tcPr>
                <w:p w14:paraId="48D0068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p>
              </w:tc>
              <w:tc>
                <w:tcPr>
                  <w:tcW w:w="744" w:type="pct"/>
                  <w:vMerge w:val="continue"/>
                  <w:shd w:val="clear" w:color="auto" w:fill="auto"/>
                  <w:vAlign w:val="center"/>
                </w:tcPr>
                <w:p w14:paraId="3F4EAD5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p>
              </w:tc>
            </w:tr>
            <w:tr w14:paraId="4E0A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0AF537F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17</w:t>
                  </w:r>
                </w:p>
              </w:tc>
              <w:tc>
                <w:tcPr>
                  <w:tcW w:w="628" w:type="pct"/>
                  <w:shd w:val="clear" w:color="auto" w:fill="auto"/>
                  <w:vAlign w:val="center"/>
                </w:tcPr>
                <w:p w14:paraId="117CE1EA">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锰</w:t>
                  </w:r>
                </w:p>
              </w:tc>
              <w:tc>
                <w:tcPr>
                  <w:tcW w:w="1647" w:type="pct"/>
                  <w:vMerge w:val="restart"/>
                  <w:shd w:val="clear" w:color="auto" w:fill="auto"/>
                  <w:vAlign w:val="center"/>
                </w:tcPr>
                <w:p w14:paraId="4E4CFCD2">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《水质 铁、锰的测定 火焰原子吸收分光光度法》GB 11911-89</w:t>
                  </w:r>
                </w:p>
              </w:tc>
              <w:tc>
                <w:tcPr>
                  <w:tcW w:w="800" w:type="pct"/>
                  <w:shd w:val="clear" w:color="auto" w:fill="auto"/>
                  <w:vAlign w:val="center"/>
                </w:tcPr>
                <w:p w14:paraId="659B8503">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0.01mg/L</w:t>
                  </w:r>
                </w:p>
              </w:tc>
              <w:tc>
                <w:tcPr>
                  <w:tcW w:w="908" w:type="pct"/>
                  <w:vMerge w:val="restart"/>
                  <w:shd w:val="clear" w:color="auto" w:fill="auto"/>
                  <w:vAlign w:val="center"/>
                </w:tcPr>
                <w:p w14:paraId="5075C092">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一体式原子吸收分光光度计AAS9000</w:t>
                  </w:r>
                </w:p>
              </w:tc>
              <w:tc>
                <w:tcPr>
                  <w:tcW w:w="744" w:type="pct"/>
                  <w:vMerge w:val="restart"/>
                  <w:shd w:val="clear" w:color="auto" w:fill="auto"/>
                  <w:vAlign w:val="center"/>
                </w:tcPr>
                <w:p w14:paraId="77CD9542">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ZMSB-075</w:t>
                  </w:r>
                </w:p>
              </w:tc>
            </w:tr>
            <w:tr w14:paraId="7A76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212F42E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18</w:t>
                  </w:r>
                </w:p>
              </w:tc>
              <w:tc>
                <w:tcPr>
                  <w:tcW w:w="628" w:type="pct"/>
                  <w:shd w:val="clear" w:color="auto" w:fill="auto"/>
                  <w:vAlign w:val="center"/>
                </w:tcPr>
                <w:p w14:paraId="5FBE8C1B">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铁</w:t>
                  </w:r>
                </w:p>
              </w:tc>
              <w:tc>
                <w:tcPr>
                  <w:tcW w:w="1647" w:type="pct"/>
                  <w:vMerge w:val="continue"/>
                  <w:shd w:val="clear" w:color="auto" w:fill="auto"/>
                  <w:vAlign w:val="center"/>
                </w:tcPr>
                <w:p w14:paraId="485DE204">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tc>
              <w:tc>
                <w:tcPr>
                  <w:tcW w:w="800" w:type="pct"/>
                  <w:shd w:val="clear" w:color="auto" w:fill="auto"/>
                  <w:vAlign w:val="center"/>
                </w:tcPr>
                <w:p w14:paraId="79F7B588">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0.03mg/L</w:t>
                  </w:r>
                </w:p>
              </w:tc>
              <w:tc>
                <w:tcPr>
                  <w:tcW w:w="908" w:type="pct"/>
                  <w:vMerge w:val="continue"/>
                  <w:shd w:val="clear" w:color="auto" w:fill="auto"/>
                  <w:vAlign w:val="center"/>
                </w:tcPr>
                <w:p w14:paraId="30F29A6D">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p>
              </w:tc>
              <w:tc>
                <w:tcPr>
                  <w:tcW w:w="744" w:type="pct"/>
                  <w:vMerge w:val="continue"/>
                  <w:shd w:val="clear" w:color="auto" w:fill="auto"/>
                  <w:vAlign w:val="center"/>
                </w:tcPr>
                <w:p w14:paraId="3828895D">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p>
              </w:tc>
            </w:tr>
            <w:tr w14:paraId="4A4B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0044388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19</w:t>
                  </w:r>
                </w:p>
              </w:tc>
              <w:tc>
                <w:tcPr>
                  <w:tcW w:w="628" w:type="pct"/>
                  <w:shd w:val="clear" w:color="auto" w:fill="auto"/>
                  <w:vAlign w:val="center"/>
                </w:tcPr>
                <w:p w14:paraId="45315E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铅</w:t>
                  </w:r>
                </w:p>
              </w:tc>
              <w:tc>
                <w:tcPr>
                  <w:tcW w:w="1647" w:type="pct"/>
                  <w:shd w:val="clear" w:color="auto" w:fill="auto"/>
                  <w:vAlign w:val="center"/>
                </w:tcPr>
                <w:p w14:paraId="4685F0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《生活饮用水标准检验方法 第6部分：金属和类金属指标》GB/T 5750.6-2023（14.1无火焰原子吸收分光光度法）</w:t>
                  </w:r>
                </w:p>
              </w:tc>
              <w:tc>
                <w:tcPr>
                  <w:tcW w:w="800" w:type="pct"/>
                  <w:shd w:val="clear" w:color="auto" w:fill="auto"/>
                  <w:vAlign w:val="center"/>
                </w:tcPr>
                <w:p w14:paraId="534F9390">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2.5µg/L</w:t>
                  </w:r>
                </w:p>
              </w:tc>
              <w:tc>
                <w:tcPr>
                  <w:tcW w:w="908" w:type="pct"/>
                  <w:shd w:val="clear" w:color="auto" w:fill="auto"/>
                  <w:vAlign w:val="center"/>
                </w:tcPr>
                <w:p w14:paraId="0B789B58">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一体式原子吸收分光光度计AAS9000</w:t>
                  </w:r>
                </w:p>
              </w:tc>
              <w:tc>
                <w:tcPr>
                  <w:tcW w:w="744" w:type="pct"/>
                  <w:shd w:val="clear" w:color="auto" w:fill="auto"/>
                  <w:vAlign w:val="center"/>
                </w:tcPr>
                <w:p w14:paraId="304EF272">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ZMSB-075</w:t>
                  </w:r>
                </w:p>
              </w:tc>
            </w:tr>
            <w:tr w14:paraId="46C0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2AD26CD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20</w:t>
                  </w:r>
                </w:p>
              </w:tc>
              <w:tc>
                <w:tcPr>
                  <w:tcW w:w="628" w:type="pct"/>
                  <w:shd w:val="clear" w:color="auto" w:fill="auto"/>
                  <w:vAlign w:val="center"/>
                </w:tcPr>
                <w:p w14:paraId="1D1F1B2E">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总大肠菌群</w:t>
                  </w:r>
                </w:p>
              </w:tc>
              <w:tc>
                <w:tcPr>
                  <w:tcW w:w="1647" w:type="pct"/>
                  <w:shd w:val="clear" w:color="auto" w:fill="auto"/>
                  <w:vAlign w:val="center"/>
                </w:tcPr>
                <w:p w14:paraId="09E635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rPr>
                    <w:t>《生活饮用水标准检验方法 第12部分：微生物指标》GB/T 5750.12-2023 （5.1 多管发酵法）</w:t>
                  </w:r>
                </w:p>
              </w:tc>
              <w:tc>
                <w:tcPr>
                  <w:tcW w:w="800" w:type="pct"/>
                  <w:shd w:val="clear" w:color="auto" w:fill="auto"/>
                  <w:vAlign w:val="center"/>
                </w:tcPr>
                <w:p w14:paraId="1960907E">
                  <w:pPr>
                    <w:pStyle w:val="12"/>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2MPN/100ml</w:t>
                  </w:r>
                </w:p>
              </w:tc>
              <w:tc>
                <w:tcPr>
                  <w:tcW w:w="908" w:type="pct"/>
                  <w:shd w:val="clear" w:color="auto" w:fill="auto"/>
                  <w:vAlign w:val="center"/>
                </w:tcPr>
                <w:p w14:paraId="75BECC7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生化培养箱SPX-250B-Z</w:t>
                  </w:r>
                </w:p>
              </w:tc>
              <w:tc>
                <w:tcPr>
                  <w:tcW w:w="744" w:type="pct"/>
                  <w:shd w:val="clear" w:color="auto" w:fill="auto"/>
                  <w:vAlign w:val="center"/>
                </w:tcPr>
                <w:p w14:paraId="343ED48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ZMSB-036</w:t>
                  </w:r>
                </w:p>
              </w:tc>
            </w:tr>
            <w:tr w14:paraId="0D35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0A0367F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21</w:t>
                  </w:r>
                </w:p>
              </w:tc>
              <w:tc>
                <w:tcPr>
                  <w:tcW w:w="628" w:type="pct"/>
                  <w:shd w:val="clear" w:color="auto" w:fill="auto"/>
                  <w:vAlign w:val="center"/>
                </w:tcPr>
                <w:p w14:paraId="05D79AC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rPr>
                    <w:t>细菌总数</w:t>
                  </w:r>
                </w:p>
              </w:tc>
              <w:tc>
                <w:tcPr>
                  <w:tcW w:w="1647" w:type="pct"/>
                  <w:shd w:val="clear" w:color="auto" w:fill="auto"/>
                  <w:vAlign w:val="center"/>
                </w:tcPr>
                <w:p w14:paraId="3EB02BFC">
                  <w:pPr>
                    <w:pStyle w:val="38"/>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rPr>
                    <w:t>《水质 细菌总数的测定 平皿计数法》HJ1000-2018</w:t>
                  </w:r>
                </w:p>
              </w:tc>
              <w:tc>
                <w:tcPr>
                  <w:tcW w:w="800" w:type="pct"/>
                  <w:shd w:val="clear" w:color="auto" w:fill="auto"/>
                  <w:vAlign w:val="center"/>
                </w:tcPr>
                <w:p w14:paraId="66536E63">
                  <w:pPr>
                    <w:keepNext w:val="0"/>
                    <w:keepLines w:val="0"/>
                    <w:pageBreakBefore w:val="0"/>
                    <w:kinsoku/>
                    <w:wordWrap/>
                    <w:overflowPunct/>
                    <w:topLinePunct w:val="0"/>
                    <w:autoSpaceDE/>
                    <w:autoSpaceDN/>
                    <w:bidi w:val="0"/>
                    <w:spacing w:beforeLines="20" w:afterLines="2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908" w:type="pct"/>
                  <w:shd w:val="clear" w:color="auto" w:fill="auto"/>
                  <w:vAlign w:val="center"/>
                </w:tcPr>
                <w:p w14:paraId="218C2E01">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生化培养箱SPX-250B-Z</w:t>
                  </w:r>
                </w:p>
              </w:tc>
              <w:tc>
                <w:tcPr>
                  <w:tcW w:w="744" w:type="pct"/>
                  <w:shd w:val="clear" w:color="auto" w:fill="auto"/>
                  <w:vAlign w:val="center"/>
                </w:tcPr>
                <w:p w14:paraId="19E9C76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ZMSB-036</w:t>
                  </w:r>
                </w:p>
              </w:tc>
            </w:tr>
            <w:tr w14:paraId="3FAC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02883D2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22</w:t>
                  </w:r>
                </w:p>
              </w:tc>
              <w:tc>
                <w:tcPr>
                  <w:tcW w:w="628" w:type="pct"/>
                  <w:shd w:val="clear" w:color="auto" w:fill="auto"/>
                  <w:vAlign w:val="center"/>
                </w:tcPr>
                <w:p w14:paraId="13A80E81">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硫酸盐</w:t>
                  </w:r>
                </w:p>
              </w:tc>
              <w:tc>
                <w:tcPr>
                  <w:tcW w:w="1647" w:type="pct"/>
                  <w:shd w:val="clear" w:color="auto" w:fill="auto"/>
                  <w:vAlign w:val="center"/>
                </w:tcPr>
                <w:p w14:paraId="594C89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《水质 硫酸盐的测定</w:t>
                  </w:r>
                  <w:r>
                    <w:rPr>
                      <w:rFonts w:hint="default" w:ascii="Times New Roman" w:hAnsi="Times New Roman" w:eastAsia="宋体" w:cs="Times New Roman"/>
                      <w:snapToGrid w:val="0"/>
                      <w:color w:val="auto"/>
                      <w:kern w:val="0"/>
                      <w:sz w:val="21"/>
                      <w:szCs w:val="21"/>
                      <w:highlight w:val="none"/>
                      <w:lang w:val="en-US" w:eastAsia="zh-CN"/>
                    </w:rPr>
                    <w:t xml:space="preserve"> </w:t>
                  </w:r>
                  <w:r>
                    <w:rPr>
                      <w:rFonts w:hint="default" w:ascii="Times New Roman" w:hAnsi="Times New Roman" w:eastAsia="宋体" w:cs="Times New Roman"/>
                      <w:snapToGrid w:val="0"/>
                      <w:color w:val="auto"/>
                      <w:kern w:val="0"/>
                      <w:sz w:val="21"/>
                      <w:szCs w:val="21"/>
                      <w:highlight w:val="none"/>
                    </w:rPr>
                    <w:t>铬酸钡分光光度法（试行）》HJ/T342-2007</w:t>
                  </w:r>
                </w:p>
              </w:tc>
              <w:tc>
                <w:tcPr>
                  <w:tcW w:w="800" w:type="pct"/>
                  <w:shd w:val="clear" w:color="auto" w:fill="auto"/>
                  <w:vAlign w:val="center"/>
                </w:tcPr>
                <w:p w14:paraId="73A90193">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8mg/L</w:t>
                  </w:r>
                </w:p>
              </w:tc>
              <w:tc>
                <w:tcPr>
                  <w:tcW w:w="908" w:type="pct"/>
                  <w:shd w:val="clear" w:color="auto" w:fill="auto"/>
                  <w:vAlign w:val="center"/>
                </w:tcPr>
                <w:p w14:paraId="557A003F">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shd w:val="clear" w:color="auto" w:fill="auto"/>
                  <w:vAlign w:val="center"/>
                </w:tcPr>
                <w:p w14:paraId="5B3B22C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6935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79A6BD5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23</w:t>
                  </w:r>
                </w:p>
              </w:tc>
              <w:tc>
                <w:tcPr>
                  <w:tcW w:w="628" w:type="pct"/>
                  <w:shd w:val="clear" w:color="auto" w:fill="auto"/>
                  <w:vAlign w:val="center"/>
                </w:tcPr>
                <w:p w14:paraId="7C18C3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氯化物</w:t>
                  </w:r>
                </w:p>
              </w:tc>
              <w:tc>
                <w:tcPr>
                  <w:tcW w:w="1647" w:type="pct"/>
                  <w:shd w:val="clear" w:color="auto" w:fill="auto"/>
                  <w:vAlign w:val="center"/>
                </w:tcPr>
                <w:p w14:paraId="4B8F98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 xml:space="preserve">《水质 氯化物的测定 硝酸银滴定法》GB 11896-1989 </w:t>
                  </w:r>
                </w:p>
              </w:tc>
              <w:tc>
                <w:tcPr>
                  <w:tcW w:w="800" w:type="pct"/>
                  <w:shd w:val="clear" w:color="auto" w:fill="auto"/>
                  <w:vAlign w:val="center"/>
                </w:tcPr>
                <w:p w14:paraId="0DC613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10mg/L</w:t>
                  </w:r>
                </w:p>
              </w:tc>
              <w:tc>
                <w:tcPr>
                  <w:tcW w:w="908" w:type="pct"/>
                  <w:shd w:val="clear" w:color="auto" w:fill="auto"/>
                  <w:vAlign w:val="center"/>
                </w:tcPr>
                <w:p w14:paraId="287F9770">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酸式滴定管50.00ml</w:t>
                  </w:r>
                </w:p>
              </w:tc>
              <w:tc>
                <w:tcPr>
                  <w:tcW w:w="744" w:type="pct"/>
                  <w:shd w:val="clear" w:color="auto" w:fill="auto"/>
                  <w:vAlign w:val="center"/>
                </w:tcPr>
                <w:p w14:paraId="6A848CA4">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ZMSB-102</w:t>
                  </w:r>
                </w:p>
              </w:tc>
            </w:tr>
            <w:tr w14:paraId="2F4B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67B38E7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24</w:t>
                  </w:r>
                </w:p>
              </w:tc>
              <w:tc>
                <w:tcPr>
                  <w:tcW w:w="628" w:type="pct"/>
                  <w:shd w:val="clear" w:color="auto" w:fill="auto"/>
                  <w:vAlign w:val="center"/>
                </w:tcPr>
                <w:p w14:paraId="4B3EC95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eastAsia="en-US"/>
                    </w:rPr>
                    <w:t>钙</w:t>
                  </w:r>
                </w:p>
              </w:tc>
              <w:tc>
                <w:tcPr>
                  <w:tcW w:w="1647" w:type="pct"/>
                  <w:vMerge w:val="restart"/>
                  <w:shd w:val="clear" w:color="auto" w:fill="auto"/>
                  <w:vAlign w:val="center"/>
                </w:tcPr>
                <w:p w14:paraId="11D33E5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snapToGrid w:val="0"/>
                      <w:color w:val="auto"/>
                      <w:sz w:val="21"/>
                      <w:szCs w:val="21"/>
                      <w:highlight w:val="none"/>
                    </w:rPr>
                    <w:t xml:space="preserve">《水质 钙和镁的测定 原子吸收分光光度法》GB 11905-89 </w:t>
                  </w:r>
                </w:p>
              </w:tc>
              <w:tc>
                <w:tcPr>
                  <w:tcW w:w="800" w:type="pct"/>
                  <w:shd w:val="clear" w:color="auto" w:fill="auto"/>
                  <w:vAlign w:val="center"/>
                </w:tcPr>
                <w:p w14:paraId="1EBE18A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0.02</w:t>
                  </w:r>
                  <w:r>
                    <w:rPr>
                      <w:rFonts w:hint="default" w:ascii="Times New Roman" w:hAnsi="Times New Roman" w:eastAsia="宋体" w:cs="Times New Roman"/>
                      <w:snapToGrid w:val="0"/>
                      <w:color w:val="auto"/>
                      <w:kern w:val="0"/>
                      <w:sz w:val="21"/>
                      <w:szCs w:val="21"/>
                      <w:highlight w:val="none"/>
                      <w:lang w:val="en-US" w:eastAsia="zh-CN"/>
                    </w:rPr>
                    <w:t>mg/L</w:t>
                  </w:r>
                </w:p>
              </w:tc>
              <w:tc>
                <w:tcPr>
                  <w:tcW w:w="908" w:type="pct"/>
                  <w:vMerge w:val="restart"/>
                  <w:shd w:val="clear" w:color="auto" w:fill="auto"/>
                  <w:vAlign w:val="center"/>
                </w:tcPr>
                <w:p w14:paraId="2619B06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一体式原子吸收分光光度计AAS9000</w:t>
                  </w:r>
                </w:p>
              </w:tc>
              <w:tc>
                <w:tcPr>
                  <w:tcW w:w="744" w:type="pct"/>
                  <w:vMerge w:val="restart"/>
                  <w:shd w:val="clear" w:color="auto" w:fill="auto"/>
                  <w:vAlign w:val="center"/>
                </w:tcPr>
                <w:p w14:paraId="21CC1D3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ZMSB-075</w:t>
                  </w:r>
                </w:p>
              </w:tc>
            </w:tr>
            <w:tr w14:paraId="0C33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126FF0A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25</w:t>
                  </w:r>
                </w:p>
              </w:tc>
              <w:tc>
                <w:tcPr>
                  <w:tcW w:w="628" w:type="pct"/>
                  <w:shd w:val="clear" w:color="auto" w:fill="auto"/>
                  <w:vAlign w:val="center"/>
                </w:tcPr>
                <w:p w14:paraId="006A265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eastAsia="en-US"/>
                    </w:rPr>
                    <w:t>镁</w:t>
                  </w:r>
                </w:p>
              </w:tc>
              <w:tc>
                <w:tcPr>
                  <w:tcW w:w="1647" w:type="pct"/>
                  <w:vMerge w:val="continue"/>
                  <w:shd w:val="clear" w:color="auto" w:fill="auto"/>
                  <w:vAlign w:val="center"/>
                </w:tcPr>
                <w:p w14:paraId="6995D8E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p>
              </w:tc>
              <w:tc>
                <w:tcPr>
                  <w:tcW w:w="800" w:type="pct"/>
                  <w:shd w:val="clear" w:color="auto" w:fill="auto"/>
                  <w:vAlign w:val="center"/>
                </w:tcPr>
                <w:p w14:paraId="69EE309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0.002</w:t>
                  </w:r>
                  <w:r>
                    <w:rPr>
                      <w:rFonts w:hint="default" w:ascii="Times New Roman" w:hAnsi="Times New Roman" w:eastAsia="宋体" w:cs="Times New Roman"/>
                      <w:snapToGrid w:val="0"/>
                      <w:color w:val="auto"/>
                      <w:kern w:val="0"/>
                      <w:sz w:val="21"/>
                      <w:szCs w:val="21"/>
                      <w:highlight w:val="none"/>
                      <w:lang w:val="en-US" w:eastAsia="zh-CN"/>
                    </w:rPr>
                    <w:t>mg/L</w:t>
                  </w:r>
                </w:p>
              </w:tc>
              <w:tc>
                <w:tcPr>
                  <w:tcW w:w="908" w:type="pct"/>
                  <w:vMerge w:val="continue"/>
                  <w:shd w:val="clear" w:color="auto" w:fill="auto"/>
                  <w:vAlign w:val="center"/>
                </w:tcPr>
                <w:p w14:paraId="2CED726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p>
              </w:tc>
              <w:tc>
                <w:tcPr>
                  <w:tcW w:w="744" w:type="pct"/>
                  <w:vMerge w:val="continue"/>
                  <w:shd w:val="clear" w:color="auto" w:fill="auto"/>
                  <w:vAlign w:val="center"/>
                </w:tcPr>
                <w:p w14:paraId="1EB3DC9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p>
              </w:tc>
            </w:tr>
            <w:tr w14:paraId="11DE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5267D56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26</w:t>
                  </w:r>
                </w:p>
              </w:tc>
              <w:tc>
                <w:tcPr>
                  <w:tcW w:w="628" w:type="pct"/>
                  <w:shd w:val="clear" w:color="auto" w:fill="auto"/>
                  <w:vAlign w:val="center"/>
                </w:tcPr>
                <w:p w14:paraId="67239D76">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eastAsia="en-US"/>
                    </w:rPr>
                    <w:t>钾</w:t>
                  </w:r>
                </w:p>
              </w:tc>
              <w:tc>
                <w:tcPr>
                  <w:tcW w:w="1647" w:type="pct"/>
                  <w:shd w:val="clear" w:color="auto" w:fill="auto"/>
                  <w:vAlign w:val="center"/>
                </w:tcPr>
                <w:p w14:paraId="7EDBD2A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snapToGrid w:val="0"/>
                      <w:color w:val="auto"/>
                      <w:sz w:val="21"/>
                      <w:szCs w:val="21"/>
                      <w:highlight w:val="none"/>
                    </w:rPr>
                    <w:t>《水质 钾和钠的测定 火焰原子吸收分光光度法》GB 11904-89</w:t>
                  </w:r>
                </w:p>
              </w:tc>
              <w:tc>
                <w:tcPr>
                  <w:tcW w:w="800" w:type="pct"/>
                  <w:shd w:val="clear" w:color="auto" w:fill="auto"/>
                  <w:vAlign w:val="center"/>
                </w:tcPr>
                <w:p w14:paraId="7AB06A6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0.05mg/L</w:t>
                  </w:r>
                </w:p>
              </w:tc>
              <w:tc>
                <w:tcPr>
                  <w:tcW w:w="908" w:type="pct"/>
                  <w:shd w:val="clear" w:color="auto" w:fill="auto"/>
                  <w:vAlign w:val="center"/>
                </w:tcPr>
                <w:p w14:paraId="3A20411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一体式原子吸收分光光度计AAS9000</w:t>
                  </w:r>
                </w:p>
              </w:tc>
              <w:tc>
                <w:tcPr>
                  <w:tcW w:w="744" w:type="pct"/>
                  <w:shd w:val="clear" w:color="auto" w:fill="auto"/>
                  <w:vAlign w:val="center"/>
                </w:tcPr>
                <w:p w14:paraId="1212E57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ZMSB-075</w:t>
                  </w:r>
                </w:p>
              </w:tc>
            </w:tr>
            <w:tr w14:paraId="7BFF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38EBB2D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27</w:t>
                  </w:r>
                </w:p>
              </w:tc>
              <w:tc>
                <w:tcPr>
                  <w:tcW w:w="628" w:type="pct"/>
                  <w:shd w:val="clear" w:color="auto" w:fill="auto"/>
                  <w:vAlign w:val="center"/>
                </w:tcPr>
                <w:p w14:paraId="1E66E8F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eastAsia="en-US"/>
                    </w:rPr>
                    <w:t>钠</w:t>
                  </w:r>
                </w:p>
              </w:tc>
              <w:tc>
                <w:tcPr>
                  <w:tcW w:w="1647" w:type="pct"/>
                  <w:shd w:val="clear" w:color="auto" w:fill="auto"/>
                  <w:vAlign w:val="center"/>
                </w:tcPr>
                <w:p w14:paraId="588D45F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snapToGrid w:val="0"/>
                      <w:color w:val="auto"/>
                      <w:sz w:val="21"/>
                      <w:szCs w:val="21"/>
                      <w:highlight w:val="none"/>
                    </w:rPr>
                    <w:t>《生活饮用水标准检验方法 金属指标》GB/T 5750.6-2023（25.1火焰原子吸收分光光度法）</w:t>
                  </w:r>
                </w:p>
              </w:tc>
              <w:tc>
                <w:tcPr>
                  <w:tcW w:w="800" w:type="pct"/>
                  <w:shd w:val="clear" w:color="auto" w:fill="auto"/>
                  <w:vAlign w:val="center"/>
                </w:tcPr>
                <w:p w14:paraId="50C2046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0.01mg/L</w:t>
                  </w:r>
                </w:p>
              </w:tc>
              <w:tc>
                <w:tcPr>
                  <w:tcW w:w="908" w:type="pct"/>
                  <w:shd w:val="clear" w:color="auto" w:fill="auto"/>
                  <w:vAlign w:val="center"/>
                </w:tcPr>
                <w:p w14:paraId="1C98FBD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一体式原子吸收分光光度计AAS9000</w:t>
                  </w:r>
                </w:p>
              </w:tc>
              <w:tc>
                <w:tcPr>
                  <w:tcW w:w="744" w:type="pct"/>
                  <w:shd w:val="clear" w:color="auto" w:fill="auto"/>
                  <w:vAlign w:val="center"/>
                </w:tcPr>
                <w:p w14:paraId="55021AB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ZMSB-075</w:t>
                  </w:r>
                </w:p>
              </w:tc>
            </w:tr>
            <w:tr w14:paraId="2A05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7659387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28</w:t>
                  </w:r>
                </w:p>
              </w:tc>
              <w:tc>
                <w:tcPr>
                  <w:tcW w:w="628" w:type="pct"/>
                  <w:shd w:val="clear" w:color="auto" w:fill="auto"/>
                  <w:vAlign w:val="center"/>
                </w:tcPr>
                <w:p w14:paraId="39422256">
                  <w:pPr>
                    <w:pStyle w:val="11"/>
                    <w:keepNext w:val="0"/>
                    <w:keepLines w:val="0"/>
                    <w:pageBreakBefore w:val="0"/>
                    <w:kinsoku/>
                    <w:wordWrap/>
                    <w:overflowPunct/>
                    <w:topLinePunct w:val="0"/>
                    <w:autoSpaceDE/>
                    <w:autoSpaceDN/>
                    <w:bidi w:val="0"/>
                    <w:adjustRightInd w:val="0"/>
                    <w:snapToGrid w:val="0"/>
                    <w:spacing w:before="0" w:beforeAutospacing="0" w:after="0" w:afterAutospacing="0" w:line="240" w:lineRule="auto"/>
                    <w:jc w:val="center"/>
                    <w:rPr>
                      <w:rFonts w:hint="default" w:ascii="Times New Roman" w:hAnsi="Times New Roman" w:eastAsia="宋体" w:cs="Times New Roman"/>
                      <w:snapToGrid w:val="0"/>
                      <w:color w:val="auto"/>
                      <w:sz w:val="21"/>
                      <w:szCs w:val="21"/>
                      <w:highlight w:val="none"/>
                      <w:lang w:eastAsia="en-US"/>
                    </w:rPr>
                  </w:pPr>
                  <w:r>
                    <w:rPr>
                      <w:rFonts w:hint="default" w:ascii="Times New Roman" w:hAnsi="Times New Roman" w:eastAsia="宋体" w:cs="Times New Roman"/>
                      <w:snapToGrid w:val="0"/>
                      <w:color w:val="auto"/>
                      <w:sz w:val="21"/>
                      <w:szCs w:val="21"/>
                      <w:highlight w:val="none"/>
                    </w:rPr>
                    <w:t>镍</w:t>
                  </w:r>
                </w:p>
              </w:tc>
              <w:tc>
                <w:tcPr>
                  <w:tcW w:w="1647" w:type="pct"/>
                  <w:shd w:val="clear" w:color="auto" w:fill="auto"/>
                  <w:vAlign w:val="center"/>
                </w:tcPr>
                <w:p w14:paraId="6BF59CC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《生活饮用水标准检验方法 第6部分：金属和类金属指标》GB/T 5750.6-2023</w:t>
                  </w:r>
                </w:p>
                <w:p w14:paraId="3CFA16B0">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lang w:eastAsia="zh-CN"/>
                    </w:rPr>
                    <w:t>（</w:t>
                  </w:r>
                  <w:r>
                    <w:rPr>
                      <w:rFonts w:hint="default" w:ascii="Times New Roman" w:hAnsi="Times New Roman" w:eastAsia="宋体" w:cs="Times New Roman"/>
                      <w:snapToGrid w:val="0"/>
                      <w:color w:val="auto"/>
                      <w:sz w:val="21"/>
                      <w:szCs w:val="21"/>
                      <w:highlight w:val="none"/>
                    </w:rPr>
                    <w:t>18.1无火焰原子吸收分光光度法</w:t>
                  </w:r>
                  <w:r>
                    <w:rPr>
                      <w:rFonts w:hint="default" w:ascii="Times New Roman" w:hAnsi="Times New Roman" w:eastAsia="宋体" w:cs="Times New Roman"/>
                      <w:snapToGrid w:val="0"/>
                      <w:color w:val="auto"/>
                      <w:sz w:val="21"/>
                      <w:szCs w:val="21"/>
                      <w:highlight w:val="none"/>
                      <w:lang w:eastAsia="zh-CN"/>
                    </w:rPr>
                    <w:t>）</w:t>
                  </w:r>
                </w:p>
              </w:tc>
              <w:tc>
                <w:tcPr>
                  <w:tcW w:w="800" w:type="pct"/>
                  <w:shd w:val="clear" w:color="auto" w:fill="auto"/>
                  <w:vAlign w:val="center"/>
                </w:tcPr>
                <w:p w14:paraId="3F0D3494">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5µg/L</w:t>
                  </w:r>
                </w:p>
              </w:tc>
              <w:tc>
                <w:tcPr>
                  <w:tcW w:w="908" w:type="pct"/>
                  <w:shd w:val="clear" w:color="auto" w:fill="auto"/>
                  <w:vAlign w:val="center"/>
                </w:tcPr>
                <w:p w14:paraId="0BE3DF2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一体式原子吸收分光光度计AAS9000</w:t>
                  </w:r>
                </w:p>
              </w:tc>
              <w:tc>
                <w:tcPr>
                  <w:tcW w:w="744" w:type="pct"/>
                  <w:shd w:val="clear" w:color="auto" w:fill="auto"/>
                  <w:vAlign w:val="center"/>
                </w:tcPr>
                <w:p w14:paraId="1A5C6CE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rPr>
                    <w:t>ZMSB-075</w:t>
                  </w:r>
                </w:p>
              </w:tc>
            </w:tr>
            <w:tr w14:paraId="10C6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518664E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29</w:t>
                  </w:r>
                </w:p>
              </w:tc>
              <w:tc>
                <w:tcPr>
                  <w:tcW w:w="628" w:type="pct"/>
                  <w:shd w:val="clear" w:color="auto" w:fill="auto"/>
                  <w:vAlign w:val="center"/>
                </w:tcPr>
                <w:p w14:paraId="512CCBE8">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sz w:val="21"/>
                      <w:szCs w:val="21"/>
                      <w:highlight w:val="none"/>
                    </w:rPr>
                    <w:t>碳酸根</w:t>
                  </w:r>
                </w:p>
              </w:tc>
              <w:tc>
                <w:tcPr>
                  <w:tcW w:w="1647" w:type="pct"/>
                  <w:vMerge w:val="restart"/>
                  <w:shd w:val="clear" w:color="auto" w:fill="auto"/>
                  <w:vAlign w:val="center"/>
                </w:tcPr>
                <w:p w14:paraId="14AFBCBE">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snapToGrid w:val="0"/>
                      <w:color w:val="auto"/>
                      <w:sz w:val="21"/>
                      <w:szCs w:val="21"/>
                      <w:highlight w:val="none"/>
                    </w:rPr>
                    <w:t>《地下水质分析方法 第49部分 ：碳酸根、重碳酸根和氢氧根离子的测定 滴定法》 DZ/T 0064.49-2021</w:t>
                  </w:r>
                </w:p>
              </w:tc>
              <w:tc>
                <w:tcPr>
                  <w:tcW w:w="800" w:type="pct"/>
                  <w:vMerge w:val="restart"/>
                  <w:shd w:val="clear" w:color="auto" w:fill="auto"/>
                  <w:vAlign w:val="center"/>
                </w:tcPr>
                <w:p w14:paraId="6C2E19AA">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5mg/L</w:t>
                  </w:r>
                </w:p>
              </w:tc>
              <w:tc>
                <w:tcPr>
                  <w:tcW w:w="908" w:type="pct"/>
                  <w:vMerge w:val="restart"/>
                  <w:shd w:val="clear" w:color="auto" w:fill="auto"/>
                  <w:vAlign w:val="center"/>
                </w:tcPr>
                <w:p w14:paraId="52328D29">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酸式滴定管50.00mL</w:t>
                  </w:r>
                </w:p>
              </w:tc>
              <w:tc>
                <w:tcPr>
                  <w:tcW w:w="744" w:type="pct"/>
                  <w:vMerge w:val="restart"/>
                  <w:shd w:val="clear" w:color="auto" w:fill="auto"/>
                  <w:vAlign w:val="center"/>
                </w:tcPr>
                <w:p w14:paraId="02E0226F">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ZMSB-102</w:t>
                  </w:r>
                </w:p>
              </w:tc>
            </w:tr>
            <w:tr w14:paraId="40D4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373B5E4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30</w:t>
                  </w:r>
                </w:p>
              </w:tc>
              <w:tc>
                <w:tcPr>
                  <w:tcW w:w="628" w:type="pct"/>
                  <w:shd w:val="clear" w:color="auto" w:fill="auto"/>
                  <w:vAlign w:val="center"/>
                </w:tcPr>
                <w:p w14:paraId="096198A1">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r>
                    <w:rPr>
                      <w:rFonts w:hint="default" w:ascii="Times New Roman" w:hAnsi="Times New Roman" w:eastAsia="宋体" w:cs="Times New Roman"/>
                      <w:snapToGrid w:val="0"/>
                      <w:color w:val="auto"/>
                      <w:sz w:val="21"/>
                      <w:szCs w:val="21"/>
                      <w:highlight w:val="none"/>
                    </w:rPr>
                    <w:t>重碳酸根</w:t>
                  </w:r>
                </w:p>
              </w:tc>
              <w:tc>
                <w:tcPr>
                  <w:tcW w:w="1647" w:type="pct"/>
                  <w:vMerge w:val="continue"/>
                  <w:shd w:val="clear" w:color="auto" w:fill="auto"/>
                  <w:vAlign w:val="center"/>
                </w:tcPr>
                <w:p w14:paraId="201EBD60">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
                    </w:rPr>
                  </w:pPr>
                </w:p>
              </w:tc>
              <w:tc>
                <w:tcPr>
                  <w:tcW w:w="800" w:type="pct"/>
                  <w:vMerge w:val="continue"/>
                  <w:shd w:val="clear" w:color="auto" w:fill="auto"/>
                  <w:vAlign w:val="center"/>
                </w:tcPr>
                <w:p w14:paraId="7417A9FD">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rPr>
                  </w:pPr>
                </w:p>
              </w:tc>
              <w:tc>
                <w:tcPr>
                  <w:tcW w:w="908" w:type="pct"/>
                  <w:vMerge w:val="continue"/>
                  <w:shd w:val="clear" w:color="auto" w:fill="auto"/>
                  <w:vAlign w:val="center"/>
                </w:tcPr>
                <w:p w14:paraId="04694804">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p>
              </w:tc>
              <w:tc>
                <w:tcPr>
                  <w:tcW w:w="744" w:type="pct"/>
                  <w:vMerge w:val="continue"/>
                  <w:shd w:val="clear" w:color="auto" w:fill="auto"/>
                  <w:vAlign w:val="center"/>
                </w:tcPr>
                <w:p w14:paraId="3B5A51F7">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p>
              </w:tc>
            </w:tr>
            <w:tr w14:paraId="7DF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63E7A0C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31</w:t>
                  </w:r>
                </w:p>
              </w:tc>
              <w:tc>
                <w:tcPr>
                  <w:tcW w:w="628" w:type="pct"/>
                  <w:shd w:val="clear" w:color="auto" w:fill="auto"/>
                  <w:vAlign w:val="center"/>
                </w:tcPr>
                <w:p w14:paraId="1CD8F5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硫化物</w:t>
                  </w:r>
                </w:p>
              </w:tc>
              <w:tc>
                <w:tcPr>
                  <w:tcW w:w="1647" w:type="pct"/>
                  <w:shd w:val="clear" w:color="auto" w:fill="auto"/>
                  <w:vAlign w:val="center"/>
                </w:tcPr>
                <w:p w14:paraId="70009590">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rPr>
                    <w:t>《水质 硫化物的测定 亚甲基蓝分光光度法》HJ 1226-2021 </w:t>
                  </w:r>
                </w:p>
              </w:tc>
              <w:tc>
                <w:tcPr>
                  <w:tcW w:w="800" w:type="pct"/>
                  <w:shd w:val="clear" w:color="auto" w:fill="auto"/>
                  <w:vAlign w:val="center"/>
                </w:tcPr>
                <w:p w14:paraId="35AA8EE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rPr>
                    <w:t>0.01mg/L</w:t>
                  </w:r>
                </w:p>
              </w:tc>
              <w:tc>
                <w:tcPr>
                  <w:tcW w:w="908" w:type="pct"/>
                  <w:shd w:val="clear" w:color="auto" w:fill="auto"/>
                  <w:vAlign w:val="center"/>
                </w:tcPr>
                <w:p w14:paraId="6A47E9B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shd w:val="clear" w:color="auto" w:fill="auto"/>
                  <w:vAlign w:val="center"/>
                </w:tcPr>
                <w:p w14:paraId="4924045F">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r w14:paraId="3365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69" w:type="pct"/>
                  <w:shd w:val="clear" w:color="auto" w:fill="auto"/>
                  <w:vAlign w:val="center"/>
                </w:tcPr>
                <w:p w14:paraId="074D189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32</w:t>
                  </w:r>
                </w:p>
              </w:tc>
              <w:tc>
                <w:tcPr>
                  <w:tcW w:w="628" w:type="pct"/>
                  <w:shd w:val="clear" w:color="auto" w:fill="auto"/>
                  <w:vAlign w:val="center"/>
                </w:tcPr>
                <w:p w14:paraId="20B0EDB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rPr>
                    <w:t>阴离子表面活性剂</w:t>
                  </w:r>
                </w:p>
              </w:tc>
              <w:tc>
                <w:tcPr>
                  <w:tcW w:w="1647" w:type="pct"/>
                  <w:shd w:val="clear" w:color="auto" w:fill="auto"/>
                  <w:vAlign w:val="center"/>
                </w:tcPr>
                <w:p w14:paraId="6ED8B71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highlight w:val="none"/>
                    </w:rPr>
                    <w:t xml:space="preserve">《水质 阴离子表面活性剂的测定 亚甲蓝分光光度法》GB 7494-87 </w:t>
                  </w:r>
                </w:p>
              </w:tc>
              <w:tc>
                <w:tcPr>
                  <w:tcW w:w="800" w:type="pct"/>
                  <w:shd w:val="clear" w:color="auto" w:fill="auto"/>
                  <w:vAlign w:val="center"/>
                </w:tcPr>
                <w:p w14:paraId="0A13B05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0.05mg/L</w:t>
                  </w:r>
                </w:p>
              </w:tc>
              <w:tc>
                <w:tcPr>
                  <w:tcW w:w="908" w:type="pct"/>
                  <w:shd w:val="clear" w:color="auto" w:fill="auto"/>
                  <w:vAlign w:val="center"/>
                </w:tcPr>
                <w:p w14:paraId="57A33B0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紫外分光光度计752型</w:t>
                  </w:r>
                </w:p>
              </w:tc>
              <w:tc>
                <w:tcPr>
                  <w:tcW w:w="744" w:type="pct"/>
                  <w:shd w:val="clear" w:color="auto" w:fill="auto"/>
                  <w:vAlign w:val="center"/>
                </w:tcPr>
                <w:p w14:paraId="0FD0AAB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ZMSB-174</w:t>
                  </w:r>
                </w:p>
              </w:tc>
            </w:tr>
          </w:tbl>
          <w:p w14:paraId="402E7FE4">
            <w:pPr>
              <w:adjustRightInd w:val="0"/>
              <w:snapToGrid w:val="0"/>
              <w:spacing w:line="360" w:lineRule="auto"/>
              <w:jc w:val="center"/>
              <w:rPr>
                <w:rFonts w:hint="default" w:ascii="宋体" w:hAnsi="宋体" w:eastAsia="宋体" w:cs="宋体"/>
                <w:b/>
                <w:bCs/>
                <w:color w:val="auto"/>
                <w:spacing w:val="-3"/>
                <w:kern w:val="2"/>
                <w:sz w:val="21"/>
                <w:szCs w:val="21"/>
                <w:highlight w:val="none"/>
                <w:lang w:val="en-US" w:eastAsia="zh-CN" w:bidi="ar-SA"/>
              </w:rPr>
            </w:pPr>
            <w:r>
              <w:rPr>
                <w:rFonts w:hint="default" w:ascii="宋体" w:hAnsi="宋体" w:eastAsia="宋体" w:cs="宋体"/>
                <w:b/>
                <w:bCs/>
                <w:color w:val="auto"/>
                <w:spacing w:val="-3"/>
                <w:kern w:val="2"/>
                <w:sz w:val="21"/>
                <w:szCs w:val="21"/>
                <w:highlight w:val="none"/>
                <w:lang w:val="en-US" w:eastAsia="zh-CN" w:bidi="ar-SA"/>
              </w:rPr>
              <w:t>表3-</w:t>
            </w:r>
            <w:r>
              <w:rPr>
                <w:rFonts w:hint="eastAsia" w:ascii="宋体" w:hAnsi="宋体" w:cs="宋体"/>
                <w:b/>
                <w:bCs/>
                <w:color w:val="auto"/>
                <w:spacing w:val="-3"/>
                <w:kern w:val="2"/>
                <w:sz w:val="21"/>
                <w:szCs w:val="21"/>
                <w:highlight w:val="none"/>
                <w:lang w:val="en-US" w:eastAsia="zh-CN" w:bidi="ar-SA"/>
              </w:rPr>
              <w:t>7</w:t>
            </w:r>
            <w:r>
              <w:rPr>
                <w:rFonts w:hint="default" w:ascii="宋体" w:hAnsi="宋体" w:eastAsia="宋体" w:cs="宋体"/>
                <w:b/>
                <w:bCs/>
                <w:color w:val="auto"/>
                <w:spacing w:val="-3"/>
                <w:kern w:val="2"/>
                <w:sz w:val="21"/>
                <w:szCs w:val="21"/>
                <w:highlight w:val="none"/>
                <w:lang w:val="en-US" w:eastAsia="zh-CN" w:bidi="ar-SA"/>
              </w:rPr>
              <w:t>地下水水质监测结果表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5"/>
              <w:gridCol w:w="1662"/>
              <w:gridCol w:w="1193"/>
              <w:gridCol w:w="1409"/>
              <w:gridCol w:w="1411"/>
              <w:gridCol w:w="850"/>
              <w:gridCol w:w="875"/>
            </w:tblGrid>
            <w:tr w14:paraId="5324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vMerge w:val="restart"/>
                  <w:shd w:val="clear" w:color="auto" w:fill="auto"/>
                  <w:vAlign w:val="center"/>
                </w:tcPr>
                <w:p w14:paraId="55670B34">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Times New Roman" w:hAnsi="Times New Roman"/>
                      <w:color w:val="auto"/>
                      <w:position w:val="-10"/>
                      <w:szCs w:val="21"/>
                      <w:highlight w:val="none"/>
                      <w:lang w:val="en-US" w:eastAsia="zh-CN"/>
                    </w:rPr>
                  </w:pPr>
                  <w:r>
                    <w:rPr>
                      <w:rFonts w:hint="eastAsia" w:ascii="Times New Roman" w:hAnsi="Times New Roman" w:cs="Times New Roman"/>
                      <w:color w:val="auto"/>
                      <w:position w:val="-10"/>
                      <w:szCs w:val="21"/>
                      <w:highlight w:val="none"/>
                      <w:lang w:val="en-US" w:eastAsia="zh-CN"/>
                    </w:rPr>
                    <w:t>序号</w:t>
                  </w:r>
                </w:p>
              </w:tc>
              <w:tc>
                <w:tcPr>
                  <w:tcW w:w="1049" w:type="pct"/>
                  <w:vMerge w:val="restart"/>
                  <w:shd w:val="clear" w:color="auto" w:fill="auto"/>
                  <w:vAlign w:val="center"/>
                </w:tcPr>
                <w:p w14:paraId="7D50C844">
                  <w:pPr>
                    <w:widowControl/>
                    <w:spacing w:line="240" w:lineRule="auto"/>
                    <w:jc w:val="center"/>
                    <w:textAlignment w:val="center"/>
                    <w:rPr>
                      <w:rFonts w:hint="eastAsia" w:ascii="Times New Roman" w:hAnsi="Times New Roman"/>
                      <w:color w:val="auto"/>
                      <w:position w:val="-10"/>
                      <w:szCs w:val="21"/>
                      <w:highlight w:val="none"/>
                      <w:lang w:val="en-US" w:eastAsia="zh-CN"/>
                    </w:rPr>
                  </w:pPr>
                  <w:r>
                    <w:rPr>
                      <w:rFonts w:hint="eastAsia" w:ascii="Times New Roman" w:hAnsi="Times New Roman"/>
                      <w:color w:val="auto"/>
                      <w:position w:val="-10"/>
                      <w:szCs w:val="21"/>
                      <w:highlight w:val="none"/>
                      <w:lang w:val="en-US" w:eastAsia="zh-CN"/>
                    </w:rPr>
                    <w:t>检测项目</w:t>
                  </w:r>
                </w:p>
              </w:tc>
              <w:tc>
                <w:tcPr>
                  <w:tcW w:w="2535" w:type="pct"/>
                  <w:gridSpan w:val="3"/>
                  <w:shd w:val="clear" w:color="auto" w:fill="auto"/>
                  <w:vAlign w:val="center"/>
                </w:tcPr>
                <w:p w14:paraId="43BC4C87">
                  <w:pPr>
                    <w:widowControl/>
                    <w:spacing w:line="240" w:lineRule="auto"/>
                    <w:jc w:val="center"/>
                    <w:textAlignment w:val="center"/>
                    <w:rPr>
                      <w:rFonts w:hint="eastAsia" w:ascii="Times New Roman" w:hAnsi="Times New Roman"/>
                      <w:color w:val="auto"/>
                      <w:position w:val="-10"/>
                      <w:szCs w:val="21"/>
                      <w:highlight w:val="none"/>
                      <w:lang w:val="en-US" w:eastAsia="zh-CN"/>
                    </w:rPr>
                  </w:pPr>
                  <w:r>
                    <w:rPr>
                      <w:rFonts w:hint="eastAsia" w:ascii="Times New Roman" w:hAnsi="Times New Roman"/>
                      <w:color w:val="auto"/>
                      <w:position w:val="-10"/>
                      <w:szCs w:val="21"/>
                      <w:highlight w:val="none"/>
                      <w:lang w:val="en-US" w:eastAsia="zh-CN"/>
                    </w:rPr>
                    <w:t>分析结果</w:t>
                  </w:r>
                </w:p>
              </w:tc>
              <w:tc>
                <w:tcPr>
                  <w:tcW w:w="536" w:type="pct"/>
                  <w:vMerge w:val="restart"/>
                  <w:shd w:val="clear" w:color="auto" w:fill="auto"/>
                  <w:vAlign w:val="center"/>
                </w:tcPr>
                <w:p w14:paraId="4B56394A">
                  <w:pPr>
                    <w:widowControl/>
                    <w:spacing w:line="240" w:lineRule="auto"/>
                    <w:jc w:val="center"/>
                    <w:textAlignment w:val="center"/>
                    <w:rPr>
                      <w:rFonts w:hint="eastAsia" w:ascii="Times New Roman" w:hAnsi="Times New Roman"/>
                      <w:color w:val="auto"/>
                      <w:position w:val="-10"/>
                      <w:szCs w:val="21"/>
                      <w:highlight w:val="none"/>
                      <w:lang w:val="en-US" w:eastAsia="zh-CN"/>
                    </w:rPr>
                  </w:pPr>
                  <w:r>
                    <w:rPr>
                      <w:rFonts w:hint="eastAsia" w:ascii="Times New Roman" w:hAnsi="Times New Roman"/>
                      <w:color w:val="auto"/>
                      <w:position w:val="-10"/>
                      <w:szCs w:val="21"/>
                      <w:highlight w:val="none"/>
                      <w:lang w:val="en-US" w:eastAsia="zh-CN"/>
                    </w:rPr>
                    <w:t>限值</w:t>
                  </w:r>
                </w:p>
              </w:tc>
              <w:tc>
                <w:tcPr>
                  <w:tcW w:w="552" w:type="pct"/>
                  <w:vMerge w:val="restart"/>
                  <w:shd w:val="clear" w:color="auto" w:fill="auto"/>
                  <w:vAlign w:val="center"/>
                </w:tcPr>
                <w:p w14:paraId="0BD6D806">
                  <w:pPr>
                    <w:widowControl/>
                    <w:spacing w:line="240" w:lineRule="auto"/>
                    <w:jc w:val="center"/>
                    <w:textAlignment w:val="center"/>
                    <w:rPr>
                      <w:rFonts w:hint="eastAsia" w:ascii="Times New Roman" w:hAnsi="Times New Roman"/>
                      <w:color w:val="auto"/>
                      <w:position w:val="-10"/>
                      <w:szCs w:val="21"/>
                      <w:highlight w:val="none"/>
                      <w:lang w:val="en-US" w:eastAsia="zh-CN"/>
                    </w:rPr>
                  </w:pPr>
                  <w:r>
                    <w:rPr>
                      <w:rFonts w:hint="eastAsia" w:ascii="Times New Roman" w:hAnsi="Times New Roman"/>
                      <w:color w:val="auto"/>
                      <w:position w:val="-10"/>
                      <w:szCs w:val="21"/>
                      <w:highlight w:val="none"/>
                      <w:lang w:val="en-US" w:eastAsia="zh-CN"/>
                    </w:rPr>
                    <w:t>单位</w:t>
                  </w:r>
                </w:p>
              </w:tc>
            </w:tr>
            <w:tr w14:paraId="5FB6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5" w:type="pct"/>
                  <w:vMerge w:val="continue"/>
                  <w:shd w:val="clear" w:color="auto" w:fill="auto"/>
                  <w:vAlign w:val="center"/>
                </w:tcPr>
                <w:p w14:paraId="556CD06B">
                  <w:pPr>
                    <w:widowControl/>
                    <w:spacing w:line="240" w:lineRule="auto"/>
                    <w:jc w:val="center"/>
                    <w:textAlignment w:val="center"/>
                    <w:rPr>
                      <w:color w:val="auto"/>
                      <w:highlight w:val="none"/>
                    </w:rPr>
                  </w:pPr>
                </w:p>
              </w:tc>
              <w:tc>
                <w:tcPr>
                  <w:tcW w:w="1049" w:type="pct"/>
                  <w:vMerge w:val="continue"/>
                  <w:shd w:val="clear" w:color="auto" w:fill="auto"/>
                  <w:vAlign w:val="center"/>
                </w:tcPr>
                <w:p w14:paraId="51F340EC">
                  <w:pPr>
                    <w:widowControl/>
                    <w:spacing w:line="240" w:lineRule="auto"/>
                    <w:jc w:val="center"/>
                    <w:textAlignment w:val="center"/>
                    <w:rPr>
                      <w:color w:val="auto"/>
                      <w:highlight w:val="none"/>
                    </w:rPr>
                  </w:pPr>
                </w:p>
              </w:tc>
              <w:tc>
                <w:tcPr>
                  <w:tcW w:w="753" w:type="pct"/>
                  <w:shd w:val="clear" w:color="auto" w:fill="auto"/>
                  <w:vAlign w:val="center"/>
                </w:tcPr>
                <w:p w14:paraId="5A1D6B8C">
                  <w:pPr>
                    <w:keepNext w:val="0"/>
                    <w:keepLines w:val="0"/>
                    <w:suppressLineNumbers w:val="0"/>
                    <w:adjustRightInd w:val="0"/>
                    <w:snapToGrid w:val="0"/>
                    <w:spacing w:before="0" w:beforeAutospacing="0" w:after="0" w:afterAutospacing="0" w:line="0" w:lineRule="atLeas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矿区外东北侧地下水井</w:t>
                  </w:r>
                </w:p>
              </w:tc>
              <w:tc>
                <w:tcPr>
                  <w:tcW w:w="890" w:type="pct"/>
                  <w:shd w:val="clear" w:color="auto" w:fill="auto"/>
                  <w:vAlign w:val="center"/>
                </w:tcPr>
                <w:p w14:paraId="67650F92">
                  <w:pPr>
                    <w:widowControl/>
                    <w:spacing w:line="240" w:lineRule="auto"/>
                    <w:jc w:val="center"/>
                    <w:textAlignment w:val="center"/>
                    <w:rPr>
                      <w:rFonts w:hint="eastAsia" w:ascii="Times New Roman" w:hAnsi="Times New Roman"/>
                      <w:color w:val="auto"/>
                      <w:position w:val="-10"/>
                      <w:szCs w:val="21"/>
                      <w:highlight w:val="none"/>
                      <w:lang w:val="en-US" w:eastAsia="zh-CN"/>
                    </w:rPr>
                  </w:pPr>
                  <w:r>
                    <w:rPr>
                      <w:rFonts w:hint="eastAsia" w:ascii="Times New Roman" w:hAnsi="Times New Roman"/>
                      <w:color w:val="auto"/>
                      <w:position w:val="-10"/>
                      <w:szCs w:val="21"/>
                      <w:highlight w:val="none"/>
                      <w:lang w:val="en-US" w:eastAsia="zh-CN"/>
                    </w:rPr>
                    <w:t>矿区外西南侧地下水井</w:t>
                  </w:r>
                </w:p>
              </w:tc>
              <w:tc>
                <w:tcPr>
                  <w:tcW w:w="891" w:type="pct"/>
                  <w:shd w:val="clear" w:color="auto" w:fill="auto"/>
                  <w:vAlign w:val="center"/>
                </w:tcPr>
                <w:p w14:paraId="42CBEB5A">
                  <w:pPr>
                    <w:widowControl/>
                    <w:spacing w:line="240" w:lineRule="auto"/>
                    <w:jc w:val="center"/>
                    <w:textAlignment w:val="center"/>
                    <w:rPr>
                      <w:rFonts w:hint="eastAsia" w:ascii="Times New Roman" w:hAnsi="Times New Roman"/>
                      <w:color w:val="auto"/>
                      <w:position w:val="-10"/>
                      <w:szCs w:val="21"/>
                      <w:highlight w:val="none"/>
                      <w:lang w:val="en-US" w:eastAsia="zh-CN"/>
                    </w:rPr>
                  </w:pPr>
                  <w:r>
                    <w:rPr>
                      <w:rFonts w:hint="eastAsia" w:ascii="Times New Roman" w:hAnsi="Times New Roman"/>
                      <w:color w:val="auto"/>
                      <w:position w:val="-10"/>
                      <w:szCs w:val="21"/>
                      <w:highlight w:val="none"/>
                      <w:lang w:val="en-US" w:eastAsia="zh-CN"/>
                    </w:rPr>
                    <w:t>矿区和二号外排土场东南侧居民点2地下水井</w:t>
                  </w:r>
                </w:p>
              </w:tc>
              <w:tc>
                <w:tcPr>
                  <w:tcW w:w="536" w:type="pct"/>
                  <w:vMerge w:val="continue"/>
                  <w:shd w:val="clear" w:color="auto" w:fill="auto"/>
                  <w:vAlign w:val="center"/>
                </w:tcPr>
                <w:p w14:paraId="597AC5B8">
                  <w:pPr>
                    <w:widowControl/>
                    <w:spacing w:line="240" w:lineRule="auto"/>
                    <w:jc w:val="center"/>
                    <w:textAlignment w:val="center"/>
                    <w:rPr>
                      <w:rFonts w:hint="eastAsia" w:ascii="Times New Roman" w:hAnsi="Times New Roman"/>
                      <w:color w:val="auto"/>
                      <w:position w:val="-10"/>
                      <w:szCs w:val="21"/>
                      <w:highlight w:val="none"/>
                      <w:lang w:val="en-US" w:eastAsia="zh-CN"/>
                    </w:rPr>
                  </w:pPr>
                </w:p>
              </w:tc>
              <w:tc>
                <w:tcPr>
                  <w:tcW w:w="552" w:type="pct"/>
                  <w:vMerge w:val="continue"/>
                  <w:shd w:val="clear" w:color="auto" w:fill="auto"/>
                  <w:vAlign w:val="center"/>
                </w:tcPr>
                <w:p w14:paraId="65B60DC6">
                  <w:pPr>
                    <w:widowControl/>
                    <w:spacing w:line="240" w:lineRule="auto"/>
                    <w:jc w:val="center"/>
                    <w:textAlignment w:val="center"/>
                    <w:rPr>
                      <w:rFonts w:hint="eastAsia" w:ascii="Times New Roman" w:hAnsi="Times New Roman"/>
                      <w:color w:val="auto"/>
                      <w:position w:val="-10"/>
                      <w:szCs w:val="21"/>
                      <w:highlight w:val="none"/>
                      <w:lang w:val="en-US" w:eastAsia="zh-CN"/>
                    </w:rPr>
                  </w:pPr>
                </w:p>
              </w:tc>
            </w:tr>
            <w:tr w14:paraId="4ACB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6503D25B">
                  <w:pPr>
                    <w:widowControl/>
                    <w:adjustRightInd w:val="0"/>
                    <w:snapToGrid w:val="0"/>
                    <w:jc w:val="center"/>
                    <w:textAlignment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w:t>
                  </w:r>
                </w:p>
              </w:tc>
              <w:tc>
                <w:tcPr>
                  <w:tcW w:w="1049" w:type="pct"/>
                  <w:shd w:val="clear" w:color="auto" w:fill="auto"/>
                  <w:vAlign w:val="center"/>
                </w:tcPr>
                <w:p w14:paraId="58B663B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highlight w:val="none"/>
                      <w:lang w:val="en-US" w:eastAsia="zh-CN"/>
                    </w:rPr>
                    <w:t>pH</w:t>
                  </w:r>
                </w:p>
              </w:tc>
              <w:tc>
                <w:tcPr>
                  <w:tcW w:w="753" w:type="pct"/>
                  <w:shd w:val="clear" w:color="auto" w:fill="auto"/>
                  <w:vAlign w:val="center"/>
                </w:tcPr>
                <w:p w14:paraId="559BBAA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7.4</w:t>
                  </w:r>
                </w:p>
              </w:tc>
              <w:tc>
                <w:tcPr>
                  <w:tcW w:w="890" w:type="pct"/>
                  <w:shd w:val="clear" w:color="auto" w:fill="auto"/>
                  <w:vAlign w:val="center"/>
                </w:tcPr>
                <w:p w14:paraId="271CCFF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7.5</w:t>
                  </w:r>
                </w:p>
              </w:tc>
              <w:tc>
                <w:tcPr>
                  <w:tcW w:w="891" w:type="pct"/>
                  <w:shd w:val="clear" w:color="auto" w:fill="auto"/>
                  <w:vAlign w:val="center"/>
                </w:tcPr>
                <w:p w14:paraId="305EC42A">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7.3</w:t>
                  </w:r>
                </w:p>
              </w:tc>
              <w:tc>
                <w:tcPr>
                  <w:tcW w:w="536" w:type="pct"/>
                  <w:shd w:val="clear" w:color="auto" w:fill="auto"/>
                  <w:vAlign w:val="center"/>
                </w:tcPr>
                <w:p w14:paraId="72A20B0E">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6.5-8.5</w:t>
                  </w:r>
                </w:p>
              </w:tc>
              <w:tc>
                <w:tcPr>
                  <w:tcW w:w="552" w:type="pct"/>
                  <w:shd w:val="clear" w:color="auto" w:fill="auto"/>
                  <w:vAlign w:val="center"/>
                </w:tcPr>
                <w:p w14:paraId="71BD5AB6">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无量纲</w:t>
                  </w:r>
                </w:p>
              </w:tc>
            </w:tr>
            <w:tr w14:paraId="5D92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4BCFABA9">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w:t>
                  </w:r>
                </w:p>
              </w:tc>
              <w:tc>
                <w:tcPr>
                  <w:tcW w:w="1049" w:type="pct"/>
                  <w:shd w:val="clear" w:color="auto" w:fill="auto"/>
                  <w:vAlign w:val="center"/>
                </w:tcPr>
                <w:p w14:paraId="5BFCBE8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宋体" w:hAnsi="宋体"/>
                      <w:color w:val="auto"/>
                      <w:kern w:val="2"/>
                      <w:sz w:val="21"/>
                      <w:szCs w:val="21"/>
                      <w:highlight w:val="none"/>
                    </w:rPr>
                    <w:t>氨氮</w:t>
                  </w:r>
                </w:p>
              </w:tc>
              <w:tc>
                <w:tcPr>
                  <w:tcW w:w="753" w:type="pct"/>
                  <w:shd w:val="clear" w:color="auto" w:fill="auto"/>
                  <w:vAlign w:val="center"/>
                </w:tcPr>
                <w:p w14:paraId="661B5679">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0.042</w:t>
                  </w:r>
                </w:p>
              </w:tc>
              <w:tc>
                <w:tcPr>
                  <w:tcW w:w="890" w:type="pct"/>
                  <w:shd w:val="clear" w:color="auto" w:fill="auto"/>
                  <w:vAlign w:val="center"/>
                </w:tcPr>
                <w:p w14:paraId="22AF28B3">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0.048</w:t>
                  </w:r>
                </w:p>
              </w:tc>
              <w:tc>
                <w:tcPr>
                  <w:tcW w:w="891" w:type="pct"/>
                  <w:shd w:val="clear" w:color="auto" w:fill="auto"/>
                  <w:vAlign w:val="center"/>
                </w:tcPr>
                <w:p w14:paraId="5D82209D">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0.053</w:t>
                  </w:r>
                </w:p>
              </w:tc>
              <w:tc>
                <w:tcPr>
                  <w:tcW w:w="536" w:type="pct"/>
                  <w:shd w:val="clear" w:color="auto" w:fill="auto"/>
                  <w:vAlign w:val="center"/>
                </w:tcPr>
                <w:p w14:paraId="35127E2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0.50</w:t>
                  </w:r>
                </w:p>
              </w:tc>
              <w:tc>
                <w:tcPr>
                  <w:tcW w:w="552" w:type="pct"/>
                  <w:shd w:val="clear" w:color="auto" w:fill="auto"/>
                  <w:vAlign w:val="center"/>
                </w:tcPr>
                <w:p w14:paraId="6CCAF207">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2419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6480088C">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3</w:t>
                  </w:r>
                </w:p>
              </w:tc>
              <w:tc>
                <w:tcPr>
                  <w:tcW w:w="1049" w:type="pct"/>
                  <w:shd w:val="clear" w:color="auto" w:fill="auto"/>
                  <w:vAlign w:val="center"/>
                </w:tcPr>
                <w:p w14:paraId="25313A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硝酸盐氮</w:t>
                  </w:r>
                </w:p>
              </w:tc>
              <w:tc>
                <w:tcPr>
                  <w:tcW w:w="753" w:type="pct"/>
                  <w:shd w:val="clear" w:color="auto" w:fill="auto"/>
                  <w:vAlign w:val="center"/>
                </w:tcPr>
                <w:p w14:paraId="63CCABB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1.88</w:t>
                  </w:r>
                </w:p>
              </w:tc>
              <w:tc>
                <w:tcPr>
                  <w:tcW w:w="890" w:type="pct"/>
                  <w:shd w:val="clear" w:color="auto" w:fill="auto"/>
                  <w:vAlign w:val="center"/>
                </w:tcPr>
                <w:p w14:paraId="43656BBE">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1.90</w:t>
                  </w:r>
                </w:p>
              </w:tc>
              <w:tc>
                <w:tcPr>
                  <w:tcW w:w="891" w:type="pct"/>
                  <w:shd w:val="clear" w:color="auto" w:fill="auto"/>
                  <w:vAlign w:val="center"/>
                </w:tcPr>
                <w:p w14:paraId="7E8A32AD">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1.96</w:t>
                  </w:r>
                </w:p>
              </w:tc>
              <w:tc>
                <w:tcPr>
                  <w:tcW w:w="536" w:type="pct"/>
                  <w:shd w:val="clear" w:color="auto" w:fill="auto"/>
                  <w:vAlign w:val="center"/>
                </w:tcPr>
                <w:p w14:paraId="21CD948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20.0</w:t>
                  </w:r>
                </w:p>
              </w:tc>
              <w:tc>
                <w:tcPr>
                  <w:tcW w:w="552" w:type="pct"/>
                  <w:shd w:val="clear" w:color="auto" w:fill="auto"/>
                  <w:vAlign w:val="center"/>
                </w:tcPr>
                <w:p w14:paraId="11E29826">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3741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4D2F9D90">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4</w:t>
                  </w:r>
                </w:p>
              </w:tc>
              <w:tc>
                <w:tcPr>
                  <w:tcW w:w="1049" w:type="pct"/>
                  <w:shd w:val="clear" w:color="auto" w:fill="auto"/>
                  <w:vAlign w:val="center"/>
                </w:tcPr>
                <w:p w14:paraId="390A46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亚硝酸盐氮</w:t>
                  </w:r>
                </w:p>
              </w:tc>
              <w:tc>
                <w:tcPr>
                  <w:tcW w:w="753" w:type="pct"/>
                  <w:shd w:val="clear" w:color="auto" w:fill="auto"/>
                  <w:vAlign w:val="center"/>
                </w:tcPr>
                <w:p w14:paraId="717B6CE8">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5F288CD9">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32DA9A58">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27EABD7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1.00</w:t>
                  </w:r>
                </w:p>
              </w:tc>
              <w:tc>
                <w:tcPr>
                  <w:tcW w:w="552" w:type="pct"/>
                  <w:shd w:val="clear" w:color="auto" w:fill="auto"/>
                  <w:vAlign w:val="center"/>
                </w:tcPr>
                <w:p w14:paraId="6FC7ABF7">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4A06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1D02B48E">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5</w:t>
                  </w:r>
                </w:p>
              </w:tc>
              <w:tc>
                <w:tcPr>
                  <w:tcW w:w="1049" w:type="pct"/>
                  <w:shd w:val="clear" w:color="auto" w:fill="auto"/>
                  <w:vAlign w:val="center"/>
                </w:tcPr>
                <w:p w14:paraId="09DC25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挥发酚</w:t>
                  </w:r>
                </w:p>
              </w:tc>
              <w:tc>
                <w:tcPr>
                  <w:tcW w:w="753" w:type="pct"/>
                  <w:shd w:val="clear" w:color="auto" w:fill="auto"/>
                  <w:vAlign w:val="center"/>
                </w:tcPr>
                <w:p w14:paraId="194A6402">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5C918150">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3F5ACCFF">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3E54C1F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0.002</w:t>
                  </w:r>
                </w:p>
              </w:tc>
              <w:tc>
                <w:tcPr>
                  <w:tcW w:w="552" w:type="pct"/>
                  <w:shd w:val="clear" w:color="auto" w:fill="auto"/>
                  <w:vAlign w:val="center"/>
                </w:tcPr>
                <w:p w14:paraId="108FA520">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1039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7404BC96">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6</w:t>
                  </w:r>
                </w:p>
              </w:tc>
              <w:tc>
                <w:tcPr>
                  <w:tcW w:w="1049" w:type="pct"/>
                  <w:shd w:val="clear" w:color="auto" w:fill="auto"/>
                  <w:vAlign w:val="center"/>
                </w:tcPr>
                <w:p w14:paraId="5456A9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氰化物</w:t>
                  </w:r>
                </w:p>
              </w:tc>
              <w:tc>
                <w:tcPr>
                  <w:tcW w:w="753" w:type="pct"/>
                  <w:shd w:val="clear" w:color="auto" w:fill="auto"/>
                  <w:vAlign w:val="center"/>
                </w:tcPr>
                <w:p w14:paraId="02657C1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4AD3DBA6">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09C8E322">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3D6A6C0F">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0.05</w:t>
                  </w:r>
                </w:p>
              </w:tc>
              <w:tc>
                <w:tcPr>
                  <w:tcW w:w="552" w:type="pct"/>
                  <w:shd w:val="clear" w:color="auto" w:fill="auto"/>
                  <w:vAlign w:val="center"/>
                </w:tcPr>
                <w:p w14:paraId="03BBDDCD">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7C28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2F348368">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7</w:t>
                  </w:r>
                </w:p>
              </w:tc>
              <w:tc>
                <w:tcPr>
                  <w:tcW w:w="1049" w:type="pct"/>
                  <w:shd w:val="clear" w:color="auto" w:fill="auto"/>
                  <w:vAlign w:val="center"/>
                </w:tcPr>
                <w:p w14:paraId="10D094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砷</w:t>
                  </w:r>
                </w:p>
              </w:tc>
              <w:tc>
                <w:tcPr>
                  <w:tcW w:w="753" w:type="pct"/>
                  <w:shd w:val="clear" w:color="auto" w:fill="auto"/>
                  <w:vAlign w:val="center"/>
                </w:tcPr>
                <w:p w14:paraId="5877C1D8">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290F843A">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0175BAF1">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3C24EBFF">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10</w:t>
                  </w:r>
                </w:p>
              </w:tc>
              <w:tc>
                <w:tcPr>
                  <w:tcW w:w="552" w:type="pct"/>
                  <w:shd w:val="clear" w:color="auto" w:fill="auto"/>
                  <w:vAlign w:val="center"/>
                </w:tcPr>
                <w:p w14:paraId="7DB3BCD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highlight w:val="none"/>
                    </w:rPr>
                    <w:t>µg/</w:t>
                  </w:r>
                  <w:r>
                    <w:rPr>
                      <w:rFonts w:hint="default" w:ascii="Times New Roman" w:hAnsi="Times New Roman" w:eastAsia="宋体" w:cs="Times New Roman"/>
                      <w:snapToGrid w:val="0"/>
                      <w:color w:val="auto"/>
                      <w:kern w:val="0"/>
                      <w:sz w:val="21"/>
                      <w:szCs w:val="21"/>
                      <w:highlight w:val="none"/>
                      <w:lang w:val="en-US" w:eastAsia="zh-CN" w:bidi="ar-SA"/>
                    </w:rPr>
                    <w:t>L</w:t>
                  </w:r>
                </w:p>
              </w:tc>
            </w:tr>
            <w:tr w14:paraId="156A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55F4B96D">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8</w:t>
                  </w:r>
                </w:p>
              </w:tc>
              <w:tc>
                <w:tcPr>
                  <w:tcW w:w="1049" w:type="pct"/>
                  <w:shd w:val="clear" w:color="auto" w:fill="auto"/>
                  <w:vAlign w:val="center"/>
                </w:tcPr>
                <w:p w14:paraId="11C5C4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汞</w:t>
                  </w:r>
                </w:p>
              </w:tc>
              <w:tc>
                <w:tcPr>
                  <w:tcW w:w="753" w:type="pct"/>
                  <w:shd w:val="clear" w:color="auto" w:fill="auto"/>
                  <w:vAlign w:val="center"/>
                </w:tcPr>
                <w:p w14:paraId="734626E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0097599B">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2504E947">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56F6C5B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w:t>
                  </w:r>
                </w:p>
              </w:tc>
              <w:tc>
                <w:tcPr>
                  <w:tcW w:w="552" w:type="pct"/>
                  <w:shd w:val="clear" w:color="auto" w:fill="auto"/>
                  <w:vAlign w:val="center"/>
                </w:tcPr>
                <w:p w14:paraId="4CF956E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highlight w:val="none"/>
                    </w:rPr>
                    <w:t>µg/</w:t>
                  </w:r>
                  <w:r>
                    <w:rPr>
                      <w:rFonts w:hint="default" w:ascii="Times New Roman" w:hAnsi="Times New Roman" w:eastAsia="宋体" w:cs="Times New Roman"/>
                      <w:snapToGrid w:val="0"/>
                      <w:color w:val="auto"/>
                      <w:kern w:val="0"/>
                      <w:sz w:val="21"/>
                      <w:szCs w:val="21"/>
                      <w:highlight w:val="none"/>
                      <w:lang w:val="en-US" w:eastAsia="zh-CN" w:bidi="ar-SA"/>
                    </w:rPr>
                    <w:t>L</w:t>
                  </w:r>
                </w:p>
              </w:tc>
            </w:tr>
            <w:tr w14:paraId="7CDB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5B1C8EFA">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9</w:t>
                  </w:r>
                </w:p>
              </w:tc>
              <w:tc>
                <w:tcPr>
                  <w:tcW w:w="1049" w:type="pct"/>
                  <w:shd w:val="clear" w:color="auto" w:fill="auto"/>
                  <w:vAlign w:val="center"/>
                </w:tcPr>
                <w:p w14:paraId="17ED0308">
                  <w:pPr>
                    <w:pStyle w:val="38"/>
                    <w:spacing w:before="1"/>
                    <w:ind w:right="342"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铬</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六价</w:t>
                  </w:r>
                  <w:r>
                    <w:rPr>
                      <w:rFonts w:hint="eastAsia" w:ascii="Times New Roman" w:hAnsi="Times New Roman" w:eastAsia="宋体" w:cs="Times New Roman"/>
                      <w:color w:val="auto"/>
                      <w:kern w:val="2"/>
                      <w:sz w:val="21"/>
                      <w:szCs w:val="21"/>
                      <w:highlight w:val="none"/>
                      <w:lang w:val="en-US" w:eastAsia="zh-CN" w:bidi="ar-SA"/>
                    </w:rPr>
                    <w:t>）</w:t>
                  </w:r>
                </w:p>
              </w:tc>
              <w:tc>
                <w:tcPr>
                  <w:tcW w:w="753" w:type="pct"/>
                  <w:shd w:val="clear" w:color="auto" w:fill="auto"/>
                  <w:vAlign w:val="center"/>
                </w:tcPr>
                <w:p w14:paraId="34DC1218">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534FC681">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2ECC6C3F">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327C00F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0.05</w:t>
                  </w:r>
                </w:p>
              </w:tc>
              <w:tc>
                <w:tcPr>
                  <w:tcW w:w="552" w:type="pct"/>
                  <w:shd w:val="clear" w:color="auto" w:fill="auto"/>
                  <w:vAlign w:val="center"/>
                </w:tcPr>
                <w:p w14:paraId="40BC9193">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3BA3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2A6CC5A2">
                  <w:pPr>
                    <w:widowControl/>
                    <w:adjustRightInd w:val="0"/>
                    <w:snapToGrid w:val="0"/>
                    <w:jc w:val="center"/>
                    <w:textAlignment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10</w:t>
                  </w:r>
                </w:p>
              </w:tc>
              <w:tc>
                <w:tcPr>
                  <w:tcW w:w="1049" w:type="pct"/>
                  <w:shd w:val="clear" w:color="auto" w:fill="auto"/>
                  <w:vAlign w:val="center"/>
                </w:tcPr>
                <w:p w14:paraId="70EDB3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总硬度</w:t>
                  </w:r>
                </w:p>
              </w:tc>
              <w:tc>
                <w:tcPr>
                  <w:tcW w:w="753" w:type="pct"/>
                  <w:shd w:val="clear" w:color="auto" w:fill="auto"/>
                  <w:vAlign w:val="center"/>
                </w:tcPr>
                <w:p w14:paraId="6EDE96FC">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321</w:t>
                  </w:r>
                </w:p>
              </w:tc>
              <w:tc>
                <w:tcPr>
                  <w:tcW w:w="890" w:type="pct"/>
                  <w:shd w:val="clear" w:color="auto" w:fill="auto"/>
                  <w:vAlign w:val="center"/>
                </w:tcPr>
                <w:p w14:paraId="2C45337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337</w:t>
                  </w:r>
                </w:p>
              </w:tc>
              <w:tc>
                <w:tcPr>
                  <w:tcW w:w="891" w:type="pct"/>
                  <w:shd w:val="clear" w:color="auto" w:fill="auto"/>
                  <w:vAlign w:val="center"/>
                </w:tcPr>
                <w:p w14:paraId="5CEFC39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326</w:t>
                  </w:r>
                </w:p>
              </w:tc>
              <w:tc>
                <w:tcPr>
                  <w:tcW w:w="536" w:type="pct"/>
                  <w:shd w:val="clear" w:color="auto" w:fill="auto"/>
                  <w:vAlign w:val="center"/>
                </w:tcPr>
                <w:p w14:paraId="50048AE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450</w:t>
                  </w:r>
                </w:p>
              </w:tc>
              <w:tc>
                <w:tcPr>
                  <w:tcW w:w="552" w:type="pct"/>
                  <w:shd w:val="clear" w:color="auto" w:fill="auto"/>
                  <w:vAlign w:val="center"/>
                </w:tcPr>
                <w:p w14:paraId="0B5300D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05FE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034FAA5C">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11</w:t>
                  </w:r>
                </w:p>
              </w:tc>
              <w:tc>
                <w:tcPr>
                  <w:tcW w:w="1049" w:type="pct"/>
                  <w:shd w:val="clear" w:color="auto" w:fill="auto"/>
                  <w:vAlign w:val="center"/>
                </w:tcPr>
                <w:p w14:paraId="194114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铅</w:t>
                  </w:r>
                </w:p>
              </w:tc>
              <w:tc>
                <w:tcPr>
                  <w:tcW w:w="753" w:type="pct"/>
                  <w:shd w:val="clear" w:color="auto" w:fill="auto"/>
                  <w:vAlign w:val="center"/>
                </w:tcPr>
                <w:p w14:paraId="43E55BF9">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3536BB40">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7055DABF">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418AF85C">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10</w:t>
                  </w:r>
                </w:p>
              </w:tc>
              <w:tc>
                <w:tcPr>
                  <w:tcW w:w="552" w:type="pct"/>
                  <w:shd w:val="clear" w:color="auto" w:fill="auto"/>
                  <w:vAlign w:val="center"/>
                </w:tcPr>
                <w:p w14:paraId="7E5089D7">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highlight w:val="none"/>
                    </w:rPr>
                    <w:t>µg/</w:t>
                  </w:r>
                  <w:r>
                    <w:rPr>
                      <w:rFonts w:hint="default" w:ascii="Times New Roman" w:hAnsi="Times New Roman" w:eastAsia="宋体" w:cs="Times New Roman"/>
                      <w:snapToGrid w:val="0"/>
                      <w:color w:val="auto"/>
                      <w:kern w:val="0"/>
                      <w:sz w:val="21"/>
                      <w:szCs w:val="21"/>
                      <w:highlight w:val="none"/>
                      <w:lang w:val="en-US" w:eastAsia="zh-CN" w:bidi="ar-SA"/>
                    </w:rPr>
                    <w:t>L</w:t>
                  </w:r>
                </w:p>
              </w:tc>
            </w:tr>
            <w:tr w14:paraId="3D5F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456DBA3E">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12</w:t>
                  </w:r>
                </w:p>
              </w:tc>
              <w:tc>
                <w:tcPr>
                  <w:tcW w:w="1049" w:type="pct"/>
                  <w:shd w:val="clear" w:color="auto" w:fill="auto"/>
                  <w:vAlign w:val="center"/>
                </w:tcPr>
                <w:p w14:paraId="4A2707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氟化物</w:t>
                  </w:r>
                </w:p>
              </w:tc>
              <w:tc>
                <w:tcPr>
                  <w:tcW w:w="753" w:type="pct"/>
                  <w:shd w:val="clear" w:color="auto" w:fill="auto"/>
                  <w:vAlign w:val="center"/>
                </w:tcPr>
                <w:p w14:paraId="664E287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0.86</w:t>
                  </w:r>
                </w:p>
              </w:tc>
              <w:tc>
                <w:tcPr>
                  <w:tcW w:w="890" w:type="pct"/>
                  <w:shd w:val="clear" w:color="auto" w:fill="auto"/>
                  <w:vAlign w:val="center"/>
                </w:tcPr>
                <w:p w14:paraId="76CC29F8">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0.91</w:t>
                  </w:r>
                </w:p>
              </w:tc>
              <w:tc>
                <w:tcPr>
                  <w:tcW w:w="891" w:type="pct"/>
                  <w:shd w:val="clear" w:color="auto" w:fill="auto"/>
                  <w:vAlign w:val="center"/>
                </w:tcPr>
                <w:p w14:paraId="01550EC0">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0.96</w:t>
                  </w:r>
                </w:p>
              </w:tc>
              <w:tc>
                <w:tcPr>
                  <w:tcW w:w="536" w:type="pct"/>
                  <w:shd w:val="clear" w:color="auto" w:fill="auto"/>
                  <w:vAlign w:val="center"/>
                </w:tcPr>
                <w:p w14:paraId="0FD4EDDE">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1.0</w:t>
                  </w:r>
                </w:p>
              </w:tc>
              <w:tc>
                <w:tcPr>
                  <w:tcW w:w="552" w:type="pct"/>
                  <w:shd w:val="clear" w:color="auto" w:fill="auto"/>
                  <w:vAlign w:val="center"/>
                </w:tcPr>
                <w:p w14:paraId="1E810ABE">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3934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2B406A51">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13</w:t>
                  </w:r>
                </w:p>
              </w:tc>
              <w:tc>
                <w:tcPr>
                  <w:tcW w:w="1049" w:type="pct"/>
                  <w:shd w:val="clear" w:color="auto" w:fill="auto"/>
                  <w:vAlign w:val="center"/>
                </w:tcPr>
                <w:p w14:paraId="6F484E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镉</w:t>
                  </w:r>
                </w:p>
              </w:tc>
              <w:tc>
                <w:tcPr>
                  <w:tcW w:w="753" w:type="pct"/>
                  <w:shd w:val="clear" w:color="auto" w:fill="auto"/>
                  <w:vAlign w:val="center"/>
                </w:tcPr>
                <w:p w14:paraId="3FA6AC54">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5313D24B">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16A0ED00">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6BBDC2B8">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0.005</w:t>
                  </w:r>
                </w:p>
              </w:tc>
              <w:tc>
                <w:tcPr>
                  <w:tcW w:w="552" w:type="pct"/>
                  <w:shd w:val="clear" w:color="auto" w:fill="auto"/>
                  <w:vAlign w:val="center"/>
                </w:tcPr>
                <w:p w14:paraId="7BCAAFCA">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390E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04060B72">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14</w:t>
                  </w:r>
                </w:p>
              </w:tc>
              <w:tc>
                <w:tcPr>
                  <w:tcW w:w="1049" w:type="pct"/>
                  <w:shd w:val="clear" w:color="auto" w:fill="auto"/>
                  <w:vAlign w:val="center"/>
                </w:tcPr>
                <w:p w14:paraId="5F53171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szCs w:val="22"/>
                      <w:highlight w:val="none"/>
                      <w:lang w:val="en-US" w:eastAsia="zh-CN"/>
                    </w:rPr>
                    <w:t>铁</w:t>
                  </w:r>
                </w:p>
              </w:tc>
              <w:tc>
                <w:tcPr>
                  <w:tcW w:w="753" w:type="pct"/>
                  <w:shd w:val="clear" w:color="auto" w:fill="auto"/>
                  <w:vAlign w:val="center"/>
                </w:tcPr>
                <w:p w14:paraId="7793E4A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0.08</w:t>
                  </w:r>
                </w:p>
              </w:tc>
              <w:tc>
                <w:tcPr>
                  <w:tcW w:w="890" w:type="pct"/>
                  <w:shd w:val="clear" w:color="auto" w:fill="auto"/>
                  <w:vAlign w:val="center"/>
                </w:tcPr>
                <w:p w14:paraId="796C7194">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0.09</w:t>
                  </w:r>
                </w:p>
              </w:tc>
              <w:tc>
                <w:tcPr>
                  <w:tcW w:w="891" w:type="pct"/>
                  <w:shd w:val="clear" w:color="auto" w:fill="auto"/>
                  <w:vAlign w:val="center"/>
                </w:tcPr>
                <w:p w14:paraId="2448BD71">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0.07</w:t>
                  </w:r>
                </w:p>
              </w:tc>
              <w:tc>
                <w:tcPr>
                  <w:tcW w:w="536" w:type="pct"/>
                  <w:shd w:val="clear" w:color="auto" w:fill="auto"/>
                  <w:vAlign w:val="center"/>
                </w:tcPr>
                <w:p w14:paraId="084DED2F">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0.3</w:t>
                  </w:r>
                </w:p>
              </w:tc>
              <w:tc>
                <w:tcPr>
                  <w:tcW w:w="552" w:type="pct"/>
                  <w:shd w:val="clear" w:color="auto" w:fill="auto"/>
                  <w:vAlign w:val="center"/>
                </w:tcPr>
                <w:p w14:paraId="5B50A5C9">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6FA6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0DFC4C89">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15</w:t>
                  </w:r>
                </w:p>
              </w:tc>
              <w:tc>
                <w:tcPr>
                  <w:tcW w:w="1049" w:type="pct"/>
                  <w:shd w:val="clear" w:color="auto" w:fill="auto"/>
                  <w:vAlign w:val="center"/>
                </w:tcPr>
                <w:p w14:paraId="02E090F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szCs w:val="22"/>
                      <w:highlight w:val="none"/>
                      <w:lang w:val="en-US" w:eastAsia="zh-CN"/>
                    </w:rPr>
                    <w:t>锰</w:t>
                  </w:r>
                </w:p>
              </w:tc>
              <w:tc>
                <w:tcPr>
                  <w:tcW w:w="753" w:type="pct"/>
                  <w:shd w:val="clear" w:color="auto" w:fill="auto"/>
                  <w:vAlign w:val="center"/>
                </w:tcPr>
                <w:p w14:paraId="773D4C0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484506D6">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33D7E522">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790108D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0.10</w:t>
                  </w:r>
                </w:p>
              </w:tc>
              <w:tc>
                <w:tcPr>
                  <w:tcW w:w="552" w:type="pct"/>
                  <w:shd w:val="clear" w:color="auto" w:fill="auto"/>
                  <w:vAlign w:val="center"/>
                </w:tcPr>
                <w:p w14:paraId="6443B12A">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0F7F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4720B37A">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16</w:t>
                  </w:r>
                </w:p>
              </w:tc>
              <w:tc>
                <w:tcPr>
                  <w:tcW w:w="1049" w:type="pct"/>
                  <w:shd w:val="clear" w:color="auto" w:fill="auto"/>
                  <w:vAlign w:val="center"/>
                </w:tcPr>
                <w:p w14:paraId="2B3BD7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溶解性总固体</w:t>
                  </w:r>
                </w:p>
              </w:tc>
              <w:tc>
                <w:tcPr>
                  <w:tcW w:w="753" w:type="pct"/>
                  <w:shd w:val="clear" w:color="auto" w:fill="auto"/>
                  <w:vAlign w:val="center"/>
                </w:tcPr>
                <w:p w14:paraId="2E27D2A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544</w:t>
                  </w:r>
                </w:p>
              </w:tc>
              <w:tc>
                <w:tcPr>
                  <w:tcW w:w="890" w:type="pct"/>
                  <w:shd w:val="clear" w:color="auto" w:fill="auto"/>
                  <w:vAlign w:val="center"/>
                </w:tcPr>
                <w:p w14:paraId="397AC99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528</w:t>
                  </w:r>
                </w:p>
              </w:tc>
              <w:tc>
                <w:tcPr>
                  <w:tcW w:w="891" w:type="pct"/>
                  <w:shd w:val="clear" w:color="auto" w:fill="auto"/>
                  <w:vAlign w:val="center"/>
                </w:tcPr>
                <w:p w14:paraId="3C5F1420">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563</w:t>
                  </w:r>
                </w:p>
              </w:tc>
              <w:tc>
                <w:tcPr>
                  <w:tcW w:w="536" w:type="pct"/>
                  <w:shd w:val="clear" w:color="auto" w:fill="auto"/>
                  <w:vAlign w:val="center"/>
                </w:tcPr>
                <w:p w14:paraId="2528D326">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1000</w:t>
                  </w:r>
                </w:p>
              </w:tc>
              <w:tc>
                <w:tcPr>
                  <w:tcW w:w="552" w:type="pct"/>
                  <w:shd w:val="clear" w:color="auto" w:fill="auto"/>
                  <w:vAlign w:val="center"/>
                </w:tcPr>
                <w:p w14:paraId="499EDFC2">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7466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06355824">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17</w:t>
                  </w:r>
                </w:p>
              </w:tc>
              <w:tc>
                <w:tcPr>
                  <w:tcW w:w="1049" w:type="pct"/>
                  <w:shd w:val="clear" w:color="auto" w:fill="auto"/>
                  <w:vAlign w:val="center"/>
                </w:tcPr>
                <w:p w14:paraId="48D82F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高锰酸盐指数</w:t>
                  </w:r>
                </w:p>
              </w:tc>
              <w:tc>
                <w:tcPr>
                  <w:tcW w:w="753" w:type="pct"/>
                  <w:shd w:val="clear" w:color="auto" w:fill="auto"/>
                  <w:vAlign w:val="center"/>
                </w:tcPr>
                <w:p w14:paraId="25C39A2E">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1.2</w:t>
                  </w:r>
                </w:p>
              </w:tc>
              <w:tc>
                <w:tcPr>
                  <w:tcW w:w="890" w:type="pct"/>
                  <w:shd w:val="clear" w:color="auto" w:fill="auto"/>
                  <w:vAlign w:val="center"/>
                </w:tcPr>
                <w:p w14:paraId="71037610">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1.1</w:t>
                  </w:r>
                </w:p>
              </w:tc>
              <w:tc>
                <w:tcPr>
                  <w:tcW w:w="891" w:type="pct"/>
                  <w:shd w:val="clear" w:color="auto" w:fill="auto"/>
                  <w:vAlign w:val="center"/>
                </w:tcPr>
                <w:p w14:paraId="2F1ACA64">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1.4</w:t>
                  </w:r>
                </w:p>
              </w:tc>
              <w:tc>
                <w:tcPr>
                  <w:tcW w:w="536" w:type="pct"/>
                  <w:shd w:val="clear" w:color="auto" w:fill="auto"/>
                  <w:vAlign w:val="center"/>
                </w:tcPr>
                <w:p w14:paraId="467DE64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3.0</w:t>
                  </w:r>
                </w:p>
              </w:tc>
              <w:tc>
                <w:tcPr>
                  <w:tcW w:w="552" w:type="pct"/>
                  <w:shd w:val="clear" w:color="auto" w:fill="auto"/>
                  <w:vAlign w:val="center"/>
                </w:tcPr>
                <w:p w14:paraId="15A2BC6B">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0117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0555AC89">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18</w:t>
                  </w:r>
                </w:p>
              </w:tc>
              <w:tc>
                <w:tcPr>
                  <w:tcW w:w="1049" w:type="pct"/>
                  <w:shd w:val="clear" w:color="auto" w:fill="auto"/>
                  <w:vAlign w:val="center"/>
                </w:tcPr>
                <w:p w14:paraId="779D15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bCs/>
                      <w:color w:val="auto"/>
                      <w:szCs w:val="21"/>
                      <w:highlight w:val="none"/>
                      <w:lang w:val="en-US" w:eastAsia="zh-CN"/>
                    </w:rPr>
                    <w:t>硫酸</w:t>
                  </w:r>
                  <w:r>
                    <w:rPr>
                      <w:rFonts w:hint="eastAsia" w:ascii="Times New Roman" w:hAnsi="Times New Roman" w:cs="Times New Roman"/>
                      <w:bCs/>
                      <w:color w:val="auto"/>
                      <w:szCs w:val="21"/>
                      <w:highlight w:val="none"/>
                      <w:lang w:val="en-US" w:eastAsia="zh-CN"/>
                    </w:rPr>
                    <w:t>盐</w:t>
                  </w:r>
                </w:p>
              </w:tc>
              <w:tc>
                <w:tcPr>
                  <w:tcW w:w="753" w:type="pct"/>
                  <w:shd w:val="clear" w:color="auto" w:fill="auto"/>
                  <w:vAlign w:val="center"/>
                </w:tcPr>
                <w:p w14:paraId="4A459870">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112</w:t>
                  </w:r>
                </w:p>
              </w:tc>
              <w:tc>
                <w:tcPr>
                  <w:tcW w:w="890" w:type="pct"/>
                  <w:shd w:val="clear" w:color="auto" w:fill="auto"/>
                  <w:vAlign w:val="center"/>
                </w:tcPr>
                <w:p w14:paraId="005F7265">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118</w:t>
                  </w:r>
                </w:p>
              </w:tc>
              <w:tc>
                <w:tcPr>
                  <w:tcW w:w="891" w:type="pct"/>
                  <w:shd w:val="clear" w:color="auto" w:fill="auto"/>
                  <w:vAlign w:val="center"/>
                </w:tcPr>
                <w:p w14:paraId="6AB00801">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122</w:t>
                  </w:r>
                </w:p>
              </w:tc>
              <w:tc>
                <w:tcPr>
                  <w:tcW w:w="536" w:type="pct"/>
                  <w:shd w:val="clear" w:color="auto" w:fill="auto"/>
                  <w:vAlign w:val="center"/>
                </w:tcPr>
                <w:p w14:paraId="55C04CB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250</w:t>
                  </w:r>
                </w:p>
              </w:tc>
              <w:tc>
                <w:tcPr>
                  <w:tcW w:w="552" w:type="pct"/>
                  <w:shd w:val="clear" w:color="auto" w:fill="auto"/>
                  <w:vAlign w:val="center"/>
                </w:tcPr>
                <w:p w14:paraId="08C961A5">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6673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0769C9CA">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19</w:t>
                  </w:r>
                </w:p>
              </w:tc>
              <w:tc>
                <w:tcPr>
                  <w:tcW w:w="1049" w:type="pct"/>
                  <w:shd w:val="clear" w:color="auto" w:fill="auto"/>
                  <w:vAlign w:val="center"/>
                </w:tcPr>
                <w:p w14:paraId="184BE0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color w:val="auto"/>
                      <w:kern w:val="2"/>
                      <w:sz w:val="21"/>
                      <w:szCs w:val="21"/>
                      <w:highlight w:val="none"/>
                    </w:rPr>
                  </w:pPr>
                  <w:r>
                    <w:rPr>
                      <w:rFonts w:hint="default" w:ascii="Times New Roman" w:hAnsi="Times New Roman" w:cs="Times New Roman"/>
                      <w:color w:val="auto"/>
                      <w:szCs w:val="21"/>
                      <w:highlight w:val="none"/>
                      <w:lang w:val="en-US" w:eastAsia="zh-CN"/>
                    </w:rPr>
                    <w:t>氯化物</w:t>
                  </w:r>
                </w:p>
              </w:tc>
              <w:tc>
                <w:tcPr>
                  <w:tcW w:w="753" w:type="pct"/>
                  <w:shd w:val="clear" w:color="auto" w:fill="auto"/>
                  <w:vAlign w:val="center"/>
                </w:tcPr>
                <w:p w14:paraId="548CD350">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121</w:t>
                  </w:r>
                </w:p>
              </w:tc>
              <w:tc>
                <w:tcPr>
                  <w:tcW w:w="890" w:type="pct"/>
                  <w:shd w:val="clear" w:color="auto" w:fill="auto"/>
                  <w:vAlign w:val="center"/>
                </w:tcPr>
                <w:p w14:paraId="0144145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130</w:t>
                  </w:r>
                </w:p>
              </w:tc>
              <w:tc>
                <w:tcPr>
                  <w:tcW w:w="891" w:type="pct"/>
                  <w:shd w:val="clear" w:color="auto" w:fill="auto"/>
                  <w:vAlign w:val="center"/>
                </w:tcPr>
                <w:p w14:paraId="6D05DE52">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134</w:t>
                  </w:r>
                </w:p>
              </w:tc>
              <w:tc>
                <w:tcPr>
                  <w:tcW w:w="536" w:type="pct"/>
                  <w:shd w:val="clear" w:color="auto" w:fill="auto"/>
                  <w:vAlign w:val="center"/>
                </w:tcPr>
                <w:p w14:paraId="46EE49F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250</w:t>
                  </w:r>
                </w:p>
              </w:tc>
              <w:tc>
                <w:tcPr>
                  <w:tcW w:w="552" w:type="pct"/>
                  <w:shd w:val="clear" w:color="auto" w:fill="auto"/>
                  <w:vAlign w:val="center"/>
                </w:tcPr>
                <w:p w14:paraId="42EB04CC">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3BA8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7D3438CB">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20</w:t>
                  </w:r>
                </w:p>
              </w:tc>
              <w:tc>
                <w:tcPr>
                  <w:tcW w:w="1049" w:type="pct"/>
                  <w:shd w:val="clear" w:color="auto" w:fill="auto"/>
                  <w:vAlign w:val="center"/>
                </w:tcPr>
                <w:p w14:paraId="75693CC5">
                  <w:pPr>
                    <w:spacing w:line="240" w:lineRule="auto"/>
                    <w:jc w:val="center"/>
                    <w:rPr>
                      <w:rFonts w:hint="eastAsia" w:ascii="宋体" w:hAnsi="宋体"/>
                      <w:color w:val="auto"/>
                      <w:kern w:val="2"/>
                      <w:sz w:val="21"/>
                      <w:szCs w:val="21"/>
                      <w:highlight w:val="none"/>
                    </w:rPr>
                  </w:pPr>
                  <w:r>
                    <w:rPr>
                      <w:rFonts w:hint="eastAsia" w:ascii="Times New Roman" w:hAnsi="Times New Roman" w:cs="Times New Roman"/>
                      <w:color w:val="auto"/>
                      <w:kern w:val="2"/>
                      <w:sz w:val="21"/>
                      <w:szCs w:val="21"/>
                      <w:highlight w:val="none"/>
                      <w:lang w:val="en-US" w:eastAsia="zh-CN" w:bidi="ar-SA"/>
                    </w:rPr>
                    <w:t>总</w:t>
                  </w:r>
                  <w:r>
                    <w:rPr>
                      <w:rFonts w:hint="default" w:ascii="Times New Roman" w:hAnsi="Times New Roman" w:cs="Times New Roman"/>
                      <w:color w:val="auto"/>
                      <w:kern w:val="2"/>
                      <w:sz w:val="21"/>
                      <w:szCs w:val="21"/>
                      <w:highlight w:val="none"/>
                      <w:lang w:val="en-US" w:eastAsia="zh-CN" w:bidi="ar-SA"/>
                    </w:rPr>
                    <w:t>大肠菌群</w:t>
                  </w:r>
                </w:p>
              </w:tc>
              <w:tc>
                <w:tcPr>
                  <w:tcW w:w="753" w:type="pct"/>
                  <w:shd w:val="clear" w:color="auto" w:fill="auto"/>
                  <w:vAlign w:val="center"/>
                </w:tcPr>
                <w:p w14:paraId="70D0D422">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未检出</w:t>
                  </w:r>
                </w:p>
              </w:tc>
              <w:tc>
                <w:tcPr>
                  <w:tcW w:w="890" w:type="pct"/>
                  <w:shd w:val="clear" w:color="auto" w:fill="auto"/>
                  <w:vAlign w:val="center"/>
                </w:tcPr>
                <w:p w14:paraId="63BB1EF0">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未检出</w:t>
                  </w:r>
                </w:p>
              </w:tc>
              <w:tc>
                <w:tcPr>
                  <w:tcW w:w="891" w:type="pct"/>
                  <w:shd w:val="clear" w:color="auto" w:fill="auto"/>
                  <w:vAlign w:val="center"/>
                </w:tcPr>
                <w:p w14:paraId="10DDE8B8">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未检出</w:t>
                  </w:r>
                </w:p>
              </w:tc>
              <w:tc>
                <w:tcPr>
                  <w:tcW w:w="536" w:type="pct"/>
                  <w:shd w:val="clear" w:color="auto" w:fill="auto"/>
                  <w:vAlign w:val="center"/>
                </w:tcPr>
                <w:p w14:paraId="0906BF54">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3.0</w:t>
                  </w:r>
                </w:p>
              </w:tc>
              <w:tc>
                <w:tcPr>
                  <w:tcW w:w="552" w:type="pct"/>
                  <w:shd w:val="clear" w:color="auto" w:fill="auto"/>
                  <w:vAlign w:val="center"/>
                </w:tcPr>
                <w:p w14:paraId="57AE389E">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highlight w:val="none"/>
                      <w:lang w:val="en-US" w:eastAsia="zh-CN"/>
                    </w:rPr>
                    <w:t>MPN/100m</w:t>
                  </w:r>
                  <w:r>
                    <w:rPr>
                      <w:rFonts w:hint="eastAsia" w:ascii="Times New Roman" w:hAnsi="Times New Roman" w:cs="Times New Roman"/>
                      <w:color w:val="auto"/>
                      <w:highlight w:val="none"/>
                      <w:lang w:val="en-US" w:eastAsia="zh-CN"/>
                    </w:rPr>
                    <w:t>l</w:t>
                  </w:r>
                </w:p>
              </w:tc>
            </w:tr>
            <w:tr w14:paraId="4DB4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05890B74">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21</w:t>
                  </w:r>
                </w:p>
              </w:tc>
              <w:tc>
                <w:tcPr>
                  <w:tcW w:w="1049" w:type="pct"/>
                  <w:shd w:val="clear" w:color="auto" w:fill="auto"/>
                  <w:vAlign w:val="center"/>
                </w:tcPr>
                <w:p w14:paraId="4FDEAF31">
                  <w:pPr>
                    <w:pStyle w:val="11"/>
                    <w:adjustRightInd w:val="0"/>
                    <w:snapToGrid w:val="0"/>
                    <w:spacing w:before="0" w:beforeAutospacing="0" w:after="0" w:afterAutospacing="0"/>
                    <w:jc w:val="center"/>
                    <w:rPr>
                      <w:rFonts w:hint="eastAsia" w:ascii="宋体" w:hAnsi="宋体"/>
                      <w:color w:val="auto"/>
                      <w:kern w:val="2"/>
                      <w:sz w:val="21"/>
                      <w:szCs w:val="21"/>
                      <w:highlight w:val="none"/>
                    </w:rPr>
                  </w:pPr>
                  <w:r>
                    <w:rPr>
                      <w:rFonts w:hint="eastAsia" w:hAnsi="宋体"/>
                      <w:color w:val="auto"/>
                      <w:kern w:val="2"/>
                      <w:sz w:val="21"/>
                      <w:szCs w:val="21"/>
                      <w:highlight w:val="none"/>
                      <w:lang w:val="en-US" w:eastAsia="zh-CN"/>
                    </w:rPr>
                    <w:t>细菌</w:t>
                  </w:r>
                  <w:r>
                    <w:rPr>
                      <w:rFonts w:hint="eastAsia" w:ascii="宋体" w:hAnsi="宋体"/>
                      <w:color w:val="auto"/>
                      <w:kern w:val="2"/>
                      <w:sz w:val="21"/>
                      <w:szCs w:val="21"/>
                      <w:highlight w:val="none"/>
                    </w:rPr>
                    <w:t>总数</w:t>
                  </w:r>
                </w:p>
              </w:tc>
              <w:tc>
                <w:tcPr>
                  <w:tcW w:w="753" w:type="pct"/>
                  <w:shd w:val="clear" w:color="auto" w:fill="auto"/>
                  <w:vAlign w:val="center"/>
                </w:tcPr>
                <w:p w14:paraId="79DB759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86</w:t>
                  </w:r>
                </w:p>
              </w:tc>
              <w:tc>
                <w:tcPr>
                  <w:tcW w:w="890" w:type="pct"/>
                  <w:shd w:val="clear" w:color="auto" w:fill="auto"/>
                  <w:vAlign w:val="center"/>
                </w:tcPr>
                <w:p w14:paraId="22D4B6F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81</w:t>
                  </w:r>
                </w:p>
              </w:tc>
              <w:tc>
                <w:tcPr>
                  <w:tcW w:w="891" w:type="pct"/>
                  <w:shd w:val="clear" w:color="auto" w:fill="auto"/>
                  <w:vAlign w:val="center"/>
                </w:tcPr>
                <w:p w14:paraId="4950103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77</w:t>
                  </w:r>
                </w:p>
              </w:tc>
              <w:tc>
                <w:tcPr>
                  <w:tcW w:w="536" w:type="pct"/>
                  <w:shd w:val="clear" w:color="auto" w:fill="auto"/>
                  <w:vAlign w:val="center"/>
                </w:tcPr>
                <w:p w14:paraId="6ACA7D59">
                  <w:pPr>
                    <w:jc w:val="center"/>
                    <w:rPr>
                      <w:rFonts w:hint="default" w:ascii="宋体" w:hAnsi="宋体" w:eastAsia="宋体" w:cs="宋体"/>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100</w:t>
                  </w:r>
                </w:p>
              </w:tc>
              <w:tc>
                <w:tcPr>
                  <w:tcW w:w="552" w:type="pct"/>
                  <w:shd w:val="clear" w:color="auto" w:fill="auto"/>
                  <w:vAlign w:val="center"/>
                </w:tcPr>
                <w:p w14:paraId="32AF0C6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CFU/m</w:t>
                  </w:r>
                  <w:r>
                    <w:rPr>
                      <w:rFonts w:hint="eastAsia" w:ascii="Times New Roman" w:hAnsi="Times New Roman" w:cs="Times New Roman"/>
                      <w:color w:val="auto"/>
                      <w:kern w:val="2"/>
                      <w:sz w:val="21"/>
                      <w:szCs w:val="21"/>
                      <w:highlight w:val="none"/>
                      <w:lang w:val="en-US" w:eastAsia="zh-CN" w:bidi="ar-SA"/>
                    </w:rPr>
                    <w:t>l</w:t>
                  </w:r>
                </w:p>
              </w:tc>
            </w:tr>
            <w:tr w14:paraId="3017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3B5E6F2E">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22</w:t>
                  </w:r>
                </w:p>
              </w:tc>
              <w:tc>
                <w:tcPr>
                  <w:tcW w:w="1049" w:type="pct"/>
                  <w:shd w:val="clear" w:color="auto" w:fill="auto"/>
                  <w:vAlign w:val="center"/>
                </w:tcPr>
                <w:p w14:paraId="1ABA96CE">
                  <w:pPr>
                    <w:adjustRightInd w:val="0"/>
                    <w:snapToGrid w:val="0"/>
                    <w:spacing w:line="280" w:lineRule="exact"/>
                    <w:jc w:val="center"/>
                    <w:rPr>
                      <w:rFonts w:hint="default" w:ascii="Times New Roman" w:hAnsi="Times New Roman" w:cs="Times New Roman"/>
                      <w:snapToGrid w:val="0"/>
                      <w:color w:val="auto"/>
                      <w:kern w:val="0"/>
                      <w:szCs w:val="21"/>
                      <w:highlight w:val="none"/>
                      <w:lang w:val="en-US" w:eastAsia="zh-CN"/>
                    </w:rPr>
                  </w:pPr>
                  <w:r>
                    <w:rPr>
                      <w:rFonts w:ascii="Times New Roman" w:hAnsi="Times New Roman" w:cs="Times New Roman"/>
                      <w:snapToGrid w:val="0"/>
                      <w:color w:val="auto"/>
                      <w:sz w:val="21"/>
                      <w:highlight w:val="none"/>
                      <w:lang w:eastAsia="en-US"/>
                    </w:rPr>
                    <w:t>钾</w:t>
                  </w:r>
                </w:p>
              </w:tc>
              <w:tc>
                <w:tcPr>
                  <w:tcW w:w="753" w:type="pct"/>
                  <w:shd w:val="clear" w:color="auto" w:fill="auto"/>
                  <w:vAlign w:val="center"/>
                </w:tcPr>
                <w:p w14:paraId="41A26874">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5.03</w:t>
                  </w:r>
                </w:p>
              </w:tc>
              <w:tc>
                <w:tcPr>
                  <w:tcW w:w="890" w:type="pct"/>
                  <w:shd w:val="clear" w:color="auto" w:fill="auto"/>
                  <w:vAlign w:val="center"/>
                </w:tcPr>
                <w:p w14:paraId="66DE381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4.16</w:t>
                  </w:r>
                </w:p>
              </w:tc>
              <w:tc>
                <w:tcPr>
                  <w:tcW w:w="891" w:type="pct"/>
                  <w:shd w:val="clear" w:color="auto" w:fill="auto"/>
                  <w:vAlign w:val="center"/>
                </w:tcPr>
                <w:p w14:paraId="40BFDE19">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1.87</w:t>
                  </w:r>
                </w:p>
              </w:tc>
              <w:tc>
                <w:tcPr>
                  <w:tcW w:w="536" w:type="pct"/>
                  <w:shd w:val="clear" w:color="auto" w:fill="auto"/>
                  <w:vAlign w:val="center"/>
                </w:tcPr>
                <w:p w14:paraId="40503E8B">
                  <w:pPr>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w:t>
                  </w:r>
                </w:p>
              </w:tc>
              <w:tc>
                <w:tcPr>
                  <w:tcW w:w="552" w:type="pct"/>
                  <w:shd w:val="clear" w:color="auto" w:fill="auto"/>
                  <w:vAlign w:val="center"/>
                </w:tcPr>
                <w:p w14:paraId="30D5467F">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59BA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162B4AB7">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23</w:t>
                  </w:r>
                </w:p>
              </w:tc>
              <w:tc>
                <w:tcPr>
                  <w:tcW w:w="1049" w:type="pct"/>
                  <w:shd w:val="clear" w:color="auto" w:fill="auto"/>
                  <w:vAlign w:val="center"/>
                </w:tcPr>
                <w:p w14:paraId="274B0CA4">
                  <w:pPr>
                    <w:adjustRightInd w:val="0"/>
                    <w:snapToGrid w:val="0"/>
                    <w:spacing w:line="280" w:lineRule="exact"/>
                    <w:jc w:val="center"/>
                    <w:rPr>
                      <w:rFonts w:hint="default" w:ascii="Times New Roman" w:hAnsi="Times New Roman" w:cs="Times New Roman"/>
                      <w:snapToGrid w:val="0"/>
                      <w:color w:val="auto"/>
                      <w:kern w:val="0"/>
                      <w:szCs w:val="21"/>
                      <w:highlight w:val="none"/>
                      <w:lang w:val="en-US" w:eastAsia="zh-CN"/>
                    </w:rPr>
                  </w:pPr>
                  <w:r>
                    <w:rPr>
                      <w:rFonts w:ascii="Times New Roman" w:hAnsi="Times New Roman" w:cs="Times New Roman"/>
                      <w:snapToGrid w:val="0"/>
                      <w:color w:val="auto"/>
                      <w:sz w:val="21"/>
                      <w:highlight w:val="none"/>
                      <w:lang w:eastAsia="en-US"/>
                    </w:rPr>
                    <w:t>钙</w:t>
                  </w:r>
                </w:p>
              </w:tc>
              <w:tc>
                <w:tcPr>
                  <w:tcW w:w="753" w:type="pct"/>
                  <w:shd w:val="clear" w:color="auto" w:fill="auto"/>
                  <w:vAlign w:val="center"/>
                </w:tcPr>
                <w:p w14:paraId="619D61E9">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42.4</w:t>
                  </w:r>
                </w:p>
              </w:tc>
              <w:tc>
                <w:tcPr>
                  <w:tcW w:w="890" w:type="pct"/>
                  <w:shd w:val="clear" w:color="auto" w:fill="auto"/>
                  <w:vAlign w:val="center"/>
                </w:tcPr>
                <w:p w14:paraId="3BBBDB3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44.3</w:t>
                  </w:r>
                </w:p>
              </w:tc>
              <w:tc>
                <w:tcPr>
                  <w:tcW w:w="891" w:type="pct"/>
                  <w:shd w:val="clear" w:color="auto" w:fill="auto"/>
                  <w:vAlign w:val="center"/>
                </w:tcPr>
                <w:p w14:paraId="6E2DD31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43.1</w:t>
                  </w:r>
                </w:p>
              </w:tc>
              <w:tc>
                <w:tcPr>
                  <w:tcW w:w="536" w:type="pct"/>
                  <w:shd w:val="clear" w:color="auto" w:fill="auto"/>
                  <w:vAlign w:val="center"/>
                </w:tcPr>
                <w:p w14:paraId="42F8BB0B">
                  <w:pPr>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w:t>
                  </w:r>
                </w:p>
              </w:tc>
              <w:tc>
                <w:tcPr>
                  <w:tcW w:w="552" w:type="pct"/>
                  <w:shd w:val="clear" w:color="auto" w:fill="auto"/>
                  <w:vAlign w:val="center"/>
                </w:tcPr>
                <w:p w14:paraId="3D5A69E3">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511C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26A0DB30">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24</w:t>
                  </w:r>
                </w:p>
              </w:tc>
              <w:tc>
                <w:tcPr>
                  <w:tcW w:w="1049" w:type="pct"/>
                  <w:shd w:val="clear" w:color="auto" w:fill="auto"/>
                  <w:vAlign w:val="center"/>
                </w:tcPr>
                <w:p w14:paraId="2827B009">
                  <w:pPr>
                    <w:pStyle w:val="11"/>
                    <w:adjustRightInd w:val="0"/>
                    <w:snapToGrid w:val="0"/>
                    <w:spacing w:line="240" w:lineRule="auto"/>
                    <w:jc w:val="center"/>
                    <w:rPr>
                      <w:rFonts w:hint="default" w:ascii="Times New Roman" w:hAnsi="Times New Roman" w:cs="Times New Roman"/>
                      <w:snapToGrid w:val="0"/>
                      <w:color w:val="auto"/>
                      <w:kern w:val="0"/>
                      <w:szCs w:val="21"/>
                      <w:highlight w:val="none"/>
                      <w:lang w:val="en-US" w:eastAsia="zh-CN"/>
                    </w:rPr>
                  </w:pPr>
                  <w:r>
                    <w:rPr>
                      <w:rFonts w:ascii="Times New Roman" w:hAnsi="Times New Roman" w:cs="Times New Roman"/>
                      <w:snapToGrid w:val="0"/>
                      <w:color w:val="auto"/>
                      <w:sz w:val="21"/>
                      <w:highlight w:val="none"/>
                      <w:lang w:eastAsia="en-US"/>
                    </w:rPr>
                    <w:t>钠</w:t>
                  </w:r>
                </w:p>
              </w:tc>
              <w:tc>
                <w:tcPr>
                  <w:tcW w:w="753" w:type="pct"/>
                  <w:shd w:val="clear" w:color="auto" w:fill="auto"/>
                  <w:vAlign w:val="center"/>
                </w:tcPr>
                <w:p w14:paraId="13178E04">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71.8</w:t>
                  </w:r>
                </w:p>
              </w:tc>
              <w:tc>
                <w:tcPr>
                  <w:tcW w:w="890" w:type="pct"/>
                  <w:shd w:val="clear" w:color="auto" w:fill="auto"/>
                  <w:vAlign w:val="center"/>
                </w:tcPr>
                <w:p w14:paraId="4CBCCBEA">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55.8</w:t>
                  </w:r>
                </w:p>
              </w:tc>
              <w:tc>
                <w:tcPr>
                  <w:tcW w:w="891" w:type="pct"/>
                  <w:shd w:val="clear" w:color="auto" w:fill="auto"/>
                  <w:vAlign w:val="center"/>
                </w:tcPr>
                <w:p w14:paraId="2A563A76">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74.8</w:t>
                  </w:r>
                </w:p>
              </w:tc>
              <w:tc>
                <w:tcPr>
                  <w:tcW w:w="536" w:type="pct"/>
                  <w:shd w:val="clear" w:color="auto" w:fill="auto"/>
                  <w:vAlign w:val="center"/>
                </w:tcPr>
                <w:p w14:paraId="02F90CB4">
                  <w:pPr>
                    <w:jc w:val="center"/>
                    <w:rPr>
                      <w:rFonts w:hint="default" w:ascii="宋体" w:hAnsi="宋体" w:eastAsia="宋体" w:cs="宋体"/>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200</w:t>
                  </w:r>
                </w:p>
              </w:tc>
              <w:tc>
                <w:tcPr>
                  <w:tcW w:w="552" w:type="pct"/>
                  <w:shd w:val="clear" w:color="auto" w:fill="auto"/>
                  <w:vAlign w:val="center"/>
                </w:tcPr>
                <w:p w14:paraId="025719AB">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10D3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63211209">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25</w:t>
                  </w:r>
                </w:p>
              </w:tc>
              <w:tc>
                <w:tcPr>
                  <w:tcW w:w="1049" w:type="pct"/>
                  <w:shd w:val="clear" w:color="auto" w:fill="auto"/>
                  <w:vAlign w:val="center"/>
                </w:tcPr>
                <w:p w14:paraId="004CFA17">
                  <w:pPr>
                    <w:adjustRightInd w:val="0"/>
                    <w:snapToGrid w:val="0"/>
                    <w:spacing w:line="280" w:lineRule="exact"/>
                    <w:jc w:val="center"/>
                    <w:rPr>
                      <w:rFonts w:hint="default" w:ascii="Times New Roman" w:hAnsi="Times New Roman" w:cs="Times New Roman"/>
                      <w:snapToGrid w:val="0"/>
                      <w:color w:val="auto"/>
                      <w:kern w:val="0"/>
                      <w:szCs w:val="21"/>
                      <w:highlight w:val="none"/>
                      <w:lang w:val="en-US" w:eastAsia="zh-CN"/>
                    </w:rPr>
                  </w:pPr>
                  <w:r>
                    <w:rPr>
                      <w:rFonts w:ascii="Times New Roman" w:hAnsi="Times New Roman" w:cs="Times New Roman"/>
                      <w:snapToGrid w:val="0"/>
                      <w:color w:val="auto"/>
                      <w:sz w:val="21"/>
                      <w:highlight w:val="none"/>
                      <w:lang w:eastAsia="en-US"/>
                    </w:rPr>
                    <w:t>镁</w:t>
                  </w:r>
                </w:p>
              </w:tc>
              <w:tc>
                <w:tcPr>
                  <w:tcW w:w="753" w:type="pct"/>
                  <w:shd w:val="clear" w:color="auto" w:fill="auto"/>
                  <w:vAlign w:val="center"/>
                </w:tcPr>
                <w:p w14:paraId="1C14FDF4">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47.2</w:t>
                  </w:r>
                </w:p>
              </w:tc>
              <w:tc>
                <w:tcPr>
                  <w:tcW w:w="890" w:type="pct"/>
                  <w:shd w:val="clear" w:color="auto" w:fill="auto"/>
                  <w:vAlign w:val="center"/>
                </w:tcPr>
                <w:p w14:paraId="68A1699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49.2</w:t>
                  </w:r>
                </w:p>
              </w:tc>
              <w:tc>
                <w:tcPr>
                  <w:tcW w:w="891" w:type="pct"/>
                  <w:shd w:val="clear" w:color="auto" w:fill="auto"/>
                  <w:vAlign w:val="center"/>
                </w:tcPr>
                <w:p w14:paraId="5B4724F6">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48.8</w:t>
                  </w:r>
                </w:p>
              </w:tc>
              <w:tc>
                <w:tcPr>
                  <w:tcW w:w="536" w:type="pct"/>
                  <w:shd w:val="clear" w:color="auto" w:fill="auto"/>
                  <w:vAlign w:val="center"/>
                </w:tcPr>
                <w:p w14:paraId="1E9B3A47">
                  <w:pPr>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w:t>
                  </w:r>
                </w:p>
              </w:tc>
              <w:tc>
                <w:tcPr>
                  <w:tcW w:w="552" w:type="pct"/>
                  <w:shd w:val="clear" w:color="auto" w:fill="auto"/>
                  <w:vAlign w:val="center"/>
                </w:tcPr>
                <w:p w14:paraId="72FE2530">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679B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3EAD5ED5">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26</w:t>
                  </w:r>
                </w:p>
              </w:tc>
              <w:tc>
                <w:tcPr>
                  <w:tcW w:w="1049" w:type="pct"/>
                  <w:shd w:val="clear" w:color="auto" w:fill="auto"/>
                  <w:vAlign w:val="center"/>
                </w:tcPr>
                <w:p w14:paraId="6FBABDBB">
                  <w:pPr>
                    <w:pStyle w:val="11"/>
                    <w:adjustRightInd w:val="0"/>
                    <w:snapToGrid w:val="0"/>
                    <w:spacing w:before="0" w:beforeAutospacing="0" w:after="0" w:afterAutospacing="0"/>
                    <w:jc w:val="center"/>
                    <w:rPr>
                      <w:rFonts w:hint="default" w:ascii="Times New Roman" w:hAnsi="Times New Roman" w:cs="Times New Roman"/>
                      <w:snapToGrid w:val="0"/>
                      <w:color w:val="auto"/>
                      <w:kern w:val="0"/>
                      <w:szCs w:val="21"/>
                      <w:highlight w:val="none"/>
                      <w:lang w:val="en-US" w:eastAsia="zh-CN"/>
                    </w:rPr>
                  </w:pPr>
                  <w:r>
                    <w:rPr>
                      <w:rFonts w:ascii="Times New Roman" w:hAnsi="Times New Roman"/>
                      <w:snapToGrid w:val="0"/>
                      <w:color w:val="auto"/>
                      <w:sz w:val="21"/>
                      <w:szCs w:val="21"/>
                      <w:highlight w:val="none"/>
                    </w:rPr>
                    <w:t>碳酸根</w:t>
                  </w:r>
                </w:p>
              </w:tc>
              <w:tc>
                <w:tcPr>
                  <w:tcW w:w="753" w:type="pct"/>
                  <w:shd w:val="clear" w:color="auto" w:fill="auto"/>
                  <w:vAlign w:val="center"/>
                </w:tcPr>
                <w:p w14:paraId="79F1983E">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78A55B7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1A04DBDE">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4687870F">
                  <w:pPr>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w:t>
                  </w:r>
                </w:p>
              </w:tc>
              <w:tc>
                <w:tcPr>
                  <w:tcW w:w="552" w:type="pct"/>
                  <w:shd w:val="clear" w:color="auto" w:fill="auto"/>
                  <w:vAlign w:val="center"/>
                </w:tcPr>
                <w:p w14:paraId="24577692">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1F75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4EA6A889">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27</w:t>
                  </w:r>
                </w:p>
              </w:tc>
              <w:tc>
                <w:tcPr>
                  <w:tcW w:w="1049" w:type="pct"/>
                  <w:shd w:val="clear" w:color="auto" w:fill="auto"/>
                  <w:vAlign w:val="center"/>
                </w:tcPr>
                <w:p w14:paraId="2BB5ED8B">
                  <w:pPr>
                    <w:pStyle w:val="11"/>
                    <w:adjustRightInd w:val="0"/>
                    <w:snapToGrid w:val="0"/>
                    <w:spacing w:before="0" w:beforeAutospacing="0" w:after="0" w:afterAutospacing="0"/>
                    <w:jc w:val="center"/>
                    <w:rPr>
                      <w:rFonts w:hint="default" w:ascii="Times New Roman" w:hAnsi="Times New Roman" w:cs="Times New Roman"/>
                      <w:snapToGrid w:val="0"/>
                      <w:color w:val="auto"/>
                      <w:kern w:val="0"/>
                      <w:szCs w:val="21"/>
                      <w:highlight w:val="none"/>
                      <w:lang w:val="en-US" w:eastAsia="zh-CN"/>
                    </w:rPr>
                  </w:pPr>
                  <w:r>
                    <w:rPr>
                      <w:rFonts w:ascii="Times New Roman" w:hAnsi="Times New Roman"/>
                      <w:snapToGrid w:val="0"/>
                      <w:color w:val="auto"/>
                      <w:sz w:val="21"/>
                      <w:szCs w:val="21"/>
                      <w:highlight w:val="none"/>
                    </w:rPr>
                    <w:t>重碳酸根</w:t>
                  </w:r>
                </w:p>
              </w:tc>
              <w:tc>
                <w:tcPr>
                  <w:tcW w:w="753" w:type="pct"/>
                  <w:shd w:val="clear" w:color="auto" w:fill="auto"/>
                  <w:vAlign w:val="center"/>
                </w:tcPr>
                <w:p w14:paraId="05D6230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225</w:t>
                  </w:r>
                </w:p>
              </w:tc>
              <w:tc>
                <w:tcPr>
                  <w:tcW w:w="890" w:type="pct"/>
                  <w:shd w:val="clear" w:color="auto" w:fill="auto"/>
                  <w:vAlign w:val="center"/>
                </w:tcPr>
                <w:p w14:paraId="2F3F515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173</w:t>
                  </w:r>
                </w:p>
              </w:tc>
              <w:tc>
                <w:tcPr>
                  <w:tcW w:w="891" w:type="pct"/>
                  <w:shd w:val="clear" w:color="auto" w:fill="auto"/>
                  <w:vAlign w:val="center"/>
                </w:tcPr>
                <w:p w14:paraId="10C3737F">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203</w:t>
                  </w:r>
                </w:p>
              </w:tc>
              <w:tc>
                <w:tcPr>
                  <w:tcW w:w="536" w:type="pct"/>
                  <w:shd w:val="clear" w:color="auto" w:fill="auto"/>
                  <w:vAlign w:val="center"/>
                </w:tcPr>
                <w:p w14:paraId="53CCE269">
                  <w:pPr>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w:t>
                  </w:r>
                </w:p>
              </w:tc>
              <w:tc>
                <w:tcPr>
                  <w:tcW w:w="552" w:type="pct"/>
                  <w:shd w:val="clear" w:color="auto" w:fill="auto"/>
                  <w:vAlign w:val="center"/>
                </w:tcPr>
                <w:p w14:paraId="583294BA">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2C0D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25379BE2">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28</w:t>
                  </w:r>
                </w:p>
              </w:tc>
              <w:tc>
                <w:tcPr>
                  <w:tcW w:w="1049" w:type="pct"/>
                  <w:shd w:val="clear" w:color="auto" w:fill="auto"/>
                  <w:vAlign w:val="center"/>
                </w:tcPr>
                <w:p w14:paraId="35BF936E">
                  <w:pPr>
                    <w:jc w:val="center"/>
                    <w:rPr>
                      <w:rFonts w:ascii="Times New Roman" w:hAnsi="Times New Roman"/>
                      <w:snapToGrid w:val="0"/>
                      <w:color w:val="auto"/>
                      <w:sz w:val="21"/>
                      <w:szCs w:val="21"/>
                      <w:highlight w:val="none"/>
                    </w:rPr>
                  </w:pPr>
                  <w:r>
                    <w:rPr>
                      <w:rFonts w:ascii="Times New Roman" w:hAnsi="Times New Roman" w:cs="Times New Roman"/>
                      <w:color w:val="auto"/>
                      <w:kern w:val="2"/>
                      <w:sz w:val="21"/>
                      <w:szCs w:val="21"/>
                      <w:highlight w:val="none"/>
                    </w:rPr>
                    <w:t>阴离子表面活性剂</w:t>
                  </w:r>
                </w:p>
              </w:tc>
              <w:tc>
                <w:tcPr>
                  <w:tcW w:w="753" w:type="pct"/>
                  <w:shd w:val="clear" w:color="auto" w:fill="auto"/>
                  <w:vAlign w:val="center"/>
                </w:tcPr>
                <w:p w14:paraId="2BC68001">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2958426B">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05E88BC9">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5F99038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0.3</w:t>
                  </w:r>
                </w:p>
              </w:tc>
              <w:tc>
                <w:tcPr>
                  <w:tcW w:w="552" w:type="pct"/>
                  <w:shd w:val="clear" w:color="auto" w:fill="auto"/>
                  <w:vAlign w:val="center"/>
                </w:tcPr>
                <w:p w14:paraId="65C3CE76">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6BFA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25" w:type="pct"/>
                  <w:shd w:val="clear" w:color="auto" w:fill="auto"/>
                  <w:vAlign w:val="center"/>
                </w:tcPr>
                <w:p w14:paraId="365A04CA">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29</w:t>
                  </w:r>
                </w:p>
              </w:tc>
              <w:tc>
                <w:tcPr>
                  <w:tcW w:w="1049" w:type="pct"/>
                  <w:shd w:val="clear" w:color="auto" w:fill="auto"/>
                  <w:vAlign w:val="center"/>
                </w:tcPr>
                <w:p w14:paraId="045B0079">
                  <w:pPr>
                    <w:pStyle w:val="11"/>
                    <w:adjustRightInd w:val="0"/>
                    <w:snapToGrid w:val="0"/>
                    <w:spacing w:before="0" w:beforeAutospacing="0" w:after="0" w:afterAutospacing="0"/>
                    <w:jc w:val="center"/>
                    <w:rPr>
                      <w:rFonts w:ascii="Times New Roman" w:hAnsi="Times New Roman"/>
                      <w:snapToGrid w:val="0"/>
                      <w:color w:val="auto"/>
                      <w:sz w:val="21"/>
                      <w:szCs w:val="21"/>
                      <w:highlight w:val="none"/>
                    </w:rPr>
                  </w:pPr>
                  <w:r>
                    <w:rPr>
                      <w:rFonts w:hint="eastAsia" w:ascii="Times New Roman" w:hAnsi="Times New Roman"/>
                      <w:snapToGrid w:val="0"/>
                      <w:color w:val="auto"/>
                      <w:sz w:val="21"/>
                      <w:szCs w:val="21"/>
                      <w:highlight w:val="none"/>
                    </w:rPr>
                    <w:t>硫化物</w:t>
                  </w:r>
                </w:p>
              </w:tc>
              <w:tc>
                <w:tcPr>
                  <w:tcW w:w="753" w:type="pct"/>
                  <w:shd w:val="clear" w:color="auto" w:fill="auto"/>
                  <w:vAlign w:val="center"/>
                </w:tcPr>
                <w:p w14:paraId="4F442B3C">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5E41894E">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2E2ECAAE">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725A283A">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0.02</w:t>
                  </w:r>
                </w:p>
              </w:tc>
              <w:tc>
                <w:tcPr>
                  <w:tcW w:w="552" w:type="pct"/>
                  <w:shd w:val="clear" w:color="auto" w:fill="auto"/>
                  <w:vAlign w:val="center"/>
                </w:tcPr>
                <w:p w14:paraId="64E500BE">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38D8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0DAB3AD9">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30</w:t>
                  </w:r>
                </w:p>
              </w:tc>
              <w:tc>
                <w:tcPr>
                  <w:tcW w:w="1049" w:type="pct"/>
                  <w:shd w:val="clear" w:color="auto" w:fill="auto"/>
                  <w:vAlign w:val="center"/>
                </w:tcPr>
                <w:p w14:paraId="37A6BED1">
                  <w:pPr>
                    <w:pStyle w:val="11"/>
                    <w:adjustRightInd w:val="0"/>
                    <w:snapToGrid w:val="0"/>
                    <w:spacing w:before="0" w:beforeAutospacing="0" w:after="0" w:afterAutospacing="0"/>
                    <w:jc w:val="center"/>
                    <w:rPr>
                      <w:rFonts w:ascii="Times New Roman" w:hAnsi="Times New Roman"/>
                      <w:snapToGrid w:val="0"/>
                      <w:color w:val="auto"/>
                      <w:sz w:val="21"/>
                      <w:szCs w:val="21"/>
                      <w:highlight w:val="none"/>
                    </w:rPr>
                  </w:pPr>
                  <w:r>
                    <w:rPr>
                      <w:rFonts w:hint="eastAsia" w:ascii="Times New Roman" w:hAnsi="Times New Roman"/>
                      <w:snapToGrid w:val="0"/>
                      <w:color w:val="auto"/>
                      <w:sz w:val="21"/>
                      <w:szCs w:val="21"/>
                      <w:highlight w:val="none"/>
                    </w:rPr>
                    <w:t>铜</w:t>
                  </w:r>
                </w:p>
              </w:tc>
              <w:tc>
                <w:tcPr>
                  <w:tcW w:w="753" w:type="pct"/>
                  <w:shd w:val="clear" w:color="auto" w:fill="auto"/>
                  <w:vAlign w:val="center"/>
                </w:tcPr>
                <w:p w14:paraId="0B6B2EE8">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1207728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1A698AA0">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43D1A94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1.00</w:t>
                  </w:r>
                </w:p>
              </w:tc>
              <w:tc>
                <w:tcPr>
                  <w:tcW w:w="552" w:type="pct"/>
                  <w:shd w:val="clear" w:color="auto" w:fill="auto"/>
                  <w:vAlign w:val="center"/>
                </w:tcPr>
                <w:p w14:paraId="4D0B6B21">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35C0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2B19E531">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31</w:t>
                  </w:r>
                </w:p>
              </w:tc>
              <w:tc>
                <w:tcPr>
                  <w:tcW w:w="1049" w:type="pct"/>
                  <w:shd w:val="clear" w:color="auto" w:fill="auto"/>
                  <w:vAlign w:val="center"/>
                </w:tcPr>
                <w:p w14:paraId="1CAC397A">
                  <w:pPr>
                    <w:pStyle w:val="11"/>
                    <w:adjustRightInd w:val="0"/>
                    <w:snapToGrid w:val="0"/>
                    <w:spacing w:before="0" w:beforeAutospacing="0" w:after="0" w:afterAutospacing="0"/>
                    <w:jc w:val="center"/>
                    <w:rPr>
                      <w:rFonts w:ascii="Times New Roman" w:hAnsi="Times New Roman"/>
                      <w:snapToGrid w:val="0"/>
                      <w:color w:val="auto"/>
                      <w:sz w:val="21"/>
                      <w:szCs w:val="21"/>
                      <w:highlight w:val="none"/>
                    </w:rPr>
                  </w:pPr>
                  <w:r>
                    <w:rPr>
                      <w:rFonts w:hint="eastAsia" w:ascii="Times New Roman" w:hAnsi="Times New Roman"/>
                      <w:snapToGrid w:val="0"/>
                      <w:color w:val="auto"/>
                      <w:sz w:val="21"/>
                      <w:szCs w:val="21"/>
                      <w:highlight w:val="none"/>
                    </w:rPr>
                    <w:t>锌</w:t>
                  </w:r>
                </w:p>
              </w:tc>
              <w:tc>
                <w:tcPr>
                  <w:tcW w:w="753" w:type="pct"/>
                  <w:shd w:val="clear" w:color="auto" w:fill="auto"/>
                  <w:vAlign w:val="center"/>
                </w:tcPr>
                <w:p w14:paraId="0ED81FA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7A0E6D8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69273340">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2E5516D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1.00</w:t>
                  </w:r>
                </w:p>
              </w:tc>
              <w:tc>
                <w:tcPr>
                  <w:tcW w:w="552" w:type="pct"/>
                  <w:shd w:val="clear" w:color="auto" w:fill="auto"/>
                  <w:vAlign w:val="center"/>
                </w:tcPr>
                <w:p w14:paraId="424523C9">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mg/L</w:t>
                  </w:r>
                </w:p>
              </w:tc>
            </w:tr>
            <w:tr w14:paraId="7D39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33C5A279">
                  <w:pPr>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32</w:t>
                  </w:r>
                </w:p>
              </w:tc>
              <w:tc>
                <w:tcPr>
                  <w:tcW w:w="1049" w:type="pct"/>
                  <w:shd w:val="clear" w:color="auto" w:fill="auto"/>
                  <w:vAlign w:val="center"/>
                </w:tcPr>
                <w:p w14:paraId="41073321">
                  <w:pPr>
                    <w:pStyle w:val="11"/>
                    <w:adjustRightInd w:val="0"/>
                    <w:snapToGrid w:val="0"/>
                    <w:spacing w:before="0" w:beforeAutospacing="0" w:after="0" w:afterAutospacing="0"/>
                    <w:jc w:val="center"/>
                    <w:rPr>
                      <w:rFonts w:ascii="Times New Roman" w:hAnsi="Times New Roman"/>
                      <w:snapToGrid w:val="0"/>
                      <w:color w:val="auto"/>
                      <w:sz w:val="21"/>
                      <w:szCs w:val="21"/>
                      <w:highlight w:val="none"/>
                    </w:rPr>
                  </w:pPr>
                  <w:r>
                    <w:rPr>
                      <w:rFonts w:hint="eastAsia" w:ascii="Times New Roman" w:hAnsi="Times New Roman"/>
                      <w:snapToGrid w:val="0"/>
                      <w:color w:val="auto"/>
                      <w:sz w:val="21"/>
                      <w:szCs w:val="21"/>
                      <w:highlight w:val="none"/>
                    </w:rPr>
                    <w:t>镍</w:t>
                  </w:r>
                </w:p>
              </w:tc>
              <w:tc>
                <w:tcPr>
                  <w:tcW w:w="753" w:type="pct"/>
                  <w:shd w:val="clear" w:color="auto" w:fill="auto"/>
                  <w:vAlign w:val="center"/>
                </w:tcPr>
                <w:p w14:paraId="264228CD">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0" w:type="pct"/>
                  <w:shd w:val="clear" w:color="auto" w:fill="auto"/>
                  <w:vAlign w:val="center"/>
                </w:tcPr>
                <w:p w14:paraId="62F35E56">
                  <w:pPr>
                    <w:jc w:val="center"/>
                    <w:rPr>
                      <w:rFonts w:hint="default"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891" w:type="pct"/>
                  <w:shd w:val="clear" w:color="auto" w:fill="auto"/>
                  <w:vAlign w:val="center"/>
                </w:tcPr>
                <w:p w14:paraId="0DECE522">
                  <w:pPr>
                    <w:jc w:val="center"/>
                    <w:rPr>
                      <w:rFonts w:hint="eastAsia" w:ascii="Times New Roman" w:hAnsi="Times New Roman" w:cs="Times New Roman"/>
                      <w:snapToGrid w:val="0"/>
                      <w:color w:val="auto"/>
                      <w:kern w:val="0"/>
                      <w:sz w:val="21"/>
                      <w:szCs w:val="21"/>
                      <w:highlight w:val="none"/>
                      <w:lang w:val="en-US" w:eastAsia="zh-CN" w:bidi="ar-SA"/>
                    </w:rPr>
                  </w:pPr>
                  <w:r>
                    <w:rPr>
                      <w:rFonts w:hint="eastAsia" w:ascii="Times New Roman" w:hAnsi="Times New Roman" w:cs="Times New Roman"/>
                      <w:color w:val="auto"/>
                      <w:highlight w:val="none"/>
                      <w:lang w:val="en-US" w:eastAsia="zh-CN"/>
                    </w:rPr>
                    <w:t>ND</w:t>
                  </w:r>
                </w:p>
              </w:tc>
              <w:tc>
                <w:tcPr>
                  <w:tcW w:w="536" w:type="pct"/>
                  <w:shd w:val="clear" w:color="auto" w:fill="auto"/>
                  <w:vAlign w:val="center"/>
                </w:tcPr>
                <w:p w14:paraId="15D623C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s="Times New Roman"/>
                      <w:snapToGrid w:val="0"/>
                      <w:color w:val="auto"/>
                      <w:kern w:val="0"/>
                      <w:sz w:val="21"/>
                      <w:szCs w:val="21"/>
                      <w:highlight w:val="none"/>
                      <w:lang w:val="en-US" w:eastAsia="zh-CN" w:bidi="ar-SA"/>
                    </w:rPr>
                    <w:t>20</w:t>
                  </w:r>
                </w:p>
              </w:tc>
              <w:tc>
                <w:tcPr>
                  <w:tcW w:w="552" w:type="pct"/>
                  <w:shd w:val="clear" w:color="auto" w:fill="auto"/>
                  <w:vAlign w:val="center"/>
                </w:tcPr>
                <w:p w14:paraId="60AF0975">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color w:val="auto"/>
                      <w:highlight w:val="none"/>
                    </w:rPr>
                    <w:t>µg/</w:t>
                  </w:r>
                  <w:r>
                    <w:rPr>
                      <w:rFonts w:hint="default" w:ascii="Times New Roman" w:hAnsi="Times New Roman" w:eastAsia="宋体" w:cs="Times New Roman"/>
                      <w:snapToGrid w:val="0"/>
                      <w:color w:val="auto"/>
                      <w:kern w:val="0"/>
                      <w:sz w:val="21"/>
                      <w:szCs w:val="21"/>
                      <w:highlight w:val="none"/>
                      <w:lang w:val="en-US" w:eastAsia="zh-CN" w:bidi="ar-SA"/>
                    </w:rPr>
                    <w:t>L</w:t>
                  </w:r>
                </w:p>
              </w:tc>
            </w:tr>
            <w:tr w14:paraId="022C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 w:type="pct"/>
                  <w:shd w:val="clear" w:color="auto" w:fill="auto"/>
                  <w:vAlign w:val="center"/>
                </w:tcPr>
                <w:p w14:paraId="0BB5A42E">
                  <w:pPr>
                    <w:jc w:val="center"/>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备注</w:t>
                  </w:r>
                </w:p>
              </w:tc>
              <w:tc>
                <w:tcPr>
                  <w:tcW w:w="4674" w:type="pct"/>
                  <w:gridSpan w:val="6"/>
                  <w:shd w:val="clear" w:color="auto" w:fill="auto"/>
                  <w:vAlign w:val="center"/>
                </w:tcPr>
                <w:p w14:paraId="71EB5AB7">
                  <w:pPr>
                    <w:widowControl/>
                    <w:spacing w:line="240" w:lineRule="auto"/>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ascii="Times New Roman" w:hAnsi="Times New Roman"/>
                      <w:snapToGrid w:val="0"/>
                      <w:color w:val="auto"/>
                      <w:sz w:val="21"/>
                      <w:szCs w:val="21"/>
                      <w:highlight w:val="none"/>
                      <w:lang w:eastAsia="zh-CN"/>
                    </w:rPr>
                    <w:t>检测</w:t>
                  </w:r>
                  <w:r>
                    <w:rPr>
                      <w:rFonts w:hint="eastAsia" w:ascii="Times New Roman" w:hAnsi="Times New Roman" w:eastAsia="宋体" w:cs="Times New Roman"/>
                      <w:color w:val="auto"/>
                      <w:highlight w:val="none"/>
                      <w:lang w:val="en-US" w:eastAsia="zh-CN"/>
                    </w:rPr>
                    <w:t>结果</w:t>
                  </w:r>
                  <w:r>
                    <w:rPr>
                      <w:rFonts w:hint="eastAsia" w:ascii="Times New Roman" w:hAnsi="Times New Roman" w:cs="Times New Roman"/>
                      <w:color w:val="auto"/>
                      <w:highlight w:val="none"/>
                      <w:lang w:val="en-US" w:eastAsia="zh-CN"/>
                    </w:rPr>
                    <w:t>均</w:t>
                  </w:r>
                  <w:r>
                    <w:rPr>
                      <w:rFonts w:hint="eastAsia" w:ascii="Times New Roman" w:hAnsi="Times New Roman" w:eastAsia="宋体" w:cs="Times New Roman"/>
                      <w:color w:val="auto"/>
                      <w:highlight w:val="none"/>
                      <w:lang w:val="en-US" w:eastAsia="zh-CN"/>
                    </w:rPr>
                    <w:t>参照</w:t>
                  </w:r>
                  <w:r>
                    <w:rPr>
                      <w:rFonts w:hint="default" w:ascii="Times New Roman" w:hAnsi="Times New Roman" w:eastAsia="宋体" w:cs="Times New Roman"/>
                      <w:color w:val="auto"/>
                      <w:highlight w:val="none"/>
                      <w:lang w:val="en-US" w:eastAsia="zh-CN"/>
                    </w:rPr>
                    <w:t>执行</w:t>
                  </w:r>
                  <w:r>
                    <w:rPr>
                      <w:rFonts w:ascii="Times New Roman" w:hAnsi="Times New Roman" w:cs="Times New Roman"/>
                      <w:color w:val="auto"/>
                      <w:szCs w:val="21"/>
                      <w:highlight w:val="none"/>
                    </w:rPr>
                    <w:t>《地下水环境质量标准》GB/T</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rPr>
                    <w:t>14848-2017</w:t>
                  </w:r>
                  <w:r>
                    <w:rPr>
                      <w:rFonts w:hint="eastAsia" w:ascii="Times New Roman" w:hAnsi="Times New Roman" w:cs="Times New Roman"/>
                      <w:color w:val="auto"/>
                      <w:szCs w:val="21"/>
                      <w:highlight w:val="none"/>
                      <w:lang w:val="en-US" w:eastAsia="zh-CN"/>
                    </w:rPr>
                    <w:t xml:space="preserve"> 表1中</w:t>
                  </w:r>
                  <w:r>
                    <w:rPr>
                      <w:rFonts w:ascii="Times New Roman" w:hAnsi="Times New Roman" w:cs="Times New Roman"/>
                      <w:color w:val="auto"/>
                      <w:szCs w:val="21"/>
                      <w:highlight w:val="none"/>
                    </w:rPr>
                    <w:t>Ⅲ类</w:t>
                  </w:r>
                  <w:r>
                    <w:rPr>
                      <w:rFonts w:hint="eastAsia" w:ascii="Times New Roman" w:hAnsi="Times New Roman" w:eastAsia="宋体" w:cs="Times New Roman"/>
                      <w:color w:val="auto"/>
                      <w:highlight w:val="none"/>
                      <w:lang w:val="en-US" w:eastAsia="zh-CN"/>
                    </w:rPr>
                    <w:t>；</w:t>
                  </w:r>
                </w:p>
                <w:p w14:paraId="5CCA7AE6">
                  <w:pPr>
                    <w:widowControl/>
                    <w:spacing w:line="240" w:lineRule="auto"/>
                    <w:jc w:val="left"/>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ND</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表示</w:t>
                  </w:r>
                  <w:r>
                    <w:rPr>
                      <w:rFonts w:hint="eastAsia" w:ascii="Times New Roman" w:hAnsi="Times New Roman" w:cs="Times New Roman"/>
                      <w:color w:val="auto"/>
                      <w:highlight w:val="none"/>
                      <w:lang w:val="en-US" w:eastAsia="zh-CN"/>
                    </w:rPr>
                    <w:t>未</w:t>
                  </w:r>
                  <w:r>
                    <w:rPr>
                      <w:rFonts w:hint="default" w:ascii="Times New Roman" w:hAnsi="Times New Roman" w:eastAsia="宋体" w:cs="Times New Roman"/>
                      <w:color w:val="auto"/>
                      <w:highlight w:val="none"/>
                      <w:lang w:val="en-US" w:eastAsia="zh-CN"/>
                    </w:rPr>
                    <w:t>检出</w:t>
                  </w:r>
                  <w:r>
                    <w:rPr>
                      <w:rFonts w:hint="default" w:ascii="Times New Roman" w:hAnsi="Times New Roman" w:eastAsia="宋体" w:cs="Times New Roman"/>
                      <w:color w:val="auto"/>
                      <w:kern w:val="2"/>
                      <w:sz w:val="21"/>
                      <w:szCs w:val="24"/>
                      <w:highlight w:val="none"/>
                      <w:lang w:val="en-US" w:eastAsia="zh-CN" w:bidi="ar-SA"/>
                    </w:rPr>
                    <w:t>。</w:t>
                  </w:r>
                </w:p>
              </w:tc>
            </w:tr>
          </w:tbl>
          <w:p w14:paraId="0E5F085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rPr>
              <w:t>监测结果表明，</w:t>
            </w:r>
            <w:bookmarkStart w:id="9" w:name="_Hlk83304600"/>
            <w:r>
              <w:rPr>
                <w:rFonts w:hint="default" w:ascii="Times New Roman" w:hAnsi="Times New Roman" w:eastAsia="宋体" w:cs="Times New Roman"/>
                <w:color w:val="auto"/>
                <w:sz w:val="24"/>
                <w:szCs w:val="24"/>
                <w:highlight w:val="none"/>
                <w:lang w:val="en-US"/>
              </w:rPr>
              <w:t>各因子均能够满足《地下水质量标准》（GB/T14848-2017）中Ⅲ类标准的要求，石油类参照满足《地表水环境质量标准》（GB3838-2002）标准限值</w:t>
            </w:r>
            <w:bookmarkEnd w:id="9"/>
            <w:r>
              <w:rPr>
                <w:rFonts w:hint="default" w:ascii="Times New Roman" w:hAnsi="Times New Roman" w:eastAsia="宋体" w:cs="Times New Roman"/>
                <w:color w:val="auto"/>
                <w:sz w:val="24"/>
                <w:szCs w:val="24"/>
                <w:highlight w:val="none"/>
                <w:lang w:val="en-US"/>
              </w:rPr>
              <w:t>。</w:t>
            </w:r>
          </w:p>
          <w:p w14:paraId="7F49B78F">
            <w:pPr>
              <w:pBdr>
                <w:bottom w:val="single" w:color="auto" w:sz="4" w:space="1"/>
              </w:pBdr>
              <w:tabs>
                <w:tab w:val="left" w:pos="0"/>
              </w:tabs>
              <w:spacing w:line="360" w:lineRule="auto"/>
              <w:ind w:firstLine="482" w:firstLineChars="200"/>
              <w:rPr>
                <w:rFonts w:hint="default" w:ascii="Times New Roman" w:hAnsi="Times New Roman" w:cs="Times New Roman"/>
                <w:b/>
                <w:snapToGrid w:val="0"/>
                <w:color w:val="auto"/>
                <w:kern w:val="0"/>
                <w:sz w:val="24"/>
                <w:highlight w:val="none"/>
              </w:rPr>
            </w:pPr>
            <w:r>
              <w:rPr>
                <w:rFonts w:hint="default" w:ascii="Times New Roman" w:hAnsi="Times New Roman" w:cs="Times New Roman"/>
                <w:b/>
                <w:snapToGrid w:val="0"/>
                <w:color w:val="auto"/>
                <w:kern w:val="0"/>
                <w:sz w:val="24"/>
                <w:highlight w:val="none"/>
                <w:lang w:val="en-US" w:eastAsia="zh-CN"/>
              </w:rPr>
              <w:t>3</w:t>
            </w:r>
            <w:r>
              <w:rPr>
                <w:rFonts w:hint="default" w:ascii="Times New Roman" w:hAnsi="Times New Roman" w:cs="Times New Roman"/>
                <w:b/>
                <w:snapToGrid w:val="0"/>
                <w:color w:val="auto"/>
                <w:kern w:val="0"/>
                <w:sz w:val="24"/>
                <w:highlight w:val="none"/>
              </w:rPr>
              <w:t>、土壤环境现状</w:t>
            </w:r>
          </w:p>
          <w:p w14:paraId="277FE809">
            <w:pPr>
              <w:pBdr>
                <w:bottom w:val="single" w:color="auto" w:sz="4" w:space="1"/>
              </w:pBdr>
              <w:tabs>
                <w:tab w:val="left" w:pos="0"/>
              </w:tabs>
              <w:spacing w:line="360" w:lineRule="auto"/>
              <w:ind w:firstLine="480" w:firstLineChars="200"/>
              <w:rPr>
                <w:rFonts w:hint="default" w:ascii="Times New Roman" w:hAnsi="Times New Roman" w:eastAsia="宋体" w:cs="Times New Roman"/>
                <w:color w:val="auto"/>
                <w:sz w:val="24"/>
                <w:szCs w:val="20"/>
                <w:highlight w:val="none"/>
                <w:lang w:eastAsia="zh-CN"/>
              </w:rPr>
            </w:pPr>
            <w:r>
              <w:rPr>
                <w:rFonts w:hint="default" w:ascii="Times New Roman" w:hAnsi="Times New Roman" w:cs="Times New Roman"/>
                <w:color w:val="auto"/>
                <w:sz w:val="24"/>
                <w:szCs w:val="20"/>
                <w:highlight w:val="none"/>
              </w:rPr>
              <w:t>根据《建设项目环境影响报告表编制技术指南（污染影响类）（试行）》要求：“地下水、土壤环境原则上不开展环境质量现状调查”，因本项目在</w:t>
            </w:r>
            <w:r>
              <w:rPr>
                <w:rFonts w:hint="eastAsia" w:cs="Times New Roman"/>
                <w:color w:val="auto"/>
                <w:sz w:val="24"/>
                <w:szCs w:val="20"/>
                <w:highlight w:val="none"/>
                <w:lang w:val="en-US" w:eastAsia="zh-CN"/>
              </w:rPr>
              <w:t>存储过程</w:t>
            </w:r>
            <w:r>
              <w:rPr>
                <w:rFonts w:hint="default" w:ascii="Times New Roman" w:hAnsi="Times New Roman" w:cs="Times New Roman"/>
                <w:color w:val="auto"/>
                <w:sz w:val="24"/>
                <w:szCs w:val="20"/>
                <w:highlight w:val="none"/>
              </w:rPr>
              <w:t>中可能产生</w:t>
            </w:r>
            <w:r>
              <w:rPr>
                <w:rFonts w:hint="eastAsia" w:cs="Times New Roman"/>
                <w:color w:val="auto"/>
                <w:sz w:val="24"/>
                <w:szCs w:val="20"/>
                <w:highlight w:val="none"/>
                <w:lang w:val="en-US" w:eastAsia="zh-CN"/>
              </w:rPr>
              <w:t>土壤</w:t>
            </w:r>
            <w:r>
              <w:rPr>
                <w:rFonts w:hint="default" w:ascii="Times New Roman" w:hAnsi="Times New Roman" w:cs="Times New Roman"/>
                <w:color w:val="auto"/>
                <w:sz w:val="24"/>
                <w:szCs w:val="20"/>
                <w:highlight w:val="none"/>
              </w:rPr>
              <w:t>污染途径</w:t>
            </w:r>
            <w:r>
              <w:rPr>
                <w:rFonts w:hint="eastAsia" w:ascii="Times New Roman" w:hAnsi="Times New Roman" w:cs="Times New Roman"/>
                <w:color w:val="auto"/>
                <w:sz w:val="24"/>
                <w:szCs w:val="20"/>
                <w:highlight w:val="none"/>
                <w:lang w:eastAsia="zh-CN"/>
              </w:rPr>
              <w:t>，</w:t>
            </w:r>
            <w:r>
              <w:rPr>
                <w:rFonts w:hint="default" w:ascii="Times New Roman" w:hAnsi="Times New Roman" w:cs="Times New Roman"/>
                <w:color w:val="auto"/>
                <w:sz w:val="24"/>
                <w:szCs w:val="20"/>
                <w:highlight w:val="none"/>
              </w:rPr>
              <w:t>本项目为</w:t>
            </w:r>
            <w:r>
              <w:rPr>
                <w:rFonts w:hint="default" w:ascii="Times New Roman" w:hAnsi="Times New Roman" w:cs="Times New Roman"/>
                <w:bCs/>
                <w:color w:val="auto"/>
                <w:sz w:val="24"/>
                <w:highlight w:val="none"/>
                <w:lang w:val="en-US" w:eastAsia="zh-CN"/>
              </w:rPr>
              <w:t>现有厂区配套环保工程</w:t>
            </w:r>
            <w:r>
              <w:rPr>
                <w:rFonts w:hint="default" w:ascii="Times New Roman" w:hAnsi="Times New Roman" w:cs="Times New Roman"/>
                <w:color w:val="auto"/>
                <w:sz w:val="24"/>
                <w:szCs w:val="20"/>
                <w:highlight w:val="none"/>
              </w:rPr>
              <w:t>，</w:t>
            </w:r>
            <w:r>
              <w:rPr>
                <w:rFonts w:hint="default" w:ascii="Times New Roman" w:hAnsi="Times New Roman" w:cs="Times New Roman"/>
                <w:color w:val="auto"/>
                <w:sz w:val="24"/>
                <w:szCs w:val="20"/>
                <w:highlight w:val="none"/>
                <w:lang w:val="en-US" w:eastAsia="zh-CN"/>
              </w:rPr>
              <w:t>危废暂存</w:t>
            </w:r>
            <w:r>
              <w:rPr>
                <w:rFonts w:hint="default" w:ascii="Times New Roman" w:hAnsi="Times New Roman" w:cs="Times New Roman"/>
                <w:color w:val="auto"/>
                <w:sz w:val="24"/>
                <w:szCs w:val="20"/>
                <w:highlight w:val="none"/>
              </w:rPr>
              <w:t>涉及危险废物，</w:t>
            </w:r>
            <w:r>
              <w:rPr>
                <w:rFonts w:hint="default" w:ascii="Times New Roman" w:hAnsi="Times New Roman" w:cs="Times New Roman"/>
                <w:color w:val="auto"/>
                <w:sz w:val="24"/>
                <w:szCs w:val="20"/>
                <w:highlight w:val="none"/>
                <w:lang w:val="en-US" w:eastAsia="zh-CN"/>
              </w:rPr>
              <w:t>由于项目建设地点位于煤矿工业场地内，项目周边均进行了混凝土硬化，仅有</w:t>
            </w:r>
            <w:r>
              <w:rPr>
                <w:rFonts w:hint="eastAsia" w:cs="Times New Roman"/>
                <w:color w:val="auto"/>
                <w:sz w:val="24"/>
                <w:szCs w:val="20"/>
                <w:highlight w:val="none"/>
                <w:lang w:val="en-US" w:eastAsia="zh-CN"/>
              </w:rPr>
              <w:t>东</w:t>
            </w:r>
            <w:r>
              <w:rPr>
                <w:rFonts w:hint="default" w:ascii="Times New Roman" w:hAnsi="Times New Roman" w:cs="Times New Roman"/>
                <w:color w:val="auto"/>
                <w:sz w:val="24"/>
                <w:szCs w:val="20"/>
                <w:highlight w:val="none"/>
                <w:lang w:val="en-US" w:eastAsia="zh-CN"/>
              </w:rPr>
              <w:t>侧有空地未硬化，所以</w:t>
            </w:r>
            <w:r>
              <w:rPr>
                <w:rFonts w:hint="default" w:ascii="Times New Roman" w:hAnsi="Times New Roman" w:cs="Times New Roman"/>
                <w:color w:val="auto"/>
                <w:sz w:val="24"/>
                <w:szCs w:val="20"/>
                <w:highlight w:val="none"/>
              </w:rPr>
              <w:t>本次对项目区</w:t>
            </w:r>
            <w:r>
              <w:rPr>
                <w:rFonts w:hint="eastAsia" w:cs="Times New Roman"/>
                <w:color w:val="auto"/>
                <w:sz w:val="24"/>
                <w:szCs w:val="20"/>
                <w:highlight w:val="none"/>
                <w:lang w:val="en-US" w:eastAsia="zh-CN"/>
              </w:rPr>
              <w:t>东</w:t>
            </w:r>
            <w:r>
              <w:rPr>
                <w:rFonts w:hint="default" w:ascii="Times New Roman" w:hAnsi="Times New Roman" w:cs="Times New Roman"/>
                <w:color w:val="auto"/>
                <w:sz w:val="24"/>
                <w:szCs w:val="20"/>
                <w:highlight w:val="none"/>
                <w:lang w:val="en-US" w:eastAsia="zh-CN"/>
              </w:rPr>
              <w:t>侧土壤</w:t>
            </w:r>
            <w:r>
              <w:rPr>
                <w:rFonts w:hint="default" w:ascii="Times New Roman" w:hAnsi="Times New Roman" w:cs="Times New Roman"/>
                <w:color w:val="auto"/>
                <w:sz w:val="24"/>
                <w:szCs w:val="20"/>
                <w:highlight w:val="none"/>
              </w:rPr>
              <w:t>环境进行现状</w:t>
            </w:r>
            <w:r>
              <w:rPr>
                <w:rFonts w:hint="default" w:ascii="Times New Roman" w:hAnsi="Times New Roman" w:cs="Times New Roman"/>
                <w:color w:val="auto"/>
                <w:sz w:val="24"/>
                <w:szCs w:val="20"/>
                <w:highlight w:val="none"/>
                <w:lang w:val="en-US" w:eastAsia="zh-CN"/>
              </w:rPr>
              <w:t>检测</w:t>
            </w:r>
            <w:r>
              <w:rPr>
                <w:rFonts w:hint="default" w:ascii="Times New Roman" w:hAnsi="Times New Roman" w:cs="Times New Roman"/>
                <w:color w:val="auto"/>
                <w:sz w:val="24"/>
                <w:szCs w:val="20"/>
                <w:highlight w:val="none"/>
              </w:rPr>
              <w:t>调查</w:t>
            </w:r>
            <w:r>
              <w:rPr>
                <w:rFonts w:hint="default" w:ascii="Times New Roman" w:hAnsi="Times New Roman" w:cs="Times New Roman"/>
                <w:color w:val="auto"/>
                <w:sz w:val="24"/>
                <w:szCs w:val="20"/>
                <w:highlight w:val="none"/>
                <w:lang w:eastAsia="zh-CN"/>
              </w:rPr>
              <w:t>。</w:t>
            </w:r>
          </w:p>
          <w:p w14:paraId="0E68A249">
            <w:pPr>
              <w:pBdr>
                <w:bottom w:val="single" w:color="auto" w:sz="4" w:space="1"/>
              </w:pBdr>
              <w:tabs>
                <w:tab w:val="left" w:pos="0"/>
              </w:tabs>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（1）</w:t>
            </w:r>
            <w:r>
              <w:rPr>
                <w:rFonts w:hint="default" w:ascii="Times New Roman" w:hAnsi="Times New Roman" w:cs="Times New Roman"/>
                <w:snapToGrid w:val="0"/>
                <w:color w:val="auto"/>
                <w:kern w:val="0"/>
                <w:sz w:val="24"/>
                <w:highlight w:val="none"/>
                <w:lang w:eastAsia="zh-CN"/>
              </w:rPr>
              <w:t>检测</w:t>
            </w:r>
            <w:r>
              <w:rPr>
                <w:rFonts w:hint="default" w:ascii="Times New Roman" w:hAnsi="Times New Roman" w:cs="Times New Roman"/>
                <w:snapToGrid w:val="0"/>
                <w:color w:val="auto"/>
                <w:kern w:val="0"/>
                <w:sz w:val="24"/>
                <w:highlight w:val="none"/>
              </w:rPr>
              <w:t>布点</w:t>
            </w:r>
          </w:p>
          <w:p w14:paraId="0E25170C">
            <w:pPr>
              <w:pBdr>
                <w:bottom w:val="single" w:color="auto" w:sz="4" w:space="1"/>
              </w:pBdr>
              <w:tabs>
                <w:tab w:val="left" w:pos="0"/>
              </w:tabs>
              <w:spacing w:line="360" w:lineRule="auto"/>
              <w:ind w:firstLine="480" w:firstLineChars="200"/>
              <w:rPr>
                <w:rFonts w:hint="default" w:ascii="Times New Roman" w:hAnsi="Times New Roman" w:cs="Times New Roman"/>
                <w:b/>
                <w:color w:val="auto"/>
                <w:sz w:val="24"/>
                <w:szCs w:val="24"/>
                <w:highlight w:val="none"/>
              </w:rPr>
            </w:pPr>
            <w:r>
              <w:rPr>
                <w:rFonts w:hint="default" w:ascii="Times New Roman" w:hAnsi="Times New Roman" w:cs="Times New Roman"/>
                <w:snapToGrid w:val="0"/>
                <w:color w:val="auto"/>
                <w:kern w:val="0"/>
                <w:sz w:val="24"/>
                <w:highlight w:val="none"/>
              </w:rPr>
              <w:t>本项目共布设</w:t>
            </w:r>
            <w:r>
              <w:rPr>
                <w:rFonts w:hint="default" w:ascii="Times New Roman" w:hAnsi="Times New Roman" w:cs="Times New Roman"/>
                <w:snapToGrid w:val="0"/>
                <w:color w:val="auto"/>
                <w:kern w:val="0"/>
                <w:sz w:val="24"/>
                <w:highlight w:val="none"/>
                <w:lang w:val="en-US" w:eastAsia="zh-CN"/>
              </w:rPr>
              <w:t>1</w:t>
            </w:r>
            <w:r>
              <w:rPr>
                <w:rFonts w:hint="default" w:ascii="Times New Roman" w:hAnsi="Times New Roman" w:cs="Times New Roman"/>
                <w:snapToGrid w:val="0"/>
                <w:color w:val="auto"/>
                <w:kern w:val="0"/>
                <w:sz w:val="24"/>
                <w:highlight w:val="none"/>
              </w:rPr>
              <w:t>个土壤采样点，采样点位布设详见表</w:t>
            </w:r>
            <w:r>
              <w:rPr>
                <w:rFonts w:hint="default" w:ascii="Times New Roman" w:hAnsi="Times New Roman" w:cs="Times New Roman"/>
                <w:snapToGrid w:val="0"/>
                <w:color w:val="auto"/>
                <w:kern w:val="0"/>
                <w:sz w:val="24"/>
                <w:highlight w:val="none"/>
                <w:lang w:val="en-US" w:eastAsia="zh-CN"/>
              </w:rPr>
              <w:t>3-</w:t>
            </w:r>
            <w:r>
              <w:rPr>
                <w:rFonts w:hint="eastAsia" w:cs="Times New Roman"/>
                <w:snapToGrid w:val="0"/>
                <w:color w:val="auto"/>
                <w:kern w:val="0"/>
                <w:sz w:val="24"/>
                <w:highlight w:val="none"/>
                <w:lang w:val="en-US" w:eastAsia="zh-CN"/>
              </w:rPr>
              <w:t>8，土壤检测项目及分析方法一览表见表3-9</w:t>
            </w:r>
            <w:r>
              <w:rPr>
                <w:rFonts w:hint="default" w:ascii="Times New Roman" w:hAnsi="Times New Roman" w:cs="Times New Roman"/>
                <w:snapToGrid w:val="0"/>
                <w:color w:val="auto"/>
                <w:kern w:val="0"/>
                <w:sz w:val="24"/>
                <w:highlight w:val="none"/>
              </w:rPr>
              <w:t>。</w:t>
            </w:r>
          </w:p>
          <w:p w14:paraId="7A442A77">
            <w:pPr>
              <w:pBdr>
                <w:bottom w:val="single" w:color="auto" w:sz="4" w:space="1"/>
              </w:pBdr>
              <w:tabs>
                <w:tab w:val="left" w:pos="0"/>
              </w:tabs>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w:t>
            </w:r>
            <w:r>
              <w:rPr>
                <w:rFonts w:hint="default" w:ascii="Times New Roman" w:hAnsi="Times New Roman" w:cs="Times New Roman"/>
                <w:b/>
                <w:color w:val="auto"/>
                <w:sz w:val="21"/>
                <w:szCs w:val="21"/>
                <w:highlight w:val="none"/>
                <w:lang w:val="en-US" w:eastAsia="zh-CN"/>
              </w:rPr>
              <w:t>3-</w:t>
            </w:r>
            <w:r>
              <w:rPr>
                <w:rFonts w:hint="eastAsia" w:cs="Times New Roman"/>
                <w:b/>
                <w:color w:val="auto"/>
                <w:sz w:val="21"/>
                <w:szCs w:val="21"/>
                <w:highlight w:val="none"/>
                <w:lang w:val="en-US" w:eastAsia="zh-CN"/>
              </w:rPr>
              <w:t>8</w:t>
            </w:r>
            <w:r>
              <w:rPr>
                <w:rFonts w:hint="default" w:ascii="Times New Roman" w:hAnsi="Times New Roman" w:cs="Times New Roman"/>
                <w:b/>
                <w:color w:val="auto"/>
                <w:sz w:val="21"/>
                <w:szCs w:val="21"/>
                <w:highlight w:val="none"/>
                <w:lang w:val="en-US" w:eastAsia="zh-CN"/>
              </w:rPr>
              <w:t xml:space="preserve">  </w:t>
            </w:r>
            <w:r>
              <w:rPr>
                <w:rFonts w:hint="default" w:ascii="Times New Roman" w:hAnsi="Times New Roman" w:cs="Times New Roman"/>
                <w:b/>
                <w:color w:val="auto"/>
                <w:sz w:val="21"/>
                <w:szCs w:val="21"/>
                <w:highlight w:val="none"/>
              </w:rPr>
              <w:t>土壤</w:t>
            </w:r>
            <w:r>
              <w:rPr>
                <w:rFonts w:hint="default" w:ascii="Times New Roman" w:hAnsi="Times New Roman" w:cs="Times New Roman"/>
                <w:b/>
                <w:color w:val="auto"/>
                <w:sz w:val="21"/>
                <w:szCs w:val="21"/>
                <w:highlight w:val="none"/>
                <w:lang w:eastAsia="zh-CN"/>
              </w:rPr>
              <w:t>检测</w:t>
            </w:r>
            <w:r>
              <w:rPr>
                <w:rFonts w:hint="default" w:ascii="Times New Roman" w:hAnsi="Times New Roman" w:cs="Times New Roman"/>
                <w:b/>
                <w:color w:val="auto"/>
                <w:sz w:val="21"/>
                <w:szCs w:val="21"/>
                <w:highlight w:val="none"/>
              </w:rPr>
              <w:t>样点一览表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6"/>
              <w:gridCol w:w="1941"/>
              <w:gridCol w:w="1683"/>
              <w:gridCol w:w="1625"/>
              <w:gridCol w:w="1840"/>
            </w:tblGrid>
            <w:tr w14:paraId="664D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522" w:type="pct"/>
                  <w:noWrap w:val="0"/>
                  <w:vAlign w:val="center"/>
                </w:tcPr>
                <w:p w14:paraId="136B7D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编号</w:t>
                  </w:r>
                </w:p>
              </w:tc>
              <w:tc>
                <w:tcPr>
                  <w:tcW w:w="1226" w:type="pct"/>
                  <w:noWrap w:val="0"/>
                  <w:vAlign w:val="center"/>
                </w:tcPr>
                <w:p w14:paraId="6580448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检测</w:t>
                  </w:r>
                  <w:r>
                    <w:rPr>
                      <w:rFonts w:hint="eastAsia" w:ascii="宋体" w:hAnsi="宋体" w:eastAsia="宋体" w:cs="宋体"/>
                      <w:b/>
                      <w:bCs/>
                      <w:color w:val="auto"/>
                      <w:sz w:val="21"/>
                      <w:szCs w:val="21"/>
                      <w:highlight w:val="none"/>
                    </w:rPr>
                    <w:t>点位置</w:t>
                  </w:r>
                </w:p>
              </w:tc>
              <w:tc>
                <w:tcPr>
                  <w:tcW w:w="1063" w:type="pct"/>
                  <w:noWrap w:val="0"/>
                  <w:vAlign w:val="center"/>
                </w:tcPr>
                <w:p w14:paraId="789411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土壤</w:t>
                  </w:r>
                  <w:r>
                    <w:rPr>
                      <w:rFonts w:hint="eastAsia" w:ascii="宋体" w:hAnsi="宋体" w:eastAsia="宋体" w:cs="宋体"/>
                      <w:b/>
                      <w:bCs/>
                      <w:color w:val="auto"/>
                      <w:sz w:val="21"/>
                      <w:szCs w:val="21"/>
                      <w:highlight w:val="none"/>
                    </w:rPr>
                    <w:t>类型</w:t>
                  </w:r>
                </w:p>
              </w:tc>
              <w:tc>
                <w:tcPr>
                  <w:tcW w:w="1026" w:type="pct"/>
                  <w:noWrap w:val="0"/>
                  <w:vAlign w:val="center"/>
                </w:tcPr>
                <w:p w14:paraId="785A5DF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采样深度（cm）</w:t>
                  </w:r>
                </w:p>
              </w:tc>
              <w:tc>
                <w:tcPr>
                  <w:tcW w:w="1162" w:type="pct"/>
                  <w:noWrap w:val="0"/>
                  <w:vAlign w:val="center"/>
                </w:tcPr>
                <w:p w14:paraId="7624918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检测</w:t>
                  </w:r>
                  <w:r>
                    <w:rPr>
                      <w:rFonts w:hint="eastAsia" w:ascii="宋体" w:hAnsi="宋体" w:eastAsia="宋体" w:cs="宋体"/>
                      <w:b/>
                      <w:bCs/>
                      <w:color w:val="auto"/>
                      <w:sz w:val="21"/>
                      <w:szCs w:val="21"/>
                      <w:highlight w:val="none"/>
                    </w:rPr>
                    <w:t>因子</w:t>
                  </w:r>
                </w:p>
              </w:tc>
            </w:tr>
            <w:tr w14:paraId="5A3B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22" w:type="pct"/>
                  <w:noWrap w:val="0"/>
                  <w:vAlign w:val="center"/>
                </w:tcPr>
                <w:p w14:paraId="1EFF7AC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26" w:type="pct"/>
                  <w:noWrap w:val="0"/>
                  <w:vAlign w:val="center"/>
                </w:tcPr>
                <w:p w14:paraId="3366A59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项目占地</w:t>
                  </w:r>
                  <w:r>
                    <w:rPr>
                      <w:rFonts w:hint="eastAsia" w:ascii="宋体" w:hAnsi="宋体" w:eastAsia="宋体" w:cs="宋体"/>
                      <w:color w:val="auto"/>
                      <w:sz w:val="21"/>
                      <w:szCs w:val="21"/>
                      <w:highlight w:val="none"/>
                      <w:lang w:val="en-US" w:eastAsia="zh-CN"/>
                    </w:rPr>
                    <w:t>东侧</w:t>
                  </w:r>
                </w:p>
              </w:tc>
              <w:tc>
                <w:tcPr>
                  <w:tcW w:w="1063" w:type="pct"/>
                  <w:noWrap w:val="0"/>
                  <w:vAlign w:val="center"/>
                </w:tcPr>
                <w:p w14:paraId="50CFB03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表层样</w:t>
                  </w:r>
                </w:p>
              </w:tc>
              <w:tc>
                <w:tcPr>
                  <w:tcW w:w="1026" w:type="pct"/>
                  <w:noWrap w:val="0"/>
                  <w:vAlign w:val="center"/>
                </w:tcPr>
                <w:p w14:paraId="64B2F36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0-20</w:t>
                  </w:r>
                </w:p>
              </w:tc>
              <w:tc>
                <w:tcPr>
                  <w:tcW w:w="1162" w:type="pct"/>
                  <w:noWrap w:val="0"/>
                  <w:vAlign w:val="center"/>
                </w:tcPr>
                <w:p w14:paraId="0ACA556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45项+石油烃</w:t>
                  </w:r>
                </w:p>
              </w:tc>
            </w:tr>
          </w:tbl>
          <w:p w14:paraId="7E6B1C4D">
            <w:pPr>
              <w:tabs>
                <w:tab w:val="left" w:pos="0"/>
              </w:tabs>
              <w:spacing w:line="360" w:lineRule="auto"/>
              <w:jc w:val="center"/>
              <w:rPr>
                <w:rFonts w:hint="eastAsia"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rPr>
              <w:t>表</w:t>
            </w:r>
            <w:r>
              <w:rPr>
                <w:rFonts w:hint="default" w:ascii="Times New Roman" w:hAnsi="Times New Roman" w:cs="Times New Roman"/>
                <w:b/>
                <w:color w:val="auto"/>
                <w:sz w:val="21"/>
                <w:szCs w:val="21"/>
                <w:highlight w:val="none"/>
                <w:lang w:val="en-US" w:eastAsia="zh-CN"/>
              </w:rPr>
              <w:t>3-</w:t>
            </w:r>
            <w:r>
              <w:rPr>
                <w:rFonts w:hint="eastAsia" w:ascii="Times New Roman" w:hAnsi="Times New Roman" w:cs="Times New Roman"/>
                <w:b/>
                <w:color w:val="auto"/>
                <w:sz w:val="21"/>
                <w:szCs w:val="21"/>
                <w:highlight w:val="none"/>
                <w:lang w:val="en-US" w:eastAsia="zh-CN"/>
              </w:rPr>
              <w:t>9</w:t>
            </w:r>
            <w:r>
              <w:rPr>
                <w:rFonts w:hint="eastAsia" w:cs="Times New Roman"/>
                <w:b/>
                <w:color w:val="auto"/>
                <w:sz w:val="21"/>
                <w:szCs w:val="21"/>
                <w:highlight w:val="none"/>
                <w:lang w:val="en-US" w:eastAsia="zh-CN"/>
              </w:rPr>
              <w:t xml:space="preserve"> </w:t>
            </w:r>
            <w:r>
              <w:rPr>
                <w:rFonts w:hint="eastAsia" w:ascii="Times New Roman" w:hAnsi="Times New Roman" w:eastAsia="宋体" w:cs="Times New Roman"/>
                <w:b/>
                <w:color w:val="auto"/>
                <w:sz w:val="21"/>
                <w:szCs w:val="21"/>
                <w:highlight w:val="none"/>
                <w:lang w:val="en-US" w:eastAsia="zh-CN"/>
              </w:rPr>
              <w:t>土壤检测项目及分析方法一览表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
              <w:gridCol w:w="1064"/>
              <w:gridCol w:w="2862"/>
              <w:gridCol w:w="950"/>
              <w:gridCol w:w="1562"/>
              <w:gridCol w:w="1156"/>
            </w:tblGrid>
            <w:tr w14:paraId="4C2B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52D1E05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序号</w:t>
                  </w:r>
                </w:p>
              </w:tc>
              <w:tc>
                <w:tcPr>
                  <w:tcW w:w="672" w:type="pct"/>
                  <w:noWrap w:val="0"/>
                  <w:vAlign w:val="center"/>
                </w:tcPr>
                <w:p w14:paraId="76C33001">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检测项目</w:t>
                  </w:r>
                </w:p>
              </w:tc>
              <w:tc>
                <w:tcPr>
                  <w:tcW w:w="1808" w:type="pct"/>
                  <w:noWrap w:val="0"/>
                  <w:vAlign w:val="center"/>
                </w:tcPr>
                <w:p w14:paraId="756C40C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分析方法</w:t>
                  </w:r>
                </w:p>
              </w:tc>
              <w:tc>
                <w:tcPr>
                  <w:tcW w:w="600" w:type="pct"/>
                  <w:noWrap w:val="0"/>
                  <w:vAlign w:val="center"/>
                </w:tcPr>
                <w:p w14:paraId="1A8F5B53">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检出限(</w:t>
                  </w:r>
                  <w:r>
                    <w:rPr>
                      <w:rFonts w:hint="default" w:ascii="Times New Roman" w:hAnsi="Times New Roman" w:eastAsia="宋体" w:cs="Times New Roman"/>
                      <w:color w:val="auto"/>
                      <w:sz w:val="21"/>
                      <w:szCs w:val="21"/>
                      <w:highlight w:val="none"/>
                    </w:rPr>
                    <w:t>mg/kg</w:t>
                  </w:r>
                  <w:r>
                    <w:rPr>
                      <w:rFonts w:hint="default" w:ascii="Times New Roman" w:hAnsi="Times New Roman" w:eastAsia="宋体" w:cs="Times New Roman"/>
                      <w:b/>
                      <w:bCs/>
                      <w:color w:val="auto"/>
                      <w:sz w:val="21"/>
                      <w:szCs w:val="21"/>
                      <w:highlight w:val="none"/>
                    </w:rPr>
                    <w:t>)</w:t>
                  </w:r>
                </w:p>
              </w:tc>
              <w:tc>
                <w:tcPr>
                  <w:tcW w:w="987" w:type="pct"/>
                  <w:noWrap w:val="0"/>
                  <w:vAlign w:val="center"/>
                </w:tcPr>
                <w:p w14:paraId="2837D2F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仪器设备名称/型号</w:t>
                  </w:r>
                </w:p>
              </w:tc>
              <w:tc>
                <w:tcPr>
                  <w:tcW w:w="730" w:type="pct"/>
                  <w:noWrap w:val="0"/>
                  <w:vAlign w:val="center"/>
                </w:tcPr>
                <w:p w14:paraId="3179F3D3">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仪器管理编号</w:t>
                  </w:r>
                </w:p>
              </w:tc>
            </w:tr>
            <w:tr w14:paraId="7236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00" w:type="pct"/>
                  <w:noWrap w:val="0"/>
                  <w:vAlign w:val="center"/>
                </w:tcPr>
                <w:p w14:paraId="45AB88B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72" w:type="pct"/>
                  <w:noWrap w:val="0"/>
                  <w:vAlign w:val="center"/>
                </w:tcPr>
                <w:p w14:paraId="7D02FA8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砷</w:t>
                  </w:r>
                </w:p>
              </w:tc>
              <w:tc>
                <w:tcPr>
                  <w:tcW w:w="1808" w:type="pct"/>
                  <w:noWrap w:val="0"/>
                  <w:vAlign w:val="center"/>
                </w:tcPr>
                <w:p w14:paraId="54331C9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《土壤质量 总汞、总砷、总铅的测定原子荧光法》第2部分:土壤中总砷的测定（GB/T 22105.2-2008）</w:t>
                  </w:r>
                </w:p>
              </w:tc>
              <w:tc>
                <w:tcPr>
                  <w:tcW w:w="600" w:type="pct"/>
                  <w:noWrap w:val="0"/>
                  <w:vAlign w:val="center"/>
                </w:tcPr>
                <w:p w14:paraId="7D1C201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987" w:type="pct"/>
                  <w:noWrap w:val="0"/>
                  <w:vAlign w:val="center"/>
                </w:tcPr>
                <w:p w14:paraId="41AC074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原子荧光光度计/AFS-8220</w:t>
                  </w:r>
                </w:p>
              </w:tc>
              <w:tc>
                <w:tcPr>
                  <w:tcW w:w="730" w:type="pct"/>
                  <w:noWrap w:val="0"/>
                  <w:vAlign w:val="center"/>
                </w:tcPr>
                <w:p w14:paraId="714B782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HZD-003-A</w:t>
                  </w:r>
                </w:p>
              </w:tc>
            </w:tr>
            <w:tr w14:paraId="60F7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216EB7E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672" w:type="pct"/>
                  <w:noWrap w:val="0"/>
                  <w:vAlign w:val="center"/>
                </w:tcPr>
                <w:p w14:paraId="1C4982D5">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镉</w:t>
                  </w:r>
                </w:p>
              </w:tc>
              <w:tc>
                <w:tcPr>
                  <w:tcW w:w="1808" w:type="pct"/>
                  <w:noWrap w:val="0"/>
                  <w:vAlign w:val="center"/>
                </w:tcPr>
                <w:p w14:paraId="72C30AF1">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《土壤质量 铅、镉的测定石墨炉原子吸收分光光度法》（GB/T</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17141</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1997）</w:t>
                  </w:r>
                </w:p>
              </w:tc>
              <w:tc>
                <w:tcPr>
                  <w:tcW w:w="600" w:type="pct"/>
                  <w:noWrap w:val="0"/>
                  <w:vAlign w:val="center"/>
                </w:tcPr>
                <w:p w14:paraId="666236C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987" w:type="pct"/>
                  <w:noWrap w:val="0"/>
                  <w:vAlign w:val="center"/>
                </w:tcPr>
                <w:p w14:paraId="1D0F75E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石墨炉原子吸收光谱仪/ICE-3</w:t>
                  </w:r>
                  <w:r>
                    <w:rPr>
                      <w:rFonts w:hint="default" w:ascii="Times New Roman" w:hAnsi="Times New Roman" w:eastAsia="宋体" w:cs="Times New Roman"/>
                      <w:color w:val="auto"/>
                      <w:sz w:val="21"/>
                      <w:szCs w:val="21"/>
                      <w:highlight w:val="none"/>
                      <w:lang w:val="en-US" w:eastAsia="zh-CN"/>
                    </w:rPr>
                    <w:t>500</w:t>
                  </w:r>
                </w:p>
              </w:tc>
              <w:tc>
                <w:tcPr>
                  <w:tcW w:w="730" w:type="pct"/>
                  <w:noWrap w:val="0"/>
                  <w:vAlign w:val="center"/>
                </w:tcPr>
                <w:p w14:paraId="04455BA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HZD-020-A</w:t>
                  </w:r>
                </w:p>
              </w:tc>
            </w:tr>
            <w:tr w14:paraId="55BB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0E2C8F4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3</w:t>
                  </w:r>
                </w:p>
              </w:tc>
              <w:tc>
                <w:tcPr>
                  <w:tcW w:w="672" w:type="pct"/>
                  <w:noWrap w:val="0"/>
                  <w:vAlign w:val="center"/>
                </w:tcPr>
                <w:p w14:paraId="6D83D0C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六价铬</w:t>
                  </w:r>
                </w:p>
              </w:tc>
              <w:tc>
                <w:tcPr>
                  <w:tcW w:w="1808" w:type="pct"/>
                  <w:noWrap w:val="0"/>
                  <w:vAlign w:val="center"/>
                </w:tcPr>
                <w:p w14:paraId="493BE3B0">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六价铬的测定 碱溶液提取-火焰原子吸收分光光度法》</w:t>
                  </w:r>
                </w:p>
                <w:p w14:paraId="03DC817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 xml:space="preserve">1082-2019） </w:t>
                  </w:r>
                </w:p>
              </w:tc>
              <w:tc>
                <w:tcPr>
                  <w:tcW w:w="600" w:type="pct"/>
                  <w:noWrap w:val="0"/>
                  <w:vAlign w:val="center"/>
                </w:tcPr>
                <w:p w14:paraId="3D352B8C">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0.5</w:t>
                  </w:r>
                </w:p>
              </w:tc>
              <w:tc>
                <w:tcPr>
                  <w:tcW w:w="987" w:type="pct"/>
                  <w:noWrap w:val="0"/>
                  <w:vAlign w:val="center"/>
                </w:tcPr>
                <w:p w14:paraId="7709036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石墨炉原子吸收光谱仪/ICE-3</w:t>
                  </w:r>
                  <w:r>
                    <w:rPr>
                      <w:rFonts w:hint="default" w:ascii="Times New Roman" w:hAnsi="Times New Roman" w:eastAsia="宋体" w:cs="Times New Roman"/>
                      <w:color w:val="auto"/>
                      <w:sz w:val="21"/>
                      <w:szCs w:val="21"/>
                      <w:highlight w:val="none"/>
                      <w:lang w:val="en-US" w:eastAsia="zh-CN"/>
                    </w:rPr>
                    <w:t>500</w:t>
                  </w:r>
                </w:p>
              </w:tc>
              <w:tc>
                <w:tcPr>
                  <w:tcW w:w="730" w:type="pct"/>
                  <w:noWrap w:val="0"/>
                  <w:vAlign w:val="center"/>
                </w:tcPr>
                <w:p w14:paraId="1A99630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HZD-020-A</w:t>
                  </w:r>
                </w:p>
              </w:tc>
            </w:tr>
            <w:tr w14:paraId="62AE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25CCDEF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w:t>
                  </w:r>
                </w:p>
              </w:tc>
              <w:tc>
                <w:tcPr>
                  <w:tcW w:w="672" w:type="pct"/>
                  <w:noWrap w:val="0"/>
                  <w:vAlign w:val="center"/>
                </w:tcPr>
                <w:p w14:paraId="384958F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铜</w:t>
                  </w:r>
                </w:p>
              </w:tc>
              <w:tc>
                <w:tcPr>
                  <w:tcW w:w="1808" w:type="pct"/>
                  <w:noWrap w:val="0"/>
                  <w:vAlign w:val="center"/>
                </w:tcPr>
                <w:p w14:paraId="0BDEB2D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eastAsia="zh-CN"/>
                    </w:rPr>
                    <w:t>土壤和沉积物铜、锌、铅、镍、铬的测定火焰原子吸收分光光</w:t>
                  </w:r>
                  <w:r>
                    <w:rPr>
                      <w:rFonts w:hint="default" w:ascii="Times New Roman" w:hAnsi="Times New Roman" w:eastAsia="宋体" w:cs="Times New Roman"/>
                      <w:color w:val="auto"/>
                      <w:sz w:val="21"/>
                      <w:szCs w:val="21"/>
                      <w:highlight w:val="none"/>
                    </w:rPr>
                    <w:t>度法》</w:t>
                  </w:r>
                </w:p>
                <w:p w14:paraId="2B27190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HJ 491-2019</w:t>
                  </w:r>
                  <w:r>
                    <w:rPr>
                      <w:rFonts w:hint="default" w:ascii="Times New Roman" w:hAnsi="Times New Roman" w:eastAsia="宋体" w:cs="Times New Roman"/>
                      <w:color w:val="auto"/>
                      <w:sz w:val="21"/>
                      <w:szCs w:val="21"/>
                      <w:highlight w:val="none"/>
                    </w:rPr>
                    <w:t>）</w:t>
                  </w:r>
                </w:p>
              </w:tc>
              <w:tc>
                <w:tcPr>
                  <w:tcW w:w="600" w:type="pct"/>
                  <w:noWrap w:val="0"/>
                  <w:vAlign w:val="center"/>
                </w:tcPr>
                <w:p w14:paraId="0E6D124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bidi="ar"/>
                    </w:rPr>
                    <w:t>1</w:t>
                  </w:r>
                </w:p>
              </w:tc>
              <w:tc>
                <w:tcPr>
                  <w:tcW w:w="987" w:type="pct"/>
                  <w:noWrap w:val="0"/>
                  <w:vAlign w:val="center"/>
                </w:tcPr>
                <w:p w14:paraId="5AC91F6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石墨炉原子吸收光谱仪/ICE-3</w:t>
                  </w:r>
                  <w:r>
                    <w:rPr>
                      <w:rFonts w:hint="default" w:ascii="Times New Roman" w:hAnsi="Times New Roman" w:eastAsia="宋体" w:cs="Times New Roman"/>
                      <w:color w:val="auto"/>
                      <w:sz w:val="21"/>
                      <w:szCs w:val="21"/>
                      <w:highlight w:val="none"/>
                      <w:lang w:val="en-US" w:eastAsia="zh-CN"/>
                    </w:rPr>
                    <w:t>500</w:t>
                  </w:r>
                </w:p>
              </w:tc>
              <w:tc>
                <w:tcPr>
                  <w:tcW w:w="730" w:type="pct"/>
                  <w:noWrap w:val="0"/>
                  <w:vAlign w:val="center"/>
                </w:tcPr>
                <w:p w14:paraId="7B71C56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HZD-020-A</w:t>
                  </w:r>
                </w:p>
              </w:tc>
            </w:tr>
            <w:tr w14:paraId="5F2E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00" w:type="pct"/>
                  <w:noWrap w:val="0"/>
                  <w:vAlign w:val="center"/>
                </w:tcPr>
                <w:p w14:paraId="551194C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672" w:type="pct"/>
                  <w:noWrap w:val="0"/>
                  <w:vAlign w:val="center"/>
                </w:tcPr>
                <w:p w14:paraId="357DB2F5">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铅</w:t>
                  </w:r>
                </w:p>
              </w:tc>
              <w:tc>
                <w:tcPr>
                  <w:tcW w:w="1808" w:type="pct"/>
                  <w:noWrap w:val="0"/>
                  <w:vAlign w:val="center"/>
                </w:tcPr>
                <w:p w14:paraId="1FEAF95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铜、锌、铅、镍、铬的测定 火焰原子吸收分光光度法》</w:t>
                  </w:r>
                </w:p>
                <w:p w14:paraId="48D9236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491-2019</w:t>
                  </w:r>
                  <w:r>
                    <w:rPr>
                      <w:rFonts w:hint="default" w:ascii="Times New Roman" w:hAnsi="Times New Roman" w:eastAsia="宋体" w:cs="Times New Roman"/>
                      <w:color w:val="auto"/>
                      <w:sz w:val="21"/>
                      <w:szCs w:val="21"/>
                      <w:highlight w:val="none"/>
                      <w:lang w:eastAsia="zh-CN"/>
                    </w:rPr>
                    <w:t>）</w:t>
                  </w:r>
                </w:p>
              </w:tc>
              <w:tc>
                <w:tcPr>
                  <w:tcW w:w="600" w:type="pct"/>
                  <w:noWrap w:val="0"/>
                  <w:vAlign w:val="center"/>
                </w:tcPr>
                <w:p w14:paraId="052640B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987" w:type="pct"/>
                  <w:noWrap w:val="0"/>
                  <w:vAlign w:val="center"/>
                </w:tcPr>
                <w:p w14:paraId="786E65F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石墨炉原子吸收光谱仪/ICE-3</w:t>
                  </w:r>
                  <w:r>
                    <w:rPr>
                      <w:rFonts w:hint="default" w:ascii="Times New Roman" w:hAnsi="Times New Roman" w:eastAsia="宋体" w:cs="Times New Roman"/>
                      <w:color w:val="auto"/>
                      <w:sz w:val="21"/>
                      <w:szCs w:val="21"/>
                      <w:highlight w:val="none"/>
                      <w:lang w:val="en-US" w:eastAsia="zh-CN"/>
                    </w:rPr>
                    <w:t>500</w:t>
                  </w:r>
                </w:p>
              </w:tc>
              <w:tc>
                <w:tcPr>
                  <w:tcW w:w="730" w:type="pct"/>
                  <w:noWrap w:val="0"/>
                  <w:vAlign w:val="center"/>
                </w:tcPr>
                <w:p w14:paraId="18D944E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HZD-020-A</w:t>
                  </w:r>
                </w:p>
              </w:tc>
            </w:tr>
            <w:tr w14:paraId="2A93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6320FBB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672" w:type="pct"/>
                  <w:noWrap w:val="0"/>
                  <w:vAlign w:val="center"/>
                </w:tcPr>
                <w:p w14:paraId="7ACF234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汞</w:t>
                  </w:r>
                </w:p>
              </w:tc>
              <w:tc>
                <w:tcPr>
                  <w:tcW w:w="1808" w:type="pct"/>
                  <w:noWrap w:val="0"/>
                  <w:vAlign w:val="center"/>
                </w:tcPr>
                <w:p w14:paraId="60DBF0C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《土壤质量 总汞、总砷、总铅的测定原子荧光法》 第1部分：土壤中总汞的测定）（GB/T 22105.1-2008）</w:t>
                  </w:r>
                </w:p>
              </w:tc>
              <w:tc>
                <w:tcPr>
                  <w:tcW w:w="600" w:type="pct"/>
                  <w:noWrap w:val="0"/>
                  <w:vAlign w:val="center"/>
                </w:tcPr>
                <w:p w14:paraId="23CC35A1">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w:t>
                  </w:r>
                </w:p>
              </w:tc>
              <w:tc>
                <w:tcPr>
                  <w:tcW w:w="987" w:type="pct"/>
                  <w:noWrap w:val="0"/>
                  <w:vAlign w:val="center"/>
                </w:tcPr>
                <w:p w14:paraId="3F83503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原子荧光光度计/AFS-8220</w:t>
                  </w:r>
                </w:p>
              </w:tc>
              <w:tc>
                <w:tcPr>
                  <w:tcW w:w="730" w:type="pct"/>
                  <w:noWrap w:val="0"/>
                  <w:vAlign w:val="center"/>
                </w:tcPr>
                <w:p w14:paraId="4D149E5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HZD-003-A</w:t>
                  </w:r>
                </w:p>
              </w:tc>
            </w:tr>
            <w:tr w14:paraId="04FC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64C6731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672" w:type="pct"/>
                  <w:noWrap w:val="0"/>
                  <w:vAlign w:val="center"/>
                </w:tcPr>
                <w:p w14:paraId="299F281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镍</w:t>
                  </w:r>
                </w:p>
              </w:tc>
              <w:tc>
                <w:tcPr>
                  <w:tcW w:w="1808" w:type="pct"/>
                  <w:noWrap w:val="0"/>
                  <w:vAlign w:val="center"/>
                </w:tcPr>
                <w:p w14:paraId="1E06D0D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eastAsia="zh-CN"/>
                    </w:rPr>
                    <w:t>土壤和沉积物铜、锌、铅、镍、铬的测定火焰原子吸收分光光</w:t>
                  </w:r>
                  <w:r>
                    <w:rPr>
                      <w:rFonts w:hint="default" w:ascii="Times New Roman" w:hAnsi="Times New Roman" w:eastAsia="宋体" w:cs="Times New Roman"/>
                      <w:color w:val="auto"/>
                      <w:sz w:val="21"/>
                      <w:szCs w:val="21"/>
                      <w:highlight w:val="none"/>
                    </w:rPr>
                    <w:t>度法》</w:t>
                  </w:r>
                </w:p>
                <w:p w14:paraId="2E4C609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HJ 491-2019</w:t>
                  </w:r>
                  <w:r>
                    <w:rPr>
                      <w:rFonts w:hint="default" w:ascii="Times New Roman" w:hAnsi="Times New Roman" w:eastAsia="宋体" w:cs="Times New Roman"/>
                      <w:color w:val="auto"/>
                      <w:sz w:val="21"/>
                      <w:szCs w:val="21"/>
                      <w:highlight w:val="none"/>
                    </w:rPr>
                    <w:t>）</w:t>
                  </w:r>
                </w:p>
              </w:tc>
              <w:tc>
                <w:tcPr>
                  <w:tcW w:w="600" w:type="pct"/>
                  <w:noWrap w:val="0"/>
                  <w:vAlign w:val="center"/>
                </w:tcPr>
                <w:p w14:paraId="6E03C14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3</w:t>
                  </w:r>
                </w:p>
              </w:tc>
              <w:tc>
                <w:tcPr>
                  <w:tcW w:w="987" w:type="pct"/>
                  <w:noWrap w:val="0"/>
                  <w:vAlign w:val="center"/>
                </w:tcPr>
                <w:p w14:paraId="5632CF2C">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石墨炉原子吸收光谱仪/ICE-3</w:t>
                  </w:r>
                  <w:r>
                    <w:rPr>
                      <w:rFonts w:hint="default" w:ascii="Times New Roman" w:hAnsi="Times New Roman" w:eastAsia="宋体" w:cs="Times New Roman"/>
                      <w:color w:val="auto"/>
                      <w:sz w:val="21"/>
                      <w:szCs w:val="21"/>
                      <w:highlight w:val="none"/>
                      <w:lang w:val="en-US" w:eastAsia="zh-CN"/>
                    </w:rPr>
                    <w:t>500</w:t>
                  </w:r>
                </w:p>
              </w:tc>
              <w:tc>
                <w:tcPr>
                  <w:tcW w:w="730" w:type="pct"/>
                  <w:noWrap w:val="0"/>
                  <w:vAlign w:val="center"/>
                </w:tcPr>
                <w:p w14:paraId="2E7A64A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HZD-020-A</w:t>
                  </w:r>
                </w:p>
              </w:tc>
            </w:tr>
            <w:tr w14:paraId="2FD0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0A48179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w:t>
                  </w:r>
                </w:p>
              </w:tc>
              <w:tc>
                <w:tcPr>
                  <w:tcW w:w="672" w:type="pct"/>
                  <w:noWrap w:val="0"/>
                  <w:vAlign w:val="center"/>
                </w:tcPr>
                <w:p w14:paraId="59090B6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四氯化碳</w:t>
                  </w:r>
                </w:p>
              </w:tc>
              <w:tc>
                <w:tcPr>
                  <w:tcW w:w="1808" w:type="pct"/>
                  <w:noWrap w:val="0"/>
                  <w:vAlign w:val="center"/>
                </w:tcPr>
                <w:p w14:paraId="79E5D32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4317589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0.0021</w:t>
                  </w:r>
                </w:p>
              </w:tc>
              <w:tc>
                <w:tcPr>
                  <w:tcW w:w="987" w:type="pct"/>
                  <w:noWrap w:val="0"/>
                  <w:vAlign w:val="center"/>
                </w:tcPr>
                <w:p w14:paraId="105A0CD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4175B8C">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HZD-018-B</w:t>
                  </w:r>
                </w:p>
              </w:tc>
            </w:tr>
            <w:tr w14:paraId="2A6D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blHeader/>
                <w:jc w:val="center"/>
              </w:trPr>
              <w:tc>
                <w:tcPr>
                  <w:tcW w:w="200" w:type="pct"/>
                  <w:noWrap w:val="0"/>
                  <w:vAlign w:val="center"/>
                </w:tcPr>
                <w:p w14:paraId="62504AC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9</w:t>
                  </w:r>
                </w:p>
              </w:tc>
              <w:tc>
                <w:tcPr>
                  <w:tcW w:w="672" w:type="pct"/>
                  <w:noWrap w:val="0"/>
                  <w:vAlign w:val="center"/>
                </w:tcPr>
                <w:p w14:paraId="300CED7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氯仿</w:t>
                  </w:r>
                </w:p>
              </w:tc>
              <w:tc>
                <w:tcPr>
                  <w:tcW w:w="1808" w:type="pct"/>
                  <w:noWrap w:val="0"/>
                  <w:vAlign w:val="center"/>
                </w:tcPr>
                <w:p w14:paraId="7F9F631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32FEFAA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0.0015</w:t>
                  </w:r>
                </w:p>
              </w:tc>
              <w:tc>
                <w:tcPr>
                  <w:tcW w:w="987" w:type="pct"/>
                  <w:noWrap w:val="0"/>
                  <w:vAlign w:val="center"/>
                </w:tcPr>
                <w:p w14:paraId="0812813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62AB698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HZD-018-B</w:t>
                  </w:r>
                </w:p>
              </w:tc>
            </w:tr>
            <w:tr w14:paraId="5297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7324CC1">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w:t>
                  </w:r>
                </w:p>
              </w:tc>
              <w:tc>
                <w:tcPr>
                  <w:tcW w:w="672" w:type="pct"/>
                  <w:noWrap w:val="0"/>
                  <w:vAlign w:val="center"/>
                </w:tcPr>
                <w:p w14:paraId="78E9B91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氯甲烷</w:t>
                  </w:r>
                </w:p>
              </w:tc>
              <w:tc>
                <w:tcPr>
                  <w:tcW w:w="1808" w:type="pct"/>
                  <w:noWrap w:val="0"/>
                  <w:vAlign w:val="center"/>
                </w:tcPr>
                <w:p w14:paraId="6035AA2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w:t>
                  </w:r>
                  <w:r>
                    <w:rPr>
                      <w:rFonts w:hint="default" w:ascii="Times New Roman" w:hAnsi="Times New Roman" w:eastAsia="宋体" w:cs="Times New Roman"/>
                      <w:color w:val="auto"/>
                      <w:sz w:val="21"/>
                      <w:szCs w:val="21"/>
                      <w:highlight w:val="none"/>
                      <w:lang w:eastAsia="zh-CN"/>
                    </w:rPr>
                    <w:t>卤代烃</w:t>
                  </w:r>
                  <w:r>
                    <w:rPr>
                      <w:rFonts w:hint="default" w:ascii="Times New Roman" w:hAnsi="Times New Roman" w:eastAsia="宋体" w:cs="Times New Roman"/>
                      <w:color w:val="auto"/>
                      <w:sz w:val="21"/>
                      <w:szCs w:val="21"/>
                      <w:highlight w:val="none"/>
                    </w:rPr>
                    <w:t>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736-201</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w:t>
                  </w:r>
                </w:p>
              </w:tc>
              <w:tc>
                <w:tcPr>
                  <w:tcW w:w="600" w:type="pct"/>
                  <w:noWrap w:val="0"/>
                  <w:vAlign w:val="center"/>
                </w:tcPr>
                <w:p w14:paraId="295C0823">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0.003</w:t>
                  </w:r>
                </w:p>
              </w:tc>
              <w:tc>
                <w:tcPr>
                  <w:tcW w:w="987" w:type="pct"/>
                  <w:noWrap w:val="0"/>
                  <w:vAlign w:val="center"/>
                </w:tcPr>
                <w:p w14:paraId="02FD2FA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3A7C723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286B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40D6BD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w:t>
                  </w:r>
                </w:p>
              </w:tc>
              <w:tc>
                <w:tcPr>
                  <w:tcW w:w="672" w:type="pct"/>
                  <w:noWrap w:val="0"/>
                  <w:vAlign w:val="center"/>
                </w:tcPr>
                <w:p w14:paraId="1FC8B47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1,1-二氯乙烷</w:t>
                  </w:r>
                </w:p>
              </w:tc>
              <w:tc>
                <w:tcPr>
                  <w:tcW w:w="1808" w:type="pct"/>
                  <w:noWrap w:val="0"/>
                  <w:vAlign w:val="center"/>
                </w:tcPr>
                <w:p w14:paraId="7EBA98A4">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76273DD5">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0.0016</w:t>
                  </w:r>
                </w:p>
              </w:tc>
              <w:tc>
                <w:tcPr>
                  <w:tcW w:w="987" w:type="pct"/>
                  <w:noWrap w:val="0"/>
                  <w:vAlign w:val="center"/>
                </w:tcPr>
                <w:p w14:paraId="60A2355C">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6B03D88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HZD-018-B</w:t>
                  </w:r>
                </w:p>
              </w:tc>
            </w:tr>
            <w:tr w14:paraId="10A8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2D2BDF3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672" w:type="pct"/>
                  <w:noWrap w:val="0"/>
                  <w:vAlign w:val="center"/>
                </w:tcPr>
                <w:p w14:paraId="21F1CB4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1,2-二氯乙烷</w:t>
                  </w:r>
                </w:p>
              </w:tc>
              <w:tc>
                <w:tcPr>
                  <w:tcW w:w="1808" w:type="pct"/>
                  <w:noWrap w:val="0"/>
                  <w:vAlign w:val="center"/>
                </w:tcPr>
                <w:p w14:paraId="60F74C8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487C4AE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0.0013</w:t>
                  </w:r>
                </w:p>
              </w:tc>
              <w:tc>
                <w:tcPr>
                  <w:tcW w:w="987" w:type="pct"/>
                  <w:noWrap w:val="0"/>
                  <w:vAlign w:val="center"/>
                </w:tcPr>
                <w:p w14:paraId="0C3C32C1">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76D9B0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HZD-018-B</w:t>
                  </w:r>
                </w:p>
              </w:tc>
            </w:tr>
            <w:tr w14:paraId="1499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343F748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w:t>
                  </w:r>
                </w:p>
              </w:tc>
              <w:tc>
                <w:tcPr>
                  <w:tcW w:w="672" w:type="pct"/>
                  <w:noWrap w:val="0"/>
                  <w:vAlign w:val="center"/>
                </w:tcPr>
                <w:p w14:paraId="4143695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1,1-二氯乙烯</w:t>
                  </w:r>
                </w:p>
              </w:tc>
              <w:tc>
                <w:tcPr>
                  <w:tcW w:w="1808" w:type="pct"/>
                  <w:noWrap w:val="0"/>
                  <w:vAlign w:val="center"/>
                </w:tcPr>
                <w:p w14:paraId="20C66241">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21886E8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8</w:t>
                  </w:r>
                </w:p>
              </w:tc>
              <w:tc>
                <w:tcPr>
                  <w:tcW w:w="987" w:type="pct"/>
                  <w:noWrap w:val="0"/>
                  <w:vAlign w:val="center"/>
                </w:tcPr>
                <w:p w14:paraId="5638C22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24B787B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HZD-018-B</w:t>
                  </w:r>
                </w:p>
              </w:tc>
            </w:tr>
            <w:tr w14:paraId="14A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2F88E3F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14</w:t>
                  </w:r>
                </w:p>
              </w:tc>
              <w:tc>
                <w:tcPr>
                  <w:tcW w:w="672" w:type="pct"/>
                  <w:noWrap w:val="0"/>
                  <w:vAlign w:val="center"/>
                </w:tcPr>
                <w:p w14:paraId="3413F22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顺-1,2-二氯乙烯</w:t>
                  </w:r>
                </w:p>
              </w:tc>
              <w:tc>
                <w:tcPr>
                  <w:tcW w:w="1808" w:type="pct"/>
                  <w:noWrap w:val="0"/>
                  <w:vAlign w:val="center"/>
                </w:tcPr>
                <w:p w14:paraId="1BEDAA3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2731A23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09</w:t>
                  </w:r>
                </w:p>
              </w:tc>
              <w:tc>
                <w:tcPr>
                  <w:tcW w:w="987" w:type="pct"/>
                  <w:noWrap w:val="0"/>
                  <w:vAlign w:val="center"/>
                </w:tcPr>
                <w:p w14:paraId="73FF957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532E70D8">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HZD-018-B</w:t>
                  </w:r>
                </w:p>
              </w:tc>
            </w:tr>
            <w:tr w14:paraId="429D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8CD2B4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w:t>
                  </w:r>
                </w:p>
              </w:tc>
              <w:tc>
                <w:tcPr>
                  <w:tcW w:w="672" w:type="pct"/>
                  <w:noWrap w:val="0"/>
                  <w:vAlign w:val="center"/>
                </w:tcPr>
                <w:p w14:paraId="254F95B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反-1,2-二氯乙烯</w:t>
                  </w:r>
                </w:p>
              </w:tc>
              <w:tc>
                <w:tcPr>
                  <w:tcW w:w="1808" w:type="pct"/>
                  <w:noWrap w:val="0"/>
                  <w:vAlign w:val="center"/>
                </w:tcPr>
                <w:p w14:paraId="409CB61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2FA0CA3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09</w:t>
                  </w:r>
                </w:p>
              </w:tc>
              <w:tc>
                <w:tcPr>
                  <w:tcW w:w="987" w:type="pct"/>
                  <w:noWrap w:val="0"/>
                  <w:vAlign w:val="center"/>
                </w:tcPr>
                <w:p w14:paraId="20C4C87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DAECEC0">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669A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0CFAF6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16</w:t>
                  </w:r>
                </w:p>
              </w:tc>
              <w:tc>
                <w:tcPr>
                  <w:tcW w:w="672" w:type="pct"/>
                  <w:noWrap w:val="0"/>
                  <w:vAlign w:val="center"/>
                </w:tcPr>
                <w:p w14:paraId="7D5F78C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二氯甲烷</w:t>
                  </w:r>
                </w:p>
              </w:tc>
              <w:tc>
                <w:tcPr>
                  <w:tcW w:w="1808" w:type="pct"/>
                  <w:noWrap w:val="0"/>
                  <w:vAlign w:val="center"/>
                </w:tcPr>
                <w:p w14:paraId="2A6684A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7D86D55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0.0026</w:t>
                  </w:r>
                </w:p>
              </w:tc>
              <w:tc>
                <w:tcPr>
                  <w:tcW w:w="987" w:type="pct"/>
                  <w:noWrap w:val="0"/>
                  <w:vAlign w:val="center"/>
                </w:tcPr>
                <w:p w14:paraId="37FF63B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0333589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7453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26576DC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17</w:t>
                  </w:r>
                </w:p>
              </w:tc>
              <w:tc>
                <w:tcPr>
                  <w:tcW w:w="672" w:type="pct"/>
                  <w:noWrap w:val="0"/>
                  <w:vAlign w:val="center"/>
                </w:tcPr>
                <w:p w14:paraId="5A11075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1,2-二氯丙烷</w:t>
                  </w:r>
                </w:p>
              </w:tc>
              <w:tc>
                <w:tcPr>
                  <w:tcW w:w="1808" w:type="pct"/>
                  <w:noWrap w:val="0"/>
                  <w:vAlign w:val="center"/>
                </w:tcPr>
                <w:p w14:paraId="7E6B2A4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3AABAD8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0.0019</w:t>
                  </w:r>
                </w:p>
              </w:tc>
              <w:tc>
                <w:tcPr>
                  <w:tcW w:w="987" w:type="pct"/>
                  <w:noWrap w:val="0"/>
                  <w:vAlign w:val="center"/>
                </w:tcPr>
                <w:p w14:paraId="029B9C2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7AC92A90">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2CD6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0BF1AAEC">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18</w:t>
                  </w:r>
                </w:p>
              </w:tc>
              <w:tc>
                <w:tcPr>
                  <w:tcW w:w="672" w:type="pct"/>
                  <w:noWrap w:val="0"/>
                  <w:vAlign w:val="center"/>
                </w:tcPr>
                <w:p w14:paraId="3C2EA64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1,1,1,2-四氯乙烷</w:t>
                  </w:r>
                </w:p>
              </w:tc>
              <w:tc>
                <w:tcPr>
                  <w:tcW w:w="1808" w:type="pct"/>
                  <w:noWrap w:val="0"/>
                  <w:vAlign w:val="center"/>
                </w:tcPr>
                <w:p w14:paraId="46F5E1E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1D7E1CA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987" w:type="pct"/>
                  <w:noWrap w:val="0"/>
                  <w:vAlign w:val="center"/>
                </w:tcPr>
                <w:p w14:paraId="58B9123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1404E9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5C82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2C8442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19</w:t>
                  </w:r>
                </w:p>
              </w:tc>
              <w:tc>
                <w:tcPr>
                  <w:tcW w:w="672" w:type="pct"/>
                  <w:noWrap w:val="0"/>
                  <w:vAlign w:val="center"/>
                </w:tcPr>
                <w:p w14:paraId="7A493E5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1,1,2,2-四氯乙烷</w:t>
                  </w:r>
                </w:p>
              </w:tc>
              <w:tc>
                <w:tcPr>
                  <w:tcW w:w="1808" w:type="pct"/>
                  <w:noWrap w:val="0"/>
                  <w:vAlign w:val="center"/>
                </w:tcPr>
                <w:p w14:paraId="5AAD2015">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4DBDA22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987" w:type="pct"/>
                  <w:noWrap w:val="0"/>
                  <w:vAlign w:val="center"/>
                </w:tcPr>
                <w:p w14:paraId="12A9A8D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045DAD2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3F90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170DE64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w:t>
                  </w:r>
                </w:p>
              </w:tc>
              <w:tc>
                <w:tcPr>
                  <w:tcW w:w="672" w:type="pct"/>
                  <w:noWrap w:val="0"/>
                  <w:vAlign w:val="center"/>
                </w:tcPr>
                <w:p w14:paraId="0AF8F0F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四氯乙烯</w:t>
                  </w:r>
                </w:p>
              </w:tc>
              <w:tc>
                <w:tcPr>
                  <w:tcW w:w="1808" w:type="pct"/>
                  <w:noWrap w:val="0"/>
                  <w:vAlign w:val="center"/>
                </w:tcPr>
                <w:p w14:paraId="1FD9E12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3213FE4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08</w:t>
                  </w:r>
                </w:p>
              </w:tc>
              <w:tc>
                <w:tcPr>
                  <w:tcW w:w="987" w:type="pct"/>
                  <w:noWrap w:val="0"/>
                  <w:vAlign w:val="center"/>
                </w:tcPr>
                <w:p w14:paraId="601C7B8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3A30045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3C02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02B64EB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21</w:t>
                  </w:r>
                </w:p>
              </w:tc>
              <w:tc>
                <w:tcPr>
                  <w:tcW w:w="672" w:type="pct"/>
                  <w:noWrap w:val="0"/>
                  <w:vAlign w:val="center"/>
                </w:tcPr>
                <w:p w14:paraId="2DE22893">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1,1,1-三氯乙烷</w:t>
                  </w:r>
                </w:p>
              </w:tc>
              <w:tc>
                <w:tcPr>
                  <w:tcW w:w="1808" w:type="pct"/>
                  <w:noWrap w:val="0"/>
                  <w:vAlign w:val="center"/>
                </w:tcPr>
                <w:p w14:paraId="766C432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21BFD23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0.0011</w:t>
                  </w:r>
                </w:p>
              </w:tc>
              <w:tc>
                <w:tcPr>
                  <w:tcW w:w="987" w:type="pct"/>
                  <w:noWrap w:val="0"/>
                  <w:vAlign w:val="center"/>
                </w:tcPr>
                <w:p w14:paraId="3218249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AF0146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35FC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6FD61C2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22</w:t>
                  </w:r>
                </w:p>
              </w:tc>
              <w:tc>
                <w:tcPr>
                  <w:tcW w:w="672" w:type="pct"/>
                  <w:noWrap w:val="0"/>
                  <w:vAlign w:val="center"/>
                </w:tcPr>
                <w:p w14:paraId="451396B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1,1,2-三氯乙烷</w:t>
                  </w:r>
                </w:p>
              </w:tc>
              <w:tc>
                <w:tcPr>
                  <w:tcW w:w="1808" w:type="pct"/>
                  <w:noWrap w:val="0"/>
                  <w:vAlign w:val="center"/>
                </w:tcPr>
                <w:p w14:paraId="21C54D6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64825A6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0.0014</w:t>
                  </w:r>
                </w:p>
              </w:tc>
              <w:tc>
                <w:tcPr>
                  <w:tcW w:w="987" w:type="pct"/>
                  <w:noWrap w:val="0"/>
                  <w:vAlign w:val="center"/>
                </w:tcPr>
                <w:p w14:paraId="10429AC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12CD32F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40EB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1C2972E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23</w:t>
                  </w:r>
                </w:p>
              </w:tc>
              <w:tc>
                <w:tcPr>
                  <w:tcW w:w="672" w:type="pct"/>
                  <w:noWrap w:val="0"/>
                  <w:vAlign w:val="center"/>
                </w:tcPr>
                <w:p w14:paraId="50AAFA7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三氯乙烯</w:t>
                  </w:r>
                </w:p>
              </w:tc>
              <w:tc>
                <w:tcPr>
                  <w:tcW w:w="1808" w:type="pct"/>
                  <w:noWrap w:val="0"/>
                  <w:vAlign w:val="center"/>
                </w:tcPr>
                <w:p w14:paraId="4E20532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599A8DC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09</w:t>
                  </w:r>
                </w:p>
              </w:tc>
              <w:tc>
                <w:tcPr>
                  <w:tcW w:w="987" w:type="pct"/>
                  <w:noWrap w:val="0"/>
                  <w:vAlign w:val="center"/>
                </w:tcPr>
                <w:p w14:paraId="5C7F3FA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0C14298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22D6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3710183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24</w:t>
                  </w:r>
                </w:p>
              </w:tc>
              <w:tc>
                <w:tcPr>
                  <w:tcW w:w="672" w:type="pct"/>
                  <w:noWrap w:val="0"/>
                  <w:vAlign w:val="center"/>
                </w:tcPr>
                <w:p w14:paraId="0CA8FA5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1,2,3-三氯丙烷</w:t>
                  </w:r>
                </w:p>
              </w:tc>
              <w:tc>
                <w:tcPr>
                  <w:tcW w:w="1808" w:type="pct"/>
                  <w:noWrap w:val="0"/>
                  <w:vAlign w:val="center"/>
                </w:tcPr>
                <w:p w14:paraId="17DE404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681A161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987" w:type="pct"/>
                  <w:noWrap w:val="0"/>
                  <w:vAlign w:val="center"/>
                </w:tcPr>
                <w:p w14:paraId="3F643B0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786443E1">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6688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jc w:val="center"/>
              </w:trPr>
              <w:tc>
                <w:tcPr>
                  <w:tcW w:w="200" w:type="pct"/>
                  <w:noWrap w:val="0"/>
                  <w:vAlign w:val="center"/>
                </w:tcPr>
                <w:p w14:paraId="3D9E14A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w:t>
                  </w:r>
                </w:p>
              </w:tc>
              <w:tc>
                <w:tcPr>
                  <w:tcW w:w="672" w:type="pct"/>
                  <w:noWrap w:val="0"/>
                  <w:vAlign w:val="center"/>
                </w:tcPr>
                <w:p w14:paraId="0ED23C3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氯乙烯</w:t>
                  </w:r>
                </w:p>
              </w:tc>
              <w:tc>
                <w:tcPr>
                  <w:tcW w:w="1808" w:type="pct"/>
                  <w:noWrap w:val="0"/>
                  <w:vAlign w:val="center"/>
                </w:tcPr>
                <w:p w14:paraId="408DB26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771BDA8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0.0015</w:t>
                  </w:r>
                </w:p>
              </w:tc>
              <w:tc>
                <w:tcPr>
                  <w:tcW w:w="987" w:type="pct"/>
                  <w:noWrap w:val="0"/>
                  <w:vAlign w:val="center"/>
                </w:tcPr>
                <w:p w14:paraId="18B1CE2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4C8DE8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056D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12995B8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26</w:t>
                  </w:r>
                </w:p>
              </w:tc>
              <w:tc>
                <w:tcPr>
                  <w:tcW w:w="672" w:type="pct"/>
                  <w:noWrap w:val="0"/>
                  <w:vAlign w:val="center"/>
                </w:tcPr>
                <w:p w14:paraId="48391951">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苯</w:t>
                  </w:r>
                </w:p>
              </w:tc>
              <w:tc>
                <w:tcPr>
                  <w:tcW w:w="1808" w:type="pct"/>
                  <w:noWrap w:val="0"/>
                  <w:vAlign w:val="center"/>
                </w:tcPr>
                <w:p w14:paraId="4E1C95F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3D3C0C91">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0.0016</w:t>
                  </w:r>
                </w:p>
              </w:tc>
              <w:tc>
                <w:tcPr>
                  <w:tcW w:w="987" w:type="pct"/>
                  <w:noWrap w:val="0"/>
                  <w:vAlign w:val="center"/>
                </w:tcPr>
                <w:p w14:paraId="2C4962D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533752A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4684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5DD01D3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27</w:t>
                  </w:r>
                </w:p>
              </w:tc>
              <w:tc>
                <w:tcPr>
                  <w:tcW w:w="672" w:type="pct"/>
                  <w:noWrap w:val="0"/>
                  <w:vAlign w:val="center"/>
                </w:tcPr>
                <w:p w14:paraId="619B3C3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氯苯</w:t>
                  </w:r>
                </w:p>
              </w:tc>
              <w:tc>
                <w:tcPr>
                  <w:tcW w:w="1808" w:type="pct"/>
                  <w:noWrap w:val="0"/>
                  <w:vAlign w:val="center"/>
                </w:tcPr>
                <w:p w14:paraId="188B619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33B4252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0.0011</w:t>
                  </w:r>
                </w:p>
              </w:tc>
              <w:tc>
                <w:tcPr>
                  <w:tcW w:w="987" w:type="pct"/>
                  <w:noWrap w:val="0"/>
                  <w:vAlign w:val="center"/>
                </w:tcPr>
                <w:p w14:paraId="3ECD90E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34EEBAF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5593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323DAA7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28</w:t>
                  </w:r>
                </w:p>
              </w:tc>
              <w:tc>
                <w:tcPr>
                  <w:tcW w:w="672" w:type="pct"/>
                  <w:noWrap w:val="0"/>
                  <w:vAlign w:val="center"/>
                </w:tcPr>
                <w:p w14:paraId="6F8F678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1,2-二氯苯</w:t>
                  </w:r>
                </w:p>
              </w:tc>
              <w:tc>
                <w:tcPr>
                  <w:tcW w:w="1808" w:type="pct"/>
                  <w:noWrap w:val="0"/>
                  <w:vAlign w:val="center"/>
                </w:tcPr>
                <w:p w14:paraId="6F42D59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0E29FEA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w:t>
                  </w:r>
                </w:p>
              </w:tc>
              <w:tc>
                <w:tcPr>
                  <w:tcW w:w="987" w:type="pct"/>
                  <w:noWrap w:val="0"/>
                  <w:vAlign w:val="center"/>
                </w:tcPr>
                <w:p w14:paraId="2A30453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0F09C2F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4163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5C76836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29</w:t>
                  </w:r>
                </w:p>
              </w:tc>
              <w:tc>
                <w:tcPr>
                  <w:tcW w:w="672" w:type="pct"/>
                  <w:noWrap w:val="0"/>
                  <w:vAlign w:val="center"/>
                </w:tcPr>
                <w:p w14:paraId="7659738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1,4-二氯苯</w:t>
                  </w:r>
                </w:p>
              </w:tc>
              <w:tc>
                <w:tcPr>
                  <w:tcW w:w="1808" w:type="pct"/>
                  <w:noWrap w:val="0"/>
                  <w:vAlign w:val="center"/>
                </w:tcPr>
                <w:p w14:paraId="6EC2CFE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72D7A28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0.0012</w:t>
                  </w:r>
                </w:p>
              </w:tc>
              <w:tc>
                <w:tcPr>
                  <w:tcW w:w="987" w:type="pct"/>
                  <w:noWrap w:val="0"/>
                  <w:vAlign w:val="center"/>
                </w:tcPr>
                <w:p w14:paraId="55B7758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2E87F31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226B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31575AC0">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30</w:t>
                  </w:r>
                </w:p>
              </w:tc>
              <w:tc>
                <w:tcPr>
                  <w:tcW w:w="672" w:type="pct"/>
                  <w:noWrap w:val="0"/>
                  <w:vAlign w:val="center"/>
                </w:tcPr>
                <w:p w14:paraId="36B0710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乙苯</w:t>
                  </w:r>
                </w:p>
              </w:tc>
              <w:tc>
                <w:tcPr>
                  <w:tcW w:w="1808" w:type="pct"/>
                  <w:noWrap w:val="0"/>
                  <w:vAlign w:val="center"/>
                </w:tcPr>
                <w:p w14:paraId="02B4916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38DB746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0.0012</w:t>
                  </w:r>
                </w:p>
              </w:tc>
              <w:tc>
                <w:tcPr>
                  <w:tcW w:w="987" w:type="pct"/>
                  <w:noWrap w:val="0"/>
                  <w:vAlign w:val="center"/>
                </w:tcPr>
                <w:p w14:paraId="334582C1">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27B007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5FB4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62950D8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31</w:t>
                  </w:r>
                </w:p>
              </w:tc>
              <w:tc>
                <w:tcPr>
                  <w:tcW w:w="672" w:type="pct"/>
                  <w:noWrap w:val="0"/>
                  <w:vAlign w:val="center"/>
                </w:tcPr>
                <w:p w14:paraId="4CFD88D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苯乙烯</w:t>
                  </w:r>
                </w:p>
              </w:tc>
              <w:tc>
                <w:tcPr>
                  <w:tcW w:w="1808" w:type="pct"/>
                  <w:noWrap w:val="0"/>
                  <w:vAlign w:val="center"/>
                </w:tcPr>
                <w:p w14:paraId="69F191A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3259A88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0.0016</w:t>
                  </w:r>
                </w:p>
              </w:tc>
              <w:tc>
                <w:tcPr>
                  <w:tcW w:w="987" w:type="pct"/>
                  <w:noWrap w:val="0"/>
                  <w:vAlign w:val="center"/>
                </w:tcPr>
                <w:p w14:paraId="7F9DF02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7D7DCAEC">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7E1F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7BF77AD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32</w:t>
                  </w:r>
                </w:p>
              </w:tc>
              <w:tc>
                <w:tcPr>
                  <w:tcW w:w="672" w:type="pct"/>
                  <w:noWrap w:val="0"/>
                  <w:vAlign w:val="center"/>
                </w:tcPr>
                <w:p w14:paraId="75692F2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甲苯</w:t>
                  </w:r>
                </w:p>
              </w:tc>
              <w:tc>
                <w:tcPr>
                  <w:tcW w:w="1808" w:type="pct"/>
                  <w:noWrap w:val="0"/>
                  <w:vAlign w:val="center"/>
                </w:tcPr>
                <w:p w14:paraId="78909B20">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7CECC44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0.002</w:t>
                  </w:r>
                </w:p>
              </w:tc>
              <w:tc>
                <w:tcPr>
                  <w:tcW w:w="987" w:type="pct"/>
                  <w:noWrap w:val="0"/>
                  <w:vAlign w:val="center"/>
                </w:tcPr>
                <w:p w14:paraId="5AE0EB5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7067015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6FEC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blHeader/>
                <w:jc w:val="center"/>
              </w:trPr>
              <w:tc>
                <w:tcPr>
                  <w:tcW w:w="200" w:type="pct"/>
                  <w:noWrap w:val="0"/>
                  <w:vAlign w:val="center"/>
                </w:tcPr>
                <w:p w14:paraId="40AB4DB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33</w:t>
                  </w:r>
                </w:p>
              </w:tc>
              <w:tc>
                <w:tcPr>
                  <w:tcW w:w="672" w:type="pct"/>
                  <w:noWrap w:val="0"/>
                  <w:vAlign w:val="center"/>
                </w:tcPr>
                <w:p w14:paraId="29734FD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间/对二甲苯</w:t>
                  </w:r>
                </w:p>
              </w:tc>
              <w:tc>
                <w:tcPr>
                  <w:tcW w:w="1808" w:type="pct"/>
                  <w:noWrap w:val="0"/>
                  <w:vAlign w:val="center"/>
                </w:tcPr>
                <w:p w14:paraId="4610CD9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19D1B2E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0.0036</w:t>
                  </w:r>
                </w:p>
              </w:tc>
              <w:tc>
                <w:tcPr>
                  <w:tcW w:w="987" w:type="pct"/>
                  <w:noWrap w:val="0"/>
                  <w:vAlign w:val="center"/>
                </w:tcPr>
                <w:p w14:paraId="441E4DA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39A97DDE">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5F4F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158B81C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34</w:t>
                  </w:r>
                </w:p>
              </w:tc>
              <w:tc>
                <w:tcPr>
                  <w:tcW w:w="672" w:type="pct"/>
                  <w:noWrap w:val="0"/>
                  <w:vAlign w:val="center"/>
                </w:tcPr>
                <w:p w14:paraId="652D2F3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邻二甲苯</w:t>
                  </w:r>
                </w:p>
              </w:tc>
              <w:tc>
                <w:tcPr>
                  <w:tcW w:w="1808" w:type="pct"/>
                  <w:noWrap w:val="0"/>
                  <w:vAlign w:val="center"/>
                </w:tcPr>
                <w:p w14:paraId="0BEFBF6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挥发性有机物的测定顶空/ 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642-2013）</w:t>
                  </w:r>
                </w:p>
              </w:tc>
              <w:tc>
                <w:tcPr>
                  <w:tcW w:w="600" w:type="pct"/>
                  <w:noWrap w:val="0"/>
                  <w:vAlign w:val="center"/>
                </w:tcPr>
                <w:p w14:paraId="28F63DB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0.0013</w:t>
                  </w:r>
                </w:p>
              </w:tc>
              <w:tc>
                <w:tcPr>
                  <w:tcW w:w="987" w:type="pct"/>
                  <w:noWrap w:val="0"/>
                  <w:vAlign w:val="center"/>
                </w:tcPr>
                <w:p w14:paraId="23FF4A20">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气相色谱质谱联用仪（GCMS）</w:t>
                  </w:r>
                  <w:r>
                    <w:rPr>
                      <w:rFonts w:hint="default" w:ascii="Times New Roman" w:hAnsi="Times New Roman" w:eastAsia="宋体" w:cs="Times New Roman"/>
                      <w:color w:val="auto"/>
                      <w:sz w:val="21"/>
                      <w:szCs w:val="21"/>
                      <w:highlight w:val="none"/>
                      <w:lang w:val="en-US" w:eastAsia="zh-CN"/>
                    </w:rPr>
                    <w:t>/7890A+5975C</w:t>
                  </w:r>
                </w:p>
              </w:tc>
              <w:tc>
                <w:tcPr>
                  <w:tcW w:w="730" w:type="pct"/>
                  <w:noWrap w:val="0"/>
                  <w:vAlign w:val="center"/>
                </w:tcPr>
                <w:p w14:paraId="4C1374E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HZD-018-B</w:t>
                  </w:r>
                </w:p>
              </w:tc>
            </w:tr>
            <w:tr w14:paraId="6761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6EFE646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35</w:t>
                  </w:r>
                </w:p>
              </w:tc>
              <w:tc>
                <w:tcPr>
                  <w:tcW w:w="672" w:type="pct"/>
                  <w:noWrap w:val="0"/>
                  <w:vAlign w:val="center"/>
                </w:tcPr>
                <w:p w14:paraId="4CA9FE9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硝基苯</w:t>
                  </w:r>
                </w:p>
              </w:tc>
              <w:tc>
                <w:tcPr>
                  <w:tcW w:w="1808" w:type="pct"/>
                  <w:noWrap w:val="0"/>
                  <w:vAlign w:val="center"/>
                </w:tcPr>
                <w:p w14:paraId="0F148918">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《土壤和沉积物 半挥发性有机物的测定气相色谱-质谱法》（HJ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834-2017）</w:t>
                  </w:r>
                </w:p>
              </w:tc>
              <w:tc>
                <w:tcPr>
                  <w:tcW w:w="600" w:type="pct"/>
                  <w:noWrap w:val="0"/>
                  <w:vAlign w:val="center"/>
                </w:tcPr>
                <w:p w14:paraId="20CEE5B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0.09</w:t>
                  </w:r>
                </w:p>
              </w:tc>
              <w:tc>
                <w:tcPr>
                  <w:tcW w:w="987" w:type="pct"/>
                  <w:noWrap w:val="0"/>
                  <w:vAlign w:val="center"/>
                </w:tcPr>
                <w:p w14:paraId="1B613D5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w:t>
                  </w:r>
                  <w:r>
                    <w:rPr>
                      <w:rFonts w:hint="default" w:ascii="Times New Roman" w:hAnsi="Times New Roman" w:eastAsia="宋体" w:cs="Times New Roman"/>
                      <w:color w:val="auto"/>
                      <w:sz w:val="21"/>
                      <w:szCs w:val="21"/>
                      <w:highlight w:val="none"/>
                      <w:lang w:val="en-US" w:eastAsia="zh-CN"/>
                    </w:rPr>
                    <w:t>/ISQ7000</w:t>
                  </w:r>
                </w:p>
              </w:tc>
              <w:tc>
                <w:tcPr>
                  <w:tcW w:w="730" w:type="pct"/>
                  <w:noWrap w:val="0"/>
                  <w:vAlign w:val="center"/>
                </w:tcPr>
                <w:p w14:paraId="46B3D20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HZD-018-A</w:t>
                  </w:r>
                </w:p>
              </w:tc>
            </w:tr>
            <w:tr w14:paraId="4F0A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26B0275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36</w:t>
                  </w:r>
                </w:p>
              </w:tc>
              <w:tc>
                <w:tcPr>
                  <w:tcW w:w="672" w:type="pct"/>
                  <w:noWrap w:val="0"/>
                  <w:vAlign w:val="center"/>
                </w:tcPr>
                <w:p w14:paraId="5503DFE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苯胺</w:t>
                  </w:r>
                </w:p>
              </w:tc>
              <w:tc>
                <w:tcPr>
                  <w:tcW w:w="1808" w:type="pct"/>
                  <w:noWrap w:val="0"/>
                  <w:vAlign w:val="center"/>
                </w:tcPr>
                <w:p w14:paraId="7DDF7A6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《土壤和沉积物 半挥发性有机物的测定气相色谱-质谱法》（HJ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834-2017）</w:t>
                  </w:r>
                </w:p>
              </w:tc>
              <w:tc>
                <w:tcPr>
                  <w:tcW w:w="600" w:type="pct"/>
                  <w:noWrap w:val="0"/>
                  <w:vAlign w:val="center"/>
                </w:tcPr>
                <w:p w14:paraId="57D20EB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0.08</w:t>
                  </w:r>
                </w:p>
              </w:tc>
              <w:tc>
                <w:tcPr>
                  <w:tcW w:w="987" w:type="pct"/>
                  <w:noWrap w:val="0"/>
                  <w:vAlign w:val="center"/>
                </w:tcPr>
                <w:p w14:paraId="0A86B1F3">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气相色谱-质谱联用仪</w:t>
                  </w:r>
                  <w:r>
                    <w:rPr>
                      <w:rFonts w:hint="default" w:ascii="Times New Roman" w:hAnsi="Times New Roman" w:eastAsia="宋体" w:cs="Times New Roman"/>
                      <w:color w:val="auto"/>
                      <w:sz w:val="21"/>
                      <w:szCs w:val="21"/>
                      <w:highlight w:val="none"/>
                      <w:lang w:val="en-US" w:eastAsia="zh-CN"/>
                    </w:rPr>
                    <w:t>/ISQ7000</w:t>
                  </w:r>
                </w:p>
              </w:tc>
              <w:tc>
                <w:tcPr>
                  <w:tcW w:w="730" w:type="pct"/>
                  <w:noWrap w:val="0"/>
                  <w:vAlign w:val="center"/>
                </w:tcPr>
                <w:p w14:paraId="7CA94004">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HZD-018-A</w:t>
                  </w:r>
                </w:p>
              </w:tc>
            </w:tr>
            <w:tr w14:paraId="3241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1051C1BF">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37</w:t>
                  </w:r>
                </w:p>
              </w:tc>
              <w:tc>
                <w:tcPr>
                  <w:tcW w:w="672" w:type="pct"/>
                  <w:noWrap w:val="0"/>
                  <w:vAlign w:val="center"/>
                </w:tcPr>
                <w:p w14:paraId="396956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2-氯酚</w:t>
                  </w:r>
                </w:p>
              </w:tc>
              <w:tc>
                <w:tcPr>
                  <w:tcW w:w="1808" w:type="pct"/>
                  <w:noWrap w:val="0"/>
                  <w:vAlign w:val="center"/>
                </w:tcPr>
                <w:p w14:paraId="266FD3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《土壤和沉积物 酚类化合物的测定气相色谱法》HJ703-2014</w:t>
                  </w:r>
                </w:p>
              </w:tc>
              <w:tc>
                <w:tcPr>
                  <w:tcW w:w="600" w:type="pct"/>
                  <w:noWrap w:val="0"/>
                  <w:vAlign w:val="center"/>
                </w:tcPr>
                <w:p w14:paraId="2817B3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0.04</w:t>
                  </w:r>
                </w:p>
              </w:tc>
              <w:tc>
                <w:tcPr>
                  <w:tcW w:w="987" w:type="pct"/>
                  <w:noWrap w:val="0"/>
                  <w:vAlign w:val="center"/>
                </w:tcPr>
                <w:p w14:paraId="3D8497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气相色谱仪/Trace GC 1300</w:t>
                  </w:r>
                </w:p>
              </w:tc>
              <w:tc>
                <w:tcPr>
                  <w:tcW w:w="730" w:type="pct"/>
                  <w:noWrap w:val="0"/>
                  <w:vAlign w:val="center"/>
                </w:tcPr>
                <w:p w14:paraId="013216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HZD-002-B</w:t>
                  </w:r>
                </w:p>
              </w:tc>
            </w:tr>
            <w:tr w14:paraId="0210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255DE188">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38</w:t>
                  </w:r>
                </w:p>
              </w:tc>
              <w:tc>
                <w:tcPr>
                  <w:tcW w:w="672" w:type="pct"/>
                  <w:noWrap w:val="0"/>
                  <w:vAlign w:val="center"/>
                </w:tcPr>
                <w:p w14:paraId="6A2D95C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苯并[a]蒽</w:t>
                  </w:r>
                </w:p>
              </w:tc>
              <w:tc>
                <w:tcPr>
                  <w:tcW w:w="1808" w:type="pct"/>
                  <w:noWrap w:val="0"/>
                  <w:vAlign w:val="center"/>
                </w:tcPr>
                <w:p w14:paraId="5ED95DD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 784-2016）</w:t>
                  </w:r>
                </w:p>
              </w:tc>
              <w:tc>
                <w:tcPr>
                  <w:tcW w:w="600" w:type="pct"/>
                  <w:noWrap w:val="0"/>
                  <w:vAlign w:val="center"/>
                </w:tcPr>
                <w:p w14:paraId="4B36CA5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0.0</w:t>
                  </w:r>
                  <w:r>
                    <w:rPr>
                      <w:rFonts w:hint="default" w:ascii="Times New Roman" w:hAnsi="Times New Roman" w:eastAsia="宋体" w:cs="Times New Roman"/>
                      <w:color w:val="auto"/>
                      <w:sz w:val="21"/>
                      <w:szCs w:val="21"/>
                      <w:highlight w:val="none"/>
                      <w:lang w:val="en-US" w:eastAsia="zh-CN"/>
                    </w:rPr>
                    <w:t>04</w:t>
                  </w:r>
                </w:p>
              </w:tc>
              <w:tc>
                <w:tcPr>
                  <w:tcW w:w="987" w:type="pct"/>
                  <w:noWrap w:val="0"/>
                  <w:vAlign w:val="center"/>
                </w:tcPr>
                <w:p w14:paraId="65E56FC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59429BB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1F1C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597A086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39</w:t>
                  </w:r>
                </w:p>
              </w:tc>
              <w:tc>
                <w:tcPr>
                  <w:tcW w:w="672" w:type="pct"/>
                  <w:noWrap w:val="0"/>
                  <w:vAlign w:val="center"/>
                </w:tcPr>
                <w:p w14:paraId="253E888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苯并[a]芘</w:t>
                  </w:r>
                </w:p>
              </w:tc>
              <w:tc>
                <w:tcPr>
                  <w:tcW w:w="1808" w:type="pct"/>
                  <w:noWrap w:val="0"/>
                  <w:vAlign w:val="center"/>
                </w:tcPr>
                <w:p w14:paraId="1F7A10E5">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 784-2016）</w:t>
                  </w:r>
                </w:p>
              </w:tc>
              <w:tc>
                <w:tcPr>
                  <w:tcW w:w="600" w:type="pct"/>
                  <w:noWrap w:val="0"/>
                  <w:vAlign w:val="center"/>
                </w:tcPr>
                <w:p w14:paraId="2498996C">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0.00</w:t>
                  </w:r>
                  <w:r>
                    <w:rPr>
                      <w:rFonts w:hint="default" w:ascii="Times New Roman" w:hAnsi="Times New Roman" w:eastAsia="宋体" w:cs="Times New Roman"/>
                      <w:color w:val="auto"/>
                      <w:sz w:val="21"/>
                      <w:szCs w:val="21"/>
                      <w:highlight w:val="none"/>
                      <w:lang w:val="en-US" w:eastAsia="zh-CN"/>
                    </w:rPr>
                    <w:t>5</w:t>
                  </w:r>
                </w:p>
              </w:tc>
              <w:tc>
                <w:tcPr>
                  <w:tcW w:w="987" w:type="pct"/>
                  <w:noWrap w:val="0"/>
                  <w:vAlign w:val="center"/>
                </w:tcPr>
                <w:p w14:paraId="116B795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22A91FF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6931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604EBB05">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40</w:t>
                  </w:r>
                </w:p>
              </w:tc>
              <w:tc>
                <w:tcPr>
                  <w:tcW w:w="672" w:type="pct"/>
                  <w:noWrap w:val="0"/>
                  <w:vAlign w:val="center"/>
                </w:tcPr>
                <w:p w14:paraId="35000883">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苯并[b]荧蒽</w:t>
                  </w:r>
                </w:p>
              </w:tc>
              <w:tc>
                <w:tcPr>
                  <w:tcW w:w="1808" w:type="pct"/>
                  <w:noWrap w:val="0"/>
                  <w:vAlign w:val="center"/>
                </w:tcPr>
                <w:p w14:paraId="6F505AA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 784-2016）</w:t>
                  </w:r>
                </w:p>
              </w:tc>
              <w:tc>
                <w:tcPr>
                  <w:tcW w:w="600" w:type="pct"/>
                  <w:noWrap w:val="0"/>
                  <w:vAlign w:val="center"/>
                </w:tcPr>
                <w:p w14:paraId="3A230B47">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0.005</w:t>
                  </w:r>
                </w:p>
              </w:tc>
              <w:tc>
                <w:tcPr>
                  <w:tcW w:w="987" w:type="pct"/>
                  <w:noWrap w:val="0"/>
                  <w:vAlign w:val="center"/>
                </w:tcPr>
                <w:p w14:paraId="32033AF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0A9D9C4B">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6F97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F2D015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41</w:t>
                  </w:r>
                </w:p>
              </w:tc>
              <w:tc>
                <w:tcPr>
                  <w:tcW w:w="672" w:type="pct"/>
                  <w:noWrap w:val="0"/>
                  <w:vAlign w:val="center"/>
                </w:tcPr>
                <w:p w14:paraId="63737926">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苯并[k]荧蒽</w:t>
                  </w:r>
                </w:p>
              </w:tc>
              <w:tc>
                <w:tcPr>
                  <w:tcW w:w="1808" w:type="pct"/>
                  <w:noWrap w:val="0"/>
                  <w:vAlign w:val="center"/>
                </w:tcPr>
                <w:p w14:paraId="447A8BC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 784-2016）</w:t>
                  </w:r>
                </w:p>
              </w:tc>
              <w:tc>
                <w:tcPr>
                  <w:tcW w:w="600" w:type="pct"/>
                  <w:noWrap w:val="0"/>
                  <w:vAlign w:val="center"/>
                </w:tcPr>
                <w:p w14:paraId="0373FBD0">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0.00</w:t>
                  </w:r>
                  <w:r>
                    <w:rPr>
                      <w:rFonts w:hint="default" w:ascii="Times New Roman" w:hAnsi="Times New Roman" w:eastAsia="宋体" w:cs="Times New Roman"/>
                      <w:color w:val="auto"/>
                      <w:sz w:val="21"/>
                      <w:szCs w:val="21"/>
                      <w:highlight w:val="none"/>
                      <w:lang w:val="en-US" w:eastAsia="zh-CN"/>
                    </w:rPr>
                    <w:t>5</w:t>
                  </w:r>
                </w:p>
              </w:tc>
              <w:tc>
                <w:tcPr>
                  <w:tcW w:w="987" w:type="pct"/>
                  <w:noWrap w:val="0"/>
                  <w:vAlign w:val="center"/>
                </w:tcPr>
                <w:p w14:paraId="3B4F4CE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74FA0BE5">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279B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3F99A7A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42</w:t>
                  </w:r>
                </w:p>
              </w:tc>
              <w:tc>
                <w:tcPr>
                  <w:tcW w:w="672" w:type="pct"/>
                  <w:noWrap w:val="0"/>
                  <w:vAlign w:val="center"/>
                </w:tcPr>
                <w:p w14:paraId="0373732F">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䓛</w:t>
                  </w:r>
                </w:p>
              </w:tc>
              <w:tc>
                <w:tcPr>
                  <w:tcW w:w="1808" w:type="pct"/>
                  <w:noWrap w:val="0"/>
                  <w:vAlign w:val="center"/>
                </w:tcPr>
                <w:p w14:paraId="7CC1223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 784-2016）</w:t>
                  </w:r>
                </w:p>
              </w:tc>
              <w:tc>
                <w:tcPr>
                  <w:tcW w:w="600" w:type="pct"/>
                  <w:noWrap w:val="0"/>
                  <w:vAlign w:val="center"/>
                </w:tcPr>
                <w:p w14:paraId="0B939B9A">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w:t>
                  </w:r>
                  <w:r>
                    <w:rPr>
                      <w:rFonts w:hint="default" w:ascii="Times New Roman" w:hAnsi="Times New Roman" w:eastAsia="宋体" w:cs="Times New Roman"/>
                      <w:color w:val="auto"/>
                      <w:sz w:val="21"/>
                      <w:szCs w:val="21"/>
                      <w:highlight w:val="none"/>
                      <w:lang w:val="en-US" w:eastAsia="zh-CN"/>
                    </w:rPr>
                    <w:t>3</w:t>
                  </w:r>
                </w:p>
              </w:tc>
              <w:tc>
                <w:tcPr>
                  <w:tcW w:w="987" w:type="pct"/>
                  <w:noWrap w:val="0"/>
                  <w:vAlign w:val="center"/>
                </w:tcPr>
                <w:p w14:paraId="557DFC6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518E9A68">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6167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782CDAEB">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43</w:t>
                  </w:r>
                </w:p>
              </w:tc>
              <w:tc>
                <w:tcPr>
                  <w:tcW w:w="672" w:type="pct"/>
                  <w:noWrap w:val="0"/>
                  <w:vAlign w:val="center"/>
                </w:tcPr>
                <w:p w14:paraId="7EB689C4">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二苯并[a,h]蒽</w:t>
                  </w:r>
                </w:p>
              </w:tc>
              <w:tc>
                <w:tcPr>
                  <w:tcW w:w="1808" w:type="pct"/>
                  <w:noWrap w:val="0"/>
                  <w:vAlign w:val="center"/>
                </w:tcPr>
                <w:p w14:paraId="1922B0F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 784-2016）</w:t>
                  </w:r>
                </w:p>
              </w:tc>
              <w:tc>
                <w:tcPr>
                  <w:tcW w:w="600" w:type="pct"/>
                  <w:noWrap w:val="0"/>
                  <w:vAlign w:val="center"/>
                </w:tcPr>
                <w:p w14:paraId="449C65F9">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0.005</w:t>
                  </w:r>
                </w:p>
              </w:tc>
              <w:tc>
                <w:tcPr>
                  <w:tcW w:w="987" w:type="pct"/>
                  <w:noWrap w:val="0"/>
                  <w:vAlign w:val="center"/>
                </w:tcPr>
                <w:p w14:paraId="6A45C22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3F7AD837">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17BB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730A5E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44</w:t>
                  </w:r>
                </w:p>
              </w:tc>
              <w:tc>
                <w:tcPr>
                  <w:tcW w:w="672" w:type="pct"/>
                  <w:noWrap w:val="0"/>
                  <w:vAlign w:val="center"/>
                </w:tcPr>
                <w:p w14:paraId="354A263E">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茚并[1,2,3-cd]芘</w:t>
                  </w:r>
                </w:p>
              </w:tc>
              <w:tc>
                <w:tcPr>
                  <w:tcW w:w="1808" w:type="pct"/>
                  <w:noWrap w:val="0"/>
                  <w:vAlign w:val="center"/>
                </w:tcPr>
                <w:p w14:paraId="4CFDFE0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 784-2016）</w:t>
                  </w:r>
                </w:p>
              </w:tc>
              <w:tc>
                <w:tcPr>
                  <w:tcW w:w="600" w:type="pct"/>
                  <w:noWrap w:val="0"/>
                  <w:vAlign w:val="center"/>
                </w:tcPr>
                <w:p w14:paraId="66872FD8">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0.00</w:t>
                  </w:r>
                  <w:r>
                    <w:rPr>
                      <w:rFonts w:hint="default" w:ascii="Times New Roman" w:hAnsi="Times New Roman" w:eastAsia="宋体" w:cs="Times New Roman"/>
                      <w:color w:val="auto"/>
                      <w:sz w:val="21"/>
                      <w:szCs w:val="21"/>
                      <w:highlight w:val="none"/>
                      <w:lang w:val="en-US" w:eastAsia="zh-CN"/>
                    </w:rPr>
                    <w:t>4</w:t>
                  </w:r>
                </w:p>
              </w:tc>
              <w:tc>
                <w:tcPr>
                  <w:tcW w:w="987" w:type="pct"/>
                  <w:noWrap w:val="0"/>
                  <w:vAlign w:val="center"/>
                </w:tcPr>
                <w:p w14:paraId="10D060DD">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1488DCA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74AE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306501D6">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45</w:t>
                  </w:r>
                </w:p>
              </w:tc>
              <w:tc>
                <w:tcPr>
                  <w:tcW w:w="672" w:type="pct"/>
                  <w:noWrap w:val="0"/>
                  <w:vAlign w:val="center"/>
                </w:tcPr>
                <w:p w14:paraId="123E141C">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萘</w:t>
                  </w:r>
                </w:p>
              </w:tc>
              <w:tc>
                <w:tcPr>
                  <w:tcW w:w="1808" w:type="pct"/>
                  <w:noWrap w:val="0"/>
                  <w:vAlign w:val="center"/>
                </w:tcPr>
                <w:p w14:paraId="1363D4D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《土壤和沉积物 多环芳烃的测定 高效液相色谱法》（HJ</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784-2016）</w:t>
                  </w:r>
                </w:p>
              </w:tc>
              <w:tc>
                <w:tcPr>
                  <w:tcW w:w="600" w:type="pct"/>
                  <w:noWrap w:val="0"/>
                  <w:vAlign w:val="center"/>
                </w:tcPr>
                <w:p w14:paraId="1E6DDEAD">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0.003</w:t>
                  </w:r>
                </w:p>
              </w:tc>
              <w:tc>
                <w:tcPr>
                  <w:tcW w:w="987" w:type="pct"/>
                  <w:noWrap w:val="0"/>
                  <w:vAlign w:val="center"/>
                </w:tcPr>
                <w:p w14:paraId="19DC00A3">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液相色谱仪/1220/1260LC</w:t>
                  </w:r>
                </w:p>
              </w:tc>
              <w:tc>
                <w:tcPr>
                  <w:tcW w:w="730" w:type="pct"/>
                  <w:noWrap w:val="0"/>
                  <w:vAlign w:val="center"/>
                </w:tcPr>
                <w:p w14:paraId="38D7724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HZD-019-A</w:t>
                  </w:r>
                </w:p>
              </w:tc>
            </w:tr>
            <w:tr w14:paraId="585B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00" w:type="pct"/>
                  <w:noWrap w:val="0"/>
                  <w:vAlign w:val="center"/>
                </w:tcPr>
                <w:p w14:paraId="4D746B82">
                  <w:pPr>
                    <w:pStyle w:val="4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46</w:t>
                  </w:r>
                </w:p>
              </w:tc>
              <w:tc>
                <w:tcPr>
                  <w:tcW w:w="672" w:type="pct"/>
                  <w:noWrap w:val="0"/>
                  <w:vAlign w:val="center"/>
                </w:tcPr>
                <w:p w14:paraId="474B52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石油烃</w:t>
                  </w:r>
                </w:p>
                <w:p w14:paraId="1ABEC7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（C</w:t>
                  </w:r>
                  <w:r>
                    <w:rPr>
                      <w:rFonts w:hint="default" w:ascii="Times New Roman" w:hAnsi="Times New Roman" w:eastAsia="宋体" w:cs="Times New Roman"/>
                      <w:color w:val="auto"/>
                      <w:kern w:val="2"/>
                      <w:sz w:val="21"/>
                      <w:szCs w:val="21"/>
                      <w:highlight w:val="none"/>
                      <w:vertAlign w:val="subscript"/>
                      <w:lang w:val="en-US" w:eastAsia="zh-CN" w:bidi="ar-SA"/>
                    </w:rPr>
                    <w:t>10</w:t>
                  </w:r>
                  <w:r>
                    <w:rPr>
                      <w:rFonts w:hint="default" w:ascii="Times New Roman" w:hAnsi="Times New Roman" w:eastAsia="宋体" w:cs="Times New Roman"/>
                      <w:color w:val="auto"/>
                      <w:kern w:val="2"/>
                      <w:sz w:val="21"/>
                      <w:szCs w:val="21"/>
                      <w:highlight w:val="none"/>
                      <w:lang w:val="en-US" w:eastAsia="zh-CN" w:bidi="ar-SA"/>
                    </w:rPr>
                    <w:t>-C</w:t>
                  </w:r>
                  <w:r>
                    <w:rPr>
                      <w:rFonts w:hint="default" w:ascii="Times New Roman" w:hAnsi="Times New Roman" w:eastAsia="宋体" w:cs="Times New Roman"/>
                      <w:color w:val="auto"/>
                      <w:kern w:val="2"/>
                      <w:sz w:val="21"/>
                      <w:szCs w:val="21"/>
                      <w:highlight w:val="none"/>
                      <w:vertAlign w:val="subscript"/>
                      <w:lang w:val="en-US" w:eastAsia="zh-CN" w:bidi="ar-SA"/>
                    </w:rPr>
                    <w:t>40</w:t>
                  </w:r>
                  <w:r>
                    <w:rPr>
                      <w:rFonts w:hint="default" w:ascii="Times New Roman" w:hAnsi="Times New Roman" w:eastAsia="宋体" w:cs="Times New Roman"/>
                      <w:color w:val="auto"/>
                      <w:kern w:val="2"/>
                      <w:sz w:val="21"/>
                      <w:szCs w:val="21"/>
                      <w:highlight w:val="none"/>
                      <w:lang w:val="en-US" w:eastAsia="zh-CN" w:bidi="ar-SA"/>
                    </w:rPr>
                    <w:t>）</w:t>
                  </w:r>
                </w:p>
              </w:tc>
              <w:tc>
                <w:tcPr>
                  <w:tcW w:w="1808" w:type="pct"/>
                  <w:noWrap w:val="0"/>
                  <w:vAlign w:val="center"/>
                </w:tcPr>
                <w:p w14:paraId="29A1EA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《土壤和沉积物 石油烃（C</w:t>
                  </w:r>
                  <w:r>
                    <w:rPr>
                      <w:rFonts w:hint="default" w:ascii="Times New Roman" w:hAnsi="Times New Roman" w:eastAsia="宋体" w:cs="Times New Roman"/>
                      <w:color w:val="auto"/>
                      <w:kern w:val="2"/>
                      <w:sz w:val="21"/>
                      <w:szCs w:val="21"/>
                      <w:highlight w:val="none"/>
                      <w:vertAlign w:val="subscript"/>
                      <w:lang w:val="en-US" w:eastAsia="zh-CN" w:bidi="ar-SA"/>
                    </w:rPr>
                    <w:t>10</w:t>
                  </w:r>
                  <w:r>
                    <w:rPr>
                      <w:rFonts w:hint="default" w:ascii="Times New Roman" w:hAnsi="Times New Roman" w:eastAsia="宋体" w:cs="Times New Roman"/>
                      <w:color w:val="auto"/>
                      <w:kern w:val="2"/>
                      <w:sz w:val="21"/>
                      <w:szCs w:val="21"/>
                      <w:highlight w:val="none"/>
                      <w:lang w:val="en-US" w:eastAsia="zh-CN" w:bidi="ar-SA"/>
                    </w:rPr>
                    <w:t>-C</w:t>
                  </w:r>
                  <w:r>
                    <w:rPr>
                      <w:rFonts w:hint="default" w:ascii="Times New Roman" w:hAnsi="Times New Roman" w:eastAsia="宋体" w:cs="Times New Roman"/>
                      <w:color w:val="auto"/>
                      <w:kern w:val="2"/>
                      <w:sz w:val="21"/>
                      <w:szCs w:val="21"/>
                      <w:highlight w:val="none"/>
                      <w:vertAlign w:val="subscript"/>
                      <w:lang w:val="en-US" w:eastAsia="zh-CN" w:bidi="ar-SA"/>
                    </w:rPr>
                    <w:t>40</w:t>
                  </w:r>
                  <w:r>
                    <w:rPr>
                      <w:rFonts w:hint="default" w:ascii="Times New Roman" w:hAnsi="Times New Roman" w:eastAsia="宋体" w:cs="Times New Roman"/>
                      <w:color w:val="auto"/>
                      <w:kern w:val="2"/>
                      <w:sz w:val="21"/>
                      <w:szCs w:val="21"/>
                      <w:highlight w:val="none"/>
                      <w:lang w:val="en-US" w:eastAsia="zh-CN" w:bidi="ar-SA"/>
                    </w:rPr>
                    <w:t>）的测定 气相色谱法》（HJ 1021-2019）</w:t>
                  </w:r>
                </w:p>
              </w:tc>
              <w:tc>
                <w:tcPr>
                  <w:tcW w:w="600" w:type="pct"/>
                  <w:noWrap w:val="0"/>
                  <w:vAlign w:val="center"/>
                </w:tcPr>
                <w:p w14:paraId="244743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987" w:type="pct"/>
                  <w:noWrap w:val="0"/>
                  <w:vAlign w:val="center"/>
                </w:tcPr>
                <w:p w14:paraId="5A144D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气相色谱仪/Trace GC 1300</w:t>
                  </w:r>
                </w:p>
              </w:tc>
              <w:tc>
                <w:tcPr>
                  <w:tcW w:w="730" w:type="pct"/>
                  <w:noWrap w:val="0"/>
                  <w:vAlign w:val="center"/>
                </w:tcPr>
                <w:p w14:paraId="265666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HZD-002-B</w:t>
                  </w:r>
                </w:p>
              </w:tc>
            </w:tr>
          </w:tbl>
          <w:p w14:paraId="40406356">
            <w:pPr>
              <w:tabs>
                <w:tab w:val="left" w:pos="0"/>
              </w:tabs>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（2）</w:t>
            </w:r>
            <w:r>
              <w:rPr>
                <w:rFonts w:hint="default" w:ascii="Times New Roman" w:hAnsi="Times New Roman" w:cs="Times New Roman"/>
                <w:snapToGrid w:val="0"/>
                <w:color w:val="auto"/>
                <w:kern w:val="0"/>
                <w:sz w:val="24"/>
                <w:highlight w:val="none"/>
                <w:lang w:eastAsia="zh-CN"/>
              </w:rPr>
              <w:t>检测</w:t>
            </w:r>
            <w:r>
              <w:rPr>
                <w:rFonts w:hint="default" w:ascii="Times New Roman" w:hAnsi="Times New Roman" w:cs="Times New Roman"/>
                <w:snapToGrid w:val="0"/>
                <w:color w:val="auto"/>
                <w:kern w:val="0"/>
                <w:sz w:val="24"/>
                <w:highlight w:val="none"/>
              </w:rPr>
              <w:t>时间和</w:t>
            </w:r>
            <w:r>
              <w:rPr>
                <w:rFonts w:hint="default" w:ascii="Times New Roman" w:hAnsi="Times New Roman" w:cs="Times New Roman"/>
                <w:snapToGrid w:val="0"/>
                <w:color w:val="auto"/>
                <w:kern w:val="0"/>
                <w:sz w:val="24"/>
                <w:highlight w:val="none"/>
                <w:lang w:eastAsia="zh-CN"/>
              </w:rPr>
              <w:t>检测</w:t>
            </w:r>
            <w:r>
              <w:rPr>
                <w:rFonts w:hint="default" w:ascii="Times New Roman" w:hAnsi="Times New Roman" w:cs="Times New Roman"/>
                <w:snapToGrid w:val="0"/>
                <w:color w:val="auto"/>
                <w:kern w:val="0"/>
                <w:sz w:val="24"/>
                <w:highlight w:val="none"/>
              </w:rPr>
              <w:t>项目</w:t>
            </w:r>
          </w:p>
          <w:p w14:paraId="7097A17B">
            <w:pPr>
              <w:pBdr>
                <w:bottom w:val="single" w:color="auto" w:sz="4" w:space="1"/>
              </w:pBdr>
              <w:tabs>
                <w:tab w:val="left" w:pos="0"/>
              </w:tabs>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土壤环境现状</w:t>
            </w:r>
            <w:r>
              <w:rPr>
                <w:rFonts w:hint="default" w:ascii="Times New Roman" w:hAnsi="Times New Roman" w:cs="Times New Roman"/>
                <w:snapToGrid w:val="0"/>
                <w:color w:val="auto"/>
                <w:kern w:val="0"/>
                <w:sz w:val="24"/>
                <w:highlight w:val="none"/>
                <w:lang w:eastAsia="zh-CN"/>
              </w:rPr>
              <w:t>检测</w:t>
            </w:r>
            <w:r>
              <w:rPr>
                <w:rFonts w:hint="default" w:ascii="Times New Roman" w:hAnsi="Times New Roman" w:cs="Times New Roman"/>
                <w:snapToGrid w:val="0"/>
                <w:color w:val="auto"/>
                <w:kern w:val="0"/>
                <w:sz w:val="24"/>
                <w:highlight w:val="none"/>
              </w:rPr>
              <w:t>时间为</w:t>
            </w:r>
            <w:r>
              <w:rPr>
                <w:rFonts w:hint="default" w:ascii="Times New Roman" w:hAnsi="Times New Roman" w:cs="Times New Roman"/>
                <w:snapToGrid w:val="0"/>
                <w:color w:val="auto"/>
                <w:kern w:val="0"/>
                <w:sz w:val="24"/>
                <w:highlight w:val="none"/>
                <w:lang w:val="en-US" w:eastAsia="zh-CN"/>
              </w:rPr>
              <w:t>202</w:t>
            </w:r>
            <w:r>
              <w:rPr>
                <w:rFonts w:hint="eastAsia" w:cs="Times New Roman"/>
                <w:snapToGrid w:val="0"/>
                <w:color w:val="auto"/>
                <w:kern w:val="0"/>
                <w:sz w:val="24"/>
                <w:highlight w:val="none"/>
                <w:lang w:val="en-US" w:eastAsia="zh-CN"/>
              </w:rPr>
              <w:t>5</w:t>
            </w:r>
            <w:r>
              <w:rPr>
                <w:rFonts w:hint="default" w:ascii="Times New Roman" w:hAnsi="Times New Roman" w:cs="Times New Roman"/>
                <w:snapToGrid w:val="0"/>
                <w:color w:val="auto"/>
                <w:kern w:val="0"/>
                <w:sz w:val="24"/>
                <w:highlight w:val="none"/>
                <w:lang w:val="en-US" w:eastAsia="zh-CN"/>
              </w:rPr>
              <w:t>年</w:t>
            </w:r>
            <w:r>
              <w:rPr>
                <w:rFonts w:hint="eastAsia" w:cs="Times New Roman"/>
                <w:snapToGrid w:val="0"/>
                <w:color w:val="auto"/>
                <w:kern w:val="0"/>
                <w:sz w:val="24"/>
                <w:highlight w:val="none"/>
                <w:lang w:val="en-US" w:eastAsia="zh-CN"/>
              </w:rPr>
              <w:t>11</w:t>
            </w:r>
            <w:r>
              <w:rPr>
                <w:rFonts w:hint="default" w:ascii="Times New Roman" w:hAnsi="Times New Roman" w:cs="Times New Roman"/>
                <w:snapToGrid w:val="0"/>
                <w:color w:val="auto"/>
                <w:kern w:val="0"/>
                <w:sz w:val="24"/>
                <w:highlight w:val="none"/>
                <w:lang w:val="en-US" w:eastAsia="zh-CN"/>
              </w:rPr>
              <w:t>月</w:t>
            </w:r>
            <w:r>
              <w:rPr>
                <w:rFonts w:hint="eastAsia" w:cs="Times New Roman"/>
                <w:snapToGrid w:val="0"/>
                <w:color w:val="auto"/>
                <w:kern w:val="0"/>
                <w:sz w:val="24"/>
                <w:highlight w:val="none"/>
                <w:lang w:val="en-US" w:eastAsia="zh-CN"/>
              </w:rPr>
              <w:t>16</w:t>
            </w:r>
            <w:r>
              <w:rPr>
                <w:rFonts w:hint="default" w:ascii="Times New Roman" w:hAnsi="Times New Roman" w:cs="Times New Roman"/>
                <w:snapToGrid w:val="0"/>
                <w:color w:val="auto"/>
                <w:kern w:val="0"/>
                <w:sz w:val="24"/>
                <w:highlight w:val="none"/>
                <w:lang w:val="en-US" w:eastAsia="zh-CN"/>
              </w:rPr>
              <w:t>日</w:t>
            </w:r>
            <w:r>
              <w:rPr>
                <w:rFonts w:hint="default" w:ascii="Times New Roman" w:hAnsi="Times New Roman" w:cs="Times New Roman"/>
                <w:snapToGrid w:val="0"/>
                <w:color w:val="auto"/>
                <w:kern w:val="0"/>
                <w:sz w:val="24"/>
                <w:highlight w:val="none"/>
              </w:rPr>
              <w:t>。</w:t>
            </w:r>
          </w:p>
          <w:p w14:paraId="4CC16D1D">
            <w:pPr>
              <w:pBdr>
                <w:bottom w:val="single" w:color="auto" w:sz="4" w:space="1"/>
              </w:pBdr>
              <w:tabs>
                <w:tab w:val="left" w:pos="0"/>
              </w:tabs>
              <w:spacing w:line="360" w:lineRule="auto"/>
              <w:ind w:firstLine="480" w:firstLineChars="200"/>
              <w:rPr>
                <w:rFonts w:hint="default" w:ascii="Times New Roman" w:hAnsi="Times New Roman" w:cs="Times New Roman"/>
                <w:snapToGrid w:val="0"/>
                <w:color w:val="auto"/>
                <w:kern w:val="0"/>
                <w:sz w:val="24"/>
                <w:highlight w:val="none"/>
              </w:rPr>
            </w:pPr>
            <w:r>
              <w:rPr>
                <w:rFonts w:hint="default" w:ascii="Times New Roman" w:hAnsi="Times New Roman" w:cs="Times New Roman"/>
                <w:snapToGrid w:val="0"/>
                <w:color w:val="auto"/>
                <w:kern w:val="0"/>
                <w:sz w:val="24"/>
                <w:highlight w:val="none"/>
              </w:rPr>
              <w:t>（3）</w:t>
            </w:r>
            <w:r>
              <w:rPr>
                <w:rFonts w:hint="default" w:ascii="Times New Roman" w:hAnsi="Times New Roman" w:cs="Times New Roman"/>
                <w:snapToGrid w:val="0"/>
                <w:color w:val="auto"/>
                <w:kern w:val="0"/>
                <w:sz w:val="24"/>
                <w:highlight w:val="none"/>
                <w:lang w:eastAsia="zh-CN"/>
              </w:rPr>
              <w:t>检测</w:t>
            </w:r>
            <w:r>
              <w:rPr>
                <w:rFonts w:hint="default" w:ascii="Times New Roman" w:hAnsi="Times New Roman" w:cs="Times New Roman"/>
                <w:snapToGrid w:val="0"/>
                <w:color w:val="auto"/>
                <w:kern w:val="0"/>
                <w:sz w:val="24"/>
                <w:highlight w:val="none"/>
              </w:rPr>
              <w:t>结果</w:t>
            </w:r>
          </w:p>
          <w:p w14:paraId="76DF1FC4">
            <w:pPr>
              <w:pBdr>
                <w:bottom w:val="single" w:color="auto" w:sz="4" w:space="1"/>
              </w:pBdr>
              <w:tabs>
                <w:tab w:val="left" w:pos="0"/>
              </w:tabs>
              <w:ind w:firstLine="480" w:firstLineChars="200"/>
              <w:jc w:val="both"/>
              <w:rPr>
                <w:rFonts w:hint="default" w:ascii="Times New Roman" w:hAnsi="Times New Roman" w:cs="Times New Roman"/>
                <w:b/>
                <w:bCs/>
                <w:color w:val="auto"/>
                <w:sz w:val="21"/>
                <w:szCs w:val="21"/>
                <w:highlight w:val="none"/>
              </w:rPr>
            </w:pPr>
            <w:r>
              <w:rPr>
                <w:rFonts w:hint="default" w:ascii="Times New Roman" w:hAnsi="Times New Roman" w:eastAsia="宋体" w:cs="Times New Roman"/>
                <w:color w:val="auto"/>
                <w:kern w:val="2"/>
                <w:sz w:val="24"/>
                <w:szCs w:val="24"/>
                <w:highlight w:val="none"/>
                <w:lang w:val="en-US" w:eastAsia="zh-CN" w:bidi="zh-CN"/>
              </w:rPr>
              <w:t>土壤检测项目检测结果见表3-</w:t>
            </w:r>
            <w:r>
              <w:rPr>
                <w:rFonts w:hint="eastAsia" w:ascii="Times New Roman" w:hAnsi="Times New Roman" w:eastAsia="宋体" w:cs="Times New Roman"/>
                <w:color w:val="auto"/>
                <w:kern w:val="2"/>
                <w:sz w:val="24"/>
                <w:szCs w:val="24"/>
                <w:highlight w:val="none"/>
                <w:lang w:val="en-US" w:eastAsia="zh-CN" w:bidi="zh-CN"/>
              </w:rPr>
              <w:t>10。</w:t>
            </w:r>
          </w:p>
          <w:p w14:paraId="51B32C9A">
            <w:pPr>
              <w:pBdr>
                <w:bottom w:val="single" w:color="auto" w:sz="4" w:space="1"/>
              </w:pBdr>
              <w:tabs>
                <w:tab w:val="left" w:pos="0"/>
              </w:tabs>
              <w:jc w:val="center"/>
              <w:rPr>
                <w:rFonts w:hint="default" w:ascii="Times New Roman" w:hAnsi="Times New Roman" w:eastAsia="宋体" w:cs="Times New Roman"/>
                <w:b/>
                <w:snapToGrid w:val="0"/>
                <w:color w:val="auto"/>
                <w:kern w:val="0"/>
                <w:sz w:val="21"/>
                <w:szCs w:val="21"/>
                <w:highlight w:val="none"/>
                <w:lang w:eastAsia="zh-CN"/>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10</w:t>
            </w:r>
            <w:r>
              <w:rPr>
                <w:rFonts w:hint="default"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rPr>
              <w:t>土壤环境质量</w:t>
            </w:r>
            <w:r>
              <w:rPr>
                <w:rFonts w:hint="default" w:ascii="Times New Roman" w:hAnsi="Times New Roman" w:cs="Times New Roman"/>
                <w:b/>
                <w:bCs/>
                <w:color w:val="auto"/>
                <w:sz w:val="21"/>
                <w:szCs w:val="21"/>
                <w:highlight w:val="none"/>
                <w:lang w:eastAsia="zh-CN"/>
              </w:rPr>
              <w:t>检测</w:t>
            </w:r>
            <w:r>
              <w:rPr>
                <w:rFonts w:hint="default" w:ascii="Times New Roman" w:hAnsi="Times New Roman" w:cs="Times New Roman"/>
                <w:b/>
                <w:bCs/>
                <w:color w:val="auto"/>
                <w:sz w:val="21"/>
                <w:szCs w:val="21"/>
                <w:highlight w:val="none"/>
              </w:rPr>
              <w:t>结果表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594"/>
              <w:gridCol w:w="1162"/>
              <w:gridCol w:w="779"/>
              <w:gridCol w:w="1726"/>
              <w:gridCol w:w="1946"/>
              <w:gridCol w:w="1061"/>
            </w:tblGrid>
            <w:tr w14:paraId="6B10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84" w:type="pct"/>
                  <w:gridSpan w:val="2"/>
                  <w:tcBorders>
                    <w:bottom w:val="single" w:color="auto" w:sz="4" w:space="0"/>
                  </w:tcBorders>
                  <w:noWrap w:val="0"/>
                  <w:vAlign w:val="center"/>
                </w:tcPr>
                <w:p w14:paraId="38CA7DB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检测类别</w:t>
                  </w:r>
                </w:p>
              </w:tc>
              <w:tc>
                <w:tcPr>
                  <w:tcW w:w="1225" w:type="pct"/>
                  <w:gridSpan w:val="2"/>
                  <w:tcBorders>
                    <w:bottom w:val="single" w:color="auto" w:sz="4" w:space="0"/>
                  </w:tcBorders>
                  <w:noWrap w:val="0"/>
                  <w:vAlign w:val="center"/>
                </w:tcPr>
                <w:p w14:paraId="72265A5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土壤</w:t>
                  </w:r>
                </w:p>
              </w:tc>
              <w:tc>
                <w:tcPr>
                  <w:tcW w:w="1090" w:type="pct"/>
                  <w:tcBorders>
                    <w:bottom w:val="single" w:color="auto" w:sz="4" w:space="0"/>
                  </w:tcBorders>
                  <w:noWrap w:val="0"/>
                  <w:vAlign w:val="center"/>
                </w:tcPr>
                <w:p w14:paraId="0F880CEB">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检测性质</w:t>
                  </w:r>
                </w:p>
              </w:tc>
              <w:tc>
                <w:tcPr>
                  <w:tcW w:w="1899" w:type="pct"/>
                  <w:gridSpan w:val="2"/>
                  <w:tcBorders>
                    <w:bottom w:val="single" w:color="auto" w:sz="4" w:space="0"/>
                  </w:tcBorders>
                  <w:noWrap w:val="0"/>
                  <w:vAlign w:val="center"/>
                </w:tcPr>
                <w:p w14:paraId="4351ABE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现状检测</w:t>
                  </w:r>
                </w:p>
              </w:tc>
            </w:tr>
            <w:tr w14:paraId="7D8C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84" w:type="pct"/>
                  <w:gridSpan w:val="2"/>
                  <w:tcBorders>
                    <w:top w:val="single" w:color="auto" w:sz="4" w:space="0"/>
                    <w:bottom w:val="single" w:color="auto" w:sz="4" w:space="0"/>
                  </w:tcBorders>
                  <w:noWrap w:val="0"/>
                  <w:vAlign w:val="center"/>
                </w:tcPr>
                <w:p w14:paraId="0FBCA6A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采样日期</w:t>
                  </w:r>
                </w:p>
              </w:tc>
              <w:tc>
                <w:tcPr>
                  <w:tcW w:w="1225" w:type="pct"/>
                  <w:gridSpan w:val="2"/>
                  <w:tcBorders>
                    <w:top w:val="single" w:color="auto" w:sz="4" w:space="0"/>
                    <w:bottom w:val="single" w:color="auto" w:sz="4" w:space="0"/>
                  </w:tcBorders>
                  <w:noWrap w:val="0"/>
                  <w:vAlign w:val="center"/>
                </w:tcPr>
                <w:p w14:paraId="5D9D473C">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2025年11月16日</w:t>
                  </w:r>
                </w:p>
              </w:tc>
              <w:tc>
                <w:tcPr>
                  <w:tcW w:w="1090" w:type="pct"/>
                  <w:tcBorders>
                    <w:top w:val="single" w:color="auto" w:sz="4" w:space="0"/>
                    <w:bottom w:val="single" w:color="auto" w:sz="4" w:space="0"/>
                  </w:tcBorders>
                  <w:noWrap w:val="0"/>
                  <w:vAlign w:val="center"/>
                </w:tcPr>
                <w:p w14:paraId="51BB6D6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检测日期</w:t>
                  </w:r>
                </w:p>
              </w:tc>
              <w:tc>
                <w:tcPr>
                  <w:tcW w:w="1899" w:type="pct"/>
                  <w:gridSpan w:val="2"/>
                  <w:tcBorders>
                    <w:top w:val="single" w:color="auto" w:sz="4" w:space="0"/>
                    <w:bottom w:val="single" w:color="auto" w:sz="4" w:space="0"/>
                  </w:tcBorders>
                  <w:noWrap w:val="0"/>
                  <w:vAlign w:val="center"/>
                </w:tcPr>
                <w:p w14:paraId="5E27B5D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2025年11月18日</w:t>
                  </w:r>
                  <w:r>
                    <w:rPr>
                      <w:rFonts w:hint="eastAsia" w:ascii="Times New Roman" w:hAnsi="Times New Roman" w:eastAsia="宋体" w:cs="Times New Roman"/>
                      <w:color w:val="auto"/>
                      <w:kern w:val="2"/>
                      <w:sz w:val="21"/>
                      <w:szCs w:val="22"/>
                      <w:highlight w:val="none"/>
                      <w:lang w:val="en-US" w:eastAsia="zh-CN" w:bidi="ar-SA"/>
                    </w:rPr>
                    <w:t>~</w:t>
                  </w:r>
                  <w:r>
                    <w:rPr>
                      <w:rFonts w:hint="eastAsia" w:ascii="Times New Roman" w:hAnsi="Times New Roman" w:eastAsia="宋体" w:cs="Times New Roman"/>
                      <w:color w:val="auto"/>
                      <w:sz w:val="21"/>
                      <w:szCs w:val="21"/>
                      <w:highlight w:val="none"/>
                      <w:lang w:val="en-US" w:eastAsia="zh-CN"/>
                    </w:rPr>
                    <w:t>2025年11月24日</w:t>
                  </w:r>
                </w:p>
              </w:tc>
            </w:tr>
            <w:tr w14:paraId="6A33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010" w:type="pct"/>
                  <w:gridSpan w:val="4"/>
                  <w:tcBorders>
                    <w:top w:val="single" w:color="auto" w:sz="4" w:space="0"/>
                    <w:bottom w:val="single" w:color="auto" w:sz="4" w:space="0"/>
                  </w:tcBorders>
                  <w:noWrap w:val="0"/>
                  <w:vAlign w:val="center"/>
                </w:tcPr>
                <w:p w14:paraId="64B19FA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序号及检测因子</w:t>
                  </w:r>
                </w:p>
              </w:tc>
              <w:tc>
                <w:tcPr>
                  <w:tcW w:w="2989" w:type="pct"/>
                  <w:gridSpan w:val="3"/>
                  <w:tcBorders>
                    <w:top w:val="single" w:color="auto" w:sz="4" w:space="0"/>
                    <w:bottom w:val="single" w:color="auto" w:sz="4" w:space="0"/>
                  </w:tcBorders>
                  <w:noWrap w:val="0"/>
                  <w:vAlign w:val="center"/>
                </w:tcPr>
                <w:p w14:paraId="4EE8E268">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采样点位及检测结果</w:t>
                  </w:r>
                </w:p>
              </w:tc>
            </w:tr>
            <w:tr w14:paraId="0DEB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blHeader/>
                <w:jc w:val="center"/>
              </w:trPr>
              <w:tc>
                <w:tcPr>
                  <w:tcW w:w="409" w:type="pct"/>
                  <w:tcBorders>
                    <w:top w:val="single" w:color="auto" w:sz="4" w:space="0"/>
                  </w:tcBorders>
                  <w:noWrap w:val="0"/>
                  <w:vAlign w:val="center"/>
                </w:tcPr>
                <w:p w14:paraId="6DB386FF">
                  <w:pPr>
                    <w:widowControl w:val="0"/>
                    <w:spacing w:line="240" w:lineRule="auto"/>
                    <w:ind w:firstLine="0" w:firstLineChars="0"/>
                    <w:jc w:val="center"/>
                    <w:rPr>
                      <w:rFonts w:ascii="Times New Roman" w:hAnsi="Times New Roman" w:eastAsia="宋体" w:cs="Times New Roman"/>
                      <w:b w:val="0"/>
                      <w:bCs w:val="0"/>
                      <w:color w:val="auto"/>
                      <w:kern w:val="2"/>
                      <w:sz w:val="21"/>
                      <w:highlight w:val="none"/>
                      <w:lang w:val="en-US" w:eastAsia="zh-CN" w:bidi="ar-SA"/>
                    </w:rPr>
                  </w:pPr>
                  <w:r>
                    <w:rPr>
                      <w:rFonts w:hint="eastAsia" w:ascii="Times New Roman" w:hAnsi="Times New Roman" w:eastAsia="宋体" w:cs="Times New Roman"/>
                      <w:b w:val="0"/>
                      <w:bCs w:val="0"/>
                      <w:color w:val="auto"/>
                      <w:kern w:val="2"/>
                      <w:sz w:val="21"/>
                      <w:highlight w:val="none"/>
                      <w:lang w:val="en-US" w:eastAsia="zh-CN" w:bidi="ar-SA"/>
                    </w:rPr>
                    <w:t>序号</w:t>
                  </w:r>
                </w:p>
              </w:tc>
              <w:tc>
                <w:tcPr>
                  <w:tcW w:w="1109" w:type="pct"/>
                  <w:gridSpan w:val="2"/>
                  <w:tcBorders>
                    <w:top w:val="single" w:color="auto" w:sz="4" w:space="0"/>
                  </w:tcBorders>
                  <w:noWrap w:val="0"/>
                  <w:vAlign w:val="center"/>
                </w:tcPr>
                <w:p w14:paraId="28388137">
                  <w:pPr>
                    <w:widowControl w:val="0"/>
                    <w:spacing w:line="240" w:lineRule="auto"/>
                    <w:ind w:firstLine="0" w:firstLineChars="0"/>
                    <w:jc w:val="center"/>
                    <w:rPr>
                      <w:rFonts w:ascii="Times New Roman" w:hAnsi="Times New Roman" w:eastAsia="宋体" w:cs="Times New Roman"/>
                      <w:b w:val="0"/>
                      <w:bCs w:val="0"/>
                      <w:color w:val="auto"/>
                      <w:kern w:val="2"/>
                      <w:sz w:val="21"/>
                      <w:highlight w:val="none"/>
                      <w:lang w:val="en-US" w:eastAsia="zh-CN" w:bidi="ar-SA"/>
                    </w:rPr>
                  </w:pPr>
                  <w:r>
                    <w:rPr>
                      <w:rFonts w:hint="eastAsia" w:ascii="Times New Roman" w:hAnsi="Times New Roman" w:eastAsia="宋体" w:cs="Times New Roman"/>
                      <w:b w:val="0"/>
                      <w:bCs w:val="0"/>
                      <w:color w:val="auto"/>
                      <w:kern w:val="2"/>
                      <w:sz w:val="21"/>
                      <w:highlight w:val="none"/>
                      <w:lang w:val="en-US" w:eastAsia="zh-CN" w:bidi="ar-SA"/>
                    </w:rPr>
                    <w:t>检测因子</w:t>
                  </w:r>
                </w:p>
              </w:tc>
              <w:tc>
                <w:tcPr>
                  <w:tcW w:w="490" w:type="pct"/>
                  <w:tcBorders>
                    <w:top w:val="single" w:color="auto" w:sz="4" w:space="0"/>
                  </w:tcBorders>
                  <w:noWrap w:val="0"/>
                  <w:vAlign w:val="center"/>
                </w:tcPr>
                <w:p w14:paraId="3E8EBE06">
                  <w:pPr>
                    <w:widowControl w:val="0"/>
                    <w:spacing w:line="240" w:lineRule="auto"/>
                    <w:ind w:firstLine="0" w:firstLineChars="0"/>
                    <w:jc w:val="center"/>
                    <w:rPr>
                      <w:rFonts w:ascii="Times New Roman" w:hAnsi="Times New Roman" w:eastAsia="宋体" w:cs="Times New Roman"/>
                      <w:b w:val="0"/>
                      <w:bCs w:val="0"/>
                      <w:color w:val="auto"/>
                      <w:kern w:val="2"/>
                      <w:sz w:val="21"/>
                      <w:highlight w:val="none"/>
                      <w:lang w:val="en-US" w:eastAsia="zh-CN" w:bidi="ar-SA"/>
                    </w:rPr>
                  </w:pPr>
                  <w:r>
                    <w:rPr>
                      <w:rFonts w:hint="eastAsia" w:ascii="Times New Roman" w:hAnsi="Times New Roman" w:eastAsia="宋体" w:cs="Times New Roman"/>
                      <w:b w:val="0"/>
                      <w:bCs w:val="0"/>
                      <w:color w:val="auto"/>
                      <w:kern w:val="2"/>
                      <w:sz w:val="21"/>
                      <w:highlight w:val="none"/>
                      <w:lang w:val="en-US" w:eastAsia="zh-CN" w:bidi="ar-SA"/>
                    </w:rPr>
                    <w:t>单位</w:t>
                  </w:r>
                </w:p>
              </w:tc>
              <w:tc>
                <w:tcPr>
                  <w:tcW w:w="2319" w:type="pct"/>
                  <w:gridSpan w:val="2"/>
                  <w:tcBorders>
                    <w:top w:val="single" w:color="auto" w:sz="4" w:space="0"/>
                  </w:tcBorders>
                  <w:noWrap w:val="0"/>
                  <w:vAlign w:val="center"/>
                </w:tcPr>
                <w:p w14:paraId="11468E70">
                  <w:pPr>
                    <w:widowControl w:val="0"/>
                    <w:adjustRightInd w:val="0"/>
                    <w:snapToGrid w:val="0"/>
                    <w:spacing w:line="240" w:lineRule="auto"/>
                    <w:ind w:firstLine="0" w:firstLineChars="0"/>
                    <w:jc w:val="center"/>
                    <w:rPr>
                      <w:rFonts w:hint="eastAsia" w:ascii="Times New Roman" w:hAnsi="Times New Roman" w:eastAsia="宋体" w:cs="Times New Roman"/>
                      <w:color w:val="auto"/>
                      <w:w w:val="100"/>
                      <w:kern w:val="2"/>
                      <w:sz w:val="21"/>
                      <w:szCs w:val="21"/>
                      <w:highlight w:val="none"/>
                      <w:lang w:val="en-US" w:eastAsia="zh-CN" w:bidi="ar-SA"/>
                    </w:rPr>
                  </w:pPr>
                  <w:r>
                    <w:rPr>
                      <w:rFonts w:hint="eastAsia" w:ascii="Times New Roman" w:hAnsi="Times New Roman" w:eastAsia="宋体" w:cs="Times New Roman"/>
                      <w:color w:val="auto"/>
                      <w:w w:val="100"/>
                      <w:kern w:val="2"/>
                      <w:sz w:val="21"/>
                      <w:szCs w:val="21"/>
                      <w:highlight w:val="none"/>
                      <w:lang w:val="en-US" w:eastAsia="zh-CN" w:bidi="ar-SA"/>
                    </w:rPr>
                    <w:t>项目占地东侧□1</w:t>
                  </w:r>
                </w:p>
                <w:p w14:paraId="4EA93103">
                  <w:pPr>
                    <w:widowControl w:val="0"/>
                    <w:adjustRightInd w:val="0"/>
                    <w:snapToGrid w:val="0"/>
                    <w:spacing w:line="240" w:lineRule="auto"/>
                    <w:ind w:firstLine="0" w:firstLineChars="0"/>
                    <w:jc w:val="center"/>
                    <w:rPr>
                      <w:rFonts w:hint="default" w:ascii="Times New Roman" w:hAnsi="Times New Roman" w:eastAsia="宋体" w:cs="Times New Roman"/>
                      <w:color w:val="auto"/>
                      <w:w w:val="100"/>
                      <w:kern w:val="2"/>
                      <w:sz w:val="21"/>
                      <w:szCs w:val="21"/>
                      <w:highlight w:val="none"/>
                      <w:lang w:val="en-US" w:eastAsia="zh-CN" w:bidi="ar-SA"/>
                    </w:rPr>
                  </w:pPr>
                  <w:r>
                    <w:rPr>
                      <w:rFonts w:hint="default" w:ascii="Times New Roman" w:hAnsi="Times New Roman" w:eastAsia="宋体" w:cs="Times New Roman"/>
                      <w:color w:val="auto"/>
                      <w:w w:val="100"/>
                      <w:kern w:val="2"/>
                      <w:sz w:val="21"/>
                      <w:szCs w:val="21"/>
                      <w:highlight w:val="none"/>
                      <w:lang w:val="en-US" w:eastAsia="zh-CN" w:bidi="ar-SA"/>
                    </w:rPr>
                    <w:t>E110°16′34.79″,N39°35′17.36″</w:t>
                  </w:r>
                </w:p>
              </w:tc>
              <w:tc>
                <w:tcPr>
                  <w:tcW w:w="670" w:type="pct"/>
                  <w:tcBorders>
                    <w:top w:val="single" w:color="auto" w:sz="4" w:space="0"/>
                  </w:tcBorders>
                  <w:noWrap w:val="0"/>
                  <w:vAlign w:val="center"/>
                </w:tcPr>
                <w:p w14:paraId="2719F488">
                  <w:pPr>
                    <w:widowControl w:val="0"/>
                    <w:spacing w:line="240" w:lineRule="auto"/>
                    <w:ind w:firstLine="0" w:firstLineChars="0"/>
                    <w:jc w:val="center"/>
                    <w:rPr>
                      <w:rFonts w:hint="default" w:ascii="Times New Roman" w:hAnsi="Times New Roman" w:eastAsia="宋体" w:cs="Times New Roman"/>
                      <w:b w:val="0"/>
                      <w:bCs w:val="0"/>
                      <w:color w:val="auto"/>
                      <w:kern w:val="2"/>
                      <w:sz w:val="21"/>
                      <w:highlight w:val="none"/>
                      <w:lang w:val="en-US" w:eastAsia="zh-CN" w:bidi="ar-SA"/>
                    </w:rPr>
                  </w:pPr>
                  <w:r>
                    <w:rPr>
                      <w:rFonts w:hint="eastAsia" w:ascii="Times New Roman" w:hAnsi="Times New Roman" w:eastAsia="宋体" w:cs="Times New Roman"/>
                      <w:b w:val="0"/>
                      <w:bCs w:val="0"/>
                      <w:color w:val="auto"/>
                      <w:kern w:val="2"/>
                      <w:sz w:val="21"/>
                      <w:highlight w:val="none"/>
                      <w:lang w:val="en-US" w:eastAsia="zh-CN" w:bidi="ar-SA"/>
                    </w:rPr>
                    <w:t>标准限值</w:t>
                  </w:r>
                </w:p>
              </w:tc>
            </w:tr>
            <w:tr w14:paraId="7C28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010" w:type="pct"/>
                  <w:gridSpan w:val="4"/>
                  <w:tcBorders>
                    <w:top w:val="single" w:color="auto" w:sz="4" w:space="0"/>
                    <w:bottom w:val="single" w:color="auto" w:sz="4" w:space="0"/>
                  </w:tcBorders>
                  <w:noWrap w:val="0"/>
                  <w:vAlign w:val="center"/>
                </w:tcPr>
                <w:p w14:paraId="2DE204CF">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样品编号</w:t>
                  </w:r>
                </w:p>
              </w:tc>
              <w:tc>
                <w:tcPr>
                  <w:tcW w:w="2319" w:type="pct"/>
                  <w:gridSpan w:val="2"/>
                  <w:tcBorders>
                    <w:top w:val="single" w:color="auto" w:sz="4" w:space="0"/>
                    <w:bottom w:val="single" w:color="auto" w:sz="4" w:space="0"/>
                  </w:tcBorders>
                  <w:noWrap w:val="0"/>
                  <w:vAlign w:val="center"/>
                </w:tcPr>
                <w:p w14:paraId="5503AF18">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25HCFF-1-T-1-1-1</w:t>
                  </w:r>
                </w:p>
              </w:tc>
              <w:tc>
                <w:tcPr>
                  <w:tcW w:w="670" w:type="pct"/>
                  <w:tcBorders>
                    <w:top w:val="single" w:color="auto" w:sz="4" w:space="0"/>
                    <w:bottom w:val="single" w:color="auto" w:sz="4" w:space="0"/>
                  </w:tcBorders>
                  <w:noWrap w:val="0"/>
                  <w:vAlign w:val="center"/>
                </w:tcPr>
                <w:p w14:paraId="2EA69840">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w:t>
                  </w:r>
                </w:p>
              </w:tc>
            </w:tr>
            <w:tr w14:paraId="7A3B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6CE5F5B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w:t>
                  </w:r>
                </w:p>
              </w:tc>
              <w:tc>
                <w:tcPr>
                  <w:tcW w:w="1109" w:type="pct"/>
                  <w:gridSpan w:val="2"/>
                  <w:tcBorders>
                    <w:top w:val="single" w:color="auto" w:sz="4" w:space="0"/>
                    <w:bottom w:val="single" w:color="auto" w:sz="4" w:space="0"/>
                  </w:tcBorders>
                  <w:noWrap w:val="0"/>
                  <w:vAlign w:val="center"/>
                </w:tcPr>
                <w:p w14:paraId="6081BD8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砷</w:t>
                  </w:r>
                </w:p>
              </w:tc>
              <w:tc>
                <w:tcPr>
                  <w:tcW w:w="490" w:type="pct"/>
                  <w:tcBorders>
                    <w:top w:val="single" w:color="auto" w:sz="4" w:space="0"/>
                    <w:bottom w:val="single" w:color="auto" w:sz="4" w:space="0"/>
                  </w:tcBorders>
                  <w:noWrap w:val="0"/>
                  <w:vAlign w:val="center"/>
                </w:tcPr>
                <w:p w14:paraId="146BF15C">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253C5AA">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9.02</w:t>
                  </w:r>
                </w:p>
              </w:tc>
              <w:tc>
                <w:tcPr>
                  <w:tcW w:w="670" w:type="pct"/>
                  <w:tcBorders>
                    <w:top w:val="single" w:color="auto" w:sz="4" w:space="0"/>
                    <w:bottom w:val="single" w:color="auto" w:sz="4" w:space="0"/>
                  </w:tcBorders>
                  <w:noWrap w:val="0"/>
                  <w:vAlign w:val="center"/>
                </w:tcPr>
                <w:p w14:paraId="23308C47">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60</w:t>
                  </w:r>
                </w:p>
              </w:tc>
            </w:tr>
            <w:tr w14:paraId="29FF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09" w:type="pct"/>
                  <w:tcBorders>
                    <w:top w:val="single" w:color="auto" w:sz="4" w:space="0"/>
                    <w:bottom w:val="single" w:color="auto" w:sz="4" w:space="0"/>
                  </w:tcBorders>
                  <w:noWrap w:val="0"/>
                  <w:vAlign w:val="center"/>
                </w:tcPr>
                <w:p w14:paraId="2224610A">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w:t>
                  </w:r>
                </w:p>
              </w:tc>
              <w:tc>
                <w:tcPr>
                  <w:tcW w:w="1109" w:type="pct"/>
                  <w:gridSpan w:val="2"/>
                  <w:tcBorders>
                    <w:top w:val="single" w:color="auto" w:sz="4" w:space="0"/>
                    <w:bottom w:val="single" w:color="auto" w:sz="4" w:space="0"/>
                  </w:tcBorders>
                  <w:noWrap w:val="0"/>
                  <w:vAlign w:val="center"/>
                </w:tcPr>
                <w:p w14:paraId="1775F82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镉</w:t>
                  </w:r>
                </w:p>
              </w:tc>
              <w:tc>
                <w:tcPr>
                  <w:tcW w:w="490" w:type="pct"/>
                  <w:tcBorders>
                    <w:top w:val="single" w:color="auto" w:sz="4" w:space="0"/>
                    <w:bottom w:val="single" w:color="auto" w:sz="4" w:space="0"/>
                  </w:tcBorders>
                  <w:noWrap w:val="0"/>
                  <w:vAlign w:val="center"/>
                </w:tcPr>
                <w:p w14:paraId="38ED8144">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3003776">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0.11</w:t>
                  </w:r>
                </w:p>
              </w:tc>
              <w:tc>
                <w:tcPr>
                  <w:tcW w:w="670" w:type="pct"/>
                  <w:tcBorders>
                    <w:top w:val="single" w:color="auto" w:sz="4" w:space="0"/>
                    <w:bottom w:val="single" w:color="auto" w:sz="4" w:space="0"/>
                  </w:tcBorders>
                  <w:noWrap w:val="0"/>
                  <w:vAlign w:val="center"/>
                </w:tcPr>
                <w:p w14:paraId="3354D98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65</w:t>
                  </w:r>
                </w:p>
              </w:tc>
            </w:tr>
            <w:tr w14:paraId="029A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6ABDFD9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w:t>
                  </w:r>
                </w:p>
              </w:tc>
              <w:tc>
                <w:tcPr>
                  <w:tcW w:w="1109" w:type="pct"/>
                  <w:gridSpan w:val="2"/>
                  <w:tcBorders>
                    <w:top w:val="single" w:color="auto" w:sz="4" w:space="0"/>
                    <w:bottom w:val="single" w:color="auto" w:sz="4" w:space="0"/>
                  </w:tcBorders>
                  <w:noWrap w:val="0"/>
                  <w:vAlign w:val="center"/>
                </w:tcPr>
                <w:p w14:paraId="02E3960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六价铬</w:t>
                  </w:r>
                </w:p>
              </w:tc>
              <w:tc>
                <w:tcPr>
                  <w:tcW w:w="490" w:type="pct"/>
                  <w:tcBorders>
                    <w:top w:val="single" w:color="auto" w:sz="4" w:space="0"/>
                    <w:bottom w:val="single" w:color="auto" w:sz="4" w:space="0"/>
                  </w:tcBorders>
                  <w:noWrap w:val="0"/>
                  <w:vAlign w:val="center"/>
                </w:tcPr>
                <w:p w14:paraId="683B8363">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1E474FE3">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2.0</w:t>
                  </w:r>
                </w:p>
              </w:tc>
              <w:tc>
                <w:tcPr>
                  <w:tcW w:w="670" w:type="pct"/>
                  <w:tcBorders>
                    <w:top w:val="single" w:color="auto" w:sz="4" w:space="0"/>
                    <w:bottom w:val="single" w:color="auto" w:sz="4" w:space="0"/>
                  </w:tcBorders>
                  <w:noWrap w:val="0"/>
                  <w:vAlign w:val="center"/>
                </w:tcPr>
                <w:p w14:paraId="1CB0F1D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5.7</w:t>
                  </w:r>
                </w:p>
              </w:tc>
            </w:tr>
            <w:tr w14:paraId="6E59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2DFB97F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w:t>
                  </w:r>
                </w:p>
              </w:tc>
              <w:tc>
                <w:tcPr>
                  <w:tcW w:w="1109" w:type="pct"/>
                  <w:gridSpan w:val="2"/>
                  <w:tcBorders>
                    <w:top w:val="single" w:color="auto" w:sz="4" w:space="0"/>
                    <w:bottom w:val="single" w:color="auto" w:sz="4" w:space="0"/>
                  </w:tcBorders>
                  <w:noWrap w:val="0"/>
                  <w:vAlign w:val="center"/>
                </w:tcPr>
                <w:p w14:paraId="724F9AB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铜</w:t>
                  </w:r>
                </w:p>
              </w:tc>
              <w:tc>
                <w:tcPr>
                  <w:tcW w:w="490" w:type="pct"/>
                  <w:tcBorders>
                    <w:top w:val="single" w:color="auto" w:sz="4" w:space="0"/>
                    <w:bottom w:val="single" w:color="auto" w:sz="4" w:space="0"/>
                  </w:tcBorders>
                  <w:noWrap w:val="0"/>
                  <w:vAlign w:val="center"/>
                </w:tcPr>
                <w:p w14:paraId="4E9FED6F">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3D82B8E9">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25</w:t>
                  </w:r>
                </w:p>
              </w:tc>
              <w:tc>
                <w:tcPr>
                  <w:tcW w:w="670" w:type="pct"/>
                  <w:tcBorders>
                    <w:top w:val="single" w:color="auto" w:sz="4" w:space="0"/>
                    <w:bottom w:val="single" w:color="auto" w:sz="4" w:space="0"/>
                  </w:tcBorders>
                  <w:noWrap w:val="0"/>
                  <w:vAlign w:val="center"/>
                </w:tcPr>
                <w:p w14:paraId="3E5CFA2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18000</w:t>
                  </w:r>
                </w:p>
              </w:tc>
            </w:tr>
            <w:tr w14:paraId="3965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7569D4C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w:t>
                  </w:r>
                </w:p>
              </w:tc>
              <w:tc>
                <w:tcPr>
                  <w:tcW w:w="1109" w:type="pct"/>
                  <w:gridSpan w:val="2"/>
                  <w:tcBorders>
                    <w:top w:val="single" w:color="auto" w:sz="4" w:space="0"/>
                    <w:bottom w:val="single" w:color="auto" w:sz="4" w:space="0"/>
                  </w:tcBorders>
                  <w:noWrap w:val="0"/>
                  <w:vAlign w:val="center"/>
                </w:tcPr>
                <w:p w14:paraId="1BA5652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铅</w:t>
                  </w:r>
                </w:p>
              </w:tc>
              <w:tc>
                <w:tcPr>
                  <w:tcW w:w="490" w:type="pct"/>
                  <w:tcBorders>
                    <w:top w:val="single" w:color="auto" w:sz="4" w:space="0"/>
                    <w:bottom w:val="single" w:color="auto" w:sz="4" w:space="0"/>
                  </w:tcBorders>
                  <w:noWrap w:val="0"/>
                  <w:vAlign w:val="center"/>
                </w:tcPr>
                <w:p w14:paraId="49F875CC">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23DA8C7F">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44</w:t>
                  </w:r>
                </w:p>
              </w:tc>
              <w:tc>
                <w:tcPr>
                  <w:tcW w:w="670" w:type="pct"/>
                  <w:tcBorders>
                    <w:top w:val="single" w:color="auto" w:sz="4" w:space="0"/>
                    <w:bottom w:val="single" w:color="auto" w:sz="4" w:space="0"/>
                  </w:tcBorders>
                  <w:noWrap w:val="0"/>
                  <w:vAlign w:val="center"/>
                </w:tcPr>
                <w:p w14:paraId="3D6A3C0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800</w:t>
                  </w:r>
                </w:p>
              </w:tc>
            </w:tr>
            <w:tr w14:paraId="6BEA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DDCBAB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6</w:t>
                  </w:r>
                </w:p>
              </w:tc>
              <w:tc>
                <w:tcPr>
                  <w:tcW w:w="1109" w:type="pct"/>
                  <w:gridSpan w:val="2"/>
                  <w:tcBorders>
                    <w:top w:val="single" w:color="auto" w:sz="4" w:space="0"/>
                    <w:bottom w:val="single" w:color="auto" w:sz="4" w:space="0"/>
                  </w:tcBorders>
                  <w:noWrap w:val="0"/>
                  <w:vAlign w:val="center"/>
                </w:tcPr>
                <w:p w14:paraId="2345D23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汞</w:t>
                  </w:r>
                </w:p>
              </w:tc>
              <w:tc>
                <w:tcPr>
                  <w:tcW w:w="490" w:type="pct"/>
                  <w:tcBorders>
                    <w:top w:val="single" w:color="auto" w:sz="4" w:space="0"/>
                    <w:bottom w:val="single" w:color="auto" w:sz="4" w:space="0"/>
                  </w:tcBorders>
                  <w:noWrap w:val="0"/>
                  <w:vAlign w:val="center"/>
                </w:tcPr>
                <w:p w14:paraId="5D1C8747">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F19B0D3">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0.0638</w:t>
                  </w:r>
                </w:p>
              </w:tc>
              <w:tc>
                <w:tcPr>
                  <w:tcW w:w="670" w:type="pct"/>
                  <w:tcBorders>
                    <w:top w:val="single" w:color="auto" w:sz="4" w:space="0"/>
                    <w:bottom w:val="single" w:color="auto" w:sz="4" w:space="0"/>
                  </w:tcBorders>
                  <w:noWrap w:val="0"/>
                  <w:vAlign w:val="center"/>
                </w:tcPr>
                <w:p w14:paraId="1BCEF1C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38</w:t>
                  </w:r>
                </w:p>
              </w:tc>
            </w:tr>
            <w:tr w14:paraId="4DFE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blHeader/>
                <w:jc w:val="center"/>
              </w:trPr>
              <w:tc>
                <w:tcPr>
                  <w:tcW w:w="409" w:type="pct"/>
                  <w:tcBorders>
                    <w:top w:val="single" w:color="auto" w:sz="4" w:space="0"/>
                    <w:bottom w:val="single" w:color="auto" w:sz="4" w:space="0"/>
                  </w:tcBorders>
                  <w:noWrap w:val="0"/>
                  <w:vAlign w:val="center"/>
                </w:tcPr>
                <w:p w14:paraId="465FD9A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7</w:t>
                  </w:r>
                </w:p>
              </w:tc>
              <w:tc>
                <w:tcPr>
                  <w:tcW w:w="1109" w:type="pct"/>
                  <w:gridSpan w:val="2"/>
                  <w:tcBorders>
                    <w:top w:val="single" w:color="auto" w:sz="4" w:space="0"/>
                    <w:bottom w:val="single" w:color="auto" w:sz="4" w:space="0"/>
                  </w:tcBorders>
                  <w:noWrap w:val="0"/>
                  <w:vAlign w:val="center"/>
                </w:tcPr>
                <w:p w14:paraId="11C5F9C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镍</w:t>
                  </w:r>
                </w:p>
              </w:tc>
              <w:tc>
                <w:tcPr>
                  <w:tcW w:w="490" w:type="pct"/>
                  <w:tcBorders>
                    <w:top w:val="single" w:color="auto" w:sz="4" w:space="0"/>
                    <w:bottom w:val="single" w:color="auto" w:sz="4" w:space="0"/>
                  </w:tcBorders>
                  <w:noWrap w:val="0"/>
                  <w:vAlign w:val="center"/>
                </w:tcPr>
                <w:p w14:paraId="779A961D">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49E58AC2">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37</w:t>
                  </w:r>
                </w:p>
              </w:tc>
              <w:tc>
                <w:tcPr>
                  <w:tcW w:w="670" w:type="pct"/>
                  <w:tcBorders>
                    <w:top w:val="single" w:color="auto" w:sz="4" w:space="0"/>
                    <w:bottom w:val="single" w:color="auto" w:sz="4" w:space="0"/>
                  </w:tcBorders>
                  <w:noWrap w:val="0"/>
                  <w:vAlign w:val="center"/>
                </w:tcPr>
                <w:p w14:paraId="4EA1EBE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900</w:t>
                  </w:r>
                </w:p>
              </w:tc>
            </w:tr>
            <w:tr w14:paraId="77AC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0EA8C8D">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8</w:t>
                  </w:r>
                </w:p>
              </w:tc>
              <w:tc>
                <w:tcPr>
                  <w:tcW w:w="1109" w:type="pct"/>
                  <w:gridSpan w:val="2"/>
                  <w:tcBorders>
                    <w:top w:val="single" w:color="auto" w:sz="4" w:space="0"/>
                    <w:bottom w:val="single" w:color="auto" w:sz="4" w:space="0"/>
                  </w:tcBorders>
                  <w:noWrap w:val="0"/>
                  <w:vAlign w:val="center"/>
                </w:tcPr>
                <w:p w14:paraId="2E77B05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四氯化碳</w:t>
                  </w:r>
                </w:p>
              </w:tc>
              <w:tc>
                <w:tcPr>
                  <w:tcW w:w="490" w:type="pct"/>
                  <w:tcBorders>
                    <w:top w:val="single" w:color="auto" w:sz="4" w:space="0"/>
                    <w:bottom w:val="single" w:color="auto" w:sz="4" w:space="0"/>
                  </w:tcBorders>
                  <w:noWrap w:val="0"/>
                  <w:vAlign w:val="center"/>
                </w:tcPr>
                <w:p w14:paraId="7EDC5BE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7D939949">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58AB2F8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2.8</w:t>
                  </w:r>
                </w:p>
              </w:tc>
            </w:tr>
            <w:tr w14:paraId="047B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127AE9CD">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9</w:t>
                  </w:r>
                </w:p>
              </w:tc>
              <w:tc>
                <w:tcPr>
                  <w:tcW w:w="1109" w:type="pct"/>
                  <w:gridSpan w:val="2"/>
                  <w:tcBorders>
                    <w:top w:val="single" w:color="auto" w:sz="4" w:space="0"/>
                    <w:bottom w:val="single" w:color="auto" w:sz="4" w:space="0"/>
                  </w:tcBorders>
                  <w:noWrap w:val="0"/>
                  <w:vAlign w:val="center"/>
                </w:tcPr>
                <w:p w14:paraId="6D79027F">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氯仿</w:t>
                  </w:r>
                </w:p>
              </w:tc>
              <w:tc>
                <w:tcPr>
                  <w:tcW w:w="490" w:type="pct"/>
                  <w:tcBorders>
                    <w:top w:val="single" w:color="auto" w:sz="4" w:space="0"/>
                    <w:bottom w:val="single" w:color="auto" w:sz="4" w:space="0"/>
                  </w:tcBorders>
                  <w:noWrap w:val="0"/>
                  <w:vAlign w:val="center"/>
                </w:tcPr>
                <w:p w14:paraId="0007E8A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5AC5468E">
                  <w:pPr>
                    <w:widowControl w:val="0"/>
                    <w:spacing w:line="240" w:lineRule="auto"/>
                    <w:ind w:left="0" w:leftChars="0"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1FAC4A1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0.9</w:t>
                  </w:r>
                </w:p>
              </w:tc>
            </w:tr>
            <w:tr w14:paraId="345A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4ECBF5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10</w:t>
                  </w:r>
                </w:p>
              </w:tc>
              <w:tc>
                <w:tcPr>
                  <w:tcW w:w="1109" w:type="pct"/>
                  <w:gridSpan w:val="2"/>
                  <w:tcBorders>
                    <w:top w:val="single" w:color="auto" w:sz="4" w:space="0"/>
                    <w:bottom w:val="single" w:color="auto" w:sz="4" w:space="0"/>
                  </w:tcBorders>
                  <w:noWrap w:val="0"/>
                  <w:vAlign w:val="center"/>
                </w:tcPr>
                <w:p w14:paraId="693A58F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氯甲烷</w:t>
                  </w:r>
                </w:p>
              </w:tc>
              <w:tc>
                <w:tcPr>
                  <w:tcW w:w="490" w:type="pct"/>
                  <w:tcBorders>
                    <w:top w:val="single" w:color="auto" w:sz="4" w:space="0"/>
                    <w:bottom w:val="single" w:color="auto" w:sz="4" w:space="0"/>
                  </w:tcBorders>
                  <w:noWrap w:val="0"/>
                  <w:vAlign w:val="center"/>
                </w:tcPr>
                <w:p w14:paraId="6FE4ABA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AB6AF7C">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5AC35AD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37</w:t>
                  </w:r>
                </w:p>
              </w:tc>
            </w:tr>
            <w:tr w14:paraId="1F33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0EA4C15F">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11</w:t>
                  </w:r>
                </w:p>
              </w:tc>
              <w:tc>
                <w:tcPr>
                  <w:tcW w:w="1109" w:type="pct"/>
                  <w:gridSpan w:val="2"/>
                  <w:tcBorders>
                    <w:top w:val="single" w:color="auto" w:sz="4" w:space="0"/>
                    <w:bottom w:val="single" w:color="auto" w:sz="4" w:space="0"/>
                  </w:tcBorders>
                  <w:noWrap w:val="0"/>
                  <w:vAlign w:val="center"/>
                </w:tcPr>
                <w:p w14:paraId="3B53672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1,1-二氯乙烷</w:t>
                  </w:r>
                </w:p>
              </w:tc>
              <w:tc>
                <w:tcPr>
                  <w:tcW w:w="490" w:type="pct"/>
                  <w:tcBorders>
                    <w:top w:val="single" w:color="auto" w:sz="4" w:space="0"/>
                    <w:bottom w:val="single" w:color="auto" w:sz="4" w:space="0"/>
                  </w:tcBorders>
                  <w:noWrap w:val="0"/>
                  <w:vAlign w:val="center"/>
                </w:tcPr>
                <w:p w14:paraId="09CF3BE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45BECC97">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3299FFF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9</w:t>
                  </w:r>
                </w:p>
              </w:tc>
            </w:tr>
            <w:tr w14:paraId="5D63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4641B85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w:t>
                  </w:r>
                </w:p>
              </w:tc>
              <w:tc>
                <w:tcPr>
                  <w:tcW w:w="1109" w:type="pct"/>
                  <w:gridSpan w:val="2"/>
                  <w:tcBorders>
                    <w:top w:val="single" w:color="auto" w:sz="4" w:space="0"/>
                    <w:bottom w:val="single" w:color="auto" w:sz="4" w:space="0"/>
                  </w:tcBorders>
                  <w:noWrap w:val="0"/>
                  <w:vAlign w:val="center"/>
                </w:tcPr>
                <w:p w14:paraId="59DD9BEA">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1,2-二氯乙烷</w:t>
                  </w:r>
                </w:p>
              </w:tc>
              <w:tc>
                <w:tcPr>
                  <w:tcW w:w="490" w:type="pct"/>
                  <w:tcBorders>
                    <w:top w:val="single" w:color="auto" w:sz="4" w:space="0"/>
                    <w:bottom w:val="single" w:color="auto" w:sz="4" w:space="0"/>
                  </w:tcBorders>
                  <w:noWrap w:val="0"/>
                  <w:vAlign w:val="center"/>
                </w:tcPr>
                <w:p w14:paraId="0805E3E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47FA7750">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0B6B65F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w:t>
                  </w:r>
                </w:p>
              </w:tc>
            </w:tr>
            <w:tr w14:paraId="4609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4F932F0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13</w:t>
                  </w:r>
                </w:p>
              </w:tc>
              <w:tc>
                <w:tcPr>
                  <w:tcW w:w="1109" w:type="pct"/>
                  <w:gridSpan w:val="2"/>
                  <w:tcBorders>
                    <w:top w:val="single" w:color="auto" w:sz="4" w:space="0"/>
                    <w:bottom w:val="single" w:color="auto" w:sz="4" w:space="0"/>
                  </w:tcBorders>
                  <w:noWrap w:val="0"/>
                  <w:vAlign w:val="center"/>
                </w:tcPr>
                <w:p w14:paraId="56504C5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1,1-二氯乙烯</w:t>
                  </w:r>
                </w:p>
              </w:tc>
              <w:tc>
                <w:tcPr>
                  <w:tcW w:w="490" w:type="pct"/>
                  <w:tcBorders>
                    <w:top w:val="single" w:color="auto" w:sz="4" w:space="0"/>
                    <w:bottom w:val="single" w:color="auto" w:sz="4" w:space="0"/>
                  </w:tcBorders>
                  <w:noWrap w:val="0"/>
                  <w:vAlign w:val="center"/>
                </w:tcPr>
                <w:p w14:paraId="260D540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BA611B3">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52108A8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66</w:t>
                  </w:r>
                </w:p>
              </w:tc>
            </w:tr>
            <w:tr w14:paraId="0086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409" w:type="pct"/>
                  <w:tcBorders>
                    <w:top w:val="single" w:color="auto" w:sz="4" w:space="0"/>
                    <w:bottom w:val="single" w:color="auto" w:sz="4" w:space="0"/>
                  </w:tcBorders>
                  <w:noWrap w:val="0"/>
                  <w:vAlign w:val="center"/>
                </w:tcPr>
                <w:p w14:paraId="00B2B6A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14</w:t>
                  </w:r>
                </w:p>
              </w:tc>
              <w:tc>
                <w:tcPr>
                  <w:tcW w:w="1109" w:type="pct"/>
                  <w:gridSpan w:val="2"/>
                  <w:tcBorders>
                    <w:top w:val="single" w:color="auto" w:sz="4" w:space="0"/>
                    <w:bottom w:val="single" w:color="auto" w:sz="4" w:space="0"/>
                  </w:tcBorders>
                  <w:noWrap w:val="0"/>
                  <w:vAlign w:val="center"/>
                </w:tcPr>
                <w:p w14:paraId="4990002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顺-1,2-二氯乙烯</w:t>
                  </w:r>
                </w:p>
              </w:tc>
              <w:tc>
                <w:tcPr>
                  <w:tcW w:w="490" w:type="pct"/>
                  <w:tcBorders>
                    <w:top w:val="single" w:color="auto" w:sz="4" w:space="0"/>
                    <w:bottom w:val="single" w:color="auto" w:sz="4" w:space="0"/>
                  </w:tcBorders>
                  <w:noWrap w:val="0"/>
                  <w:vAlign w:val="center"/>
                </w:tcPr>
                <w:p w14:paraId="536EC8A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57A18114">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60C714D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596</w:t>
                  </w:r>
                </w:p>
              </w:tc>
            </w:tr>
            <w:tr w14:paraId="7053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032725F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15</w:t>
                  </w:r>
                </w:p>
              </w:tc>
              <w:tc>
                <w:tcPr>
                  <w:tcW w:w="1109" w:type="pct"/>
                  <w:gridSpan w:val="2"/>
                  <w:tcBorders>
                    <w:top w:val="single" w:color="auto" w:sz="4" w:space="0"/>
                    <w:bottom w:val="single" w:color="auto" w:sz="4" w:space="0"/>
                  </w:tcBorders>
                  <w:noWrap w:val="0"/>
                  <w:vAlign w:val="center"/>
                </w:tcPr>
                <w:p w14:paraId="6EDFE407">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反-1,2-二氯乙烯</w:t>
                  </w:r>
                </w:p>
              </w:tc>
              <w:tc>
                <w:tcPr>
                  <w:tcW w:w="490" w:type="pct"/>
                  <w:tcBorders>
                    <w:top w:val="single" w:color="auto" w:sz="4" w:space="0"/>
                    <w:bottom w:val="single" w:color="auto" w:sz="4" w:space="0"/>
                  </w:tcBorders>
                  <w:noWrap w:val="0"/>
                  <w:vAlign w:val="center"/>
                </w:tcPr>
                <w:p w14:paraId="4A4ECF6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7E858203">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4EE29E5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54</w:t>
                  </w:r>
                </w:p>
              </w:tc>
            </w:tr>
            <w:tr w14:paraId="1608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04CAAD2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16</w:t>
                  </w:r>
                </w:p>
              </w:tc>
              <w:tc>
                <w:tcPr>
                  <w:tcW w:w="1109" w:type="pct"/>
                  <w:gridSpan w:val="2"/>
                  <w:tcBorders>
                    <w:top w:val="single" w:color="auto" w:sz="4" w:space="0"/>
                    <w:bottom w:val="single" w:color="auto" w:sz="4" w:space="0"/>
                  </w:tcBorders>
                  <w:noWrap w:val="0"/>
                  <w:vAlign w:val="center"/>
                </w:tcPr>
                <w:p w14:paraId="2BA783E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二氯甲烷</w:t>
                  </w:r>
                </w:p>
              </w:tc>
              <w:tc>
                <w:tcPr>
                  <w:tcW w:w="490" w:type="pct"/>
                  <w:tcBorders>
                    <w:top w:val="single" w:color="auto" w:sz="4" w:space="0"/>
                    <w:bottom w:val="single" w:color="auto" w:sz="4" w:space="0"/>
                  </w:tcBorders>
                  <w:noWrap w:val="0"/>
                  <w:vAlign w:val="center"/>
                </w:tcPr>
                <w:p w14:paraId="595F97E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36010E8F">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04067CC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616</w:t>
                  </w:r>
                </w:p>
              </w:tc>
            </w:tr>
            <w:tr w14:paraId="449E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F5A65E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17</w:t>
                  </w:r>
                </w:p>
              </w:tc>
              <w:tc>
                <w:tcPr>
                  <w:tcW w:w="1109" w:type="pct"/>
                  <w:gridSpan w:val="2"/>
                  <w:tcBorders>
                    <w:top w:val="single" w:color="auto" w:sz="4" w:space="0"/>
                    <w:bottom w:val="single" w:color="auto" w:sz="4" w:space="0"/>
                  </w:tcBorders>
                  <w:noWrap w:val="0"/>
                  <w:vAlign w:val="center"/>
                </w:tcPr>
                <w:p w14:paraId="4618B3D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1,2-二氯丙烷</w:t>
                  </w:r>
                </w:p>
              </w:tc>
              <w:tc>
                <w:tcPr>
                  <w:tcW w:w="490" w:type="pct"/>
                  <w:tcBorders>
                    <w:top w:val="single" w:color="auto" w:sz="4" w:space="0"/>
                    <w:bottom w:val="single" w:color="auto" w:sz="4" w:space="0"/>
                  </w:tcBorders>
                  <w:noWrap w:val="0"/>
                  <w:vAlign w:val="center"/>
                </w:tcPr>
                <w:p w14:paraId="7066AF8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ED4CBE1">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3A92757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w:t>
                  </w:r>
                </w:p>
              </w:tc>
            </w:tr>
            <w:tr w14:paraId="297B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140220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18</w:t>
                  </w:r>
                </w:p>
              </w:tc>
              <w:tc>
                <w:tcPr>
                  <w:tcW w:w="1109" w:type="pct"/>
                  <w:gridSpan w:val="2"/>
                  <w:tcBorders>
                    <w:top w:val="single" w:color="auto" w:sz="4" w:space="0"/>
                    <w:bottom w:val="single" w:color="auto" w:sz="4" w:space="0"/>
                  </w:tcBorders>
                  <w:noWrap w:val="0"/>
                  <w:vAlign w:val="center"/>
                </w:tcPr>
                <w:p w14:paraId="23B0454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1,1,1,2-四氯乙烷</w:t>
                  </w:r>
                </w:p>
              </w:tc>
              <w:tc>
                <w:tcPr>
                  <w:tcW w:w="490" w:type="pct"/>
                  <w:tcBorders>
                    <w:top w:val="single" w:color="auto" w:sz="4" w:space="0"/>
                    <w:bottom w:val="single" w:color="auto" w:sz="4" w:space="0"/>
                  </w:tcBorders>
                  <w:noWrap w:val="0"/>
                  <w:vAlign w:val="center"/>
                </w:tcPr>
                <w:p w14:paraId="34ECB99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170CB0D">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6A7374E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10</w:t>
                  </w:r>
                </w:p>
              </w:tc>
            </w:tr>
            <w:tr w14:paraId="4CC3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47DA751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19</w:t>
                  </w:r>
                </w:p>
              </w:tc>
              <w:tc>
                <w:tcPr>
                  <w:tcW w:w="1109" w:type="pct"/>
                  <w:gridSpan w:val="2"/>
                  <w:tcBorders>
                    <w:top w:val="single" w:color="auto" w:sz="4" w:space="0"/>
                    <w:bottom w:val="single" w:color="auto" w:sz="4" w:space="0"/>
                  </w:tcBorders>
                  <w:noWrap w:val="0"/>
                  <w:vAlign w:val="center"/>
                </w:tcPr>
                <w:p w14:paraId="0BC2BAA0">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1,1,2,2-四氯乙烷</w:t>
                  </w:r>
                </w:p>
              </w:tc>
              <w:tc>
                <w:tcPr>
                  <w:tcW w:w="490" w:type="pct"/>
                  <w:tcBorders>
                    <w:top w:val="single" w:color="auto" w:sz="4" w:space="0"/>
                    <w:bottom w:val="single" w:color="auto" w:sz="4" w:space="0"/>
                  </w:tcBorders>
                  <w:noWrap w:val="0"/>
                  <w:vAlign w:val="center"/>
                </w:tcPr>
                <w:p w14:paraId="2EED3EA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548F3E84">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478E0F0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6.8</w:t>
                  </w:r>
                </w:p>
              </w:tc>
            </w:tr>
            <w:tr w14:paraId="7298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494EA6E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20</w:t>
                  </w:r>
                </w:p>
              </w:tc>
              <w:tc>
                <w:tcPr>
                  <w:tcW w:w="1109" w:type="pct"/>
                  <w:gridSpan w:val="2"/>
                  <w:tcBorders>
                    <w:top w:val="single" w:color="auto" w:sz="4" w:space="0"/>
                    <w:bottom w:val="single" w:color="auto" w:sz="4" w:space="0"/>
                  </w:tcBorders>
                  <w:noWrap w:val="0"/>
                  <w:vAlign w:val="center"/>
                </w:tcPr>
                <w:p w14:paraId="4709F6B9">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四氯乙烯</w:t>
                  </w:r>
                </w:p>
              </w:tc>
              <w:tc>
                <w:tcPr>
                  <w:tcW w:w="490" w:type="pct"/>
                  <w:tcBorders>
                    <w:top w:val="single" w:color="auto" w:sz="4" w:space="0"/>
                    <w:bottom w:val="single" w:color="auto" w:sz="4" w:space="0"/>
                  </w:tcBorders>
                  <w:noWrap w:val="0"/>
                  <w:vAlign w:val="center"/>
                </w:tcPr>
                <w:p w14:paraId="27BB439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076CF50C">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49E25B2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53</w:t>
                  </w:r>
                </w:p>
              </w:tc>
            </w:tr>
            <w:tr w14:paraId="2484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1B5BD1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21</w:t>
                  </w:r>
                </w:p>
              </w:tc>
              <w:tc>
                <w:tcPr>
                  <w:tcW w:w="1109" w:type="pct"/>
                  <w:gridSpan w:val="2"/>
                  <w:tcBorders>
                    <w:top w:val="single" w:color="auto" w:sz="4" w:space="0"/>
                    <w:bottom w:val="single" w:color="auto" w:sz="4" w:space="0"/>
                  </w:tcBorders>
                  <w:noWrap w:val="0"/>
                  <w:vAlign w:val="center"/>
                </w:tcPr>
                <w:p w14:paraId="4985018B">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1,1,1-三氯乙烷</w:t>
                  </w:r>
                </w:p>
              </w:tc>
              <w:tc>
                <w:tcPr>
                  <w:tcW w:w="490" w:type="pct"/>
                  <w:tcBorders>
                    <w:top w:val="single" w:color="auto" w:sz="4" w:space="0"/>
                    <w:bottom w:val="single" w:color="auto" w:sz="4" w:space="0"/>
                  </w:tcBorders>
                  <w:noWrap w:val="0"/>
                  <w:vAlign w:val="center"/>
                </w:tcPr>
                <w:p w14:paraId="7758D91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BD9713B">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4807F4D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840</w:t>
                  </w:r>
                </w:p>
              </w:tc>
            </w:tr>
            <w:tr w14:paraId="5023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7042B54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22</w:t>
                  </w:r>
                </w:p>
              </w:tc>
              <w:tc>
                <w:tcPr>
                  <w:tcW w:w="1109" w:type="pct"/>
                  <w:gridSpan w:val="2"/>
                  <w:tcBorders>
                    <w:top w:val="single" w:color="auto" w:sz="4" w:space="0"/>
                    <w:bottom w:val="single" w:color="auto" w:sz="4" w:space="0"/>
                  </w:tcBorders>
                  <w:noWrap w:val="0"/>
                  <w:vAlign w:val="center"/>
                </w:tcPr>
                <w:p w14:paraId="3AFAB45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1,1,2-三氯乙烷</w:t>
                  </w:r>
                </w:p>
              </w:tc>
              <w:tc>
                <w:tcPr>
                  <w:tcW w:w="490" w:type="pct"/>
                  <w:tcBorders>
                    <w:top w:val="single" w:color="auto" w:sz="4" w:space="0"/>
                    <w:bottom w:val="single" w:color="auto" w:sz="4" w:space="0"/>
                  </w:tcBorders>
                  <w:noWrap w:val="0"/>
                  <w:vAlign w:val="center"/>
                </w:tcPr>
                <w:p w14:paraId="2F0F355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7767F0CB">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78F41DAF">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2.8</w:t>
                  </w:r>
                </w:p>
              </w:tc>
            </w:tr>
            <w:tr w14:paraId="0B5A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43D602B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23</w:t>
                  </w:r>
                </w:p>
              </w:tc>
              <w:tc>
                <w:tcPr>
                  <w:tcW w:w="1109" w:type="pct"/>
                  <w:gridSpan w:val="2"/>
                  <w:tcBorders>
                    <w:top w:val="single" w:color="auto" w:sz="4" w:space="0"/>
                    <w:bottom w:val="single" w:color="auto" w:sz="4" w:space="0"/>
                  </w:tcBorders>
                  <w:noWrap w:val="0"/>
                  <w:vAlign w:val="center"/>
                </w:tcPr>
                <w:p w14:paraId="1414B8B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三氯乙烯</w:t>
                  </w:r>
                </w:p>
              </w:tc>
              <w:tc>
                <w:tcPr>
                  <w:tcW w:w="490" w:type="pct"/>
                  <w:tcBorders>
                    <w:top w:val="single" w:color="auto" w:sz="4" w:space="0"/>
                    <w:bottom w:val="single" w:color="auto" w:sz="4" w:space="0"/>
                  </w:tcBorders>
                  <w:noWrap w:val="0"/>
                  <w:vAlign w:val="center"/>
                </w:tcPr>
                <w:p w14:paraId="25C6610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51C7F996">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481208A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2.8</w:t>
                  </w:r>
                </w:p>
              </w:tc>
            </w:tr>
            <w:tr w14:paraId="7F76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blHeader/>
                <w:jc w:val="center"/>
              </w:trPr>
              <w:tc>
                <w:tcPr>
                  <w:tcW w:w="409" w:type="pct"/>
                  <w:tcBorders>
                    <w:top w:val="single" w:color="auto" w:sz="4" w:space="0"/>
                    <w:bottom w:val="single" w:color="auto" w:sz="4" w:space="0"/>
                  </w:tcBorders>
                  <w:noWrap w:val="0"/>
                  <w:vAlign w:val="center"/>
                </w:tcPr>
                <w:p w14:paraId="7014FD2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24</w:t>
                  </w:r>
                </w:p>
              </w:tc>
              <w:tc>
                <w:tcPr>
                  <w:tcW w:w="1109" w:type="pct"/>
                  <w:gridSpan w:val="2"/>
                  <w:tcBorders>
                    <w:top w:val="single" w:color="auto" w:sz="4" w:space="0"/>
                    <w:bottom w:val="single" w:color="auto" w:sz="4" w:space="0"/>
                  </w:tcBorders>
                  <w:noWrap w:val="0"/>
                  <w:vAlign w:val="center"/>
                </w:tcPr>
                <w:p w14:paraId="1265A0A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1,2,3-三氯丙烷</w:t>
                  </w:r>
                </w:p>
              </w:tc>
              <w:tc>
                <w:tcPr>
                  <w:tcW w:w="490" w:type="pct"/>
                  <w:tcBorders>
                    <w:top w:val="single" w:color="auto" w:sz="4" w:space="0"/>
                    <w:bottom w:val="single" w:color="auto" w:sz="4" w:space="0"/>
                  </w:tcBorders>
                  <w:noWrap w:val="0"/>
                  <w:vAlign w:val="center"/>
                </w:tcPr>
                <w:p w14:paraId="586EB96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49916CD1">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616B51F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0.5</w:t>
                  </w:r>
                </w:p>
              </w:tc>
            </w:tr>
            <w:tr w14:paraId="303C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3E3536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25</w:t>
                  </w:r>
                </w:p>
              </w:tc>
              <w:tc>
                <w:tcPr>
                  <w:tcW w:w="1109" w:type="pct"/>
                  <w:gridSpan w:val="2"/>
                  <w:tcBorders>
                    <w:top w:val="single" w:color="auto" w:sz="4" w:space="0"/>
                    <w:bottom w:val="single" w:color="auto" w:sz="4" w:space="0"/>
                  </w:tcBorders>
                  <w:noWrap w:val="0"/>
                  <w:vAlign w:val="center"/>
                </w:tcPr>
                <w:p w14:paraId="39E6AADF">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氯乙烯</w:t>
                  </w:r>
                </w:p>
              </w:tc>
              <w:tc>
                <w:tcPr>
                  <w:tcW w:w="490" w:type="pct"/>
                  <w:tcBorders>
                    <w:top w:val="single" w:color="auto" w:sz="4" w:space="0"/>
                    <w:bottom w:val="single" w:color="auto" w:sz="4" w:space="0"/>
                  </w:tcBorders>
                  <w:noWrap w:val="0"/>
                  <w:vAlign w:val="center"/>
                </w:tcPr>
                <w:p w14:paraId="2E35936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4AF3D56E">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60D455E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0.43</w:t>
                  </w:r>
                </w:p>
              </w:tc>
            </w:tr>
            <w:tr w14:paraId="70E1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439F8FF0">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26</w:t>
                  </w:r>
                </w:p>
              </w:tc>
              <w:tc>
                <w:tcPr>
                  <w:tcW w:w="1109" w:type="pct"/>
                  <w:gridSpan w:val="2"/>
                  <w:tcBorders>
                    <w:top w:val="single" w:color="auto" w:sz="4" w:space="0"/>
                    <w:bottom w:val="single" w:color="auto" w:sz="4" w:space="0"/>
                  </w:tcBorders>
                  <w:noWrap w:val="0"/>
                  <w:vAlign w:val="center"/>
                </w:tcPr>
                <w:p w14:paraId="51D8D7C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苯</w:t>
                  </w:r>
                </w:p>
              </w:tc>
              <w:tc>
                <w:tcPr>
                  <w:tcW w:w="490" w:type="pct"/>
                  <w:tcBorders>
                    <w:top w:val="single" w:color="auto" w:sz="4" w:space="0"/>
                    <w:bottom w:val="single" w:color="auto" w:sz="4" w:space="0"/>
                  </w:tcBorders>
                  <w:noWrap w:val="0"/>
                  <w:vAlign w:val="center"/>
                </w:tcPr>
                <w:p w14:paraId="6390007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B1B3011">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5CACBED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w:t>
                  </w:r>
                </w:p>
              </w:tc>
            </w:tr>
            <w:tr w14:paraId="05F6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0F6A3C5F">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27</w:t>
                  </w:r>
                </w:p>
              </w:tc>
              <w:tc>
                <w:tcPr>
                  <w:tcW w:w="1109" w:type="pct"/>
                  <w:gridSpan w:val="2"/>
                  <w:tcBorders>
                    <w:top w:val="single" w:color="auto" w:sz="4" w:space="0"/>
                    <w:bottom w:val="single" w:color="auto" w:sz="4" w:space="0"/>
                  </w:tcBorders>
                  <w:noWrap w:val="0"/>
                  <w:vAlign w:val="center"/>
                </w:tcPr>
                <w:p w14:paraId="1977BA0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氯苯</w:t>
                  </w:r>
                </w:p>
              </w:tc>
              <w:tc>
                <w:tcPr>
                  <w:tcW w:w="490" w:type="pct"/>
                  <w:tcBorders>
                    <w:top w:val="single" w:color="auto" w:sz="4" w:space="0"/>
                    <w:bottom w:val="single" w:color="auto" w:sz="4" w:space="0"/>
                  </w:tcBorders>
                  <w:noWrap w:val="0"/>
                  <w:vAlign w:val="center"/>
                </w:tcPr>
                <w:p w14:paraId="73F2F1F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EDEF3BC">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27FC61A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270</w:t>
                  </w:r>
                </w:p>
              </w:tc>
            </w:tr>
            <w:tr w14:paraId="12FD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2BA12816">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28</w:t>
                  </w:r>
                </w:p>
              </w:tc>
              <w:tc>
                <w:tcPr>
                  <w:tcW w:w="1109" w:type="pct"/>
                  <w:gridSpan w:val="2"/>
                  <w:tcBorders>
                    <w:top w:val="single" w:color="auto" w:sz="4" w:space="0"/>
                    <w:bottom w:val="single" w:color="auto" w:sz="4" w:space="0"/>
                  </w:tcBorders>
                  <w:noWrap w:val="0"/>
                  <w:vAlign w:val="center"/>
                </w:tcPr>
                <w:p w14:paraId="67BD0A5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1,2-二氯苯</w:t>
                  </w:r>
                </w:p>
              </w:tc>
              <w:tc>
                <w:tcPr>
                  <w:tcW w:w="490" w:type="pct"/>
                  <w:tcBorders>
                    <w:top w:val="single" w:color="auto" w:sz="4" w:space="0"/>
                    <w:bottom w:val="single" w:color="auto" w:sz="4" w:space="0"/>
                  </w:tcBorders>
                  <w:noWrap w:val="0"/>
                  <w:vAlign w:val="center"/>
                </w:tcPr>
                <w:p w14:paraId="3C929A0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38D23B38">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6DFE38A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560</w:t>
                  </w:r>
                </w:p>
              </w:tc>
            </w:tr>
            <w:tr w14:paraId="3702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43B78E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29</w:t>
                  </w:r>
                </w:p>
              </w:tc>
              <w:tc>
                <w:tcPr>
                  <w:tcW w:w="1109" w:type="pct"/>
                  <w:gridSpan w:val="2"/>
                  <w:tcBorders>
                    <w:top w:val="single" w:color="auto" w:sz="4" w:space="0"/>
                    <w:bottom w:val="single" w:color="auto" w:sz="4" w:space="0"/>
                  </w:tcBorders>
                  <w:noWrap w:val="0"/>
                  <w:vAlign w:val="center"/>
                </w:tcPr>
                <w:p w14:paraId="0E982128">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1,4-二氯苯</w:t>
                  </w:r>
                </w:p>
              </w:tc>
              <w:tc>
                <w:tcPr>
                  <w:tcW w:w="490" w:type="pct"/>
                  <w:tcBorders>
                    <w:top w:val="single" w:color="auto" w:sz="4" w:space="0"/>
                    <w:bottom w:val="single" w:color="auto" w:sz="4" w:space="0"/>
                  </w:tcBorders>
                  <w:noWrap w:val="0"/>
                  <w:vAlign w:val="center"/>
                </w:tcPr>
                <w:p w14:paraId="460CD917">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1A26A3E3">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7FCCCA1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20</w:t>
                  </w:r>
                </w:p>
              </w:tc>
            </w:tr>
            <w:tr w14:paraId="7338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4E5C30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30</w:t>
                  </w:r>
                </w:p>
              </w:tc>
              <w:tc>
                <w:tcPr>
                  <w:tcW w:w="1109" w:type="pct"/>
                  <w:gridSpan w:val="2"/>
                  <w:tcBorders>
                    <w:top w:val="single" w:color="auto" w:sz="4" w:space="0"/>
                    <w:bottom w:val="single" w:color="auto" w:sz="4" w:space="0"/>
                  </w:tcBorders>
                  <w:noWrap w:val="0"/>
                  <w:vAlign w:val="center"/>
                </w:tcPr>
                <w:p w14:paraId="29594F3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乙苯</w:t>
                  </w:r>
                </w:p>
              </w:tc>
              <w:tc>
                <w:tcPr>
                  <w:tcW w:w="490" w:type="pct"/>
                  <w:tcBorders>
                    <w:top w:val="single" w:color="auto" w:sz="4" w:space="0"/>
                    <w:bottom w:val="single" w:color="auto" w:sz="4" w:space="0"/>
                  </w:tcBorders>
                  <w:noWrap w:val="0"/>
                  <w:vAlign w:val="center"/>
                </w:tcPr>
                <w:p w14:paraId="7A3E0F07">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5F22914">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0154CF1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28</w:t>
                  </w:r>
                </w:p>
              </w:tc>
            </w:tr>
            <w:tr w14:paraId="3387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9824A8E">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31</w:t>
                  </w:r>
                </w:p>
              </w:tc>
              <w:tc>
                <w:tcPr>
                  <w:tcW w:w="1109" w:type="pct"/>
                  <w:gridSpan w:val="2"/>
                  <w:tcBorders>
                    <w:top w:val="single" w:color="auto" w:sz="4" w:space="0"/>
                    <w:bottom w:val="single" w:color="auto" w:sz="4" w:space="0"/>
                  </w:tcBorders>
                  <w:noWrap w:val="0"/>
                  <w:vAlign w:val="center"/>
                </w:tcPr>
                <w:p w14:paraId="66C2A3C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苯乙烯</w:t>
                  </w:r>
                </w:p>
              </w:tc>
              <w:tc>
                <w:tcPr>
                  <w:tcW w:w="490" w:type="pct"/>
                  <w:tcBorders>
                    <w:top w:val="single" w:color="auto" w:sz="4" w:space="0"/>
                    <w:bottom w:val="single" w:color="auto" w:sz="4" w:space="0"/>
                  </w:tcBorders>
                  <w:noWrap w:val="0"/>
                  <w:vAlign w:val="center"/>
                </w:tcPr>
                <w:p w14:paraId="67CF9C7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2DD86D70">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142E347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1290</w:t>
                  </w:r>
                </w:p>
              </w:tc>
            </w:tr>
            <w:tr w14:paraId="4B3D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3A5D0A2">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32</w:t>
                  </w:r>
                </w:p>
              </w:tc>
              <w:tc>
                <w:tcPr>
                  <w:tcW w:w="1109" w:type="pct"/>
                  <w:gridSpan w:val="2"/>
                  <w:tcBorders>
                    <w:top w:val="single" w:color="auto" w:sz="4" w:space="0"/>
                    <w:bottom w:val="single" w:color="auto" w:sz="4" w:space="0"/>
                  </w:tcBorders>
                  <w:noWrap w:val="0"/>
                  <w:vAlign w:val="center"/>
                </w:tcPr>
                <w:p w14:paraId="2B24FBD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甲苯</w:t>
                  </w:r>
                </w:p>
              </w:tc>
              <w:tc>
                <w:tcPr>
                  <w:tcW w:w="490" w:type="pct"/>
                  <w:tcBorders>
                    <w:top w:val="single" w:color="auto" w:sz="4" w:space="0"/>
                    <w:bottom w:val="single" w:color="auto" w:sz="4" w:space="0"/>
                  </w:tcBorders>
                  <w:noWrap w:val="0"/>
                  <w:vAlign w:val="center"/>
                </w:tcPr>
                <w:p w14:paraId="1C4FDE2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86DE26B">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7A10E40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1200</w:t>
                  </w:r>
                </w:p>
              </w:tc>
            </w:tr>
            <w:tr w14:paraId="175D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blHeader/>
                <w:jc w:val="center"/>
              </w:trPr>
              <w:tc>
                <w:tcPr>
                  <w:tcW w:w="409" w:type="pct"/>
                  <w:tcBorders>
                    <w:top w:val="single" w:color="auto" w:sz="4" w:space="0"/>
                    <w:bottom w:val="single" w:color="auto" w:sz="4" w:space="0"/>
                  </w:tcBorders>
                  <w:noWrap w:val="0"/>
                  <w:vAlign w:val="center"/>
                </w:tcPr>
                <w:p w14:paraId="7F199E6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33</w:t>
                  </w:r>
                </w:p>
              </w:tc>
              <w:tc>
                <w:tcPr>
                  <w:tcW w:w="1109" w:type="pct"/>
                  <w:gridSpan w:val="2"/>
                  <w:tcBorders>
                    <w:top w:val="single" w:color="auto" w:sz="4" w:space="0"/>
                    <w:bottom w:val="single" w:color="auto" w:sz="4" w:space="0"/>
                  </w:tcBorders>
                  <w:noWrap w:val="0"/>
                  <w:vAlign w:val="center"/>
                </w:tcPr>
                <w:p w14:paraId="71A7175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间/对二甲苯</w:t>
                  </w:r>
                </w:p>
              </w:tc>
              <w:tc>
                <w:tcPr>
                  <w:tcW w:w="490" w:type="pct"/>
                  <w:tcBorders>
                    <w:top w:val="single" w:color="auto" w:sz="4" w:space="0"/>
                    <w:bottom w:val="single" w:color="auto" w:sz="4" w:space="0"/>
                  </w:tcBorders>
                  <w:noWrap w:val="0"/>
                  <w:vAlign w:val="center"/>
                </w:tcPr>
                <w:p w14:paraId="7F6A8D9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51807B20">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063E22A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570</w:t>
                  </w:r>
                </w:p>
              </w:tc>
            </w:tr>
            <w:tr w14:paraId="71B8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055B532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34</w:t>
                  </w:r>
                </w:p>
              </w:tc>
              <w:tc>
                <w:tcPr>
                  <w:tcW w:w="1109" w:type="pct"/>
                  <w:gridSpan w:val="2"/>
                  <w:tcBorders>
                    <w:top w:val="single" w:color="auto" w:sz="4" w:space="0"/>
                    <w:bottom w:val="single" w:color="auto" w:sz="4" w:space="0"/>
                  </w:tcBorders>
                  <w:noWrap w:val="0"/>
                  <w:vAlign w:val="center"/>
                </w:tcPr>
                <w:p w14:paraId="78018DA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邻二甲苯</w:t>
                  </w:r>
                </w:p>
              </w:tc>
              <w:tc>
                <w:tcPr>
                  <w:tcW w:w="490" w:type="pct"/>
                  <w:tcBorders>
                    <w:top w:val="single" w:color="auto" w:sz="4" w:space="0"/>
                    <w:bottom w:val="single" w:color="auto" w:sz="4" w:space="0"/>
                  </w:tcBorders>
                  <w:noWrap w:val="0"/>
                  <w:vAlign w:val="center"/>
                </w:tcPr>
                <w:p w14:paraId="5C9CF24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12A6E04C">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00D7222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640</w:t>
                  </w:r>
                </w:p>
              </w:tc>
            </w:tr>
            <w:tr w14:paraId="3709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blHeader/>
                <w:jc w:val="center"/>
              </w:trPr>
              <w:tc>
                <w:tcPr>
                  <w:tcW w:w="409" w:type="pct"/>
                  <w:tcBorders>
                    <w:top w:val="single" w:color="auto" w:sz="4" w:space="0"/>
                    <w:bottom w:val="single" w:color="auto" w:sz="4" w:space="0"/>
                  </w:tcBorders>
                  <w:noWrap w:val="0"/>
                  <w:vAlign w:val="center"/>
                </w:tcPr>
                <w:p w14:paraId="45350D1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35</w:t>
                  </w:r>
                </w:p>
              </w:tc>
              <w:tc>
                <w:tcPr>
                  <w:tcW w:w="1109" w:type="pct"/>
                  <w:gridSpan w:val="2"/>
                  <w:tcBorders>
                    <w:top w:val="single" w:color="auto" w:sz="4" w:space="0"/>
                    <w:bottom w:val="single" w:color="auto" w:sz="4" w:space="0"/>
                  </w:tcBorders>
                  <w:noWrap w:val="0"/>
                  <w:vAlign w:val="center"/>
                </w:tcPr>
                <w:p w14:paraId="2B7EBD6D">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硝基苯</w:t>
                  </w:r>
                </w:p>
              </w:tc>
              <w:tc>
                <w:tcPr>
                  <w:tcW w:w="490" w:type="pct"/>
                  <w:tcBorders>
                    <w:top w:val="single" w:color="auto" w:sz="4" w:space="0"/>
                    <w:bottom w:val="single" w:color="auto" w:sz="4" w:space="0"/>
                  </w:tcBorders>
                  <w:noWrap w:val="0"/>
                  <w:vAlign w:val="center"/>
                </w:tcPr>
                <w:p w14:paraId="53C981E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23C56919">
                  <w:pPr>
                    <w:widowControl w:val="0"/>
                    <w:spacing w:line="240" w:lineRule="auto"/>
                    <w:ind w:left="0" w:leftChars="0"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0F3B403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76</w:t>
                  </w:r>
                </w:p>
              </w:tc>
            </w:tr>
            <w:tr w14:paraId="60B3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6525B57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36</w:t>
                  </w:r>
                </w:p>
              </w:tc>
              <w:tc>
                <w:tcPr>
                  <w:tcW w:w="1109" w:type="pct"/>
                  <w:gridSpan w:val="2"/>
                  <w:tcBorders>
                    <w:top w:val="single" w:color="auto" w:sz="4" w:space="0"/>
                    <w:bottom w:val="single" w:color="auto" w:sz="4" w:space="0"/>
                  </w:tcBorders>
                  <w:noWrap w:val="0"/>
                  <w:vAlign w:val="center"/>
                </w:tcPr>
                <w:p w14:paraId="016E059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苯胺</w:t>
                  </w:r>
                </w:p>
              </w:tc>
              <w:tc>
                <w:tcPr>
                  <w:tcW w:w="490" w:type="pct"/>
                  <w:tcBorders>
                    <w:top w:val="single" w:color="auto" w:sz="4" w:space="0"/>
                    <w:bottom w:val="single" w:color="auto" w:sz="4" w:space="0"/>
                  </w:tcBorders>
                  <w:noWrap w:val="0"/>
                  <w:vAlign w:val="center"/>
                </w:tcPr>
                <w:p w14:paraId="6F71C0EA">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0A37D975">
                  <w:pPr>
                    <w:widowControl w:val="0"/>
                    <w:spacing w:line="240" w:lineRule="auto"/>
                    <w:ind w:left="0" w:leftChars="0"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08AF33C7">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260</w:t>
                  </w:r>
                </w:p>
              </w:tc>
            </w:tr>
            <w:tr w14:paraId="72D5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81E3FFB">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37</w:t>
                  </w:r>
                </w:p>
              </w:tc>
              <w:tc>
                <w:tcPr>
                  <w:tcW w:w="1109" w:type="pct"/>
                  <w:gridSpan w:val="2"/>
                  <w:tcBorders>
                    <w:top w:val="single" w:color="auto" w:sz="4" w:space="0"/>
                    <w:bottom w:val="single" w:color="auto" w:sz="4" w:space="0"/>
                  </w:tcBorders>
                  <w:noWrap w:val="0"/>
                  <w:vAlign w:val="center"/>
                </w:tcPr>
                <w:p w14:paraId="0F62E1E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2-氯酚</w:t>
                  </w:r>
                </w:p>
              </w:tc>
              <w:tc>
                <w:tcPr>
                  <w:tcW w:w="490" w:type="pct"/>
                  <w:tcBorders>
                    <w:top w:val="single" w:color="auto" w:sz="4" w:space="0"/>
                    <w:bottom w:val="single" w:color="auto" w:sz="4" w:space="0"/>
                  </w:tcBorders>
                  <w:noWrap w:val="0"/>
                  <w:vAlign w:val="center"/>
                </w:tcPr>
                <w:p w14:paraId="0B7E7E4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0BB88A1C">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765086CF">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2256</w:t>
                  </w:r>
                </w:p>
              </w:tc>
            </w:tr>
            <w:tr w14:paraId="2ED9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0A656CA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38</w:t>
                  </w:r>
                </w:p>
              </w:tc>
              <w:tc>
                <w:tcPr>
                  <w:tcW w:w="1109" w:type="pct"/>
                  <w:gridSpan w:val="2"/>
                  <w:tcBorders>
                    <w:top w:val="single" w:color="auto" w:sz="4" w:space="0"/>
                    <w:bottom w:val="single" w:color="auto" w:sz="4" w:space="0"/>
                  </w:tcBorders>
                  <w:noWrap w:val="0"/>
                  <w:vAlign w:val="center"/>
                </w:tcPr>
                <w:p w14:paraId="3BDEBD33">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苯并[a]蒽</w:t>
                  </w:r>
                </w:p>
              </w:tc>
              <w:tc>
                <w:tcPr>
                  <w:tcW w:w="490" w:type="pct"/>
                  <w:tcBorders>
                    <w:top w:val="single" w:color="auto" w:sz="4" w:space="0"/>
                    <w:bottom w:val="single" w:color="auto" w:sz="4" w:space="0"/>
                  </w:tcBorders>
                  <w:noWrap w:val="0"/>
                  <w:vAlign w:val="center"/>
                </w:tcPr>
                <w:p w14:paraId="1D8C1FC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050BE1A">
                  <w:pPr>
                    <w:widowControl w:val="0"/>
                    <w:spacing w:line="240" w:lineRule="auto"/>
                    <w:ind w:left="0" w:leftChars="0"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2516173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15</w:t>
                  </w:r>
                </w:p>
              </w:tc>
            </w:tr>
            <w:tr w14:paraId="5798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761AA9B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39</w:t>
                  </w:r>
                </w:p>
              </w:tc>
              <w:tc>
                <w:tcPr>
                  <w:tcW w:w="1109" w:type="pct"/>
                  <w:gridSpan w:val="2"/>
                  <w:tcBorders>
                    <w:top w:val="single" w:color="auto" w:sz="4" w:space="0"/>
                    <w:bottom w:val="single" w:color="auto" w:sz="4" w:space="0"/>
                  </w:tcBorders>
                  <w:noWrap w:val="0"/>
                  <w:vAlign w:val="center"/>
                </w:tcPr>
                <w:p w14:paraId="554BB13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苯并[a]芘</w:t>
                  </w:r>
                </w:p>
              </w:tc>
              <w:tc>
                <w:tcPr>
                  <w:tcW w:w="490" w:type="pct"/>
                  <w:tcBorders>
                    <w:top w:val="single" w:color="auto" w:sz="4" w:space="0"/>
                    <w:bottom w:val="single" w:color="auto" w:sz="4" w:space="0"/>
                  </w:tcBorders>
                  <w:noWrap w:val="0"/>
                  <w:vAlign w:val="center"/>
                </w:tcPr>
                <w:p w14:paraId="2BA6EE3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1B10837D">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617581B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1.5</w:t>
                  </w:r>
                </w:p>
              </w:tc>
            </w:tr>
            <w:tr w14:paraId="14B2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23B83F9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40</w:t>
                  </w:r>
                </w:p>
              </w:tc>
              <w:tc>
                <w:tcPr>
                  <w:tcW w:w="1109" w:type="pct"/>
                  <w:gridSpan w:val="2"/>
                  <w:tcBorders>
                    <w:top w:val="single" w:color="auto" w:sz="4" w:space="0"/>
                    <w:bottom w:val="single" w:color="auto" w:sz="4" w:space="0"/>
                  </w:tcBorders>
                  <w:noWrap w:val="0"/>
                  <w:vAlign w:val="center"/>
                </w:tcPr>
                <w:p w14:paraId="6706ECB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苯并[b]荧蒽</w:t>
                  </w:r>
                </w:p>
              </w:tc>
              <w:tc>
                <w:tcPr>
                  <w:tcW w:w="490" w:type="pct"/>
                  <w:tcBorders>
                    <w:top w:val="single" w:color="auto" w:sz="4" w:space="0"/>
                    <w:bottom w:val="single" w:color="auto" w:sz="4" w:space="0"/>
                  </w:tcBorders>
                  <w:noWrap w:val="0"/>
                  <w:vAlign w:val="center"/>
                </w:tcPr>
                <w:p w14:paraId="2D579D8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6823579">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41E4DE24">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15</w:t>
                  </w:r>
                </w:p>
              </w:tc>
            </w:tr>
            <w:tr w14:paraId="15E5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57095E5C">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41</w:t>
                  </w:r>
                </w:p>
              </w:tc>
              <w:tc>
                <w:tcPr>
                  <w:tcW w:w="1109" w:type="pct"/>
                  <w:gridSpan w:val="2"/>
                  <w:tcBorders>
                    <w:top w:val="single" w:color="auto" w:sz="4" w:space="0"/>
                    <w:bottom w:val="single" w:color="auto" w:sz="4" w:space="0"/>
                  </w:tcBorders>
                  <w:noWrap w:val="0"/>
                  <w:vAlign w:val="center"/>
                </w:tcPr>
                <w:p w14:paraId="464DEE3B">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苯并[k]荧蒽</w:t>
                  </w:r>
                </w:p>
              </w:tc>
              <w:tc>
                <w:tcPr>
                  <w:tcW w:w="490" w:type="pct"/>
                  <w:tcBorders>
                    <w:top w:val="single" w:color="auto" w:sz="4" w:space="0"/>
                    <w:bottom w:val="single" w:color="auto" w:sz="4" w:space="0"/>
                  </w:tcBorders>
                  <w:noWrap w:val="0"/>
                  <w:vAlign w:val="center"/>
                </w:tcPr>
                <w:p w14:paraId="5C01A6F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34F2370C">
                  <w:pPr>
                    <w:widowControl w:val="0"/>
                    <w:spacing w:line="240" w:lineRule="auto"/>
                    <w:ind w:left="0" w:leftChars="0"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0.0105</w:t>
                  </w:r>
                </w:p>
              </w:tc>
              <w:tc>
                <w:tcPr>
                  <w:tcW w:w="670" w:type="pct"/>
                  <w:tcBorders>
                    <w:top w:val="single" w:color="auto" w:sz="4" w:space="0"/>
                    <w:bottom w:val="single" w:color="auto" w:sz="4" w:space="0"/>
                  </w:tcBorders>
                  <w:noWrap w:val="0"/>
                  <w:vAlign w:val="center"/>
                </w:tcPr>
                <w:p w14:paraId="2EB4EA12">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151</w:t>
                  </w:r>
                </w:p>
              </w:tc>
            </w:tr>
            <w:tr w14:paraId="5246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743E8E8">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42</w:t>
                  </w:r>
                </w:p>
              </w:tc>
              <w:tc>
                <w:tcPr>
                  <w:tcW w:w="1109" w:type="pct"/>
                  <w:gridSpan w:val="2"/>
                  <w:tcBorders>
                    <w:top w:val="single" w:color="auto" w:sz="4" w:space="0"/>
                    <w:bottom w:val="single" w:color="auto" w:sz="4" w:space="0"/>
                  </w:tcBorders>
                  <w:noWrap w:val="0"/>
                  <w:vAlign w:val="center"/>
                </w:tcPr>
                <w:p w14:paraId="63B3767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䓛</w:t>
                  </w:r>
                </w:p>
              </w:tc>
              <w:tc>
                <w:tcPr>
                  <w:tcW w:w="490" w:type="pct"/>
                  <w:tcBorders>
                    <w:top w:val="single" w:color="auto" w:sz="4" w:space="0"/>
                    <w:bottom w:val="single" w:color="auto" w:sz="4" w:space="0"/>
                  </w:tcBorders>
                  <w:noWrap w:val="0"/>
                  <w:vAlign w:val="center"/>
                </w:tcPr>
                <w:p w14:paraId="3E38CD3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408DA804">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1B5EA7BA">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1293</w:t>
                  </w:r>
                </w:p>
              </w:tc>
            </w:tr>
            <w:tr w14:paraId="7F08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7A627F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43</w:t>
                  </w:r>
                </w:p>
              </w:tc>
              <w:tc>
                <w:tcPr>
                  <w:tcW w:w="1109" w:type="pct"/>
                  <w:gridSpan w:val="2"/>
                  <w:tcBorders>
                    <w:top w:val="single" w:color="auto" w:sz="4" w:space="0"/>
                    <w:bottom w:val="single" w:color="auto" w:sz="4" w:space="0"/>
                  </w:tcBorders>
                  <w:noWrap w:val="0"/>
                  <w:vAlign w:val="center"/>
                </w:tcPr>
                <w:p w14:paraId="7B8AE61E">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二苯并[a,h]蒽</w:t>
                  </w:r>
                </w:p>
              </w:tc>
              <w:tc>
                <w:tcPr>
                  <w:tcW w:w="490" w:type="pct"/>
                  <w:tcBorders>
                    <w:top w:val="single" w:color="auto" w:sz="4" w:space="0"/>
                    <w:bottom w:val="single" w:color="auto" w:sz="4" w:space="0"/>
                  </w:tcBorders>
                  <w:noWrap w:val="0"/>
                  <w:vAlign w:val="center"/>
                </w:tcPr>
                <w:p w14:paraId="544F9AA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30AF13AB">
                  <w:pPr>
                    <w:widowControl w:val="0"/>
                    <w:spacing w:line="240" w:lineRule="auto"/>
                    <w:ind w:left="0" w:leftChars="0"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1A0FA606">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1.5</w:t>
                  </w:r>
                </w:p>
              </w:tc>
            </w:tr>
            <w:tr w14:paraId="683C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39B8E2A3">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44</w:t>
                  </w:r>
                </w:p>
              </w:tc>
              <w:tc>
                <w:tcPr>
                  <w:tcW w:w="1109" w:type="pct"/>
                  <w:gridSpan w:val="2"/>
                  <w:tcBorders>
                    <w:top w:val="single" w:color="auto" w:sz="4" w:space="0"/>
                    <w:bottom w:val="single" w:color="auto" w:sz="4" w:space="0"/>
                  </w:tcBorders>
                  <w:noWrap w:val="0"/>
                  <w:vAlign w:val="center"/>
                </w:tcPr>
                <w:p w14:paraId="6E2BEDB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茚并[1,2,3-cd]芘</w:t>
                  </w:r>
                </w:p>
              </w:tc>
              <w:tc>
                <w:tcPr>
                  <w:tcW w:w="490" w:type="pct"/>
                  <w:tcBorders>
                    <w:top w:val="single" w:color="auto" w:sz="4" w:space="0"/>
                    <w:bottom w:val="single" w:color="auto" w:sz="4" w:space="0"/>
                  </w:tcBorders>
                  <w:noWrap w:val="0"/>
                  <w:vAlign w:val="center"/>
                </w:tcPr>
                <w:p w14:paraId="29C1E1D0">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7DDC70F0">
                  <w:pPr>
                    <w:widowControl w:val="0"/>
                    <w:spacing w:line="240" w:lineRule="auto"/>
                    <w:ind w:left="0" w:leftChars="0"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ND</w:t>
                  </w:r>
                </w:p>
              </w:tc>
              <w:tc>
                <w:tcPr>
                  <w:tcW w:w="670" w:type="pct"/>
                  <w:tcBorders>
                    <w:top w:val="single" w:color="auto" w:sz="4" w:space="0"/>
                    <w:bottom w:val="single" w:color="auto" w:sz="4" w:space="0"/>
                  </w:tcBorders>
                  <w:noWrap w:val="0"/>
                  <w:vAlign w:val="center"/>
                </w:tcPr>
                <w:p w14:paraId="08097E55">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15</w:t>
                  </w:r>
                </w:p>
              </w:tc>
            </w:tr>
            <w:tr w14:paraId="3755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0A275129">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45</w:t>
                  </w:r>
                </w:p>
              </w:tc>
              <w:tc>
                <w:tcPr>
                  <w:tcW w:w="1109" w:type="pct"/>
                  <w:gridSpan w:val="2"/>
                  <w:tcBorders>
                    <w:top w:val="single" w:color="auto" w:sz="4" w:space="0"/>
                    <w:bottom w:val="single" w:color="auto" w:sz="4" w:space="0"/>
                  </w:tcBorders>
                  <w:noWrap w:val="0"/>
                  <w:vAlign w:val="center"/>
                </w:tcPr>
                <w:p w14:paraId="318BDD3B">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萘</w:t>
                  </w:r>
                </w:p>
              </w:tc>
              <w:tc>
                <w:tcPr>
                  <w:tcW w:w="490" w:type="pct"/>
                  <w:tcBorders>
                    <w:top w:val="single" w:color="auto" w:sz="4" w:space="0"/>
                    <w:bottom w:val="single" w:color="auto" w:sz="4" w:space="0"/>
                  </w:tcBorders>
                  <w:noWrap w:val="0"/>
                  <w:vAlign w:val="center"/>
                </w:tcPr>
                <w:p w14:paraId="186FBFD3">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6143D4B8">
                  <w:pPr>
                    <w:widowControl w:val="0"/>
                    <w:spacing w:line="240" w:lineRule="auto"/>
                    <w:ind w:left="0" w:leftChars="0"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ND</w:t>
                  </w:r>
                </w:p>
              </w:tc>
              <w:tc>
                <w:tcPr>
                  <w:tcW w:w="670" w:type="pct"/>
                  <w:tcBorders>
                    <w:top w:val="single" w:color="auto" w:sz="4" w:space="0"/>
                    <w:bottom w:val="single" w:color="auto" w:sz="4" w:space="0"/>
                  </w:tcBorders>
                  <w:noWrap w:val="0"/>
                  <w:vAlign w:val="center"/>
                </w:tcPr>
                <w:p w14:paraId="5B93FB6E">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70</w:t>
                  </w:r>
                </w:p>
              </w:tc>
            </w:tr>
            <w:tr w14:paraId="1133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blHeader/>
                <w:jc w:val="center"/>
              </w:trPr>
              <w:tc>
                <w:tcPr>
                  <w:tcW w:w="409" w:type="pct"/>
                  <w:tcBorders>
                    <w:top w:val="single" w:color="auto" w:sz="4" w:space="0"/>
                    <w:bottom w:val="single" w:color="auto" w:sz="4" w:space="0"/>
                  </w:tcBorders>
                  <w:noWrap w:val="0"/>
                  <w:vAlign w:val="center"/>
                </w:tcPr>
                <w:p w14:paraId="75467CBC">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46</w:t>
                  </w:r>
                </w:p>
              </w:tc>
              <w:tc>
                <w:tcPr>
                  <w:tcW w:w="1109" w:type="pct"/>
                  <w:gridSpan w:val="2"/>
                  <w:tcBorders>
                    <w:top w:val="single" w:color="auto" w:sz="4" w:space="0"/>
                    <w:bottom w:val="single" w:color="auto" w:sz="4" w:space="0"/>
                  </w:tcBorders>
                  <w:noWrap w:val="0"/>
                  <w:vAlign w:val="center"/>
                </w:tcPr>
                <w:p w14:paraId="21A507A8">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石油烃（C</w:t>
                  </w:r>
                  <w:r>
                    <w:rPr>
                      <w:rFonts w:hint="eastAsia" w:ascii="Times New Roman" w:hAnsi="Times New Roman" w:eastAsia="宋体" w:cs="Times New Roman"/>
                      <w:color w:val="auto"/>
                      <w:kern w:val="2"/>
                      <w:sz w:val="21"/>
                      <w:highlight w:val="none"/>
                      <w:vertAlign w:val="subscript"/>
                      <w:lang w:val="en-US" w:eastAsia="zh-CN" w:bidi="ar-SA"/>
                    </w:rPr>
                    <w:t>10</w:t>
                  </w: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40</w:t>
                  </w:r>
                  <w:r>
                    <w:rPr>
                      <w:rFonts w:hint="eastAsia" w:ascii="Times New Roman" w:hAnsi="Times New Roman" w:eastAsia="宋体" w:cs="Times New Roman"/>
                      <w:color w:val="auto"/>
                      <w:kern w:val="2"/>
                      <w:sz w:val="21"/>
                      <w:highlight w:val="none"/>
                      <w:lang w:val="en-US" w:eastAsia="zh-CN" w:bidi="ar-SA"/>
                    </w:rPr>
                    <w:t>）</w:t>
                  </w:r>
                </w:p>
              </w:tc>
              <w:tc>
                <w:tcPr>
                  <w:tcW w:w="490" w:type="pct"/>
                  <w:tcBorders>
                    <w:top w:val="single" w:color="auto" w:sz="4" w:space="0"/>
                    <w:bottom w:val="single" w:color="auto" w:sz="4" w:space="0"/>
                  </w:tcBorders>
                  <w:noWrap w:val="0"/>
                  <w:vAlign w:val="center"/>
                </w:tcPr>
                <w:p w14:paraId="35C69762">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mg</w:t>
                  </w:r>
                  <w:r>
                    <w:rPr>
                      <w:rFonts w:ascii="Times New Roman" w:hAnsi="Times New Roman" w:eastAsia="宋体" w:cs="Times New Roman"/>
                      <w:color w:val="auto"/>
                      <w:kern w:val="2"/>
                      <w:sz w:val="21"/>
                      <w:highlight w:val="none"/>
                      <w:lang w:val="en-US" w:eastAsia="zh-CN" w:bidi="ar-SA"/>
                    </w:rPr>
                    <w:t>/kg</w:t>
                  </w:r>
                </w:p>
              </w:tc>
              <w:tc>
                <w:tcPr>
                  <w:tcW w:w="2319" w:type="pct"/>
                  <w:gridSpan w:val="2"/>
                  <w:tcBorders>
                    <w:top w:val="single" w:color="auto" w:sz="4" w:space="0"/>
                    <w:bottom w:val="single" w:color="auto" w:sz="4" w:space="0"/>
                  </w:tcBorders>
                  <w:noWrap w:val="0"/>
                  <w:vAlign w:val="center"/>
                </w:tcPr>
                <w:p w14:paraId="1C9FB917">
                  <w:pPr>
                    <w:widowControl w:val="0"/>
                    <w:spacing w:line="240" w:lineRule="auto"/>
                    <w:ind w:left="0" w:leftChars="0"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7</w:t>
                  </w:r>
                </w:p>
              </w:tc>
              <w:tc>
                <w:tcPr>
                  <w:tcW w:w="670" w:type="pct"/>
                  <w:tcBorders>
                    <w:top w:val="single" w:color="auto" w:sz="4" w:space="0"/>
                    <w:bottom w:val="single" w:color="auto" w:sz="4" w:space="0"/>
                  </w:tcBorders>
                  <w:noWrap w:val="0"/>
                  <w:vAlign w:val="center"/>
                </w:tcPr>
                <w:p w14:paraId="4B059941">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4500</w:t>
                  </w:r>
                </w:p>
              </w:tc>
            </w:tr>
            <w:tr w14:paraId="22EF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09" w:type="pct"/>
                  <w:tcBorders>
                    <w:top w:val="single" w:color="auto" w:sz="4" w:space="0"/>
                    <w:bottom w:val="single" w:color="auto" w:sz="4" w:space="0"/>
                  </w:tcBorders>
                  <w:noWrap w:val="0"/>
                  <w:vAlign w:val="center"/>
                </w:tcPr>
                <w:p w14:paraId="71CEAFF6">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备注</w:t>
                  </w:r>
                </w:p>
              </w:tc>
              <w:tc>
                <w:tcPr>
                  <w:tcW w:w="4590" w:type="pct"/>
                  <w:gridSpan w:val="6"/>
                  <w:tcBorders>
                    <w:top w:val="single" w:color="auto" w:sz="4" w:space="0"/>
                    <w:bottom w:val="single" w:color="auto" w:sz="4" w:space="0"/>
                  </w:tcBorders>
                  <w:noWrap w:val="0"/>
                  <w:vAlign w:val="center"/>
                </w:tcPr>
                <w:p w14:paraId="12D5FA39">
                  <w:pPr>
                    <w:widowControl w:val="0"/>
                    <w:spacing w:line="240" w:lineRule="auto"/>
                    <w:ind w:firstLine="0" w:firstLineChars="0"/>
                    <w:jc w:val="left"/>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1..检测点位和执行标准由委托方提供，执行</w:t>
                  </w:r>
                  <w:r>
                    <w:rPr>
                      <w:rFonts w:hint="eastAsia" w:cs="Times New Roman"/>
                      <w:color w:val="auto"/>
                      <w:kern w:val="2"/>
                      <w:sz w:val="21"/>
                      <w:highlight w:val="none"/>
                      <w:lang w:val="en-US" w:eastAsia="zh-CN" w:bidi="ar-SA"/>
                    </w:rPr>
                    <w:t>《土壤环境质量 建设用地土壤污染风险管控标准（试行）》</w:t>
                  </w:r>
                  <w:r>
                    <w:rPr>
                      <w:rFonts w:hint="default" w:ascii="Times New Roman" w:hAnsi="Times New Roman" w:eastAsia="宋体" w:cs="Times New Roman"/>
                      <w:color w:val="auto"/>
                      <w:kern w:val="2"/>
                      <w:sz w:val="21"/>
                      <w:highlight w:val="none"/>
                      <w:lang w:val="en-US" w:eastAsia="zh-CN" w:bidi="ar-SA"/>
                    </w:rPr>
                    <w:t>（GB 36600-2018）</w:t>
                  </w:r>
                  <w:r>
                    <w:rPr>
                      <w:rFonts w:hint="eastAsia" w:ascii="Times New Roman" w:hAnsi="Times New Roman" w:eastAsia="宋体" w:cs="Times New Roman"/>
                      <w:color w:val="auto"/>
                      <w:kern w:val="2"/>
                      <w:sz w:val="21"/>
                      <w:highlight w:val="none"/>
                      <w:lang w:val="en-US" w:eastAsia="zh-CN" w:bidi="ar-SA"/>
                    </w:rPr>
                    <w:t>筛选值第二类用地标准；</w:t>
                  </w:r>
                </w:p>
                <w:p w14:paraId="684EC9B2">
                  <w:pPr>
                    <w:widowControl w:val="0"/>
                    <w:spacing w:line="240" w:lineRule="auto"/>
                    <w:ind w:firstLine="0" w:firstLineChars="0"/>
                    <w:jc w:val="left"/>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2.“ND”表示未检出或低于检出限，检出限详见分析方法一览表。</w:t>
                  </w:r>
                </w:p>
              </w:tc>
            </w:tr>
          </w:tbl>
          <w:p w14:paraId="3325ABE9">
            <w:pPr>
              <w:spacing w:line="360" w:lineRule="auto"/>
              <w:ind w:firstLine="480" w:firstLineChars="200"/>
              <w:rPr>
                <w:rFonts w:hint="eastAsia" w:ascii="Times New Roman" w:hAnsi="Times New Roman" w:eastAsia="宋体" w:cs="Times New Roman"/>
                <w:b/>
                <w:bCs/>
                <w:snapToGrid w:val="0"/>
                <w:color w:val="auto"/>
                <w:kern w:val="0"/>
                <w:sz w:val="24"/>
                <w:highlight w:val="none"/>
                <w:lang w:val="en-US" w:eastAsia="zh-CN"/>
              </w:rPr>
            </w:pPr>
            <w:r>
              <w:rPr>
                <w:rFonts w:hint="default" w:ascii="Times New Roman" w:hAnsi="Times New Roman" w:cs="Times New Roman"/>
                <w:snapToGrid w:val="0"/>
                <w:color w:val="auto"/>
                <w:kern w:val="0"/>
                <w:sz w:val="24"/>
                <w:highlight w:val="none"/>
              </w:rPr>
              <w:t>由上表可见，</w:t>
            </w:r>
            <w:bookmarkStart w:id="10" w:name="_Hlk478628767"/>
            <w:r>
              <w:rPr>
                <w:rFonts w:hint="default" w:ascii="Times New Roman" w:hAnsi="Times New Roman" w:cs="Times New Roman"/>
                <w:snapToGrid w:val="0"/>
                <w:color w:val="auto"/>
                <w:kern w:val="0"/>
                <w:sz w:val="24"/>
                <w:highlight w:val="none"/>
              </w:rPr>
              <w:t>各</w:t>
            </w:r>
            <w:r>
              <w:rPr>
                <w:rFonts w:hint="default" w:ascii="Times New Roman" w:hAnsi="Times New Roman" w:cs="Times New Roman"/>
                <w:snapToGrid w:val="0"/>
                <w:color w:val="auto"/>
                <w:kern w:val="0"/>
                <w:sz w:val="24"/>
                <w:highlight w:val="none"/>
                <w:lang w:eastAsia="zh-CN"/>
              </w:rPr>
              <w:t>检测</w:t>
            </w:r>
            <w:r>
              <w:rPr>
                <w:rFonts w:hint="default" w:ascii="Times New Roman" w:hAnsi="Times New Roman" w:cs="Times New Roman"/>
                <w:snapToGrid w:val="0"/>
                <w:color w:val="auto"/>
                <w:kern w:val="0"/>
                <w:sz w:val="24"/>
                <w:highlight w:val="none"/>
              </w:rPr>
              <w:t>因子均可满足</w:t>
            </w:r>
            <w:bookmarkEnd w:id="10"/>
            <w:r>
              <w:rPr>
                <w:rFonts w:hint="default" w:ascii="Times New Roman" w:hAnsi="Times New Roman" w:cs="Times New Roman"/>
                <w:snapToGrid w:val="0"/>
                <w:color w:val="auto"/>
                <w:kern w:val="0"/>
                <w:sz w:val="24"/>
                <w:highlight w:val="none"/>
              </w:rPr>
              <w:t>《土壤环境质量建设用地土壤污染风险管控标准（试行）》（GB36600-2018）中表1建设用地土壤污染风险第二类用地筛选值。</w:t>
            </w:r>
          </w:p>
          <w:p w14:paraId="0F376A53">
            <w:pPr>
              <w:spacing w:line="360" w:lineRule="auto"/>
              <w:ind w:firstLine="482" w:firstLineChars="200"/>
              <w:rPr>
                <w:rFonts w:hint="default" w:ascii="Times New Roman" w:hAnsi="Times New Roman" w:eastAsia="宋体" w:cs="Times New Roman"/>
                <w:b/>
                <w:bCs/>
                <w:snapToGrid w:val="0"/>
                <w:color w:val="auto"/>
                <w:kern w:val="0"/>
                <w:sz w:val="24"/>
                <w:highlight w:val="none"/>
              </w:rPr>
            </w:pPr>
            <w:r>
              <w:rPr>
                <w:rFonts w:hint="eastAsia" w:ascii="Times New Roman" w:hAnsi="Times New Roman" w:eastAsia="宋体" w:cs="Times New Roman"/>
                <w:b/>
                <w:bCs/>
                <w:snapToGrid w:val="0"/>
                <w:color w:val="auto"/>
                <w:kern w:val="0"/>
                <w:sz w:val="24"/>
                <w:highlight w:val="none"/>
                <w:lang w:val="en-US" w:eastAsia="zh-CN"/>
              </w:rPr>
              <w:t>4</w:t>
            </w:r>
            <w:r>
              <w:rPr>
                <w:rFonts w:hint="eastAsia" w:ascii="Times New Roman" w:hAnsi="Times New Roman" w:eastAsia="宋体" w:cs="Times New Roman"/>
                <w:b/>
                <w:bCs/>
                <w:snapToGrid w:val="0"/>
                <w:color w:val="auto"/>
                <w:kern w:val="0"/>
                <w:sz w:val="24"/>
                <w:highlight w:val="none"/>
              </w:rPr>
              <w:t>、</w:t>
            </w:r>
            <w:r>
              <w:rPr>
                <w:rFonts w:hint="eastAsia" w:cs="Times New Roman"/>
                <w:b/>
                <w:bCs/>
                <w:snapToGrid w:val="0"/>
                <w:color w:val="auto"/>
                <w:kern w:val="0"/>
                <w:sz w:val="24"/>
                <w:highlight w:val="none"/>
                <w:lang w:val="en-US" w:eastAsia="zh-CN"/>
              </w:rPr>
              <w:t>声</w:t>
            </w:r>
            <w:r>
              <w:rPr>
                <w:rFonts w:hint="eastAsia" w:ascii="Times New Roman" w:hAnsi="Times New Roman" w:eastAsia="宋体" w:cs="Times New Roman"/>
                <w:b/>
                <w:bCs/>
                <w:snapToGrid w:val="0"/>
                <w:color w:val="auto"/>
                <w:kern w:val="0"/>
                <w:sz w:val="24"/>
                <w:highlight w:val="none"/>
              </w:rPr>
              <w:t>环境质量现状</w:t>
            </w:r>
          </w:p>
          <w:p w14:paraId="3DE458FE">
            <w:pPr>
              <w:spacing w:line="360" w:lineRule="auto"/>
              <w:ind w:firstLine="480" w:firstLineChars="200"/>
              <w:rPr>
                <w:rFonts w:hint="eastAsia" w:cs="Times New Roman"/>
                <w:color w:val="auto"/>
                <w:kern w:val="2"/>
                <w:sz w:val="24"/>
                <w:szCs w:val="24"/>
                <w:highlight w:val="none"/>
                <w:lang w:val="en-US" w:eastAsia="zh-CN" w:bidi="zh-CN"/>
              </w:rPr>
            </w:pPr>
            <w:r>
              <w:rPr>
                <w:rFonts w:hint="default" w:ascii="Times New Roman" w:hAnsi="Times New Roman" w:eastAsia="宋体" w:cs="Times New Roman"/>
                <w:color w:val="auto"/>
                <w:kern w:val="2"/>
                <w:sz w:val="24"/>
                <w:szCs w:val="24"/>
                <w:highlight w:val="none"/>
                <w:lang w:val="en-US" w:eastAsia="zh-CN" w:bidi="zh-CN"/>
              </w:rPr>
              <w:t>本次</w:t>
            </w:r>
            <w:r>
              <w:rPr>
                <w:rFonts w:hint="eastAsia" w:cs="Times New Roman"/>
                <w:color w:val="auto"/>
                <w:kern w:val="2"/>
                <w:sz w:val="24"/>
                <w:szCs w:val="24"/>
                <w:highlight w:val="none"/>
                <w:lang w:val="en-US" w:eastAsia="zh-CN" w:bidi="zh-CN"/>
              </w:rPr>
              <w:t>声</w:t>
            </w:r>
            <w:r>
              <w:rPr>
                <w:rFonts w:hint="default" w:ascii="Times New Roman" w:hAnsi="Times New Roman" w:eastAsia="宋体" w:cs="Times New Roman"/>
                <w:color w:val="auto"/>
                <w:kern w:val="2"/>
                <w:sz w:val="24"/>
                <w:szCs w:val="24"/>
                <w:highlight w:val="none"/>
                <w:lang w:val="en-US" w:eastAsia="zh-CN" w:bidi="zh-CN"/>
              </w:rPr>
              <w:t>环境现状委托</w:t>
            </w:r>
            <w:r>
              <w:rPr>
                <w:rFonts w:hint="eastAsia" w:cs="Times New Roman"/>
                <w:color w:val="auto"/>
                <w:kern w:val="2"/>
                <w:sz w:val="24"/>
                <w:szCs w:val="24"/>
                <w:highlight w:val="none"/>
                <w:lang w:val="en-US" w:eastAsia="zh-CN" w:bidi="zh-CN"/>
              </w:rPr>
              <w:t>内蒙古华智鼎检测技术有限公司</w:t>
            </w:r>
            <w:r>
              <w:rPr>
                <w:rFonts w:hint="default" w:ascii="Times New Roman" w:hAnsi="Times New Roman" w:eastAsia="宋体" w:cs="Times New Roman"/>
                <w:color w:val="auto"/>
                <w:kern w:val="2"/>
                <w:sz w:val="24"/>
                <w:szCs w:val="24"/>
                <w:highlight w:val="none"/>
                <w:lang w:val="en-US" w:eastAsia="zh-CN" w:bidi="zh-CN"/>
              </w:rPr>
              <w:t>于202</w:t>
            </w:r>
            <w:r>
              <w:rPr>
                <w:rFonts w:hint="eastAsia" w:cs="Times New Roman"/>
                <w:color w:val="auto"/>
                <w:kern w:val="2"/>
                <w:sz w:val="24"/>
                <w:szCs w:val="24"/>
                <w:highlight w:val="none"/>
                <w:lang w:val="en-US" w:eastAsia="zh-CN" w:bidi="zh-CN"/>
              </w:rPr>
              <w:t>5</w:t>
            </w:r>
            <w:r>
              <w:rPr>
                <w:rFonts w:hint="default" w:ascii="Times New Roman" w:hAnsi="Times New Roman" w:eastAsia="宋体" w:cs="Times New Roman"/>
                <w:color w:val="auto"/>
                <w:kern w:val="2"/>
                <w:sz w:val="24"/>
                <w:szCs w:val="24"/>
                <w:highlight w:val="none"/>
                <w:lang w:val="en-US" w:eastAsia="zh-CN" w:bidi="zh-CN"/>
              </w:rPr>
              <w:t>年</w:t>
            </w:r>
            <w:r>
              <w:rPr>
                <w:rFonts w:hint="eastAsia" w:cs="Times New Roman"/>
                <w:color w:val="auto"/>
                <w:kern w:val="2"/>
                <w:sz w:val="24"/>
                <w:szCs w:val="24"/>
                <w:highlight w:val="none"/>
                <w:lang w:val="en-US" w:eastAsia="zh-CN" w:bidi="zh-CN"/>
              </w:rPr>
              <w:t>11</w:t>
            </w:r>
            <w:r>
              <w:rPr>
                <w:rFonts w:hint="default" w:ascii="Times New Roman" w:hAnsi="Times New Roman" w:eastAsia="宋体" w:cs="Times New Roman"/>
                <w:color w:val="auto"/>
                <w:kern w:val="2"/>
                <w:sz w:val="24"/>
                <w:szCs w:val="24"/>
                <w:highlight w:val="none"/>
                <w:lang w:val="en-US" w:eastAsia="zh-CN" w:bidi="zh-CN"/>
              </w:rPr>
              <w:t>月1</w:t>
            </w:r>
            <w:r>
              <w:rPr>
                <w:rFonts w:hint="eastAsia" w:cs="Times New Roman"/>
                <w:color w:val="auto"/>
                <w:kern w:val="2"/>
                <w:sz w:val="24"/>
                <w:szCs w:val="24"/>
                <w:highlight w:val="none"/>
                <w:lang w:val="en-US" w:eastAsia="zh-CN" w:bidi="zh-CN"/>
              </w:rPr>
              <w:t>6</w:t>
            </w:r>
            <w:r>
              <w:rPr>
                <w:rFonts w:hint="default" w:ascii="Times New Roman" w:hAnsi="Times New Roman" w:eastAsia="宋体" w:cs="Times New Roman"/>
                <w:color w:val="auto"/>
                <w:kern w:val="2"/>
                <w:sz w:val="24"/>
                <w:szCs w:val="24"/>
                <w:highlight w:val="none"/>
                <w:lang w:val="en-US" w:eastAsia="zh-CN" w:bidi="zh-CN"/>
              </w:rPr>
              <w:t>日～202</w:t>
            </w:r>
            <w:r>
              <w:rPr>
                <w:rFonts w:hint="eastAsia" w:cs="Times New Roman"/>
                <w:color w:val="auto"/>
                <w:kern w:val="2"/>
                <w:sz w:val="24"/>
                <w:szCs w:val="24"/>
                <w:highlight w:val="none"/>
                <w:lang w:val="en-US" w:eastAsia="zh-CN" w:bidi="zh-CN"/>
              </w:rPr>
              <w:t>5</w:t>
            </w:r>
            <w:r>
              <w:rPr>
                <w:rFonts w:hint="default" w:ascii="Times New Roman" w:hAnsi="Times New Roman" w:eastAsia="宋体" w:cs="Times New Roman"/>
                <w:color w:val="auto"/>
                <w:kern w:val="2"/>
                <w:sz w:val="24"/>
                <w:szCs w:val="24"/>
                <w:highlight w:val="none"/>
                <w:lang w:val="en-US" w:eastAsia="zh-CN" w:bidi="zh-CN"/>
              </w:rPr>
              <w:t>年</w:t>
            </w:r>
            <w:r>
              <w:rPr>
                <w:rFonts w:hint="eastAsia" w:cs="Times New Roman"/>
                <w:color w:val="auto"/>
                <w:kern w:val="2"/>
                <w:sz w:val="24"/>
                <w:szCs w:val="24"/>
                <w:highlight w:val="none"/>
                <w:lang w:val="en-US" w:eastAsia="zh-CN" w:bidi="zh-CN"/>
              </w:rPr>
              <w:t>11</w:t>
            </w:r>
            <w:r>
              <w:rPr>
                <w:rFonts w:hint="default" w:ascii="Times New Roman" w:hAnsi="Times New Roman" w:eastAsia="宋体" w:cs="Times New Roman"/>
                <w:color w:val="auto"/>
                <w:kern w:val="2"/>
                <w:sz w:val="24"/>
                <w:szCs w:val="24"/>
                <w:highlight w:val="none"/>
                <w:lang w:val="en-US" w:eastAsia="zh-CN" w:bidi="zh-CN"/>
              </w:rPr>
              <w:t>月1</w:t>
            </w:r>
            <w:r>
              <w:rPr>
                <w:rFonts w:hint="eastAsia" w:cs="Times New Roman"/>
                <w:color w:val="auto"/>
                <w:kern w:val="2"/>
                <w:sz w:val="24"/>
                <w:szCs w:val="24"/>
                <w:highlight w:val="none"/>
                <w:lang w:val="en-US" w:eastAsia="zh-CN" w:bidi="zh-CN"/>
              </w:rPr>
              <w:t>7</w:t>
            </w:r>
            <w:r>
              <w:rPr>
                <w:rFonts w:hint="default" w:ascii="Times New Roman" w:hAnsi="Times New Roman" w:eastAsia="宋体" w:cs="Times New Roman"/>
                <w:color w:val="auto"/>
                <w:kern w:val="2"/>
                <w:sz w:val="24"/>
                <w:szCs w:val="24"/>
                <w:highlight w:val="none"/>
                <w:lang w:val="en-US" w:eastAsia="zh-CN" w:bidi="zh-CN"/>
              </w:rPr>
              <w:t>日在项目区进行了连续</w:t>
            </w:r>
            <w:r>
              <w:rPr>
                <w:rFonts w:hint="eastAsia" w:ascii="Times New Roman" w:hAnsi="Times New Roman" w:eastAsia="宋体" w:cs="Times New Roman"/>
                <w:color w:val="auto"/>
                <w:kern w:val="2"/>
                <w:sz w:val="24"/>
                <w:szCs w:val="24"/>
                <w:highlight w:val="none"/>
                <w:lang w:val="en-US" w:eastAsia="zh-CN" w:bidi="zh-CN"/>
              </w:rPr>
              <w:t>2</w:t>
            </w:r>
            <w:r>
              <w:rPr>
                <w:rFonts w:hint="default" w:ascii="Times New Roman" w:hAnsi="Times New Roman" w:eastAsia="宋体" w:cs="Times New Roman"/>
                <w:color w:val="auto"/>
                <w:kern w:val="2"/>
                <w:sz w:val="24"/>
                <w:szCs w:val="24"/>
                <w:highlight w:val="none"/>
                <w:lang w:val="en-US" w:eastAsia="zh-CN" w:bidi="zh-CN"/>
              </w:rPr>
              <w:t>天监测</w:t>
            </w:r>
            <w:r>
              <w:rPr>
                <w:rFonts w:hint="eastAsia" w:ascii="Times New Roman" w:hAnsi="Times New Roman" w:eastAsia="宋体" w:cs="Times New Roman"/>
                <w:color w:val="auto"/>
                <w:kern w:val="2"/>
                <w:sz w:val="24"/>
                <w:szCs w:val="24"/>
                <w:highlight w:val="none"/>
                <w:lang w:val="en-US" w:eastAsia="zh-CN" w:bidi="zh-CN"/>
              </w:rPr>
              <w:t>，环境噪声检测布点一览表见表3-11，噪声分析方法</w:t>
            </w:r>
            <w:r>
              <w:rPr>
                <w:rFonts w:hint="eastAsia" w:cs="Times New Roman"/>
                <w:color w:val="auto"/>
                <w:kern w:val="2"/>
                <w:sz w:val="24"/>
                <w:szCs w:val="24"/>
                <w:highlight w:val="none"/>
                <w:lang w:val="en-US" w:eastAsia="zh-CN" w:bidi="zh-CN"/>
              </w:rPr>
              <w:t>见表3-12，</w:t>
            </w:r>
            <w:r>
              <w:rPr>
                <w:rFonts w:hint="default" w:ascii="Times New Roman" w:hAnsi="Times New Roman" w:eastAsia="宋体" w:cs="Times New Roman"/>
                <w:color w:val="auto"/>
                <w:kern w:val="2"/>
                <w:sz w:val="24"/>
                <w:szCs w:val="24"/>
                <w:highlight w:val="none"/>
                <w:lang w:val="en-US" w:eastAsia="zh-CN" w:bidi="zh-CN"/>
              </w:rPr>
              <w:t>监测结果见表3-</w:t>
            </w:r>
            <w:r>
              <w:rPr>
                <w:rFonts w:hint="eastAsia" w:cs="Times New Roman"/>
                <w:color w:val="auto"/>
                <w:kern w:val="2"/>
                <w:sz w:val="24"/>
                <w:szCs w:val="24"/>
                <w:highlight w:val="none"/>
                <w:lang w:val="en-US" w:eastAsia="zh-CN" w:bidi="zh-CN"/>
              </w:rPr>
              <w:t>13。</w:t>
            </w:r>
          </w:p>
          <w:p w14:paraId="52A2FBA8">
            <w:pPr>
              <w:pStyle w:val="53"/>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表3-</w:t>
            </w:r>
            <w:r>
              <w:rPr>
                <w:rFonts w:hint="eastAsia" w:ascii="Times New Roman" w:hAnsi="Times New Roman" w:eastAsia="宋体" w:cs="Times New Roman"/>
                <w:b/>
                <w:bCs/>
                <w:color w:val="auto"/>
                <w:kern w:val="2"/>
                <w:sz w:val="21"/>
                <w:szCs w:val="21"/>
                <w:highlight w:val="none"/>
                <w:lang w:val="en-US" w:eastAsia="zh-CN" w:bidi="ar-SA"/>
              </w:rPr>
              <w:t>11  环境噪声</w:t>
            </w:r>
            <w:r>
              <w:rPr>
                <w:rFonts w:hint="default" w:ascii="Times New Roman" w:hAnsi="Times New Roman" w:eastAsia="宋体" w:cs="Times New Roman"/>
                <w:b/>
                <w:bCs/>
                <w:color w:val="auto"/>
                <w:kern w:val="2"/>
                <w:sz w:val="21"/>
                <w:szCs w:val="21"/>
                <w:highlight w:val="none"/>
                <w:lang w:val="en-US" w:eastAsia="zh-CN" w:bidi="ar-SA"/>
              </w:rPr>
              <w:t>监测布点一览表</w:t>
            </w:r>
          </w:p>
          <w:tbl>
            <w:tblPr>
              <w:tblStyle w:val="2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878"/>
              <w:gridCol w:w="1538"/>
              <w:gridCol w:w="1375"/>
              <w:gridCol w:w="2366"/>
            </w:tblGrid>
            <w:tr w14:paraId="42E10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noWrap w:val="0"/>
                  <w:vAlign w:val="center"/>
                </w:tcPr>
                <w:p w14:paraId="4EB29449">
                  <w:pPr>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监测项目</w:t>
                  </w:r>
                </w:p>
              </w:tc>
              <w:tc>
                <w:tcPr>
                  <w:tcW w:w="1189" w:type="pct"/>
                  <w:noWrap w:val="0"/>
                  <w:vAlign w:val="center"/>
                </w:tcPr>
                <w:p w14:paraId="74BA96C9">
                  <w:pPr>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监测点位</w:t>
                  </w:r>
                </w:p>
              </w:tc>
              <w:tc>
                <w:tcPr>
                  <w:tcW w:w="974" w:type="pct"/>
                  <w:noWrap w:val="0"/>
                  <w:vAlign w:val="center"/>
                </w:tcPr>
                <w:p w14:paraId="5EC0F1E3">
                  <w:pPr>
                    <w:spacing w:line="240" w:lineRule="auto"/>
                    <w:ind w:firstLine="0" w:firstLineChars="0"/>
                    <w:jc w:val="center"/>
                    <w:rPr>
                      <w:rFonts w:hint="default" w:ascii="Times New Roman" w:hAnsi="Times New Roman" w:cs="Times New Roman"/>
                      <w:b/>
                      <w:bCs/>
                      <w:color w:val="auto"/>
                      <w:sz w:val="21"/>
                      <w:szCs w:val="21"/>
                      <w:highlight w:val="none"/>
                      <w:lang w:val="en-US"/>
                    </w:rPr>
                  </w:pPr>
                  <w:r>
                    <w:rPr>
                      <w:rFonts w:hint="eastAsia" w:ascii="Times New Roman" w:hAnsi="Times New Roman" w:cs="Times New Roman"/>
                      <w:b/>
                      <w:bCs/>
                      <w:color w:val="auto"/>
                      <w:sz w:val="21"/>
                      <w:szCs w:val="21"/>
                      <w:highlight w:val="none"/>
                      <w:lang w:val="en-US" w:eastAsia="zh-CN"/>
                    </w:rPr>
                    <w:t>监测项目</w:t>
                  </w:r>
                </w:p>
              </w:tc>
              <w:tc>
                <w:tcPr>
                  <w:tcW w:w="870" w:type="pct"/>
                  <w:noWrap w:val="0"/>
                  <w:vAlign w:val="center"/>
                </w:tcPr>
                <w:p w14:paraId="371FD726">
                  <w:pPr>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监测类型</w:t>
                  </w:r>
                </w:p>
              </w:tc>
              <w:tc>
                <w:tcPr>
                  <w:tcW w:w="1498" w:type="pct"/>
                  <w:noWrap w:val="0"/>
                  <w:vAlign w:val="center"/>
                </w:tcPr>
                <w:p w14:paraId="107C0DB6">
                  <w:pPr>
                    <w:spacing w:line="240" w:lineRule="auto"/>
                    <w:ind w:firstLine="0" w:firstLineChars="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highlight w:val="none"/>
                    </w:rPr>
                    <w:t>监测时间和频次</w:t>
                  </w:r>
                </w:p>
              </w:tc>
            </w:tr>
            <w:tr w14:paraId="6FA74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noWrap w:val="0"/>
                  <w:vAlign w:val="center"/>
                </w:tcPr>
                <w:p w14:paraId="4863BF4F">
                  <w:pPr>
                    <w:pStyle w:val="41"/>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环境</w:t>
                  </w:r>
                  <w:r>
                    <w:rPr>
                      <w:rFonts w:hint="default" w:ascii="Times New Roman" w:hAnsi="Times New Roman"/>
                      <w:color w:val="auto"/>
                      <w:highlight w:val="none"/>
                    </w:rPr>
                    <w:t>噪声</w:t>
                  </w:r>
                </w:p>
              </w:tc>
              <w:tc>
                <w:tcPr>
                  <w:tcW w:w="1189" w:type="pct"/>
                  <w:noWrap w:val="0"/>
                  <w:vAlign w:val="center"/>
                </w:tcPr>
                <w:p w14:paraId="79165D86">
                  <w:pPr>
                    <w:pStyle w:val="41"/>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olor w:val="auto"/>
                      <w:highlight w:val="none"/>
                    </w:rPr>
                    <w:t>东南西北厂界外各设</w:t>
                  </w:r>
                  <w:r>
                    <w:rPr>
                      <w:rFonts w:hint="eastAsia" w:ascii="Times New Roman" w:hAnsi="Times New Roman"/>
                      <w:color w:val="auto"/>
                      <w:highlight w:val="none"/>
                      <w:lang w:val="en-US" w:eastAsia="zh-CN"/>
                    </w:rPr>
                    <w:t>1</w:t>
                  </w:r>
                  <w:r>
                    <w:rPr>
                      <w:rFonts w:hint="default" w:ascii="Times New Roman" w:hAnsi="Times New Roman"/>
                      <w:color w:val="auto"/>
                      <w:highlight w:val="none"/>
                    </w:rPr>
                    <w:t>个监测点</w:t>
                  </w:r>
                  <w:r>
                    <w:rPr>
                      <w:rFonts w:hint="eastAsia"/>
                      <w:color w:val="auto"/>
                      <w:highlight w:val="none"/>
                      <w:lang w:eastAsia="zh-CN"/>
                    </w:rPr>
                    <w:t>，</w:t>
                  </w:r>
                  <w:r>
                    <w:rPr>
                      <w:rFonts w:hint="eastAsia"/>
                      <w:color w:val="auto"/>
                      <w:highlight w:val="none"/>
                      <w:lang w:val="en-US" w:eastAsia="zh-CN"/>
                    </w:rPr>
                    <w:t>共设置4个监测点</w:t>
                  </w:r>
                </w:p>
              </w:tc>
              <w:tc>
                <w:tcPr>
                  <w:tcW w:w="974" w:type="pct"/>
                  <w:noWrap w:val="0"/>
                  <w:vAlign w:val="center"/>
                </w:tcPr>
                <w:p w14:paraId="2DFE448F">
                  <w:pPr>
                    <w:pStyle w:val="41"/>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highlight w:val="none"/>
                    </w:rPr>
                    <w:t>昼间、夜间连续等效A声级</w:t>
                  </w:r>
                </w:p>
              </w:tc>
              <w:tc>
                <w:tcPr>
                  <w:tcW w:w="870" w:type="pct"/>
                  <w:noWrap w:val="0"/>
                  <w:vAlign w:val="center"/>
                </w:tcPr>
                <w:p w14:paraId="2B297AAF">
                  <w:pPr>
                    <w:pStyle w:val="41"/>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olor w:val="auto"/>
                      <w:highlight w:val="none"/>
                    </w:rPr>
                    <w:t>工业企业厂界环境噪声</w:t>
                  </w:r>
                </w:p>
              </w:tc>
              <w:tc>
                <w:tcPr>
                  <w:tcW w:w="1498" w:type="pct"/>
                  <w:noWrap w:val="0"/>
                  <w:vAlign w:val="center"/>
                </w:tcPr>
                <w:p w14:paraId="32887402">
                  <w:pPr>
                    <w:pStyle w:val="41"/>
                    <w:keepNext w:val="0"/>
                    <w:keepLines w:val="0"/>
                    <w:pageBreakBefore w:val="0"/>
                    <w:widowControl w:val="0"/>
                    <w:kinsoku/>
                    <w:wordWrap/>
                    <w:overflowPunct/>
                    <w:topLinePunct w:val="0"/>
                    <w:autoSpaceDE/>
                    <w:autoSpaceDN/>
                    <w:bidi w:val="0"/>
                    <w:adjustRightInd/>
                    <w:snapToGrid/>
                    <w:textAlignment w:val="auto"/>
                    <w:rPr>
                      <w:rFonts w:hint="eastAsia" w:cs="Times New Roman"/>
                      <w:color w:val="auto"/>
                      <w:sz w:val="21"/>
                      <w:szCs w:val="21"/>
                      <w:highlight w:val="none"/>
                      <w:lang w:val="en-US" w:eastAsia="zh-CN"/>
                    </w:rPr>
                  </w:pPr>
                  <w:r>
                    <w:rPr>
                      <w:rFonts w:hint="default" w:ascii="Times New Roman" w:hAnsi="Times New Roman" w:cs="Times New Roman"/>
                      <w:color w:val="auto"/>
                      <w:highlight w:val="none"/>
                    </w:rPr>
                    <w:t>监测时间为2天，昼夜连续监测</w:t>
                  </w:r>
                </w:p>
              </w:tc>
            </w:tr>
          </w:tbl>
          <w:p w14:paraId="6A07F36A">
            <w:pPr>
              <w:pBdr>
                <w:bottom w:val="single" w:color="auto" w:sz="4" w:space="1"/>
              </w:pBdr>
              <w:tabs>
                <w:tab w:val="left" w:pos="0"/>
              </w:tabs>
              <w:jc w:val="center"/>
              <w:rPr>
                <w:rFonts w:hint="eastAsia"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表3-</w:t>
            </w:r>
            <w:r>
              <w:rPr>
                <w:rFonts w:hint="eastAsia" w:cs="Times New Roman"/>
                <w:b/>
                <w:bCs/>
                <w:color w:val="auto"/>
                <w:sz w:val="21"/>
                <w:szCs w:val="21"/>
                <w:highlight w:val="none"/>
                <w:lang w:val="en-US" w:eastAsia="zh-CN"/>
              </w:rPr>
              <w:t>12噪声分析方法</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2800"/>
              <w:gridCol w:w="1939"/>
              <w:gridCol w:w="1802"/>
            </w:tblGrid>
            <w:tr w14:paraId="08B2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68" w:type="pct"/>
                  <w:noWrap w:val="0"/>
                  <w:vAlign w:val="center"/>
                </w:tcPr>
                <w:p w14:paraId="1767DA72">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检测项目</w:t>
                  </w:r>
                </w:p>
              </w:tc>
              <w:tc>
                <w:tcPr>
                  <w:tcW w:w="1768" w:type="pct"/>
                  <w:noWrap w:val="0"/>
                  <w:vAlign w:val="center"/>
                </w:tcPr>
                <w:p w14:paraId="7F96B01A">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分析方法及来源</w:t>
                  </w:r>
                </w:p>
              </w:tc>
              <w:tc>
                <w:tcPr>
                  <w:tcW w:w="1224" w:type="pct"/>
                  <w:noWrap w:val="0"/>
                  <w:vAlign w:val="center"/>
                </w:tcPr>
                <w:p w14:paraId="475BD2F9">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仪器设备名称/型号</w:t>
                  </w:r>
                </w:p>
              </w:tc>
              <w:tc>
                <w:tcPr>
                  <w:tcW w:w="1138" w:type="pct"/>
                  <w:noWrap w:val="0"/>
                  <w:vAlign w:val="center"/>
                </w:tcPr>
                <w:p w14:paraId="18E1B7C3">
                  <w:pPr>
                    <w:pStyle w:val="4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仪器管理编号</w:t>
                  </w:r>
                </w:p>
              </w:tc>
            </w:tr>
            <w:tr w14:paraId="47CC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 w:type="pct"/>
                  <w:vMerge w:val="restart"/>
                  <w:noWrap w:val="0"/>
                  <w:vAlign w:val="center"/>
                </w:tcPr>
                <w:p w14:paraId="5A647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环境噪声</w:t>
                  </w:r>
                </w:p>
              </w:tc>
              <w:tc>
                <w:tcPr>
                  <w:tcW w:w="1768" w:type="pct"/>
                  <w:vMerge w:val="restart"/>
                  <w:noWrap w:val="0"/>
                  <w:vAlign w:val="center"/>
                </w:tcPr>
                <w:p w14:paraId="10554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《声环境质量标准》（GB 3096-2008）</w:t>
                  </w:r>
                </w:p>
              </w:tc>
              <w:tc>
                <w:tcPr>
                  <w:tcW w:w="1224" w:type="pct"/>
                  <w:noWrap w:val="0"/>
                  <w:vAlign w:val="center"/>
                </w:tcPr>
                <w:p w14:paraId="06A20E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多功能声级计/AWA5688</w:t>
                  </w:r>
                </w:p>
              </w:tc>
              <w:tc>
                <w:tcPr>
                  <w:tcW w:w="1138" w:type="pct"/>
                  <w:noWrap w:val="0"/>
                  <w:vAlign w:val="center"/>
                </w:tcPr>
                <w:p w14:paraId="062D18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HZD-053-J</w:t>
                  </w:r>
                </w:p>
              </w:tc>
            </w:tr>
            <w:tr w14:paraId="7DD7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8" w:type="pct"/>
                  <w:vMerge w:val="continue"/>
                  <w:noWrap w:val="0"/>
                  <w:vAlign w:val="center"/>
                </w:tcPr>
                <w:p w14:paraId="4A08C9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1768" w:type="pct"/>
                  <w:vMerge w:val="continue"/>
                  <w:noWrap w:val="0"/>
                  <w:vAlign w:val="center"/>
                </w:tcPr>
                <w:p w14:paraId="0CEF421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kern w:val="2"/>
                      <w:sz w:val="21"/>
                      <w:szCs w:val="21"/>
                      <w:highlight w:val="none"/>
                      <w:lang w:val="en-US" w:eastAsia="zh-CN" w:bidi="ar-SA"/>
                    </w:rPr>
                  </w:pPr>
                </w:p>
              </w:tc>
              <w:tc>
                <w:tcPr>
                  <w:tcW w:w="1224" w:type="pct"/>
                  <w:noWrap w:val="0"/>
                  <w:vAlign w:val="center"/>
                </w:tcPr>
                <w:p w14:paraId="24E32B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声校准器/AWA6022A</w:t>
                  </w:r>
                </w:p>
              </w:tc>
              <w:tc>
                <w:tcPr>
                  <w:tcW w:w="1138" w:type="pct"/>
                  <w:noWrap w:val="0"/>
                  <w:vAlign w:val="center"/>
                </w:tcPr>
                <w:p w14:paraId="34FFB7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HZD-050-C</w:t>
                  </w:r>
                </w:p>
              </w:tc>
            </w:tr>
          </w:tbl>
          <w:p w14:paraId="6ED01774">
            <w:pPr>
              <w:pBdr>
                <w:bottom w:val="single" w:color="auto" w:sz="4" w:space="1"/>
              </w:pBdr>
              <w:tabs>
                <w:tab w:val="left" w:pos="0"/>
              </w:tabs>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 3-</w:t>
            </w:r>
            <w:r>
              <w:rPr>
                <w:rFonts w:hint="eastAsia" w:cs="Times New Roman"/>
                <w:b/>
                <w:bCs/>
                <w:color w:val="auto"/>
                <w:sz w:val="21"/>
                <w:szCs w:val="21"/>
                <w:highlight w:val="none"/>
                <w:lang w:val="en-US" w:eastAsia="zh-CN"/>
              </w:rPr>
              <w:t>13</w:t>
            </w:r>
            <w:r>
              <w:rPr>
                <w:rFonts w:hint="default" w:ascii="Times New Roman" w:hAnsi="Times New Roman" w:eastAsia="宋体" w:cs="Times New Roman"/>
                <w:b/>
                <w:bCs/>
                <w:color w:val="auto"/>
                <w:sz w:val="21"/>
                <w:szCs w:val="21"/>
                <w:highlight w:val="none"/>
              </w:rPr>
              <w:t>声环境质量现状监测结果</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
              <w:gridCol w:w="379"/>
              <w:gridCol w:w="746"/>
              <w:gridCol w:w="1550"/>
              <w:gridCol w:w="913"/>
              <w:gridCol w:w="962"/>
              <w:gridCol w:w="511"/>
              <w:gridCol w:w="833"/>
              <w:gridCol w:w="806"/>
              <w:gridCol w:w="847"/>
            </w:tblGrid>
            <w:tr w14:paraId="71FE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44" w:type="pct"/>
                  <w:gridSpan w:val="3"/>
                  <w:noWrap w:val="0"/>
                  <w:vAlign w:val="center"/>
                </w:tcPr>
                <w:p w14:paraId="41D1FF81">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bookmarkStart w:id="11" w:name="_Toc7949"/>
                  <w:bookmarkStart w:id="12" w:name="_Toc28052"/>
                  <w:r>
                    <w:rPr>
                      <w:rFonts w:hint="default" w:ascii="Times New Roman" w:hAnsi="Times New Roman" w:eastAsia="宋体" w:cs="Times New Roman"/>
                      <w:color w:val="auto"/>
                      <w:kern w:val="2"/>
                      <w:sz w:val="21"/>
                      <w:highlight w:val="none"/>
                      <w:lang w:val="en-US" w:eastAsia="zh-CN" w:bidi="ar-SA"/>
                    </w:rPr>
                    <w:t>检测类别</w:t>
                  </w:r>
                </w:p>
              </w:tc>
              <w:tc>
                <w:tcPr>
                  <w:tcW w:w="1555" w:type="pct"/>
                  <w:gridSpan w:val="2"/>
                  <w:noWrap w:val="0"/>
                  <w:vAlign w:val="center"/>
                </w:tcPr>
                <w:p w14:paraId="39211035">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环境噪声</w:t>
                  </w:r>
                </w:p>
              </w:tc>
              <w:tc>
                <w:tcPr>
                  <w:tcW w:w="930" w:type="pct"/>
                  <w:gridSpan w:val="2"/>
                  <w:noWrap w:val="0"/>
                  <w:vAlign w:val="center"/>
                </w:tcPr>
                <w:p w14:paraId="01A30AC9">
                  <w:pPr>
                    <w:widowControl w:val="0"/>
                    <w:spacing w:line="240" w:lineRule="auto"/>
                    <w:ind w:firstLine="0" w:firstLineChars="0"/>
                    <w:jc w:val="center"/>
                    <w:rPr>
                      <w:rFonts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检测性质</w:t>
                  </w:r>
                </w:p>
              </w:tc>
              <w:tc>
                <w:tcPr>
                  <w:tcW w:w="1569" w:type="pct"/>
                  <w:gridSpan w:val="3"/>
                  <w:noWrap w:val="0"/>
                  <w:vAlign w:val="center"/>
                </w:tcPr>
                <w:p w14:paraId="37527C76">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现状</w:t>
                  </w:r>
                  <w:r>
                    <w:rPr>
                      <w:rFonts w:hint="eastAsia" w:ascii="Times New Roman" w:hAnsi="Times New Roman" w:eastAsia="宋体" w:cs="Times New Roman"/>
                      <w:color w:val="auto"/>
                      <w:sz w:val="21"/>
                      <w:szCs w:val="21"/>
                      <w:highlight w:val="none"/>
                    </w:rPr>
                    <w:t>检测</w:t>
                  </w:r>
                </w:p>
              </w:tc>
            </w:tr>
            <w:tr w14:paraId="2A66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7D702AA1">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气象</w:t>
                  </w:r>
                </w:p>
                <w:p w14:paraId="6934C5FA">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参数</w:t>
                  </w:r>
                </w:p>
              </w:tc>
              <w:tc>
                <w:tcPr>
                  <w:tcW w:w="471" w:type="pct"/>
                  <w:noWrap w:val="0"/>
                  <w:vAlign w:val="center"/>
                </w:tcPr>
                <w:p w14:paraId="655BEAC7">
                  <w:pPr>
                    <w:widowControl w:val="0"/>
                    <w:spacing w:line="240" w:lineRule="auto"/>
                    <w:ind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2025-11-16</w:t>
                  </w:r>
                </w:p>
              </w:tc>
              <w:tc>
                <w:tcPr>
                  <w:tcW w:w="978" w:type="pct"/>
                  <w:noWrap w:val="0"/>
                  <w:vAlign w:val="center"/>
                </w:tcPr>
                <w:p w14:paraId="1B908C73">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天气</w:t>
                  </w:r>
                </w:p>
              </w:tc>
              <w:tc>
                <w:tcPr>
                  <w:tcW w:w="576" w:type="pct"/>
                  <w:noWrap w:val="0"/>
                  <w:vAlign w:val="center"/>
                </w:tcPr>
                <w:p w14:paraId="1F2D37C5">
                  <w:pPr>
                    <w:widowControl w:val="0"/>
                    <w:bidi w:val="0"/>
                    <w:spacing w:line="240" w:lineRule="auto"/>
                    <w:ind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晴</w:t>
                  </w:r>
                </w:p>
              </w:tc>
              <w:tc>
                <w:tcPr>
                  <w:tcW w:w="930" w:type="pct"/>
                  <w:gridSpan w:val="2"/>
                  <w:noWrap w:val="0"/>
                  <w:vAlign w:val="center"/>
                </w:tcPr>
                <w:p w14:paraId="45092F62">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风速</w:t>
                  </w:r>
                </w:p>
              </w:tc>
              <w:tc>
                <w:tcPr>
                  <w:tcW w:w="1034" w:type="pct"/>
                  <w:gridSpan w:val="2"/>
                  <w:noWrap w:val="0"/>
                  <w:vAlign w:val="center"/>
                </w:tcPr>
                <w:p w14:paraId="65307213">
                  <w:pPr>
                    <w:widowControl w:val="0"/>
                    <w:spacing w:line="240" w:lineRule="auto"/>
                    <w:ind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2.1</w:t>
                  </w:r>
                  <w:r>
                    <w:rPr>
                      <w:rFonts w:hint="default" w:ascii="Times New Roman" w:hAnsi="Times New Roman" w:eastAsia="宋体" w:cs="Times New Roman"/>
                      <w:color w:val="auto"/>
                      <w:kern w:val="2"/>
                      <w:sz w:val="21"/>
                      <w:szCs w:val="22"/>
                      <w:highlight w:val="none"/>
                      <w:lang w:val="en-US" w:eastAsia="zh-CN" w:bidi="ar-SA"/>
                    </w:rPr>
                    <w:t>m/s（昼）</w:t>
                  </w:r>
                </w:p>
              </w:tc>
              <w:tc>
                <w:tcPr>
                  <w:tcW w:w="534" w:type="pct"/>
                  <w:noWrap w:val="0"/>
                  <w:vAlign w:val="center"/>
                </w:tcPr>
                <w:p w14:paraId="4582053B">
                  <w:pPr>
                    <w:widowControl w:val="0"/>
                    <w:spacing w:line="240" w:lineRule="auto"/>
                    <w:ind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2.2</w:t>
                  </w:r>
                  <w:r>
                    <w:rPr>
                      <w:rFonts w:hint="default" w:ascii="Times New Roman" w:hAnsi="Times New Roman" w:eastAsia="宋体" w:cs="Times New Roman"/>
                      <w:color w:val="auto"/>
                      <w:kern w:val="2"/>
                      <w:sz w:val="21"/>
                      <w:szCs w:val="22"/>
                      <w:highlight w:val="none"/>
                      <w:lang w:val="en-US" w:eastAsia="zh-CN" w:bidi="ar-SA"/>
                    </w:rPr>
                    <w:t>m/s（夜）</w:t>
                  </w:r>
                </w:p>
              </w:tc>
            </w:tr>
            <w:tr w14:paraId="0D06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3C7B4BBF">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气象</w:t>
                  </w:r>
                </w:p>
                <w:p w14:paraId="45ACD92C">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参数</w:t>
                  </w:r>
                </w:p>
              </w:tc>
              <w:tc>
                <w:tcPr>
                  <w:tcW w:w="471" w:type="pct"/>
                  <w:noWrap w:val="0"/>
                  <w:vAlign w:val="center"/>
                </w:tcPr>
                <w:p w14:paraId="7747B94F">
                  <w:pPr>
                    <w:widowControl w:val="0"/>
                    <w:spacing w:line="240" w:lineRule="auto"/>
                    <w:ind w:firstLine="0" w:firstLineChars="0"/>
                    <w:jc w:val="center"/>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2025-11-17</w:t>
                  </w:r>
                </w:p>
              </w:tc>
              <w:tc>
                <w:tcPr>
                  <w:tcW w:w="978" w:type="pct"/>
                  <w:noWrap w:val="0"/>
                  <w:vAlign w:val="center"/>
                </w:tcPr>
                <w:p w14:paraId="257CF149">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天气</w:t>
                  </w:r>
                </w:p>
              </w:tc>
              <w:tc>
                <w:tcPr>
                  <w:tcW w:w="576" w:type="pct"/>
                  <w:noWrap w:val="0"/>
                  <w:vAlign w:val="center"/>
                </w:tcPr>
                <w:p w14:paraId="2148FC45">
                  <w:pPr>
                    <w:widowControl w:val="0"/>
                    <w:bidi w:val="0"/>
                    <w:spacing w:line="240" w:lineRule="auto"/>
                    <w:ind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晴</w:t>
                  </w:r>
                </w:p>
              </w:tc>
              <w:tc>
                <w:tcPr>
                  <w:tcW w:w="930" w:type="pct"/>
                  <w:gridSpan w:val="2"/>
                  <w:noWrap w:val="0"/>
                  <w:vAlign w:val="center"/>
                </w:tcPr>
                <w:p w14:paraId="372DFA51">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风速</w:t>
                  </w:r>
                </w:p>
              </w:tc>
              <w:tc>
                <w:tcPr>
                  <w:tcW w:w="1034" w:type="pct"/>
                  <w:gridSpan w:val="2"/>
                  <w:noWrap w:val="0"/>
                  <w:vAlign w:val="center"/>
                </w:tcPr>
                <w:p w14:paraId="07A5705E">
                  <w:pPr>
                    <w:widowControl w:val="0"/>
                    <w:spacing w:line="240" w:lineRule="auto"/>
                    <w:ind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1.8</w:t>
                  </w:r>
                  <w:r>
                    <w:rPr>
                      <w:rFonts w:hint="default" w:ascii="Times New Roman" w:hAnsi="Times New Roman" w:eastAsia="宋体" w:cs="Times New Roman"/>
                      <w:color w:val="auto"/>
                      <w:kern w:val="2"/>
                      <w:sz w:val="21"/>
                      <w:szCs w:val="22"/>
                      <w:highlight w:val="none"/>
                      <w:lang w:val="en-US" w:eastAsia="zh-CN" w:bidi="ar-SA"/>
                    </w:rPr>
                    <w:t>m/s（昼）</w:t>
                  </w:r>
                </w:p>
              </w:tc>
              <w:tc>
                <w:tcPr>
                  <w:tcW w:w="534" w:type="pct"/>
                  <w:noWrap w:val="0"/>
                  <w:vAlign w:val="center"/>
                </w:tcPr>
                <w:p w14:paraId="7DD06708">
                  <w:pPr>
                    <w:widowControl w:val="0"/>
                    <w:spacing w:line="240" w:lineRule="auto"/>
                    <w:ind w:firstLine="0" w:firstLineChars="0"/>
                    <w:jc w:val="center"/>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2.1</w:t>
                  </w:r>
                  <w:r>
                    <w:rPr>
                      <w:rFonts w:hint="default" w:ascii="Times New Roman" w:hAnsi="Times New Roman" w:eastAsia="宋体" w:cs="Times New Roman"/>
                      <w:color w:val="auto"/>
                      <w:kern w:val="2"/>
                      <w:sz w:val="21"/>
                      <w:szCs w:val="22"/>
                      <w:highlight w:val="none"/>
                      <w:lang w:val="en-US" w:eastAsia="zh-CN" w:bidi="ar-SA"/>
                    </w:rPr>
                    <w:t>m/s（夜）</w:t>
                  </w:r>
                </w:p>
              </w:tc>
            </w:tr>
            <w:tr w14:paraId="1A88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73" w:type="pct"/>
                  <w:gridSpan w:val="2"/>
                  <w:tcBorders>
                    <w:top w:val="single" w:color="auto" w:sz="4" w:space="0"/>
                  </w:tcBorders>
                  <w:noWrap w:val="0"/>
                  <w:vAlign w:val="center"/>
                </w:tcPr>
                <w:p w14:paraId="155FC18C">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检测点位名称</w:t>
                  </w:r>
                </w:p>
              </w:tc>
              <w:tc>
                <w:tcPr>
                  <w:tcW w:w="471" w:type="pct"/>
                  <w:tcBorders>
                    <w:top w:val="single" w:color="auto" w:sz="4" w:space="0"/>
                  </w:tcBorders>
                  <w:noWrap w:val="0"/>
                  <w:vAlign w:val="center"/>
                </w:tcPr>
                <w:p w14:paraId="5C8A833C">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检测日期</w:t>
                  </w:r>
                </w:p>
              </w:tc>
              <w:tc>
                <w:tcPr>
                  <w:tcW w:w="978" w:type="pct"/>
                  <w:tcBorders>
                    <w:top w:val="single" w:color="auto" w:sz="4" w:space="0"/>
                  </w:tcBorders>
                  <w:noWrap w:val="0"/>
                  <w:vAlign w:val="center"/>
                </w:tcPr>
                <w:p w14:paraId="482F03F2">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样品编号</w:t>
                  </w:r>
                </w:p>
              </w:tc>
              <w:tc>
                <w:tcPr>
                  <w:tcW w:w="576" w:type="pct"/>
                  <w:tcBorders>
                    <w:top w:val="single" w:color="auto" w:sz="4" w:space="0"/>
                  </w:tcBorders>
                  <w:noWrap w:val="0"/>
                  <w:vAlign w:val="center"/>
                </w:tcPr>
                <w:p w14:paraId="28C06FA4">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检测时间（昼）</w:t>
                  </w:r>
                </w:p>
              </w:tc>
              <w:tc>
                <w:tcPr>
                  <w:tcW w:w="607" w:type="pct"/>
                  <w:tcBorders>
                    <w:top w:val="single" w:color="auto" w:sz="4" w:space="0"/>
                  </w:tcBorders>
                  <w:noWrap w:val="0"/>
                  <w:vAlign w:val="center"/>
                </w:tcPr>
                <w:p w14:paraId="42D06A60">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结果值dB(A)</w:t>
                  </w:r>
                </w:p>
              </w:tc>
              <w:tc>
                <w:tcPr>
                  <w:tcW w:w="848" w:type="pct"/>
                  <w:gridSpan w:val="2"/>
                  <w:tcBorders>
                    <w:top w:val="single" w:color="auto" w:sz="4" w:space="0"/>
                  </w:tcBorders>
                  <w:noWrap w:val="0"/>
                  <w:vAlign w:val="center"/>
                </w:tcPr>
                <w:p w14:paraId="7AFDEE18">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样品编号</w:t>
                  </w:r>
                </w:p>
              </w:tc>
              <w:tc>
                <w:tcPr>
                  <w:tcW w:w="508" w:type="pct"/>
                  <w:tcBorders>
                    <w:top w:val="single" w:color="auto" w:sz="4" w:space="0"/>
                  </w:tcBorders>
                  <w:noWrap w:val="0"/>
                  <w:vAlign w:val="center"/>
                </w:tcPr>
                <w:p w14:paraId="5A448041">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检测时间（夜）</w:t>
                  </w:r>
                </w:p>
              </w:tc>
              <w:tc>
                <w:tcPr>
                  <w:tcW w:w="534" w:type="pct"/>
                  <w:tcBorders>
                    <w:top w:val="single" w:color="auto" w:sz="4" w:space="0"/>
                  </w:tcBorders>
                  <w:noWrap w:val="0"/>
                  <w:vAlign w:val="center"/>
                </w:tcPr>
                <w:p w14:paraId="654DBA14">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结果值dB(A)</w:t>
                  </w:r>
                </w:p>
              </w:tc>
            </w:tr>
            <w:tr w14:paraId="354A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15B4094B">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东</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1</w:t>
                  </w:r>
                </w:p>
              </w:tc>
              <w:tc>
                <w:tcPr>
                  <w:tcW w:w="471" w:type="pct"/>
                  <w:vMerge w:val="restart"/>
                  <w:noWrap w:val="0"/>
                  <w:vAlign w:val="center"/>
                </w:tcPr>
                <w:p w14:paraId="3EEFE110">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2025-11-16</w:t>
                  </w:r>
                </w:p>
              </w:tc>
              <w:tc>
                <w:tcPr>
                  <w:tcW w:w="978" w:type="pct"/>
                  <w:noWrap w:val="0"/>
                  <w:vAlign w:val="center"/>
                </w:tcPr>
                <w:p w14:paraId="290A1075">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25HCFF-1-ZS-1-1-1</w:t>
                  </w:r>
                </w:p>
              </w:tc>
              <w:tc>
                <w:tcPr>
                  <w:tcW w:w="576" w:type="pct"/>
                  <w:noWrap w:val="0"/>
                  <w:vAlign w:val="center"/>
                </w:tcPr>
                <w:p w14:paraId="2D3CAD0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11:42-11:52</w:t>
                  </w:r>
                </w:p>
              </w:tc>
              <w:tc>
                <w:tcPr>
                  <w:tcW w:w="607" w:type="pct"/>
                  <w:noWrap w:val="0"/>
                  <w:vAlign w:val="center"/>
                </w:tcPr>
                <w:p w14:paraId="2F76FD9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51</w:t>
                  </w:r>
                </w:p>
              </w:tc>
              <w:tc>
                <w:tcPr>
                  <w:tcW w:w="848" w:type="pct"/>
                  <w:gridSpan w:val="2"/>
                  <w:noWrap w:val="0"/>
                  <w:vAlign w:val="center"/>
                </w:tcPr>
                <w:p w14:paraId="79D6A91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25HCFF-1-ZS-1-1-</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5DD285D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22:35-22:45</w:t>
                  </w:r>
                </w:p>
              </w:tc>
              <w:tc>
                <w:tcPr>
                  <w:tcW w:w="534" w:type="pct"/>
                  <w:noWrap w:val="0"/>
                  <w:vAlign w:val="center"/>
                </w:tcPr>
                <w:p w14:paraId="5344104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r>
            <w:tr w14:paraId="4682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46A97C27">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南</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2</w:t>
                  </w:r>
                </w:p>
              </w:tc>
              <w:tc>
                <w:tcPr>
                  <w:tcW w:w="471" w:type="pct"/>
                  <w:vMerge w:val="continue"/>
                  <w:noWrap w:val="0"/>
                  <w:vAlign w:val="center"/>
                </w:tcPr>
                <w:p w14:paraId="03BC9553">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p>
              </w:tc>
              <w:tc>
                <w:tcPr>
                  <w:tcW w:w="978" w:type="pct"/>
                  <w:noWrap w:val="0"/>
                  <w:vAlign w:val="center"/>
                </w:tcPr>
                <w:p w14:paraId="2D0DE94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25HCFF-1-ZS-2-1-1</w:t>
                  </w:r>
                </w:p>
              </w:tc>
              <w:tc>
                <w:tcPr>
                  <w:tcW w:w="576" w:type="pct"/>
                  <w:noWrap w:val="0"/>
                  <w:vAlign w:val="center"/>
                </w:tcPr>
                <w:p w14:paraId="52DA35D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12:02-12:12</w:t>
                  </w:r>
                </w:p>
              </w:tc>
              <w:tc>
                <w:tcPr>
                  <w:tcW w:w="607" w:type="pct"/>
                  <w:noWrap w:val="0"/>
                  <w:vAlign w:val="center"/>
                </w:tcPr>
                <w:p w14:paraId="0BF9888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52</w:t>
                  </w:r>
                </w:p>
              </w:tc>
              <w:tc>
                <w:tcPr>
                  <w:tcW w:w="848" w:type="pct"/>
                  <w:gridSpan w:val="2"/>
                  <w:noWrap w:val="0"/>
                  <w:vAlign w:val="center"/>
                </w:tcPr>
                <w:p w14:paraId="2746035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25HCFF-1-ZS-2-1-</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73E977D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22:55-23:05</w:t>
                  </w:r>
                </w:p>
              </w:tc>
              <w:tc>
                <w:tcPr>
                  <w:tcW w:w="534" w:type="pct"/>
                  <w:noWrap w:val="0"/>
                  <w:vAlign w:val="center"/>
                </w:tcPr>
                <w:p w14:paraId="598102D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r>
            <w:tr w14:paraId="6CCC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66C946B3">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西</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3</w:t>
                  </w:r>
                </w:p>
              </w:tc>
              <w:tc>
                <w:tcPr>
                  <w:tcW w:w="471" w:type="pct"/>
                  <w:vMerge w:val="continue"/>
                  <w:noWrap w:val="0"/>
                  <w:vAlign w:val="center"/>
                </w:tcPr>
                <w:p w14:paraId="198B0CCD">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p>
              </w:tc>
              <w:tc>
                <w:tcPr>
                  <w:tcW w:w="978" w:type="pct"/>
                  <w:noWrap w:val="0"/>
                  <w:vAlign w:val="center"/>
                </w:tcPr>
                <w:p w14:paraId="3929B03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25HCFF-1-ZS-3-1-1</w:t>
                  </w:r>
                </w:p>
              </w:tc>
              <w:tc>
                <w:tcPr>
                  <w:tcW w:w="576" w:type="pct"/>
                  <w:noWrap w:val="0"/>
                  <w:vAlign w:val="center"/>
                </w:tcPr>
                <w:p w14:paraId="1A754794">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12:20-12:30</w:t>
                  </w:r>
                </w:p>
              </w:tc>
              <w:tc>
                <w:tcPr>
                  <w:tcW w:w="607" w:type="pct"/>
                  <w:noWrap w:val="0"/>
                  <w:vAlign w:val="center"/>
                </w:tcPr>
                <w:p w14:paraId="3559CEF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53</w:t>
                  </w:r>
                </w:p>
              </w:tc>
              <w:tc>
                <w:tcPr>
                  <w:tcW w:w="848" w:type="pct"/>
                  <w:gridSpan w:val="2"/>
                  <w:noWrap w:val="0"/>
                  <w:vAlign w:val="center"/>
                </w:tcPr>
                <w:p w14:paraId="421F8F4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25HCFF-1-ZS-3-1-</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27FEDE6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23:15-23:25</w:t>
                  </w:r>
                </w:p>
              </w:tc>
              <w:tc>
                <w:tcPr>
                  <w:tcW w:w="534" w:type="pct"/>
                  <w:noWrap w:val="0"/>
                  <w:vAlign w:val="center"/>
                </w:tcPr>
                <w:p w14:paraId="271C2F8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r>
            <w:tr w14:paraId="33A5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6B591EC8">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北</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4</w:t>
                  </w:r>
                </w:p>
              </w:tc>
              <w:tc>
                <w:tcPr>
                  <w:tcW w:w="471" w:type="pct"/>
                  <w:vMerge w:val="continue"/>
                  <w:noWrap w:val="0"/>
                  <w:vAlign w:val="center"/>
                </w:tcPr>
                <w:p w14:paraId="7A5FF2C0">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p>
              </w:tc>
              <w:tc>
                <w:tcPr>
                  <w:tcW w:w="978" w:type="pct"/>
                  <w:noWrap w:val="0"/>
                  <w:vAlign w:val="center"/>
                </w:tcPr>
                <w:p w14:paraId="172BE5E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w:t>
                  </w:r>
                  <w:r>
                    <w:rPr>
                      <w:rFonts w:hint="eastAsia" w:ascii="Times New Roman" w:hAnsi="Times New Roman" w:eastAsia="宋体" w:cs="Times New Roman"/>
                      <w:color w:val="auto"/>
                      <w:kern w:val="2"/>
                      <w:sz w:val="21"/>
                      <w:szCs w:val="21"/>
                      <w:highlight w:val="none"/>
                      <w:lang w:val="en-US" w:eastAsia="zh-CN" w:bidi="ar-SA"/>
                    </w:rPr>
                    <w:t>4</w:t>
                  </w:r>
                  <w:r>
                    <w:rPr>
                      <w:rFonts w:hint="default" w:ascii="Times New Roman" w:hAnsi="Times New Roman" w:eastAsia="宋体" w:cs="Times New Roman"/>
                      <w:color w:val="auto"/>
                      <w:kern w:val="2"/>
                      <w:sz w:val="21"/>
                      <w:szCs w:val="21"/>
                      <w:highlight w:val="none"/>
                      <w:lang w:val="en-US" w:eastAsia="zh-CN" w:bidi="ar-SA"/>
                    </w:rPr>
                    <w:t>-1-1</w:t>
                  </w:r>
                </w:p>
              </w:tc>
              <w:tc>
                <w:tcPr>
                  <w:tcW w:w="576" w:type="pct"/>
                  <w:noWrap w:val="0"/>
                  <w:vAlign w:val="center"/>
                </w:tcPr>
                <w:p w14:paraId="429885B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12:41-12:51</w:t>
                  </w:r>
                </w:p>
              </w:tc>
              <w:tc>
                <w:tcPr>
                  <w:tcW w:w="607" w:type="pct"/>
                  <w:noWrap w:val="0"/>
                  <w:vAlign w:val="center"/>
                </w:tcPr>
                <w:p w14:paraId="16F035B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51</w:t>
                  </w:r>
                </w:p>
              </w:tc>
              <w:tc>
                <w:tcPr>
                  <w:tcW w:w="848" w:type="pct"/>
                  <w:gridSpan w:val="2"/>
                  <w:noWrap w:val="0"/>
                  <w:vAlign w:val="center"/>
                </w:tcPr>
                <w:p w14:paraId="6E90397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25HCFF-1-ZS-4-1-</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7430763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23:35-23:45</w:t>
                  </w:r>
                </w:p>
              </w:tc>
              <w:tc>
                <w:tcPr>
                  <w:tcW w:w="534" w:type="pct"/>
                  <w:noWrap w:val="0"/>
                  <w:vAlign w:val="center"/>
                </w:tcPr>
                <w:p w14:paraId="14D6CEF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r>
            <w:tr w14:paraId="197B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61232068">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东</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1</w:t>
                  </w:r>
                </w:p>
              </w:tc>
              <w:tc>
                <w:tcPr>
                  <w:tcW w:w="471" w:type="pct"/>
                  <w:vMerge w:val="restart"/>
                  <w:noWrap w:val="0"/>
                  <w:vAlign w:val="center"/>
                </w:tcPr>
                <w:p w14:paraId="43745B5C">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2025-11-17</w:t>
                  </w:r>
                </w:p>
              </w:tc>
              <w:tc>
                <w:tcPr>
                  <w:tcW w:w="978" w:type="pct"/>
                  <w:noWrap w:val="0"/>
                  <w:vAlign w:val="center"/>
                </w:tcPr>
                <w:p w14:paraId="046787E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25HCFF-1-ZS-1-2-1</w:t>
                  </w:r>
                </w:p>
              </w:tc>
              <w:tc>
                <w:tcPr>
                  <w:tcW w:w="576" w:type="pct"/>
                  <w:noWrap w:val="0"/>
                  <w:vAlign w:val="center"/>
                </w:tcPr>
                <w:p w14:paraId="72131F6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09:37-09:47</w:t>
                  </w:r>
                </w:p>
              </w:tc>
              <w:tc>
                <w:tcPr>
                  <w:tcW w:w="607" w:type="pct"/>
                  <w:noWrap w:val="0"/>
                  <w:vAlign w:val="center"/>
                </w:tcPr>
                <w:p w14:paraId="255C3C7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51</w:t>
                  </w:r>
                </w:p>
              </w:tc>
              <w:tc>
                <w:tcPr>
                  <w:tcW w:w="848" w:type="pct"/>
                  <w:gridSpan w:val="2"/>
                  <w:noWrap w:val="0"/>
                  <w:vAlign w:val="center"/>
                </w:tcPr>
                <w:p w14:paraId="1DC452D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25HCFF-1-ZS-1-2-</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2D6C7B9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22:02-22:12</w:t>
                  </w:r>
                </w:p>
              </w:tc>
              <w:tc>
                <w:tcPr>
                  <w:tcW w:w="534" w:type="pct"/>
                  <w:noWrap w:val="0"/>
                  <w:vAlign w:val="center"/>
                </w:tcPr>
                <w:p w14:paraId="07351EC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r>
            <w:tr w14:paraId="2FCE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30555A42">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南</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2</w:t>
                  </w:r>
                </w:p>
              </w:tc>
              <w:tc>
                <w:tcPr>
                  <w:tcW w:w="471" w:type="pct"/>
                  <w:vMerge w:val="continue"/>
                  <w:noWrap w:val="0"/>
                  <w:vAlign w:val="center"/>
                </w:tcPr>
                <w:p w14:paraId="1DE87116">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p>
              </w:tc>
              <w:tc>
                <w:tcPr>
                  <w:tcW w:w="978" w:type="pct"/>
                  <w:noWrap w:val="0"/>
                  <w:vAlign w:val="center"/>
                </w:tcPr>
                <w:p w14:paraId="711AE574">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25HCFF-1-ZS-2-2-1</w:t>
                  </w:r>
                </w:p>
              </w:tc>
              <w:tc>
                <w:tcPr>
                  <w:tcW w:w="576" w:type="pct"/>
                  <w:noWrap w:val="0"/>
                  <w:vAlign w:val="center"/>
                </w:tcPr>
                <w:p w14:paraId="0735D7C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09:58-10:08</w:t>
                  </w:r>
                </w:p>
              </w:tc>
              <w:tc>
                <w:tcPr>
                  <w:tcW w:w="607" w:type="pct"/>
                  <w:noWrap w:val="0"/>
                  <w:vAlign w:val="center"/>
                </w:tcPr>
                <w:p w14:paraId="3F8EF26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52</w:t>
                  </w:r>
                </w:p>
              </w:tc>
              <w:tc>
                <w:tcPr>
                  <w:tcW w:w="848" w:type="pct"/>
                  <w:gridSpan w:val="2"/>
                  <w:noWrap w:val="0"/>
                  <w:vAlign w:val="center"/>
                </w:tcPr>
                <w:p w14:paraId="41ECBCE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25HCFF-1-ZS-2-2-</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2E60A04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22:22-22:32</w:t>
                  </w:r>
                </w:p>
              </w:tc>
              <w:tc>
                <w:tcPr>
                  <w:tcW w:w="534" w:type="pct"/>
                  <w:noWrap w:val="0"/>
                  <w:vAlign w:val="center"/>
                </w:tcPr>
                <w:p w14:paraId="44A3DEA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r>
            <w:tr w14:paraId="09F0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1883D043">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西</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3</w:t>
                  </w:r>
                </w:p>
              </w:tc>
              <w:tc>
                <w:tcPr>
                  <w:tcW w:w="471" w:type="pct"/>
                  <w:vMerge w:val="continue"/>
                  <w:noWrap w:val="0"/>
                  <w:vAlign w:val="center"/>
                </w:tcPr>
                <w:p w14:paraId="14F51A83">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p>
              </w:tc>
              <w:tc>
                <w:tcPr>
                  <w:tcW w:w="978" w:type="pct"/>
                  <w:noWrap w:val="0"/>
                  <w:vAlign w:val="center"/>
                </w:tcPr>
                <w:p w14:paraId="4E8785D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25HCFF-1-ZS-3-2-1</w:t>
                  </w:r>
                </w:p>
              </w:tc>
              <w:tc>
                <w:tcPr>
                  <w:tcW w:w="576" w:type="pct"/>
                  <w:noWrap w:val="0"/>
                  <w:vAlign w:val="center"/>
                </w:tcPr>
                <w:p w14:paraId="4FBAA3C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10:18-10:28</w:t>
                  </w:r>
                </w:p>
              </w:tc>
              <w:tc>
                <w:tcPr>
                  <w:tcW w:w="607" w:type="pct"/>
                  <w:noWrap w:val="0"/>
                  <w:vAlign w:val="center"/>
                </w:tcPr>
                <w:p w14:paraId="7F21FF4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52</w:t>
                  </w:r>
                </w:p>
              </w:tc>
              <w:tc>
                <w:tcPr>
                  <w:tcW w:w="848" w:type="pct"/>
                  <w:gridSpan w:val="2"/>
                  <w:noWrap w:val="0"/>
                  <w:vAlign w:val="center"/>
                </w:tcPr>
                <w:p w14:paraId="38C9F7B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25HCFF-1-ZS-3-2-</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4CC584A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22:43-22:53</w:t>
                  </w:r>
                </w:p>
              </w:tc>
              <w:tc>
                <w:tcPr>
                  <w:tcW w:w="534" w:type="pct"/>
                  <w:noWrap w:val="0"/>
                  <w:vAlign w:val="center"/>
                </w:tcPr>
                <w:p w14:paraId="229A480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r>
            <w:tr w14:paraId="07E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73" w:type="pct"/>
                  <w:gridSpan w:val="2"/>
                  <w:noWrap w:val="0"/>
                  <w:vAlign w:val="center"/>
                </w:tcPr>
                <w:p w14:paraId="62E3BCCB">
                  <w:pPr>
                    <w:widowControl w:val="0"/>
                    <w:spacing w:line="240" w:lineRule="auto"/>
                    <w:ind w:firstLine="0" w:firstLineChars="0"/>
                    <w:jc w:val="center"/>
                    <w:rPr>
                      <w:rFonts w:hint="eastAsia"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工业场地</w:t>
                  </w:r>
                  <w:r>
                    <w:rPr>
                      <w:rFonts w:hint="default" w:ascii="Times New Roman" w:hAnsi="Times New Roman" w:eastAsia="宋体" w:cs="Times New Roman"/>
                      <w:color w:val="auto"/>
                      <w:kern w:val="2"/>
                      <w:sz w:val="21"/>
                      <w:highlight w:val="none"/>
                      <w:lang w:val="en-US" w:eastAsia="zh-CN" w:bidi="ar-SA"/>
                    </w:rPr>
                    <w:t>北</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4</w:t>
                  </w:r>
                </w:p>
              </w:tc>
              <w:tc>
                <w:tcPr>
                  <w:tcW w:w="471" w:type="pct"/>
                  <w:vMerge w:val="continue"/>
                  <w:noWrap w:val="0"/>
                  <w:vAlign w:val="center"/>
                </w:tcPr>
                <w:p w14:paraId="4E2CEA55">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p>
              </w:tc>
              <w:tc>
                <w:tcPr>
                  <w:tcW w:w="978" w:type="pct"/>
                  <w:noWrap w:val="0"/>
                  <w:vAlign w:val="center"/>
                </w:tcPr>
                <w:p w14:paraId="10048DE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25HCFF-1-ZS-4-2-1</w:t>
                  </w:r>
                </w:p>
              </w:tc>
              <w:tc>
                <w:tcPr>
                  <w:tcW w:w="576" w:type="pct"/>
                  <w:noWrap w:val="0"/>
                  <w:vAlign w:val="center"/>
                </w:tcPr>
                <w:p w14:paraId="5F1C289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10:40-10:50</w:t>
                  </w:r>
                </w:p>
              </w:tc>
              <w:tc>
                <w:tcPr>
                  <w:tcW w:w="607" w:type="pct"/>
                  <w:noWrap w:val="0"/>
                  <w:vAlign w:val="center"/>
                </w:tcPr>
                <w:p w14:paraId="44DC439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53</w:t>
                  </w:r>
                </w:p>
              </w:tc>
              <w:tc>
                <w:tcPr>
                  <w:tcW w:w="848" w:type="pct"/>
                  <w:gridSpan w:val="2"/>
                  <w:noWrap w:val="0"/>
                  <w:vAlign w:val="center"/>
                </w:tcPr>
                <w:p w14:paraId="24FE0A4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25HCFF-1-ZS-4-2-</w:t>
                  </w:r>
                  <w:r>
                    <w:rPr>
                      <w:rFonts w:hint="eastAsia" w:ascii="Times New Roman" w:hAnsi="Times New Roman" w:eastAsia="宋体" w:cs="Times New Roman"/>
                      <w:color w:val="auto"/>
                      <w:kern w:val="2"/>
                      <w:sz w:val="21"/>
                      <w:szCs w:val="21"/>
                      <w:highlight w:val="none"/>
                      <w:lang w:val="en-US" w:eastAsia="zh-CN" w:bidi="ar-SA"/>
                    </w:rPr>
                    <w:t>2</w:t>
                  </w:r>
                </w:p>
              </w:tc>
              <w:tc>
                <w:tcPr>
                  <w:tcW w:w="508" w:type="pct"/>
                  <w:noWrap w:val="0"/>
                  <w:vAlign w:val="center"/>
                </w:tcPr>
                <w:p w14:paraId="33C8AB5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23:03-23:13</w:t>
                  </w:r>
                </w:p>
              </w:tc>
              <w:tc>
                <w:tcPr>
                  <w:tcW w:w="534" w:type="pct"/>
                  <w:noWrap w:val="0"/>
                  <w:vAlign w:val="center"/>
                </w:tcPr>
                <w:p w14:paraId="148FAB7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r>
            <w:tr w14:paraId="4EAF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34" w:type="pct"/>
                  <w:noWrap w:val="0"/>
                  <w:vAlign w:val="center"/>
                </w:tcPr>
                <w:p w14:paraId="4BE052C9">
                  <w:pPr>
                    <w:widowControl w:val="0"/>
                    <w:spacing w:line="240" w:lineRule="auto"/>
                    <w:ind w:firstLine="0" w:firstLineChars="0"/>
                    <w:jc w:val="center"/>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备注</w:t>
                  </w:r>
                </w:p>
              </w:tc>
              <w:tc>
                <w:tcPr>
                  <w:tcW w:w="4765" w:type="pct"/>
                  <w:gridSpan w:val="9"/>
                  <w:noWrap w:val="0"/>
                  <w:vAlign w:val="center"/>
                </w:tcPr>
                <w:p w14:paraId="6AAC8D34">
                  <w:pPr>
                    <w:widowControl w:val="0"/>
                    <w:spacing w:line="240" w:lineRule="auto"/>
                    <w:ind w:firstLine="0" w:firstLineChars="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w w:val="100"/>
                      <w:kern w:val="2"/>
                      <w:sz w:val="21"/>
                      <w:szCs w:val="21"/>
                      <w:highlight w:val="none"/>
                      <w:lang w:val="en-US" w:eastAsia="zh-CN" w:bidi="ar-SA"/>
                    </w:rPr>
                    <w:t>检测点位和执行标准由委托方提供；执行《声环境质量标准》（GB 3096-2008）声环境功能区类别</w:t>
                  </w:r>
                  <w:r>
                    <w:rPr>
                      <w:rFonts w:hint="eastAsia" w:ascii="Times New Roman" w:hAnsi="Times New Roman" w:eastAsia="宋体" w:cs="Times New Roman"/>
                      <w:color w:val="auto"/>
                      <w:w w:val="100"/>
                      <w:kern w:val="2"/>
                      <w:sz w:val="21"/>
                      <w:szCs w:val="21"/>
                      <w:highlight w:val="none"/>
                      <w:lang w:val="en-US" w:eastAsia="zh-CN" w:bidi="ar-SA"/>
                    </w:rPr>
                    <w:t>2</w:t>
                  </w:r>
                  <w:r>
                    <w:rPr>
                      <w:rFonts w:hint="default" w:ascii="Times New Roman" w:hAnsi="Times New Roman" w:eastAsia="宋体" w:cs="Times New Roman"/>
                      <w:color w:val="auto"/>
                      <w:w w:val="100"/>
                      <w:kern w:val="2"/>
                      <w:sz w:val="21"/>
                      <w:szCs w:val="21"/>
                      <w:highlight w:val="none"/>
                      <w:lang w:val="en-US" w:eastAsia="zh-CN" w:bidi="ar-SA"/>
                    </w:rPr>
                    <w:t>类区标准，噪声排放限值：昼间</w:t>
                  </w:r>
                  <w:r>
                    <w:rPr>
                      <w:rFonts w:hint="eastAsia" w:ascii="Times New Roman" w:hAnsi="Times New Roman" w:eastAsia="宋体" w:cs="Times New Roman"/>
                      <w:color w:val="auto"/>
                      <w:w w:val="100"/>
                      <w:kern w:val="2"/>
                      <w:sz w:val="21"/>
                      <w:szCs w:val="21"/>
                      <w:highlight w:val="none"/>
                      <w:lang w:val="en-US" w:eastAsia="zh-CN" w:bidi="ar-SA"/>
                    </w:rPr>
                    <w:t>60</w:t>
                  </w:r>
                  <w:r>
                    <w:rPr>
                      <w:rFonts w:hint="default" w:ascii="Times New Roman" w:hAnsi="Times New Roman" w:eastAsia="宋体" w:cs="Times New Roman"/>
                      <w:color w:val="auto"/>
                      <w:w w:val="100"/>
                      <w:kern w:val="2"/>
                      <w:sz w:val="21"/>
                      <w:szCs w:val="21"/>
                      <w:highlight w:val="none"/>
                      <w:lang w:val="en-US" w:eastAsia="zh-CN" w:bidi="ar-SA"/>
                    </w:rPr>
                    <w:t>dB(A)，夜间</w:t>
                  </w:r>
                  <w:r>
                    <w:rPr>
                      <w:rFonts w:hint="eastAsia" w:ascii="Times New Roman" w:hAnsi="Times New Roman" w:eastAsia="宋体" w:cs="Times New Roman"/>
                      <w:color w:val="auto"/>
                      <w:w w:val="100"/>
                      <w:kern w:val="2"/>
                      <w:sz w:val="21"/>
                      <w:szCs w:val="21"/>
                      <w:highlight w:val="none"/>
                      <w:lang w:val="en-US" w:eastAsia="zh-CN" w:bidi="ar-SA"/>
                    </w:rPr>
                    <w:t>50</w:t>
                  </w:r>
                  <w:r>
                    <w:rPr>
                      <w:rFonts w:hint="default" w:ascii="Times New Roman" w:hAnsi="Times New Roman" w:eastAsia="宋体" w:cs="Times New Roman"/>
                      <w:color w:val="auto"/>
                      <w:w w:val="100"/>
                      <w:kern w:val="2"/>
                      <w:sz w:val="21"/>
                      <w:szCs w:val="21"/>
                      <w:highlight w:val="none"/>
                      <w:lang w:val="en-US" w:eastAsia="zh-CN" w:bidi="ar-SA"/>
                    </w:rPr>
                    <w:t>dB(A)</w:t>
                  </w:r>
                  <w:r>
                    <w:rPr>
                      <w:rFonts w:hint="eastAsia" w:ascii="Times New Roman" w:hAnsi="Times New Roman" w:eastAsia="宋体" w:cs="Times New Roman"/>
                      <w:color w:val="auto"/>
                      <w:w w:val="100"/>
                      <w:kern w:val="2"/>
                      <w:sz w:val="21"/>
                      <w:szCs w:val="21"/>
                      <w:highlight w:val="none"/>
                      <w:lang w:val="en-US" w:eastAsia="zh-CN" w:bidi="ar-SA"/>
                    </w:rPr>
                    <w:t>。</w:t>
                  </w:r>
                </w:p>
              </w:tc>
            </w:tr>
          </w:tbl>
          <w:p w14:paraId="648C4AE0">
            <w:pPr>
              <w:spacing w:line="360" w:lineRule="auto"/>
              <w:ind w:firstLine="480" w:firstLineChars="200"/>
              <w:rPr>
                <w:rFonts w:hint="eastAsia"/>
                <w:color w:val="auto"/>
                <w:highlight w:val="none"/>
                <w:lang w:val="en-US" w:eastAsia="zh-CN"/>
              </w:rPr>
            </w:pPr>
            <w:r>
              <w:rPr>
                <w:rFonts w:hint="eastAsia" w:ascii="Times New Roman" w:hAnsi="Times New Roman" w:eastAsia="宋体" w:cs="Times New Roman"/>
                <w:color w:val="auto"/>
                <w:sz w:val="24"/>
                <w:highlight w:val="none"/>
                <w:lang w:val="en-US" w:eastAsia="zh-CN"/>
              </w:rPr>
              <w:t>根据监测结果可知，项目厂界昼间噪声为51</w:t>
            </w:r>
            <w:r>
              <w:rPr>
                <w:rFonts w:hint="default" w:ascii="Times New Roman" w:hAnsi="Times New Roman" w:eastAsia="宋体" w:cs="Times New Roman"/>
                <w:color w:val="auto"/>
                <w:sz w:val="24"/>
                <w:highlight w:val="none"/>
                <w:lang w:val="en-US" w:eastAsia="zh-CN"/>
              </w:rPr>
              <w:t>dB</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val="en-US" w:eastAsia="zh-CN"/>
              </w:rPr>
              <w:t>）～53</w:t>
            </w:r>
            <w:r>
              <w:rPr>
                <w:rFonts w:hint="default" w:ascii="Times New Roman" w:hAnsi="Times New Roman" w:eastAsia="宋体" w:cs="Times New Roman"/>
                <w:color w:val="auto"/>
                <w:sz w:val="24"/>
                <w:highlight w:val="none"/>
                <w:lang w:val="en-US" w:eastAsia="zh-CN"/>
              </w:rPr>
              <w:t>dB</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val="en-US" w:eastAsia="zh-CN"/>
              </w:rPr>
              <w:t>）之间，夜间噪声为42</w:t>
            </w:r>
            <w:r>
              <w:rPr>
                <w:rFonts w:hint="default" w:ascii="Times New Roman" w:hAnsi="Times New Roman" w:eastAsia="宋体" w:cs="Times New Roman"/>
                <w:color w:val="auto"/>
                <w:sz w:val="24"/>
                <w:highlight w:val="none"/>
                <w:lang w:val="en-US" w:eastAsia="zh-CN"/>
              </w:rPr>
              <w:t>dB</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val="en-US" w:eastAsia="zh-CN"/>
              </w:rPr>
              <w:t>）～44</w:t>
            </w:r>
            <w:r>
              <w:rPr>
                <w:rFonts w:hint="default" w:ascii="Times New Roman" w:hAnsi="Times New Roman" w:eastAsia="宋体" w:cs="Times New Roman"/>
                <w:color w:val="auto"/>
                <w:sz w:val="24"/>
                <w:highlight w:val="none"/>
                <w:lang w:val="en-US" w:eastAsia="zh-CN"/>
              </w:rPr>
              <w:t>dB</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val="en-US" w:eastAsia="zh-CN"/>
              </w:rPr>
              <w:t>）之间，厂界昼间、夜间噪声均满足《工业企业厂界环境噪声排放标准》（</w:t>
            </w:r>
            <w:r>
              <w:rPr>
                <w:rFonts w:hint="default" w:ascii="Times New Roman" w:hAnsi="Times New Roman" w:eastAsia="宋体" w:cs="Times New Roman"/>
                <w:color w:val="auto"/>
                <w:sz w:val="24"/>
                <w:highlight w:val="none"/>
                <w:lang w:val="en-US" w:eastAsia="zh-CN"/>
              </w:rPr>
              <w:t>GB12348-2008</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2</w:t>
            </w:r>
            <w:r>
              <w:rPr>
                <w:rFonts w:hint="eastAsia" w:ascii="Times New Roman" w:hAnsi="Times New Roman" w:eastAsia="宋体" w:cs="Times New Roman"/>
                <w:color w:val="auto"/>
                <w:sz w:val="24"/>
                <w:highlight w:val="none"/>
                <w:lang w:val="en-US" w:eastAsia="zh-CN"/>
              </w:rPr>
              <w:t>类标准要求。</w:t>
            </w:r>
          </w:p>
          <w:p w14:paraId="50A5F269">
            <w:pPr>
              <w:spacing w:line="360" w:lineRule="auto"/>
              <w:ind w:firstLine="482" w:firstLineChars="200"/>
              <w:rPr>
                <w:rFonts w:hint="default" w:ascii="Times New Roman" w:hAnsi="Times New Roman" w:eastAsia="宋体" w:cs="Times New Roman"/>
                <w:b/>
                <w:bCs/>
                <w:snapToGrid w:val="0"/>
                <w:color w:val="auto"/>
                <w:kern w:val="0"/>
                <w:sz w:val="24"/>
                <w:highlight w:val="none"/>
              </w:rPr>
            </w:pPr>
            <w:r>
              <w:rPr>
                <w:rFonts w:hint="eastAsia" w:cs="Times New Roman"/>
                <w:b/>
                <w:bCs/>
                <w:snapToGrid w:val="0"/>
                <w:color w:val="auto"/>
                <w:kern w:val="0"/>
                <w:sz w:val="24"/>
                <w:highlight w:val="none"/>
                <w:lang w:val="en-US" w:eastAsia="zh-CN"/>
              </w:rPr>
              <w:t>5</w:t>
            </w:r>
            <w:r>
              <w:rPr>
                <w:rFonts w:hint="eastAsia" w:ascii="Times New Roman" w:hAnsi="Times New Roman" w:eastAsia="宋体" w:cs="Times New Roman"/>
                <w:b/>
                <w:bCs/>
                <w:snapToGrid w:val="0"/>
                <w:color w:val="auto"/>
                <w:kern w:val="0"/>
                <w:sz w:val="24"/>
                <w:highlight w:val="none"/>
              </w:rPr>
              <w:t>、生态环境质量现状</w:t>
            </w:r>
            <w:bookmarkEnd w:id="11"/>
            <w:bookmarkEnd w:id="12"/>
          </w:p>
          <w:p w14:paraId="4E7393D9">
            <w:pPr>
              <w:spacing w:line="360" w:lineRule="auto"/>
              <w:ind w:firstLine="480" w:firstLineChars="200"/>
              <w:rPr>
                <w:rFonts w:hint="default"/>
                <w:color w:val="auto"/>
                <w:highlight w:val="none"/>
              </w:rPr>
            </w:pPr>
            <w:r>
              <w:rPr>
                <w:rFonts w:hint="eastAsia" w:ascii="Times New Roman" w:hAnsi="Times New Roman" w:eastAsia="宋体" w:cs="Times New Roman"/>
                <w:snapToGrid w:val="0"/>
                <w:color w:val="auto"/>
                <w:kern w:val="0"/>
                <w:sz w:val="24"/>
                <w:highlight w:val="none"/>
              </w:rPr>
              <w:t>本项目位于</w:t>
            </w:r>
            <w:r>
              <w:rPr>
                <w:rFonts w:hint="default" w:ascii="Times New Roman" w:hAnsi="Times New Roman" w:cs="Times New Roman"/>
                <w:color w:val="auto"/>
                <w:sz w:val="24"/>
                <w:highlight w:val="none"/>
              </w:rPr>
              <w:t>内蒙古自治区鄂尔多斯市伊金霍洛旗纳林陶亥镇伊金霍洛旗纳林塔纳林沟煤矿</w:t>
            </w:r>
            <w:r>
              <w:rPr>
                <w:rFonts w:hint="default" w:ascii="Times New Roman" w:hAnsi="Times New Roman" w:cs="Times New Roman"/>
                <w:color w:val="auto"/>
                <w:sz w:val="24"/>
                <w:highlight w:val="none"/>
                <w:lang w:val="en-US" w:eastAsia="zh-CN"/>
              </w:rPr>
              <w:t>工业场地内</w:t>
            </w:r>
            <w:r>
              <w:rPr>
                <w:rFonts w:hint="eastAsia" w:ascii="Times New Roman" w:hAnsi="Times New Roman" w:eastAsia="宋体" w:cs="Times New Roman"/>
                <w:snapToGrid w:val="0"/>
                <w:color w:val="auto"/>
                <w:kern w:val="0"/>
                <w:sz w:val="24"/>
                <w:highlight w:val="none"/>
              </w:rPr>
              <w:t>，植被类型简单。本项目</w:t>
            </w:r>
            <w:r>
              <w:rPr>
                <w:rFonts w:hint="default" w:ascii="Times New Roman" w:hAnsi="Times New Roman" w:eastAsia="宋体" w:cs="Times New Roman"/>
                <w:snapToGrid w:val="0"/>
                <w:color w:val="auto"/>
                <w:kern w:val="0"/>
                <w:sz w:val="24"/>
                <w:highlight w:val="none"/>
              </w:rPr>
              <w:t>用地性质为工业用地</w:t>
            </w:r>
            <w:r>
              <w:rPr>
                <w:rFonts w:hint="eastAsia" w:ascii="Times New Roman" w:hAnsi="Times New Roman" w:eastAsia="宋体" w:cs="Times New Roman"/>
                <w:snapToGrid w:val="0"/>
                <w:color w:val="auto"/>
                <w:kern w:val="0"/>
                <w:sz w:val="24"/>
                <w:highlight w:val="none"/>
              </w:rPr>
              <w:t>，用地范围内</w:t>
            </w:r>
            <w:r>
              <w:rPr>
                <w:rFonts w:hint="eastAsia" w:ascii="Times New Roman" w:hAnsi="Times New Roman" w:eastAsia="宋体" w:cs="Times New Roman"/>
                <w:snapToGrid w:val="0"/>
                <w:color w:val="auto"/>
                <w:kern w:val="0"/>
                <w:sz w:val="24"/>
                <w:highlight w:val="none"/>
                <w:lang w:val="en-US" w:eastAsia="zh-CN"/>
              </w:rPr>
              <w:t>均进行了混凝土硬化</w:t>
            </w:r>
            <w:r>
              <w:rPr>
                <w:rFonts w:hint="eastAsia" w:ascii="Times New Roman" w:hAnsi="Times New Roman" w:eastAsia="宋体" w:cs="Times New Roman"/>
                <w:snapToGrid w:val="0"/>
                <w:color w:val="auto"/>
                <w:kern w:val="0"/>
                <w:sz w:val="24"/>
                <w:highlight w:val="none"/>
              </w:rPr>
              <w:t>，项目区及周边无</w:t>
            </w:r>
            <w:r>
              <w:rPr>
                <w:rFonts w:hint="default" w:ascii="Times New Roman" w:hAnsi="Times New Roman" w:eastAsia="宋体" w:cs="Times New Roman"/>
                <w:snapToGrid w:val="0"/>
                <w:color w:val="auto"/>
                <w:kern w:val="0"/>
                <w:sz w:val="24"/>
                <w:highlight w:val="none"/>
              </w:rPr>
              <w:t>生态环境保护目标</w:t>
            </w:r>
            <w:r>
              <w:rPr>
                <w:rFonts w:hint="eastAsia" w:ascii="Times New Roman" w:hAnsi="Times New Roman" w:eastAsia="宋体" w:cs="Times New Roman"/>
                <w:snapToGrid w:val="0"/>
                <w:color w:val="auto"/>
                <w:kern w:val="0"/>
                <w:sz w:val="24"/>
                <w:highlight w:val="none"/>
              </w:rPr>
              <w:t>。</w:t>
            </w:r>
          </w:p>
        </w:tc>
      </w:tr>
      <w:tr w14:paraId="378F9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1" w:type="pct"/>
            <w:vAlign w:val="center"/>
          </w:tcPr>
          <w:p w14:paraId="46A6294F">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环境</w:t>
            </w:r>
          </w:p>
          <w:p w14:paraId="3790F597">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保护</w:t>
            </w:r>
          </w:p>
          <w:p w14:paraId="191BFDC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目标</w:t>
            </w:r>
          </w:p>
        </w:tc>
        <w:tc>
          <w:tcPr>
            <w:tcW w:w="4778" w:type="pct"/>
            <w:vAlign w:val="center"/>
          </w:tcPr>
          <w:p w14:paraId="7DB5DDAD">
            <w:pPr>
              <w:spacing w:line="520" w:lineRule="exact"/>
              <w:ind w:firstLine="480" w:firstLineChars="200"/>
              <w:jc w:val="both"/>
              <w:rPr>
                <w:rFonts w:hint="default" w:ascii="Times New Roman" w:hAnsi="Times New Roman" w:cs="Times New Roman"/>
                <w:color w:val="auto"/>
                <w:kern w:val="2"/>
                <w:sz w:val="24"/>
                <w:szCs w:val="20"/>
                <w:highlight w:val="none"/>
                <w:lang w:val="en-US" w:eastAsia="zh-CN" w:bidi="ar"/>
              </w:rPr>
            </w:pPr>
            <w:r>
              <w:rPr>
                <w:rFonts w:hint="default" w:ascii="Times New Roman" w:hAnsi="Times New Roman" w:cs="Times New Roman"/>
                <w:color w:val="auto"/>
                <w:kern w:val="2"/>
                <w:sz w:val="24"/>
                <w:szCs w:val="20"/>
                <w:highlight w:val="none"/>
                <w:lang w:val="en-US" w:bidi="ar"/>
              </w:rPr>
              <w:t>项目位于</w:t>
            </w:r>
            <w:r>
              <w:rPr>
                <w:rFonts w:hint="default" w:ascii="Times New Roman" w:hAnsi="Times New Roman" w:cs="Times New Roman"/>
                <w:color w:val="auto"/>
                <w:sz w:val="24"/>
                <w:highlight w:val="none"/>
              </w:rPr>
              <w:t>内蒙古自治区鄂尔多斯市伊金霍洛旗纳林陶亥镇伊金霍洛旗纳林塔纳林沟煤矿</w:t>
            </w:r>
            <w:r>
              <w:rPr>
                <w:rFonts w:hint="default" w:ascii="Times New Roman" w:hAnsi="Times New Roman" w:cs="Times New Roman"/>
                <w:color w:val="auto"/>
                <w:sz w:val="24"/>
                <w:highlight w:val="none"/>
                <w:lang w:val="en-US" w:eastAsia="zh-CN"/>
              </w:rPr>
              <w:t>工业场地内，</w:t>
            </w:r>
            <w:r>
              <w:rPr>
                <w:rFonts w:hint="default" w:ascii="Times New Roman" w:hAnsi="Times New Roman" w:cs="Times New Roman"/>
                <w:bCs/>
                <w:color w:val="auto"/>
                <w:kern w:val="2"/>
                <w:sz w:val="24"/>
                <w:szCs w:val="20"/>
                <w:highlight w:val="none"/>
                <w:lang w:val="en-US" w:bidi="ar"/>
              </w:rPr>
              <w:t>项目中心地理坐标为</w:t>
            </w:r>
            <w:r>
              <w:rPr>
                <w:rFonts w:hint="default" w:ascii="Times New Roman" w:hAnsi="Times New Roman" w:cs="Times New Roman"/>
                <w:bCs/>
                <w:color w:val="auto"/>
                <w:kern w:val="2"/>
                <w:sz w:val="24"/>
                <w:szCs w:val="20"/>
                <w:highlight w:val="none"/>
                <w:lang w:val="en-US" w:eastAsia="zh-CN" w:bidi="ar"/>
              </w:rPr>
              <w:t>：</w:t>
            </w:r>
            <w:r>
              <w:rPr>
                <w:rFonts w:hint="default" w:ascii="Times New Roman" w:hAnsi="Times New Roman" w:eastAsia="宋体" w:cs="Times New Roman"/>
                <w:color w:val="auto"/>
                <w:sz w:val="24"/>
                <w:highlight w:val="none"/>
              </w:rPr>
              <w:t>东经</w:t>
            </w:r>
            <w:r>
              <w:rPr>
                <w:rFonts w:hint="default" w:ascii="Times New Roman" w:hAnsi="Times New Roman" w:eastAsia="宋体" w:cs="Times New Roman"/>
                <w:color w:val="auto"/>
                <w:sz w:val="24"/>
                <w:highlight w:val="none"/>
                <w:lang w:val="en-US" w:eastAsia="zh-CN"/>
              </w:rPr>
              <w:t>110</w:t>
            </w:r>
            <w:r>
              <w:rPr>
                <w:rFonts w:hint="default" w:ascii="Times New Roman" w:hAnsi="Times New Roman" w:eastAsia="宋体" w:cs="Times New Roman"/>
                <w:color w:val="auto"/>
                <w:sz w:val="24"/>
                <w:highlight w:val="none"/>
              </w:rPr>
              <w:t>度</w:t>
            </w:r>
            <w:r>
              <w:rPr>
                <w:rFonts w:hint="eastAsia" w:cs="Times New Roman"/>
                <w:color w:val="auto"/>
                <w:sz w:val="24"/>
                <w:highlight w:val="none"/>
                <w:lang w:val="en-US" w:eastAsia="zh-CN"/>
              </w:rPr>
              <w:t>16</w:t>
            </w:r>
            <w:r>
              <w:rPr>
                <w:rFonts w:hint="default" w:ascii="Times New Roman" w:hAnsi="Times New Roman" w:eastAsia="宋体" w:cs="Times New Roman"/>
                <w:color w:val="auto"/>
                <w:sz w:val="24"/>
                <w:highlight w:val="none"/>
              </w:rPr>
              <w:t>分</w:t>
            </w:r>
            <w:r>
              <w:rPr>
                <w:rFonts w:hint="eastAsia" w:cs="Times New Roman"/>
                <w:color w:val="auto"/>
                <w:sz w:val="24"/>
                <w:highlight w:val="none"/>
                <w:lang w:val="en-US" w:eastAsia="zh-CN"/>
              </w:rPr>
              <w:t>34.520</w:t>
            </w:r>
            <w:r>
              <w:rPr>
                <w:rFonts w:hint="default" w:ascii="Times New Roman" w:hAnsi="Times New Roman" w:eastAsia="宋体" w:cs="Times New Roman"/>
                <w:color w:val="auto"/>
                <w:sz w:val="24"/>
                <w:highlight w:val="none"/>
              </w:rPr>
              <w:t>秒，北纬39度</w:t>
            </w:r>
            <w:r>
              <w:rPr>
                <w:rFonts w:hint="eastAsia" w:cs="Times New Roman"/>
                <w:color w:val="auto"/>
                <w:sz w:val="24"/>
                <w:highlight w:val="none"/>
                <w:lang w:val="en-US" w:eastAsia="zh-CN"/>
              </w:rPr>
              <w:t>35</w:t>
            </w:r>
            <w:r>
              <w:rPr>
                <w:rFonts w:hint="default" w:ascii="Times New Roman" w:hAnsi="Times New Roman" w:eastAsia="宋体" w:cs="Times New Roman"/>
                <w:color w:val="auto"/>
                <w:sz w:val="24"/>
                <w:highlight w:val="none"/>
              </w:rPr>
              <w:t>分</w:t>
            </w:r>
            <w:r>
              <w:rPr>
                <w:rFonts w:hint="eastAsia" w:cs="Times New Roman"/>
                <w:color w:val="auto"/>
                <w:sz w:val="24"/>
                <w:highlight w:val="none"/>
                <w:lang w:val="en-US" w:eastAsia="zh-CN"/>
              </w:rPr>
              <w:t>17.383</w:t>
            </w:r>
            <w:r>
              <w:rPr>
                <w:rFonts w:hint="default" w:ascii="Times New Roman" w:hAnsi="Times New Roman" w:eastAsia="宋体" w:cs="Times New Roman"/>
                <w:color w:val="auto"/>
                <w:sz w:val="24"/>
                <w:highlight w:val="none"/>
              </w:rPr>
              <w:t>秒</w:t>
            </w:r>
            <w:r>
              <w:rPr>
                <w:rFonts w:hint="default" w:ascii="Times New Roman" w:hAnsi="Times New Roman" w:cs="Times New Roman"/>
                <w:color w:val="auto"/>
                <w:kern w:val="2"/>
                <w:sz w:val="24"/>
                <w:szCs w:val="20"/>
                <w:highlight w:val="none"/>
                <w:lang w:val="en-US" w:eastAsia="zh-CN" w:bidi="ar"/>
              </w:rPr>
              <w:t>。</w:t>
            </w:r>
          </w:p>
          <w:p w14:paraId="505396FE">
            <w:pPr>
              <w:spacing w:line="520" w:lineRule="exact"/>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根据《建设项目环境影响报告表编制技术指南（污染影响类）</w:t>
            </w:r>
            <w:r>
              <w:rPr>
                <w:rFonts w:hint="eastAsia" w:cs="Times New Roman"/>
                <w:color w:val="auto"/>
                <w:sz w:val="24"/>
                <w:highlight w:val="none"/>
                <w:lang w:eastAsia="zh-CN"/>
              </w:rPr>
              <w:t>（试行）》</w:t>
            </w:r>
            <w:r>
              <w:rPr>
                <w:rFonts w:hint="default" w:ascii="Times New Roman" w:hAnsi="Times New Roman" w:cs="Times New Roman"/>
                <w:color w:val="auto"/>
                <w:sz w:val="24"/>
                <w:highlight w:val="none"/>
              </w:rPr>
              <w:t>中关于环境保护目标的规定，“大气环境：明确厂界外500m范围内的自然保护区、风景名胜区、居民区、文化区和农村地区中人群较集中的区域；声环境：明确厂界外50m范围内声环境保护目标；地下水环境：明确厂界外500m单位内的地下水集中式饮用水水源和热水、矿泉水、温泉等特殊地下水资源”。</w:t>
            </w:r>
          </w:p>
          <w:p w14:paraId="390C19E0">
            <w:pPr>
              <w:spacing w:line="520" w:lineRule="exact"/>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本项目周边不涉及以上保护目标。</w:t>
            </w:r>
          </w:p>
          <w:p w14:paraId="42CBAD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表3-9</w:t>
            </w:r>
            <w:r>
              <w:rPr>
                <w:rFonts w:hint="default" w:ascii="Times New Roman" w:hAnsi="Times New Roman" w:eastAsia="宋体" w:cs="Times New Roman"/>
                <w:b/>
                <w:bCs/>
                <w:color w:val="auto"/>
                <w:sz w:val="21"/>
                <w:szCs w:val="21"/>
                <w:highlight w:val="none"/>
                <w:lang w:val="en-US" w:eastAsia="zh-CN"/>
              </w:rPr>
              <w:tab/>
            </w:r>
            <w:r>
              <w:rPr>
                <w:rFonts w:hint="default" w:ascii="Times New Roman" w:hAnsi="Times New Roman" w:eastAsia="宋体" w:cs="Times New Roman"/>
                <w:b/>
                <w:bCs/>
                <w:color w:val="auto"/>
                <w:sz w:val="21"/>
                <w:szCs w:val="21"/>
                <w:highlight w:val="none"/>
                <w:lang w:val="en-US" w:eastAsia="zh-CN"/>
              </w:rPr>
              <w:t>环境保护目标一览表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833"/>
              <w:gridCol w:w="747"/>
              <w:gridCol w:w="683"/>
              <w:gridCol w:w="1232"/>
              <w:gridCol w:w="684"/>
              <w:gridCol w:w="882"/>
              <w:gridCol w:w="2206"/>
            </w:tblGrid>
            <w:tr w14:paraId="738F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409" w:type="pct"/>
                  <w:vMerge w:val="restart"/>
                  <w:noWrap w:val="0"/>
                  <w:vAlign w:val="center"/>
                </w:tcPr>
                <w:p w14:paraId="620DC5F9">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环境</w:t>
                  </w:r>
                </w:p>
                <w:p w14:paraId="785FB50D">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要素</w:t>
                  </w:r>
                </w:p>
              </w:tc>
              <w:tc>
                <w:tcPr>
                  <w:tcW w:w="526" w:type="pct"/>
                  <w:vMerge w:val="restart"/>
                  <w:noWrap w:val="0"/>
                  <w:tcMar>
                    <w:left w:w="28" w:type="dxa"/>
                    <w:right w:w="28" w:type="dxa"/>
                  </w:tcMar>
                  <w:vAlign w:val="center"/>
                </w:tcPr>
                <w:p w14:paraId="4637D63F">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保护</w:t>
                  </w:r>
                </w:p>
                <w:p w14:paraId="45D2FBC3">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目标</w:t>
                  </w:r>
                </w:p>
              </w:tc>
              <w:tc>
                <w:tcPr>
                  <w:tcW w:w="472" w:type="pct"/>
                  <w:vMerge w:val="restart"/>
                  <w:noWrap w:val="0"/>
                  <w:tcMar>
                    <w:left w:w="28" w:type="dxa"/>
                    <w:right w:w="28" w:type="dxa"/>
                  </w:tcMar>
                  <w:vAlign w:val="center"/>
                </w:tcPr>
                <w:p w14:paraId="341E1D90">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评价</w:t>
                  </w:r>
                </w:p>
                <w:p w14:paraId="07006E69">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范围</w:t>
                  </w:r>
                </w:p>
              </w:tc>
              <w:tc>
                <w:tcPr>
                  <w:tcW w:w="2197" w:type="pct"/>
                  <w:gridSpan w:val="4"/>
                  <w:noWrap w:val="0"/>
                  <w:vAlign w:val="center"/>
                </w:tcPr>
                <w:p w14:paraId="1FF04846">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相对厂址</w:t>
                  </w:r>
                </w:p>
              </w:tc>
              <w:tc>
                <w:tcPr>
                  <w:tcW w:w="1393" w:type="pct"/>
                  <w:vMerge w:val="restart"/>
                  <w:noWrap w:val="0"/>
                  <w:tcMar>
                    <w:left w:w="28" w:type="dxa"/>
                    <w:right w:w="28" w:type="dxa"/>
                  </w:tcMar>
                  <w:vAlign w:val="center"/>
                </w:tcPr>
                <w:p w14:paraId="1E0A44EB">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保护级别</w:t>
                  </w:r>
                </w:p>
              </w:tc>
            </w:tr>
            <w:tr w14:paraId="078D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409" w:type="pct"/>
                  <w:vMerge w:val="continue"/>
                  <w:noWrap w:val="0"/>
                  <w:vAlign w:val="center"/>
                </w:tcPr>
                <w:p w14:paraId="02F00EC7">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p>
              </w:tc>
              <w:tc>
                <w:tcPr>
                  <w:tcW w:w="526" w:type="pct"/>
                  <w:vMerge w:val="continue"/>
                  <w:noWrap w:val="0"/>
                  <w:tcMar>
                    <w:left w:w="28" w:type="dxa"/>
                    <w:right w:w="28" w:type="dxa"/>
                  </w:tcMar>
                  <w:vAlign w:val="center"/>
                </w:tcPr>
                <w:p w14:paraId="612FD348">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p>
              </w:tc>
              <w:tc>
                <w:tcPr>
                  <w:tcW w:w="472" w:type="pct"/>
                  <w:vMerge w:val="continue"/>
                  <w:noWrap w:val="0"/>
                  <w:tcMar>
                    <w:left w:w="28" w:type="dxa"/>
                    <w:right w:w="28" w:type="dxa"/>
                  </w:tcMar>
                  <w:vAlign w:val="center"/>
                </w:tcPr>
                <w:p w14:paraId="0F98A6AB">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p>
              </w:tc>
              <w:tc>
                <w:tcPr>
                  <w:tcW w:w="431" w:type="pct"/>
                  <w:noWrap w:val="0"/>
                  <w:tcMar>
                    <w:left w:w="28" w:type="dxa"/>
                    <w:right w:w="28" w:type="dxa"/>
                  </w:tcMar>
                  <w:vAlign w:val="center"/>
                </w:tcPr>
                <w:p w14:paraId="393BBDA0">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方位</w:t>
                  </w:r>
                </w:p>
              </w:tc>
              <w:tc>
                <w:tcPr>
                  <w:tcW w:w="778" w:type="pct"/>
                  <w:noWrap w:val="0"/>
                  <w:vAlign w:val="center"/>
                </w:tcPr>
                <w:p w14:paraId="7F7F908E">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最近距离（m）</w:t>
                  </w:r>
                </w:p>
              </w:tc>
              <w:tc>
                <w:tcPr>
                  <w:tcW w:w="432" w:type="pct"/>
                  <w:noWrap w:val="0"/>
                  <w:vAlign w:val="center"/>
                </w:tcPr>
                <w:p w14:paraId="759193F4">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户数</w:t>
                  </w:r>
                </w:p>
              </w:tc>
              <w:tc>
                <w:tcPr>
                  <w:tcW w:w="555" w:type="pct"/>
                  <w:noWrap w:val="0"/>
                  <w:vAlign w:val="center"/>
                </w:tcPr>
                <w:p w14:paraId="2E567979">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人数</w:t>
                  </w:r>
                </w:p>
              </w:tc>
              <w:tc>
                <w:tcPr>
                  <w:tcW w:w="1393" w:type="pct"/>
                  <w:vMerge w:val="continue"/>
                  <w:noWrap w:val="0"/>
                  <w:tcMar>
                    <w:left w:w="28" w:type="dxa"/>
                    <w:right w:w="28" w:type="dxa"/>
                  </w:tcMar>
                  <w:vAlign w:val="center"/>
                </w:tcPr>
                <w:p w14:paraId="1398E6E6">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p>
              </w:tc>
            </w:tr>
            <w:tr w14:paraId="4544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09" w:type="pct"/>
                  <w:noWrap w:val="0"/>
                  <w:vAlign w:val="center"/>
                </w:tcPr>
                <w:p w14:paraId="5E8B69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w:t>
                  </w:r>
                </w:p>
                <w:p w14:paraId="0210C1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空气</w:t>
                  </w:r>
                </w:p>
              </w:tc>
              <w:tc>
                <w:tcPr>
                  <w:tcW w:w="526" w:type="pct"/>
                  <w:noWrap w:val="0"/>
                  <w:tcMar>
                    <w:left w:w="28" w:type="dxa"/>
                    <w:right w:w="28" w:type="dxa"/>
                  </w:tcMar>
                  <w:vAlign w:val="center"/>
                </w:tcPr>
                <w:p w14:paraId="638E6C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72" w:type="pct"/>
                  <w:noWrap w:val="0"/>
                  <w:tcMar>
                    <w:left w:w="28" w:type="dxa"/>
                    <w:right w:w="28" w:type="dxa"/>
                  </w:tcMar>
                  <w:vAlign w:val="center"/>
                </w:tcPr>
                <w:p w14:paraId="7E1789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500m</w:t>
                  </w:r>
                </w:p>
              </w:tc>
              <w:tc>
                <w:tcPr>
                  <w:tcW w:w="431" w:type="pct"/>
                  <w:noWrap w:val="0"/>
                  <w:tcMar>
                    <w:left w:w="28" w:type="dxa"/>
                    <w:right w:w="28" w:type="dxa"/>
                  </w:tcMar>
                  <w:vAlign w:val="center"/>
                </w:tcPr>
                <w:p w14:paraId="0B2DDA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78" w:type="pct"/>
                  <w:noWrap w:val="0"/>
                  <w:vAlign w:val="center"/>
                </w:tcPr>
                <w:p w14:paraId="3D68CB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32" w:type="pct"/>
                  <w:noWrap w:val="0"/>
                  <w:vAlign w:val="center"/>
                </w:tcPr>
                <w:p w14:paraId="0B54BB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55" w:type="pct"/>
                  <w:noWrap w:val="0"/>
                  <w:vAlign w:val="center"/>
                </w:tcPr>
                <w:p w14:paraId="1B4C7A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1393" w:type="pct"/>
                  <w:noWrap w:val="0"/>
                  <w:tcMar>
                    <w:left w:w="28" w:type="dxa"/>
                    <w:right w:w="28" w:type="dxa"/>
                  </w:tcMar>
                  <w:vAlign w:val="center"/>
                </w:tcPr>
                <w:p w14:paraId="5E469F85">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rPr>
                    <w:t>《环境空气质量标准》（GB3095-2012）二级标准要求</w:t>
                  </w:r>
                  <w:r>
                    <w:rPr>
                      <w:rFonts w:hint="default" w:ascii="Times New Roman" w:hAnsi="Times New Roman" w:cs="Times New Roman"/>
                      <w:color w:val="auto"/>
                      <w:sz w:val="21"/>
                      <w:highlight w:val="none"/>
                      <w:lang w:val="en-US" w:eastAsia="zh-CN"/>
                    </w:rPr>
                    <w:t>及修改单</w:t>
                  </w:r>
                </w:p>
              </w:tc>
            </w:tr>
            <w:tr w14:paraId="68E0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409" w:type="pct"/>
                  <w:noWrap w:val="0"/>
                  <w:vAlign w:val="center"/>
                </w:tcPr>
                <w:p w14:paraId="5730901B">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rPr>
                    <w:t>地下</w:t>
                  </w:r>
                  <w:r>
                    <w:rPr>
                      <w:rFonts w:hint="default" w:ascii="Times New Roman" w:hAnsi="Times New Roman" w:cs="Times New Roman"/>
                      <w:color w:val="auto"/>
                      <w:sz w:val="21"/>
                      <w:highlight w:val="none"/>
                    </w:rPr>
                    <w:t>水</w:t>
                  </w:r>
                </w:p>
              </w:tc>
              <w:tc>
                <w:tcPr>
                  <w:tcW w:w="3196" w:type="pct"/>
                  <w:gridSpan w:val="6"/>
                  <w:noWrap w:val="0"/>
                  <w:tcMar>
                    <w:left w:w="28" w:type="dxa"/>
                    <w:right w:w="28" w:type="dxa"/>
                  </w:tcMar>
                  <w:vAlign w:val="center"/>
                </w:tcPr>
                <w:p w14:paraId="5F30FEDF">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lang w:val="en-US"/>
                    </w:rPr>
                  </w:pPr>
                  <w:r>
                    <w:rPr>
                      <w:rFonts w:hint="default" w:ascii="Times New Roman" w:hAnsi="Times New Roman" w:cs="Times New Roman"/>
                      <w:color w:val="auto"/>
                      <w:sz w:val="21"/>
                      <w:highlight w:val="none"/>
                      <w:lang w:val="en-US"/>
                    </w:rPr>
                    <w:t>厂区周围地下水环境</w:t>
                  </w:r>
                </w:p>
              </w:tc>
              <w:tc>
                <w:tcPr>
                  <w:tcW w:w="1393" w:type="pct"/>
                  <w:noWrap w:val="0"/>
                  <w:tcMar>
                    <w:left w:w="28" w:type="dxa"/>
                    <w:right w:w="28" w:type="dxa"/>
                  </w:tcMar>
                  <w:vAlign w:val="center"/>
                </w:tcPr>
                <w:p w14:paraId="1E60D38E">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《地下水质量标准》(GB/T14848-2017</w:t>
                  </w:r>
                  <w:r>
                    <w:rPr>
                      <w:rFonts w:hint="eastAsia"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中Ⅲ类</w:t>
                  </w:r>
                </w:p>
              </w:tc>
            </w:tr>
            <w:tr w14:paraId="6DE6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09" w:type="pct"/>
                  <w:noWrap w:val="0"/>
                  <w:vAlign w:val="center"/>
                </w:tcPr>
                <w:p w14:paraId="1693DBBC">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lang w:val="en-US"/>
                    </w:rPr>
                  </w:pPr>
                  <w:r>
                    <w:rPr>
                      <w:rFonts w:hint="default" w:ascii="Times New Roman" w:hAnsi="Times New Roman" w:cs="Times New Roman"/>
                      <w:color w:val="auto"/>
                      <w:sz w:val="21"/>
                      <w:highlight w:val="none"/>
                    </w:rPr>
                    <w:t>声环境</w:t>
                  </w:r>
                </w:p>
              </w:tc>
              <w:tc>
                <w:tcPr>
                  <w:tcW w:w="3196" w:type="pct"/>
                  <w:gridSpan w:val="6"/>
                  <w:noWrap w:val="0"/>
                  <w:tcMar>
                    <w:left w:w="28" w:type="dxa"/>
                    <w:right w:w="28" w:type="dxa"/>
                  </w:tcMar>
                  <w:vAlign w:val="center"/>
                </w:tcPr>
                <w:p w14:paraId="125A29D6">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lang w:val="en-US"/>
                    </w:rPr>
                  </w:pPr>
                  <w:r>
                    <w:rPr>
                      <w:rFonts w:hint="default" w:ascii="Times New Roman" w:hAnsi="Times New Roman" w:cs="Times New Roman"/>
                      <w:color w:val="auto"/>
                      <w:sz w:val="21"/>
                      <w:highlight w:val="none"/>
                    </w:rPr>
                    <w:t>厂界外</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0m及进场道路两侧</w:t>
                  </w:r>
                  <w:r>
                    <w:rPr>
                      <w:rFonts w:hint="default" w:ascii="Times New Roman" w:hAnsi="Times New Roman" w:cs="Times New Roman"/>
                      <w:color w:val="auto"/>
                      <w:sz w:val="21"/>
                      <w:highlight w:val="none"/>
                      <w:lang w:val="en-US" w:eastAsia="zh-CN"/>
                    </w:rPr>
                    <w:t>5</w:t>
                  </w:r>
                  <w:r>
                    <w:rPr>
                      <w:rFonts w:hint="default" w:ascii="Times New Roman" w:hAnsi="Times New Roman" w:cs="Times New Roman"/>
                      <w:color w:val="auto"/>
                      <w:sz w:val="21"/>
                      <w:highlight w:val="none"/>
                    </w:rPr>
                    <w:t>0m范围无居民等敏感点</w:t>
                  </w:r>
                </w:p>
              </w:tc>
              <w:tc>
                <w:tcPr>
                  <w:tcW w:w="1393" w:type="pct"/>
                  <w:noWrap w:val="0"/>
                  <w:tcMar>
                    <w:left w:w="28" w:type="dxa"/>
                    <w:right w:w="28" w:type="dxa"/>
                  </w:tcMar>
                  <w:vAlign w:val="center"/>
                </w:tcPr>
                <w:p w14:paraId="69B33FCE">
                  <w:pPr>
                    <w:pStyle w:val="4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 w:val="21"/>
                      <w:highlight w:val="none"/>
                      <w:lang w:val="en-US"/>
                    </w:rPr>
                  </w:pPr>
                  <w:r>
                    <w:rPr>
                      <w:rFonts w:hint="default" w:ascii="Times New Roman" w:hAnsi="Times New Roman" w:cs="Times New Roman"/>
                      <w:color w:val="auto"/>
                      <w:sz w:val="21"/>
                      <w:highlight w:val="none"/>
                      <w:lang w:val="en-US"/>
                    </w:rPr>
                    <w:t>《声环境质量标准》（GB3096-2008）</w:t>
                  </w:r>
                  <w:r>
                    <w:rPr>
                      <w:rFonts w:hint="default" w:ascii="Times New Roman" w:hAnsi="Times New Roman" w:cs="Times New Roman"/>
                      <w:color w:val="auto"/>
                      <w:sz w:val="21"/>
                      <w:highlight w:val="none"/>
                      <w:lang w:val="en-US" w:eastAsia="zh-CN"/>
                    </w:rPr>
                    <w:t>2</w:t>
                  </w:r>
                  <w:r>
                    <w:rPr>
                      <w:rFonts w:hint="default" w:ascii="Times New Roman" w:hAnsi="Times New Roman" w:cs="Times New Roman"/>
                      <w:color w:val="auto"/>
                      <w:sz w:val="21"/>
                      <w:highlight w:val="none"/>
                      <w:lang w:val="en-US"/>
                    </w:rPr>
                    <w:t>类</w:t>
                  </w:r>
                </w:p>
              </w:tc>
            </w:tr>
          </w:tbl>
          <w:p w14:paraId="3AB2925E">
            <w:pPr>
              <w:spacing w:line="520" w:lineRule="exact"/>
              <w:ind w:firstLine="480" w:firstLineChars="200"/>
              <w:jc w:val="both"/>
              <w:rPr>
                <w:rFonts w:hint="default" w:ascii="Times New Roman" w:hAnsi="Times New Roman" w:cs="Times New Roman"/>
                <w:color w:val="auto"/>
                <w:sz w:val="24"/>
                <w:highlight w:val="none"/>
              </w:rPr>
            </w:pPr>
          </w:p>
        </w:tc>
      </w:tr>
      <w:tr w14:paraId="4E9A7E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221" w:type="pct"/>
            <w:tcMar>
              <w:left w:w="28" w:type="dxa"/>
              <w:right w:w="28" w:type="dxa"/>
            </w:tcMar>
            <w:vAlign w:val="center"/>
          </w:tcPr>
          <w:p w14:paraId="0FB19313">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污染</w:t>
            </w:r>
          </w:p>
          <w:p w14:paraId="4CD5B26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物排</w:t>
            </w:r>
          </w:p>
          <w:p w14:paraId="5CD9F24C">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放控</w:t>
            </w:r>
          </w:p>
          <w:p w14:paraId="4D69BD34">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制标</w:t>
            </w:r>
          </w:p>
          <w:p w14:paraId="0B12B0C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准</w:t>
            </w:r>
          </w:p>
        </w:tc>
        <w:tc>
          <w:tcPr>
            <w:tcW w:w="4778" w:type="pct"/>
            <w:vAlign w:val="center"/>
          </w:tcPr>
          <w:p w14:paraId="7F9F3A4B">
            <w:pPr>
              <w:tabs>
                <w:tab w:val="left" w:pos="0"/>
                <w:tab w:val="left" w:pos="676"/>
              </w:tabs>
              <w:spacing w:before="156" w:beforeLines="50"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1、废气</w:t>
            </w:r>
          </w:p>
          <w:p w14:paraId="7814D3D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施工期产生粉尘执行《大气污染物综合排放标准》（GB16297-1996）中的表2新污染源大气排放限值中无组织排放监控浓度限值。运营期危险废物产生的废气执行《大气污染物综合排放标准》（GB16297-1996）限值要求，</w:t>
            </w:r>
            <w:r>
              <w:rPr>
                <w:rFonts w:hint="eastAsia" w:cs="Times New Roman"/>
                <w:color w:val="auto"/>
                <w:sz w:val="24"/>
                <w:highlight w:val="none"/>
                <w:lang w:val="en-US" w:eastAsia="zh-CN"/>
              </w:rPr>
              <w:t>运营期</w:t>
            </w:r>
            <w:r>
              <w:rPr>
                <w:rFonts w:hint="eastAsia" w:ascii="宋体" w:hAnsi="宋体" w:eastAsia="宋体" w:cs="宋体"/>
                <w:color w:val="auto"/>
                <w:kern w:val="0"/>
                <w:sz w:val="24"/>
                <w:szCs w:val="24"/>
                <w:highlight w:val="none"/>
                <w:lang w:val="en-US" w:eastAsia="zh-CN" w:bidi="ar"/>
              </w:rPr>
              <w:t>厂区内</w:t>
            </w:r>
            <w:r>
              <w:rPr>
                <w:rFonts w:hint="default" w:ascii="Times New Roman" w:hAnsi="Times New Roman" w:eastAsia="宋体" w:cs="Times New Roman"/>
                <w:color w:val="auto"/>
                <w:kern w:val="0"/>
                <w:sz w:val="24"/>
                <w:szCs w:val="24"/>
                <w:highlight w:val="none"/>
                <w:lang w:val="en-US" w:eastAsia="zh-CN" w:bidi="ar"/>
              </w:rPr>
              <w:t>VOCs</w:t>
            </w:r>
            <w:r>
              <w:rPr>
                <w:rFonts w:hint="eastAsia" w:ascii="宋体" w:hAnsi="宋体" w:eastAsia="宋体" w:cs="宋体"/>
                <w:color w:val="auto"/>
                <w:kern w:val="0"/>
                <w:sz w:val="24"/>
                <w:szCs w:val="24"/>
                <w:highlight w:val="none"/>
                <w:lang w:val="en-US" w:eastAsia="zh-CN" w:bidi="ar"/>
              </w:rPr>
              <w:t>无组织排放限值</w:t>
            </w:r>
            <w:r>
              <w:rPr>
                <w:rFonts w:hint="eastAsia" w:ascii="宋体" w:hAnsi="宋体" w:cs="宋体"/>
                <w:color w:val="auto"/>
                <w:kern w:val="0"/>
                <w:sz w:val="24"/>
                <w:szCs w:val="24"/>
                <w:highlight w:val="none"/>
                <w:lang w:val="en-US" w:eastAsia="zh-CN" w:bidi="ar"/>
              </w:rPr>
              <w:t>执行</w:t>
            </w:r>
            <w:r>
              <w:rPr>
                <w:rFonts w:hint="eastAsia" w:ascii="宋体" w:hAnsi="宋体" w:eastAsia="宋体" w:cs="宋体"/>
                <w:color w:val="auto"/>
                <w:kern w:val="0"/>
                <w:sz w:val="24"/>
                <w:szCs w:val="24"/>
                <w:highlight w:val="none"/>
                <w:lang w:val="en-US" w:eastAsia="zh-CN" w:bidi="ar"/>
              </w:rPr>
              <w:t>《挥发性有机物无组织排放控制标准》（</w:t>
            </w:r>
            <w:r>
              <w:rPr>
                <w:rFonts w:hint="default" w:ascii="Times New Roman" w:hAnsi="Times New Roman" w:eastAsia="宋体" w:cs="Times New Roman"/>
                <w:color w:val="auto"/>
                <w:kern w:val="0"/>
                <w:sz w:val="24"/>
                <w:szCs w:val="24"/>
                <w:highlight w:val="none"/>
                <w:lang w:val="en-US" w:eastAsia="zh-CN" w:bidi="ar"/>
              </w:rPr>
              <w:t>GB37822-2019</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w:t>
            </w:r>
            <w:r>
              <w:rPr>
                <w:rFonts w:hint="default" w:ascii="Times New Roman" w:hAnsi="Times New Roman" w:cs="Times New Roman"/>
                <w:color w:val="auto"/>
                <w:sz w:val="24"/>
                <w:highlight w:val="none"/>
              </w:rPr>
              <w:t>具体标准见下表。</w:t>
            </w:r>
          </w:p>
          <w:p w14:paraId="669111B7">
            <w:pPr>
              <w:pStyle w:val="7"/>
              <w:keepNext/>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表3-10  《大气污染物综合排放标准》（GB16297-1996）</w:t>
            </w:r>
          </w:p>
          <w:tbl>
            <w:tblPr>
              <w:tblStyle w:val="20"/>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2413"/>
              <w:gridCol w:w="1968"/>
              <w:gridCol w:w="1981"/>
            </w:tblGrid>
            <w:tr w14:paraId="385E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981" w:type="pct"/>
                  <w:vMerge w:val="restart"/>
                  <w:vAlign w:val="center"/>
                </w:tcPr>
                <w:p w14:paraId="7D423501">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污染物</w:t>
                  </w:r>
                </w:p>
              </w:tc>
              <w:tc>
                <w:tcPr>
                  <w:tcW w:w="1524" w:type="pct"/>
                  <w:vMerge w:val="restart"/>
                  <w:vAlign w:val="center"/>
                </w:tcPr>
                <w:p w14:paraId="579151EC">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最高允许排放浓度</w:t>
                  </w:r>
                  <w:r>
                    <w:rPr>
                      <w:rFonts w:hint="default" w:ascii="Times New Roman" w:hAnsi="Times New Roman" w:cs="Times New Roman"/>
                      <w:b/>
                      <w:bCs/>
                      <w:color w:val="auto"/>
                      <w:szCs w:val="21"/>
                      <w:highlight w:val="none"/>
                    </w:rPr>
                    <w:t>（</w:t>
                  </w:r>
                  <w:r>
                    <w:rPr>
                      <w:rFonts w:hint="default" w:ascii="Times New Roman" w:hAnsi="Times New Roman" w:cs="Times New Roman"/>
                      <w:b/>
                      <w:color w:val="auto"/>
                      <w:szCs w:val="21"/>
                      <w:highlight w:val="none"/>
                    </w:rPr>
                    <w:t>mg/m</w:t>
                  </w:r>
                  <w:r>
                    <w:rPr>
                      <w:rFonts w:hint="default" w:ascii="Times New Roman" w:hAnsi="Times New Roman" w:cs="Times New Roman"/>
                      <w:b/>
                      <w:color w:val="auto"/>
                      <w:szCs w:val="21"/>
                      <w:highlight w:val="none"/>
                      <w:vertAlign w:val="superscript"/>
                    </w:rPr>
                    <w:t>3</w:t>
                  </w:r>
                  <w:r>
                    <w:rPr>
                      <w:rFonts w:hint="default" w:ascii="Times New Roman" w:hAnsi="Times New Roman" w:cs="Times New Roman"/>
                      <w:b/>
                      <w:bCs/>
                      <w:color w:val="auto"/>
                      <w:szCs w:val="21"/>
                      <w:highlight w:val="none"/>
                    </w:rPr>
                    <w:t>）</w:t>
                  </w:r>
                </w:p>
              </w:tc>
              <w:tc>
                <w:tcPr>
                  <w:tcW w:w="2494" w:type="pct"/>
                  <w:gridSpan w:val="2"/>
                  <w:vAlign w:val="center"/>
                </w:tcPr>
                <w:p w14:paraId="2EE00AEA">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无组织排放监控浓度限值</w:t>
                  </w:r>
                </w:p>
              </w:tc>
            </w:tr>
            <w:tr w14:paraId="556B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81" w:type="pct"/>
                  <w:vMerge w:val="continue"/>
                  <w:vAlign w:val="center"/>
                </w:tcPr>
                <w:p w14:paraId="6EA3E6AD">
                  <w:pPr>
                    <w:widowControl/>
                    <w:jc w:val="center"/>
                    <w:rPr>
                      <w:rFonts w:hint="default" w:ascii="Times New Roman" w:hAnsi="Times New Roman" w:cs="Times New Roman"/>
                      <w:b/>
                      <w:color w:val="auto"/>
                      <w:szCs w:val="21"/>
                      <w:highlight w:val="none"/>
                    </w:rPr>
                  </w:pPr>
                </w:p>
              </w:tc>
              <w:tc>
                <w:tcPr>
                  <w:tcW w:w="1524" w:type="pct"/>
                  <w:vMerge w:val="continue"/>
                  <w:vAlign w:val="center"/>
                </w:tcPr>
                <w:p w14:paraId="53DD160F">
                  <w:pPr>
                    <w:widowControl/>
                    <w:jc w:val="center"/>
                    <w:rPr>
                      <w:rFonts w:hint="default" w:ascii="Times New Roman" w:hAnsi="Times New Roman" w:cs="Times New Roman"/>
                      <w:b/>
                      <w:color w:val="auto"/>
                      <w:szCs w:val="21"/>
                      <w:highlight w:val="none"/>
                    </w:rPr>
                  </w:pPr>
                </w:p>
              </w:tc>
              <w:tc>
                <w:tcPr>
                  <w:tcW w:w="1243" w:type="pct"/>
                  <w:vAlign w:val="center"/>
                </w:tcPr>
                <w:p w14:paraId="339FB30C">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监控点</w:t>
                  </w:r>
                </w:p>
              </w:tc>
              <w:tc>
                <w:tcPr>
                  <w:tcW w:w="1251" w:type="pct"/>
                  <w:vAlign w:val="center"/>
                </w:tcPr>
                <w:p w14:paraId="1E9BD686">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浓度</w:t>
                  </w:r>
                  <w:r>
                    <w:rPr>
                      <w:rFonts w:hint="default" w:ascii="Times New Roman" w:hAnsi="Times New Roman" w:cs="Times New Roman"/>
                      <w:b/>
                      <w:bCs/>
                      <w:color w:val="auto"/>
                      <w:szCs w:val="21"/>
                      <w:highlight w:val="none"/>
                    </w:rPr>
                    <w:t>（</w:t>
                  </w:r>
                  <w:r>
                    <w:rPr>
                      <w:rFonts w:hint="default" w:ascii="Times New Roman" w:hAnsi="Times New Roman" w:cs="Times New Roman"/>
                      <w:b/>
                      <w:color w:val="auto"/>
                      <w:szCs w:val="21"/>
                      <w:highlight w:val="none"/>
                    </w:rPr>
                    <w:t>mg/m</w:t>
                  </w:r>
                  <w:r>
                    <w:rPr>
                      <w:rFonts w:hint="default" w:ascii="Times New Roman" w:hAnsi="Times New Roman" w:cs="Times New Roman"/>
                      <w:b/>
                      <w:color w:val="auto"/>
                      <w:szCs w:val="21"/>
                      <w:highlight w:val="none"/>
                      <w:vertAlign w:val="superscript"/>
                    </w:rPr>
                    <w:t>3</w:t>
                  </w:r>
                  <w:r>
                    <w:rPr>
                      <w:rFonts w:hint="default" w:ascii="Times New Roman" w:hAnsi="Times New Roman" w:cs="Times New Roman"/>
                      <w:b/>
                      <w:bCs/>
                      <w:color w:val="auto"/>
                      <w:szCs w:val="21"/>
                      <w:highlight w:val="none"/>
                    </w:rPr>
                    <w:t>）</w:t>
                  </w:r>
                </w:p>
              </w:tc>
            </w:tr>
            <w:tr w14:paraId="54AF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81" w:type="pct"/>
                  <w:vAlign w:val="center"/>
                </w:tcPr>
                <w:p w14:paraId="0FE9C077">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非甲烷总烃</w:t>
                  </w:r>
                </w:p>
              </w:tc>
              <w:tc>
                <w:tcPr>
                  <w:tcW w:w="1524" w:type="pct"/>
                  <w:vAlign w:val="center"/>
                </w:tcPr>
                <w:p w14:paraId="4AC43DE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120</w:t>
                  </w:r>
                </w:p>
              </w:tc>
              <w:tc>
                <w:tcPr>
                  <w:tcW w:w="1243" w:type="pct"/>
                  <w:vAlign w:val="center"/>
                </w:tcPr>
                <w:p w14:paraId="3E61244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周界外浓度最高点</w:t>
                  </w:r>
                </w:p>
              </w:tc>
              <w:tc>
                <w:tcPr>
                  <w:tcW w:w="1251" w:type="pct"/>
                  <w:vAlign w:val="center"/>
                </w:tcPr>
                <w:p w14:paraId="04C6296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w:t>
                  </w:r>
                </w:p>
              </w:tc>
            </w:tr>
          </w:tbl>
          <w:p w14:paraId="5E72A6AF">
            <w:pPr>
              <w:pStyle w:val="7"/>
              <w:keepNext/>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bCs/>
                <w:color w:val="auto"/>
                <w:kern w:val="2"/>
                <w:sz w:val="21"/>
                <w:szCs w:val="21"/>
                <w:highlight w:val="none"/>
                <w:lang w:val="en-US" w:eastAsia="zh-CN" w:bidi="ar-SA"/>
              </w:rPr>
              <w:t>表3-1</w:t>
            </w:r>
            <w:r>
              <w:rPr>
                <w:rFonts w:hint="eastAsia" w:ascii="Times New Roman" w:hAnsi="Times New Roman" w:eastAsia="宋体" w:cs="Times New Roman"/>
                <w:b/>
                <w:bCs/>
                <w:color w:val="auto"/>
                <w:kern w:val="2"/>
                <w:sz w:val="21"/>
                <w:szCs w:val="21"/>
                <w:highlight w:val="none"/>
                <w:lang w:val="en-US" w:eastAsia="zh-CN" w:bidi="ar-SA"/>
              </w:rPr>
              <w:t xml:space="preserve">1  </w:t>
            </w:r>
            <w:r>
              <w:rPr>
                <w:rFonts w:hint="default" w:ascii="Times New Roman" w:hAnsi="Times New Roman" w:eastAsia="宋体" w:cs="Times New Roman"/>
                <w:b/>
                <w:bCs/>
                <w:color w:val="auto"/>
                <w:kern w:val="2"/>
                <w:sz w:val="21"/>
                <w:szCs w:val="21"/>
                <w:highlight w:val="none"/>
                <w:lang w:val="en-US" w:eastAsia="zh-CN" w:bidi="ar-SA"/>
              </w:rPr>
              <w:t>挥发性有机物无组织排放控制标准（GB 37822-2019）</w:t>
            </w:r>
          </w:p>
          <w:tbl>
            <w:tblPr>
              <w:tblStyle w:val="20"/>
              <w:tblW w:w="78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8"/>
              <w:gridCol w:w="1426"/>
              <w:gridCol w:w="1350"/>
              <w:gridCol w:w="2650"/>
              <w:gridCol w:w="1441"/>
            </w:tblGrid>
            <w:tr w14:paraId="5F829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jc w:val="center"/>
              </w:trPr>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BAEB">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lang w:val="en-US" w:eastAsia="zh-CN"/>
                    </w:rPr>
                    <w:t>污染物项目</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3CB3">
                  <w:pPr>
                    <w:jc w:val="center"/>
                    <w:rPr>
                      <w:rFonts w:hint="default" w:ascii="Times New Roman" w:hAnsi="Times New Roman" w:cs="Times New Roman"/>
                      <w:b/>
                      <w:color w:val="auto"/>
                      <w:szCs w:val="21"/>
                      <w:highlight w:val="none"/>
                      <w:lang w:val="en-US" w:eastAsia="zh-CN"/>
                    </w:rPr>
                  </w:pPr>
                  <w:r>
                    <w:rPr>
                      <w:rFonts w:hint="default" w:ascii="Times New Roman" w:hAnsi="Times New Roman" w:cs="Times New Roman"/>
                      <w:b/>
                      <w:color w:val="auto"/>
                      <w:szCs w:val="21"/>
                      <w:highlight w:val="none"/>
                      <w:lang w:val="en-US" w:eastAsia="zh-CN"/>
                    </w:rPr>
                    <w:t>排放限值</w:t>
                  </w:r>
                </w:p>
                <w:p w14:paraId="66905C90">
                  <w:pPr>
                    <w:jc w:val="center"/>
                    <w:rPr>
                      <w:rFonts w:hint="default" w:ascii="Times New Roman" w:hAnsi="Times New Roman" w:cs="Times New Roman"/>
                      <w:b/>
                      <w:color w:val="auto"/>
                      <w:szCs w:val="21"/>
                      <w:highlight w:val="none"/>
                      <w:lang w:val="en-US" w:eastAsia="zh-CN"/>
                    </w:rPr>
                  </w:pPr>
                  <w:r>
                    <w:rPr>
                      <w:rFonts w:hint="default" w:ascii="Times New Roman" w:hAnsi="Times New Roman" w:cs="Times New Roman"/>
                      <w:b/>
                      <w:bCs/>
                      <w:color w:val="auto"/>
                      <w:szCs w:val="21"/>
                      <w:highlight w:val="none"/>
                    </w:rPr>
                    <w:t>（</w:t>
                  </w:r>
                  <w:r>
                    <w:rPr>
                      <w:rFonts w:hint="default" w:ascii="Times New Roman" w:hAnsi="Times New Roman" w:cs="Times New Roman"/>
                      <w:b/>
                      <w:color w:val="auto"/>
                      <w:szCs w:val="21"/>
                      <w:highlight w:val="none"/>
                    </w:rPr>
                    <w:t>mg/m</w:t>
                  </w:r>
                  <w:r>
                    <w:rPr>
                      <w:rFonts w:hint="default" w:ascii="Times New Roman" w:hAnsi="Times New Roman" w:cs="Times New Roman"/>
                      <w:b/>
                      <w:color w:val="auto"/>
                      <w:szCs w:val="21"/>
                      <w:highlight w:val="none"/>
                      <w:vertAlign w:val="superscript"/>
                    </w:rPr>
                    <w:t>3</w:t>
                  </w:r>
                  <w:r>
                    <w:rPr>
                      <w:rFonts w:hint="default" w:ascii="Times New Roman" w:hAnsi="Times New Roman" w:cs="Times New Roman"/>
                      <w:b/>
                      <w:bCs/>
                      <w:color w:val="auto"/>
                      <w:szCs w:val="21"/>
                      <w:highlight w:val="none"/>
                    </w:rPr>
                    <w:t>）</w:t>
                  </w:r>
                </w:p>
              </w:tc>
              <w:tc>
                <w:tcPr>
                  <w:tcW w:w="8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43F6">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lang w:val="en-US" w:eastAsia="zh-CN"/>
                    </w:rPr>
                    <w:t>特别排放限值</w:t>
                  </w:r>
                  <w:r>
                    <w:rPr>
                      <w:rFonts w:hint="default" w:ascii="Times New Roman" w:hAnsi="Times New Roman" w:cs="Times New Roman"/>
                      <w:b/>
                      <w:bCs/>
                      <w:color w:val="auto"/>
                      <w:szCs w:val="21"/>
                      <w:highlight w:val="none"/>
                    </w:rPr>
                    <w:t>（</w:t>
                  </w:r>
                  <w:r>
                    <w:rPr>
                      <w:rFonts w:hint="default" w:ascii="Times New Roman" w:hAnsi="Times New Roman" w:cs="Times New Roman"/>
                      <w:b/>
                      <w:color w:val="auto"/>
                      <w:szCs w:val="21"/>
                      <w:highlight w:val="none"/>
                    </w:rPr>
                    <w:t>mg/m</w:t>
                  </w:r>
                  <w:r>
                    <w:rPr>
                      <w:rFonts w:hint="default" w:ascii="Times New Roman" w:hAnsi="Times New Roman" w:cs="Times New Roman"/>
                      <w:b/>
                      <w:color w:val="auto"/>
                      <w:szCs w:val="21"/>
                      <w:highlight w:val="none"/>
                      <w:vertAlign w:val="superscript"/>
                    </w:rPr>
                    <w:t>3</w:t>
                  </w:r>
                  <w:r>
                    <w:rPr>
                      <w:rFonts w:hint="default" w:ascii="Times New Roman" w:hAnsi="Times New Roman" w:cs="Times New Roman"/>
                      <w:b/>
                      <w:bCs/>
                      <w:color w:val="auto"/>
                      <w:szCs w:val="21"/>
                      <w:highlight w:val="none"/>
                    </w:rPr>
                    <w:t>）</w:t>
                  </w:r>
                </w:p>
              </w:tc>
              <w:tc>
                <w:tcPr>
                  <w:tcW w:w="1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AB00C">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lang w:val="en-US" w:eastAsia="zh-CN"/>
                    </w:rPr>
                    <w:t>限值含义</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86C1">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lang w:val="en-US" w:eastAsia="zh-CN"/>
                    </w:rPr>
                    <w:t>无组织排放监控位置</w:t>
                  </w:r>
                </w:p>
              </w:tc>
            </w:tr>
            <w:tr w14:paraId="773BC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0A4C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NMHC</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5B4F3">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10</w:t>
                  </w:r>
                </w:p>
              </w:tc>
              <w:tc>
                <w:tcPr>
                  <w:tcW w:w="8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E206B">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6</w:t>
                  </w:r>
                </w:p>
              </w:tc>
              <w:tc>
                <w:tcPr>
                  <w:tcW w:w="1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D3B0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监控点处1h平均浓度值</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CD6B6">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在厂房外设置监控点</w:t>
                  </w:r>
                </w:p>
              </w:tc>
            </w:tr>
            <w:tr w14:paraId="5068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DC62F">
                  <w:pPr>
                    <w:jc w:val="center"/>
                    <w:rPr>
                      <w:rFonts w:hint="eastAsia" w:ascii="宋体" w:hAnsi="宋体" w:eastAsia="宋体" w:cs="宋体"/>
                      <w:i w:val="0"/>
                      <w:iCs w:val="0"/>
                      <w:color w:val="auto"/>
                      <w:sz w:val="24"/>
                      <w:szCs w:val="24"/>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28395">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30</w:t>
                  </w:r>
                </w:p>
              </w:tc>
              <w:tc>
                <w:tcPr>
                  <w:tcW w:w="8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C23B0">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20</w:t>
                  </w:r>
                </w:p>
              </w:tc>
              <w:tc>
                <w:tcPr>
                  <w:tcW w:w="1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D191B">
                  <w:pPr>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监控点处任意一次浓度值</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05FFA">
                  <w:pPr>
                    <w:jc w:val="center"/>
                    <w:rPr>
                      <w:rFonts w:hint="eastAsia" w:ascii="宋体" w:hAnsi="宋体" w:eastAsia="宋体" w:cs="宋体"/>
                      <w:i w:val="0"/>
                      <w:iCs w:val="0"/>
                      <w:color w:val="auto"/>
                      <w:sz w:val="24"/>
                      <w:szCs w:val="24"/>
                      <w:highlight w:val="none"/>
                      <w:u w:val="none"/>
                    </w:rPr>
                  </w:pPr>
                </w:p>
              </w:tc>
            </w:tr>
          </w:tbl>
          <w:p w14:paraId="0DE11ECE">
            <w:pPr>
              <w:tabs>
                <w:tab w:val="left" w:pos="0"/>
                <w:tab w:val="left" w:pos="676"/>
              </w:tabs>
              <w:spacing w:before="156" w:beforeLines="50"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2、噪声</w:t>
            </w:r>
          </w:p>
          <w:p w14:paraId="36F9E71A">
            <w:pPr>
              <w:spacing w:line="360" w:lineRule="auto"/>
              <w:ind w:firstLine="480" w:firstLineChars="200"/>
              <w:rPr>
                <w:rFonts w:hint="default" w:ascii="Times New Roman" w:hAnsi="Times New Roman" w:eastAsia="宋体" w:cs="Times New Roman"/>
                <w:b/>
                <w:color w:val="auto"/>
                <w:sz w:val="21"/>
                <w:szCs w:val="21"/>
                <w:highlight w:val="none"/>
              </w:rPr>
            </w:pPr>
            <w:r>
              <w:rPr>
                <w:rFonts w:hint="default" w:ascii="Times New Roman" w:hAnsi="Times New Roman" w:cs="Times New Roman"/>
                <w:color w:val="auto"/>
                <w:sz w:val="24"/>
                <w:highlight w:val="none"/>
              </w:rPr>
              <w:t>施工期噪声执行</w:t>
            </w:r>
            <w:r>
              <w:rPr>
                <w:rFonts w:hint="default" w:ascii="Times New Roman" w:hAnsi="Times New Roman" w:cs="Times New Roman"/>
                <w:color w:val="0000FF"/>
                <w:sz w:val="24"/>
                <w:highlight w:val="none"/>
              </w:rPr>
              <w:t>《建筑施工噪声排放标准》（GB12523-20</w:t>
            </w:r>
            <w:r>
              <w:rPr>
                <w:rFonts w:hint="eastAsia" w:cs="Times New Roman"/>
                <w:color w:val="0000FF"/>
                <w:sz w:val="24"/>
                <w:highlight w:val="none"/>
                <w:lang w:val="en-US" w:eastAsia="zh-CN"/>
              </w:rPr>
              <w:t>25</w:t>
            </w:r>
            <w:r>
              <w:rPr>
                <w:rFonts w:hint="default" w:ascii="Times New Roman" w:hAnsi="Times New Roman" w:cs="Times New Roman"/>
                <w:color w:val="0000FF"/>
                <w:sz w:val="24"/>
                <w:highlight w:val="none"/>
              </w:rPr>
              <w:t>）</w:t>
            </w:r>
            <w:r>
              <w:rPr>
                <w:rFonts w:hint="default" w:ascii="Times New Roman" w:hAnsi="Times New Roman" w:cs="Times New Roman"/>
                <w:color w:val="auto"/>
                <w:sz w:val="24"/>
                <w:highlight w:val="none"/>
              </w:rPr>
              <w:t>，见下表。</w:t>
            </w:r>
          </w:p>
          <w:p w14:paraId="304439FB">
            <w:pPr>
              <w:spacing w:line="360" w:lineRule="auto"/>
              <w:jc w:val="center"/>
              <w:rPr>
                <w:rFonts w:hint="default" w:ascii="Times New Roman" w:hAnsi="Times New Roman" w:eastAsia="宋体" w:cs="Times New Roman"/>
                <w:b/>
                <w:color w:val="0000FF"/>
                <w:sz w:val="21"/>
                <w:szCs w:val="21"/>
                <w:highlight w:val="none"/>
              </w:rPr>
            </w:pPr>
            <w:r>
              <w:rPr>
                <w:rFonts w:hint="default" w:ascii="Times New Roman" w:hAnsi="Times New Roman" w:eastAsia="宋体" w:cs="Times New Roman"/>
                <w:b/>
                <w:color w:val="0000FF"/>
                <w:sz w:val="21"/>
                <w:szCs w:val="21"/>
                <w:highlight w:val="none"/>
              </w:rPr>
              <w:t>表</w:t>
            </w:r>
            <w:r>
              <w:rPr>
                <w:rFonts w:hint="default" w:ascii="Times New Roman" w:hAnsi="Times New Roman" w:eastAsia="宋体" w:cs="Times New Roman"/>
                <w:b/>
                <w:color w:val="0000FF"/>
                <w:sz w:val="21"/>
                <w:szCs w:val="21"/>
                <w:highlight w:val="none"/>
                <w:lang w:val="en-US" w:eastAsia="zh-CN"/>
              </w:rPr>
              <w:t>3-1</w:t>
            </w:r>
            <w:r>
              <w:rPr>
                <w:rFonts w:hint="eastAsia" w:ascii="Times New Roman" w:hAnsi="Times New Roman" w:eastAsia="宋体" w:cs="Times New Roman"/>
                <w:b/>
                <w:color w:val="0000FF"/>
                <w:sz w:val="21"/>
                <w:szCs w:val="21"/>
                <w:highlight w:val="none"/>
                <w:lang w:val="en-US" w:eastAsia="zh-CN"/>
              </w:rPr>
              <w:t>2</w:t>
            </w:r>
            <w:r>
              <w:rPr>
                <w:rFonts w:hint="default" w:ascii="Times New Roman" w:hAnsi="Times New Roman" w:eastAsia="宋体" w:cs="Times New Roman"/>
                <w:b/>
                <w:color w:val="0000FF"/>
                <w:sz w:val="21"/>
                <w:szCs w:val="21"/>
                <w:highlight w:val="none"/>
                <w:lang w:val="en-US" w:eastAsia="zh-CN"/>
              </w:rPr>
              <w:t xml:space="preserve"> 《建筑施工噪声排放标准》（GB12523-2025）</w:t>
            </w:r>
            <w:r>
              <w:rPr>
                <w:rFonts w:hint="default" w:ascii="Times New Roman" w:hAnsi="Times New Roman" w:eastAsia="宋体" w:cs="Times New Roman"/>
                <w:b/>
                <w:color w:val="0000FF"/>
                <w:sz w:val="21"/>
                <w:szCs w:val="21"/>
                <w:highlight w:val="none"/>
              </w:rPr>
              <w:t>单位：dB(A)</w:t>
            </w:r>
          </w:p>
          <w:tbl>
            <w:tblPr>
              <w:tblStyle w:val="20"/>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0"/>
              <w:gridCol w:w="3756"/>
            </w:tblGrid>
            <w:tr w14:paraId="1EC2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2627" w:type="pct"/>
                  <w:vAlign w:val="center"/>
                </w:tcPr>
                <w:p w14:paraId="168740BA">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w:t>
                  </w:r>
                </w:p>
              </w:tc>
              <w:tc>
                <w:tcPr>
                  <w:tcW w:w="2372" w:type="pct"/>
                  <w:vAlign w:val="center"/>
                </w:tcPr>
                <w:p w14:paraId="7AD35A8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夜间</w:t>
                  </w:r>
                </w:p>
              </w:tc>
            </w:tr>
            <w:tr w14:paraId="2853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627" w:type="pct"/>
                  <w:vAlign w:val="center"/>
                </w:tcPr>
                <w:p w14:paraId="03FA97AA">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70</w:t>
                  </w:r>
                </w:p>
              </w:tc>
              <w:tc>
                <w:tcPr>
                  <w:tcW w:w="2372" w:type="pct"/>
                  <w:vAlign w:val="center"/>
                </w:tcPr>
                <w:p w14:paraId="4D7AA677">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55</w:t>
                  </w:r>
                </w:p>
              </w:tc>
            </w:tr>
          </w:tbl>
          <w:p w14:paraId="096F3FA2">
            <w:pPr>
              <w:spacing w:before="156" w:beforeLines="50" w:line="360" w:lineRule="auto"/>
              <w:ind w:firstLine="480" w:firstLineChars="200"/>
              <w:rPr>
                <w:rFonts w:hint="default" w:ascii="Times New Roman" w:hAnsi="Times New Roman" w:cs="Times New Roman"/>
                <w:color w:val="auto"/>
                <w:highlight w:val="none"/>
              </w:rPr>
            </w:pPr>
            <w:bookmarkStart w:id="13" w:name="_Hlk64989570"/>
            <w:r>
              <w:rPr>
                <w:rFonts w:hint="default" w:ascii="Times New Roman" w:hAnsi="Times New Roman" w:cs="Times New Roman"/>
                <w:color w:val="auto"/>
                <w:sz w:val="24"/>
                <w:highlight w:val="none"/>
              </w:rPr>
              <w:t>运营期厂界噪声执行《工业企业厂界环境噪声排放标准》（GB12348-2008）</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类标准，</w:t>
            </w:r>
            <w:bookmarkEnd w:id="13"/>
            <w:r>
              <w:rPr>
                <w:rFonts w:hint="default" w:ascii="Times New Roman" w:hAnsi="Times New Roman" w:cs="Times New Roman"/>
                <w:color w:val="auto"/>
                <w:sz w:val="24"/>
                <w:highlight w:val="none"/>
              </w:rPr>
              <w:t>见下表。</w:t>
            </w:r>
          </w:p>
          <w:p w14:paraId="006767B9">
            <w:pPr>
              <w:spacing w:line="360" w:lineRule="auto"/>
              <w:ind w:firstLine="422" w:firstLineChars="200"/>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3-1</w:t>
            </w:r>
            <w:r>
              <w:rPr>
                <w:rFonts w:hint="eastAsia" w:ascii="Times New Roman" w:hAnsi="Times New Roman" w:eastAsia="宋体" w:cs="Times New Roman"/>
                <w:b/>
                <w:color w:val="auto"/>
                <w:sz w:val="21"/>
                <w:szCs w:val="21"/>
                <w:highlight w:val="none"/>
                <w:lang w:val="en-US" w:eastAsia="zh-CN"/>
              </w:rPr>
              <w:t>3</w:t>
            </w:r>
            <w:r>
              <w:rPr>
                <w:rFonts w:hint="default"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《工业企业厂界环境噪声排放标准》（GB12348-2008）单位：dB(A)</w:t>
            </w:r>
          </w:p>
          <w:tbl>
            <w:tblPr>
              <w:tblStyle w:val="20"/>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2640"/>
              <w:gridCol w:w="2638"/>
            </w:tblGrid>
            <w:tr w14:paraId="0987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666" w:type="pct"/>
                  <w:vAlign w:val="center"/>
                </w:tcPr>
                <w:p w14:paraId="0A637BD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类别</w:t>
                  </w:r>
                </w:p>
              </w:tc>
              <w:tc>
                <w:tcPr>
                  <w:tcW w:w="1667" w:type="pct"/>
                  <w:vAlign w:val="center"/>
                </w:tcPr>
                <w:p w14:paraId="52553C3D">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昼间</w:t>
                  </w:r>
                </w:p>
              </w:tc>
              <w:tc>
                <w:tcPr>
                  <w:tcW w:w="1666" w:type="pct"/>
                  <w:vAlign w:val="center"/>
                </w:tcPr>
                <w:p w14:paraId="57E8A57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夜间</w:t>
                  </w:r>
                </w:p>
              </w:tc>
            </w:tr>
            <w:tr w14:paraId="5043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666" w:type="pct"/>
                  <w:vAlign w:val="center"/>
                </w:tcPr>
                <w:p w14:paraId="5AD2C790">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2</w:t>
                  </w:r>
                </w:p>
              </w:tc>
              <w:tc>
                <w:tcPr>
                  <w:tcW w:w="1667" w:type="pct"/>
                  <w:vAlign w:val="center"/>
                </w:tcPr>
                <w:p w14:paraId="3428332D">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6</w:t>
                  </w:r>
                  <w:r>
                    <w:rPr>
                      <w:rFonts w:hint="default" w:ascii="Times New Roman" w:hAnsi="Times New Roman" w:cs="Times New Roman"/>
                      <w:color w:val="auto"/>
                      <w:szCs w:val="21"/>
                      <w:highlight w:val="none"/>
                      <w:lang w:val="en-US" w:eastAsia="zh-CN"/>
                    </w:rPr>
                    <w:t>0</w:t>
                  </w:r>
                </w:p>
              </w:tc>
              <w:tc>
                <w:tcPr>
                  <w:tcW w:w="1666" w:type="pct"/>
                  <w:vAlign w:val="center"/>
                </w:tcPr>
                <w:p w14:paraId="44E4F2A3">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5</w:t>
                  </w:r>
                  <w:r>
                    <w:rPr>
                      <w:rFonts w:hint="default" w:ascii="Times New Roman" w:hAnsi="Times New Roman" w:cs="Times New Roman"/>
                      <w:color w:val="auto"/>
                      <w:szCs w:val="21"/>
                      <w:highlight w:val="none"/>
                      <w:lang w:val="en-US" w:eastAsia="zh-CN"/>
                    </w:rPr>
                    <w:t>0</w:t>
                  </w:r>
                </w:p>
              </w:tc>
            </w:tr>
          </w:tbl>
          <w:p w14:paraId="77DAF618">
            <w:pPr>
              <w:keepNext w:val="0"/>
              <w:keepLines w:val="0"/>
              <w:pageBreakBefore w:val="0"/>
              <w:widowControl w:val="0"/>
              <w:tabs>
                <w:tab w:val="left" w:pos="0"/>
                <w:tab w:val="left" w:pos="676"/>
              </w:tabs>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3、废水</w:t>
            </w:r>
          </w:p>
          <w:p w14:paraId="24A929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本项目为危险废物暂存项目，项目建成后无生产废水排放，施工期和运营期工作人员全部为</w:t>
            </w:r>
            <w:r>
              <w:rPr>
                <w:rFonts w:hint="default" w:ascii="Times New Roman" w:hAnsi="Times New Roman" w:cs="Times New Roman"/>
                <w:color w:val="auto"/>
                <w:sz w:val="24"/>
                <w:highlight w:val="none"/>
                <w:lang w:val="en-US" w:eastAsia="zh-CN"/>
              </w:rPr>
              <w:t>煤矿</w:t>
            </w:r>
            <w:r>
              <w:rPr>
                <w:rFonts w:hint="default" w:ascii="Times New Roman" w:hAnsi="Times New Roman" w:cs="Times New Roman"/>
                <w:color w:val="auto"/>
                <w:sz w:val="24"/>
                <w:highlight w:val="none"/>
              </w:rPr>
              <w:t>现有工作人员，生活污水全部排入</w:t>
            </w:r>
            <w:r>
              <w:rPr>
                <w:rFonts w:hint="default" w:ascii="Times New Roman" w:hAnsi="Times New Roman" w:cs="Times New Roman"/>
                <w:color w:val="auto"/>
                <w:sz w:val="24"/>
                <w:highlight w:val="none"/>
                <w:lang w:val="en-US" w:eastAsia="zh-CN"/>
              </w:rPr>
              <w:t>厂区</w:t>
            </w:r>
            <w:r>
              <w:rPr>
                <w:rFonts w:hint="default" w:ascii="Times New Roman" w:hAnsi="Times New Roman" w:cs="Times New Roman"/>
                <w:color w:val="auto"/>
                <w:sz w:val="24"/>
                <w:highlight w:val="none"/>
              </w:rPr>
              <w:t>现有污水处理系统处理。</w:t>
            </w:r>
          </w:p>
          <w:p w14:paraId="3D1018BD">
            <w:pPr>
              <w:keepNext w:val="0"/>
              <w:keepLines w:val="0"/>
              <w:pageBreakBefore w:val="0"/>
              <w:widowControl w:val="0"/>
              <w:tabs>
                <w:tab w:val="left" w:pos="0"/>
                <w:tab w:val="left" w:pos="676"/>
              </w:tabs>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4、固体废弃物</w:t>
            </w:r>
          </w:p>
          <w:p w14:paraId="3D454C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highlight w:val="none"/>
              </w:rPr>
              <w:t>危险废物暂存执行</w:t>
            </w:r>
            <w:r>
              <w:rPr>
                <w:rFonts w:hint="default" w:ascii="Times New Roman" w:hAnsi="Times New Roman" w:cs="Times New Roman"/>
                <w:bCs/>
                <w:color w:val="auto"/>
                <w:sz w:val="24"/>
                <w:highlight w:val="none"/>
              </w:rPr>
              <w:t>《危险废物贮存污染控制标准》（GB18597-20</w:t>
            </w:r>
            <w:r>
              <w:rPr>
                <w:rFonts w:hint="default" w:ascii="Times New Roman" w:hAnsi="Times New Roman" w:cs="Times New Roman"/>
                <w:bCs/>
                <w:color w:val="auto"/>
                <w:sz w:val="24"/>
                <w:highlight w:val="none"/>
                <w:lang w:val="en-US" w:eastAsia="zh-CN"/>
              </w:rPr>
              <w:t>23</w:t>
            </w:r>
            <w:r>
              <w:rPr>
                <w:rFonts w:hint="default" w:ascii="Times New Roman" w:hAnsi="Times New Roman" w:cs="Times New Roman"/>
                <w:bCs/>
                <w:color w:val="auto"/>
                <w:sz w:val="24"/>
                <w:highlight w:val="none"/>
              </w:rPr>
              <w:t>）</w:t>
            </w:r>
            <w:r>
              <w:rPr>
                <w:rFonts w:hint="default" w:ascii="Times New Roman" w:hAnsi="Times New Roman" w:cs="Times New Roman"/>
                <w:color w:val="auto"/>
                <w:sz w:val="24"/>
                <w:highlight w:val="none"/>
              </w:rPr>
              <w:t>。</w:t>
            </w:r>
          </w:p>
        </w:tc>
      </w:tr>
      <w:tr w14:paraId="24786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1" w:type="pct"/>
            <w:vAlign w:val="center"/>
          </w:tcPr>
          <w:p w14:paraId="241AB1F3">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总量</w:t>
            </w:r>
          </w:p>
          <w:p w14:paraId="60C504BC">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控制</w:t>
            </w:r>
          </w:p>
          <w:p w14:paraId="081DA251">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指标</w:t>
            </w:r>
          </w:p>
        </w:tc>
        <w:tc>
          <w:tcPr>
            <w:tcW w:w="4778" w:type="pct"/>
            <w:vAlign w:val="center"/>
          </w:tcPr>
          <w:p w14:paraId="11505732">
            <w:pPr>
              <w:tabs>
                <w:tab w:val="left" w:pos="0"/>
              </w:tabs>
              <w:adjustRightInd w:val="0"/>
              <w:snapToGrid w:val="0"/>
              <w:spacing w:line="360" w:lineRule="auto"/>
              <w:rPr>
                <w:rFonts w:hint="default" w:ascii="Times New Roman" w:hAnsi="Times New Roman" w:cs="Times New Roman"/>
                <w:color w:val="auto"/>
                <w:sz w:val="24"/>
                <w:highlight w:val="none"/>
              </w:rPr>
            </w:pPr>
          </w:p>
          <w:p w14:paraId="7997A1BC">
            <w:pPr>
              <w:tabs>
                <w:tab w:val="left" w:pos="0"/>
              </w:tabs>
              <w:adjustRightInd w:val="0"/>
              <w:snapToGrid w:val="0"/>
              <w:spacing w:line="360" w:lineRule="auto"/>
              <w:ind w:firstLine="480" w:firstLineChars="200"/>
              <w:rPr>
                <w:rFonts w:hint="default" w:ascii="Times New Roman" w:hAnsi="Times New Roman" w:cs="Times New Roman"/>
                <w:color w:val="auto"/>
                <w:sz w:val="24"/>
                <w:highlight w:val="none"/>
              </w:rPr>
            </w:pPr>
          </w:p>
          <w:p w14:paraId="76C260CA">
            <w:pPr>
              <w:rPr>
                <w:rFonts w:hint="default"/>
                <w:color w:val="auto"/>
                <w:highlight w:val="none"/>
              </w:rPr>
            </w:pPr>
          </w:p>
          <w:p w14:paraId="2ED0FB4D">
            <w:pPr>
              <w:pStyle w:val="5"/>
              <w:rPr>
                <w:rFonts w:hint="default"/>
                <w:color w:val="auto"/>
                <w:highlight w:val="none"/>
              </w:rPr>
            </w:pPr>
          </w:p>
          <w:p w14:paraId="79DA21BC">
            <w:pPr>
              <w:rPr>
                <w:rFonts w:hint="default"/>
                <w:color w:val="auto"/>
                <w:highlight w:val="none"/>
              </w:rPr>
            </w:pPr>
          </w:p>
          <w:p w14:paraId="00336F2B">
            <w:pPr>
              <w:pStyle w:val="5"/>
              <w:rPr>
                <w:rFonts w:hint="default"/>
                <w:color w:val="auto"/>
                <w:highlight w:val="none"/>
              </w:rPr>
            </w:pPr>
          </w:p>
          <w:p w14:paraId="5EC618B7">
            <w:pPr>
              <w:rPr>
                <w:rFonts w:hint="default"/>
                <w:color w:val="auto"/>
                <w:highlight w:val="none"/>
              </w:rPr>
            </w:pPr>
          </w:p>
          <w:p w14:paraId="46EB3249">
            <w:pPr>
              <w:pStyle w:val="5"/>
              <w:rPr>
                <w:rFonts w:hint="default"/>
                <w:color w:val="auto"/>
                <w:highlight w:val="none"/>
              </w:rPr>
            </w:pPr>
          </w:p>
          <w:p w14:paraId="5D0BDEA3">
            <w:pPr>
              <w:rPr>
                <w:rFonts w:hint="default"/>
                <w:color w:val="auto"/>
                <w:highlight w:val="none"/>
              </w:rPr>
            </w:pPr>
          </w:p>
          <w:p w14:paraId="163E12AD">
            <w:pPr>
              <w:pStyle w:val="5"/>
              <w:rPr>
                <w:rFonts w:hint="default"/>
                <w:color w:val="auto"/>
                <w:highlight w:val="none"/>
              </w:rPr>
            </w:pPr>
          </w:p>
          <w:p w14:paraId="29EEC18A">
            <w:pPr>
              <w:rPr>
                <w:rFonts w:hint="default"/>
                <w:color w:val="auto"/>
                <w:highlight w:val="none"/>
              </w:rPr>
            </w:pPr>
          </w:p>
          <w:p w14:paraId="431DCF25">
            <w:pPr>
              <w:rPr>
                <w:rFonts w:hint="default"/>
                <w:color w:val="auto"/>
                <w:highlight w:val="none"/>
              </w:rPr>
            </w:pPr>
          </w:p>
          <w:p w14:paraId="61DC07BA">
            <w:pPr>
              <w:pStyle w:val="5"/>
              <w:ind w:left="0" w:leftChars="0" w:firstLine="0" w:firstLineChars="0"/>
              <w:rPr>
                <w:rFonts w:hint="default"/>
                <w:color w:val="auto"/>
                <w:highlight w:val="none"/>
              </w:rPr>
            </w:pPr>
          </w:p>
          <w:p w14:paraId="72DE5D28">
            <w:pPr>
              <w:rPr>
                <w:rFonts w:hint="default"/>
                <w:color w:val="auto"/>
                <w:highlight w:val="none"/>
              </w:rPr>
            </w:pPr>
          </w:p>
          <w:p w14:paraId="75095F4A">
            <w:pPr>
              <w:rPr>
                <w:rFonts w:hint="default"/>
                <w:color w:val="auto"/>
                <w:highlight w:val="none"/>
              </w:rPr>
            </w:pPr>
          </w:p>
          <w:p w14:paraId="097EC9BD">
            <w:pPr>
              <w:rPr>
                <w:rFonts w:hint="default"/>
                <w:color w:val="auto"/>
                <w:highlight w:val="none"/>
              </w:rPr>
            </w:pPr>
          </w:p>
          <w:p w14:paraId="639B39F9">
            <w:pPr>
              <w:rPr>
                <w:rFonts w:hint="default"/>
                <w:color w:val="auto"/>
                <w:highlight w:val="none"/>
              </w:rPr>
            </w:pPr>
          </w:p>
          <w:p w14:paraId="7E6B09AC">
            <w:pPr>
              <w:rPr>
                <w:rFonts w:hint="default"/>
                <w:color w:val="auto"/>
                <w:highlight w:val="none"/>
              </w:rPr>
            </w:pPr>
          </w:p>
          <w:p w14:paraId="092C527D">
            <w:pPr>
              <w:tabs>
                <w:tab w:val="left" w:pos="0"/>
              </w:tabs>
              <w:adjustRightInd w:val="0"/>
              <w:snapToGrid w:val="0"/>
              <w:spacing w:line="360" w:lineRule="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eastAsia="zh-CN"/>
              </w:rPr>
              <w:t>无须设置</w:t>
            </w:r>
            <w:r>
              <w:rPr>
                <w:rFonts w:hint="default" w:ascii="Times New Roman" w:hAnsi="Times New Roman" w:cs="Times New Roman"/>
                <w:color w:val="auto"/>
                <w:sz w:val="24"/>
                <w:highlight w:val="none"/>
              </w:rPr>
              <w:t>总量控制指标</w:t>
            </w:r>
            <w:r>
              <w:rPr>
                <w:rFonts w:hint="default" w:ascii="Times New Roman" w:hAnsi="Times New Roman" w:cs="Times New Roman"/>
                <w:color w:val="auto"/>
                <w:sz w:val="24"/>
                <w:highlight w:val="none"/>
                <w:lang w:eastAsia="zh-CN"/>
              </w:rPr>
              <w:t>。</w:t>
            </w:r>
          </w:p>
          <w:p w14:paraId="57653594">
            <w:pPr>
              <w:rPr>
                <w:rFonts w:hint="default" w:ascii="Times New Roman" w:hAnsi="Times New Roman" w:cs="Times New Roman"/>
                <w:color w:val="auto"/>
                <w:sz w:val="24"/>
                <w:highlight w:val="none"/>
                <w:lang w:eastAsia="zh-CN"/>
              </w:rPr>
            </w:pPr>
          </w:p>
          <w:p w14:paraId="686F3D96">
            <w:pPr>
              <w:rPr>
                <w:rFonts w:hint="default" w:ascii="Times New Roman" w:hAnsi="Times New Roman" w:cs="Times New Roman"/>
                <w:color w:val="auto"/>
                <w:sz w:val="24"/>
                <w:highlight w:val="none"/>
                <w:lang w:eastAsia="zh-CN"/>
              </w:rPr>
            </w:pPr>
          </w:p>
          <w:p w14:paraId="26C902DB">
            <w:pPr>
              <w:rPr>
                <w:rFonts w:hint="default" w:ascii="Times New Roman" w:hAnsi="Times New Roman" w:cs="Times New Roman"/>
                <w:color w:val="auto"/>
                <w:sz w:val="24"/>
                <w:highlight w:val="none"/>
                <w:lang w:eastAsia="zh-CN"/>
              </w:rPr>
            </w:pPr>
          </w:p>
          <w:p w14:paraId="07BED3E4">
            <w:pPr>
              <w:rPr>
                <w:rFonts w:hint="default"/>
                <w:color w:val="auto"/>
                <w:highlight w:val="none"/>
              </w:rPr>
            </w:pPr>
          </w:p>
          <w:p w14:paraId="01D1396F">
            <w:pPr>
              <w:rPr>
                <w:rFonts w:hint="default"/>
                <w:color w:val="auto"/>
                <w:highlight w:val="none"/>
              </w:rPr>
            </w:pPr>
          </w:p>
          <w:p w14:paraId="347CA442">
            <w:pPr>
              <w:rPr>
                <w:rFonts w:hint="default"/>
                <w:color w:val="auto"/>
                <w:highlight w:val="none"/>
              </w:rPr>
            </w:pPr>
          </w:p>
          <w:p w14:paraId="601858E6">
            <w:pPr>
              <w:rPr>
                <w:rFonts w:hint="default"/>
                <w:color w:val="auto"/>
                <w:highlight w:val="none"/>
              </w:rPr>
            </w:pPr>
          </w:p>
          <w:p w14:paraId="7F75F59A">
            <w:pPr>
              <w:rPr>
                <w:rFonts w:hint="default"/>
                <w:color w:val="auto"/>
                <w:highlight w:val="none"/>
              </w:rPr>
            </w:pPr>
          </w:p>
          <w:p w14:paraId="5E6664C5">
            <w:pPr>
              <w:rPr>
                <w:rFonts w:hint="default"/>
                <w:color w:val="auto"/>
                <w:highlight w:val="none"/>
              </w:rPr>
            </w:pPr>
          </w:p>
          <w:p w14:paraId="2B9C67E5">
            <w:pPr>
              <w:rPr>
                <w:rFonts w:hint="default"/>
                <w:color w:val="auto"/>
                <w:highlight w:val="none"/>
              </w:rPr>
            </w:pPr>
          </w:p>
          <w:p w14:paraId="27C1F0BD">
            <w:pPr>
              <w:rPr>
                <w:rFonts w:hint="default"/>
                <w:color w:val="auto"/>
                <w:highlight w:val="none"/>
              </w:rPr>
            </w:pPr>
          </w:p>
          <w:p w14:paraId="39D0CBFF">
            <w:pPr>
              <w:rPr>
                <w:rFonts w:hint="default"/>
                <w:color w:val="auto"/>
                <w:highlight w:val="none"/>
              </w:rPr>
            </w:pPr>
          </w:p>
          <w:p w14:paraId="51B04C69">
            <w:pPr>
              <w:rPr>
                <w:rFonts w:hint="default"/>
                <w:color w:val="auto"/>
                <w:highlight w:val="none"/>
              </w:rPr>
            </w:pPr>
          </w:p>
          <w:p w14:paraId="7456C2F1">
            <w:pPr>
              <w:rPr>
                <w:rFonts w:hint="default"/>
                <w:color w:val="auto"/>
                <w:highlight w:val="none"/>
              </w:rPr>
            </w:pPr>
          </w:p>
          <w:p w14:paraId="5936DE37">
            <w:pPr>
              <w:rPr>
                <w:rFonts w:hint="default"/>
                <w:color w:val="auto"/>
                <w:highlight w:val="none"/>
              </w:rPr>
            </w:pPr>
          </w:p>
          <w:p w14:paraId="26DAE226">
            <w:pPr>
              <w:rPr>
                <w:rFonts w:hint="default"/>
                <w:color w:val="auto"/>
                <w:highlight w:val="none"/>
              </w:rPr>
            </w:pPr>
          </w:p>
          <w:p w14:paraId="03C5584D">
            <w:pPr>
              <w:pStyle w:val="5"/>
              <w:rPr>
                <w:rFonts w:hint="default"/>
                <w:color w:val="auto"/>
                <w:highlight w:val="none"/>
              </w:rPr>
            </w:pPr>
          </w:p>
          <w:p w14:paraId="19A1CECA">
            <w:pPr>
              <w:pStyle w:val="2"/>
              <w:rPr>
                <w:rFonts w:hint="default"/>
                <w:color w:val="auto"/>
                <w:highlight w:val="none"/>
              </w:rPr>
            </w:pPr>
          </w:p>
        </w:tc>
      </w:tr>
    </w:tbl>
    <w:p w14:paraId="4582BEC6">
      <w:pPr>
        <w:pStyle w:val="5"/>
        <w:ind w:left="0" w:leftChars="0" w:firstLine="0" w:firstLineChars="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br w:type="page"/>
      </w:r>
    </w:p>
    <w:p w14:paraId="3461348B">
      <w:pPr>
        <w:pStyle w:val="31"/>
        <w:widowControl/>
        <w:numPr>
          <w:ilvl w:val="0"/>
          <w:numId w:val="2"/>
        </w:numPr>
        <w:spacing w:before="100" w:beforeAutospacing="1" w:after="100" w:afterAutospacing="1"/>
        <w:ind w:firstLineChars="0"/>
        <w:jc w:val="center"/>
        <w:outlineLvl w:val="0"/>
        <w:rPr>
          <w:rFonts w:hint="default" w:ascii="Times New Roman" w:hAnsi="Times New Roman" w:cs="Times New Roman"/>
          <w:b/>
          <w:bCs/>
          <w:snapToGrid w:val="0"/>
          <w:color w:val="auto"/>
          <w:kern w:val="0"/>
          <w:sz w:val="30"/>
          <w:szCs w:val="30"/>
          <w:highlight w:val="none"/>
        </w:rPr>
      </w:pPr>
      <w:r>
        <w:rPr>
          <w:rFonts w:hint="default" w:ascii="Times New Roman" w:hAnsi="Times New Roman" w:cs="Times New Roman"/>
          <w:b/>
          <w:bCs/>
          <w:snapToGrid w:val="0"/>
          <w:color w:val="auto"/>
          <w:kern w:val="0"/>
          <w:sz w:val="30"/>
          <w:szCs w:val="30"/>
          <w:highlight w:val="none"/>
        </w:rPr>
        <w:t>主要的环境影响和保护措施</w:t>
      </w:r>
    </w:p>
    <w:tbl>
      <w:tblPr>
        <w:tblStyle w:val="20"/>
        <w:tblW w:w="850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07"/>
        <w:gridCol w:w="8198"/>
      </w:tblGrid>
      <w:tr w14:paraId="29DF79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307" w:type="dxa"/>
            <w:tcMar>
              <w:left w:w="28" w:type="dxa"/>
              <w:right w:w="28" w:type="dxa"/>
            </w:tcMar>
            <w:vAlign w:val="center"/>
          </w:tcPr>
          <w:p w14:paraId="10647490">
            <w:pPr>
              <w:widowControl/>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w:t>
            </w:r>
          </w:p>
          <w:p w14:paraId="3860C4DD">
            <w:pPr>
              <w:widowControl/>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期环</w:t>
            </w:r>
          </w:p>
          <w:p w14:paraId="4FC6A88D">
            <w:pPr>
              <w:widowControl/>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境保</w:t>
            </w:r>
          </w:p>
          <w:p w14:paraId="5ECCCE45">
            <w:pPr>
              <w:widowControl/>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护措</w:t>
            </w:r>
          </w:p>
          <w:p w14:paraId="2C99E1D3">
            <w:pPr>
              <w:widowControl/>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rPr>
              <w:t>施</w:t>
            </w:r>
          </w:p>
        </w:tc>
        <w:tc>
          <w:tcPr>
            <w:tcW w:w="8198" w:type="dxa"/>
            <w:vAlign w:val="center"/>
          </w:tcPr>
          <w:p w14:paraId="02C07BDC">
            <w:pPr>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1、施工期大气环境保护措施</w:t>
            </w:r>
          </w:p>
          <w:p w14:paraId="0B7D1915">
            <w:pPr>
              <w:spacing w:line="360" w:lineRule="auto"/>
              <w:ind w:left="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施工过程中产生的废气主要为施工扬尘，扬尘污染来源：</w:t>
            </w:r>
          </w:p>
          <w:p w14:paraId="78BC672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（1）在</w:t>
            </w:r>
            <w:r>
              <w:rPr>
                <w:rFonts w:hint="eastAsia" w:cs="Times New Roman"/>
                <w:color w:val="auto"/>
                <w:sz w:val="24"/>
                <w:highlight w:val="none"/>
                <w:lang w:val="en-US" w:eastAsia="zh-CN"/>
              </w:rPr>
              <w:t>现有厂房内进行</w:t>
            </w:r>
            <w:r>
              <w:rPr>
                <w:rFonts w:hint="default" w:ascii="Times New Roman" w:hAnsi="Times New Roman" w:cs="Times New Roman"/>
                <w:color w:val="auto"/>
                <w:sz w:val="24"/>
                <w:highlight w:val="none"/>
              </w:rPr>
              <w:t>地基处理与基础施工时，产生的扬尘；</w:t>
            </w:r>
          </w:p>
          <w:p w14:paraId="2842255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（2）装饰、设备安装工程施工时产生的扬尘；</w:t>
            </w:r>
          </w:p>
          <w:p w14:paraId="13EBF24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为了防止无组织排放的粉尘和二次扬尘，施工期间需采取以下措施：</w:t>
            </w:r>
          </w:p>
          <w:p w14:paraId="2AC920D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（1）严格控制施工作业范围，施工车辆必须行驶在进场道路、检修道路范围内；</w:t>
            </w:r>
          </w:p>
          <w:p w14:paraId="5801658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（2）施工过程中通过洒水车运水至场地运输通道，及时洒水以减少汽车行驶扬尘；</w:t>
            </w:r>
          </w:p>
          <w:p w14:paraId="3E13E64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（3）限制运输车辆的行驶速度，场地内行车速度不得超过15km/h；</w:t>
            </w:r>
          </w:p>
          <w:p w14:paraId="152F8BB7">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（4）起尘原材料覆盖存放，大风季节严禁施工；</w:t>
            </w:r>
          </w:p>
          <w:p w14:paraId="6BF86E42">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（5）临时施工场地及时洒水抑尘</w:t>
            </w:r>
            <w:r>
              <w:rPr>
                <w:rFonts w:hint="eastAsia" w:cs="Times New Roman"/>
                <w:color w:val="auto"/>
                <w:sz w:val="24"/>
                <w:highlight w:val="none"/>
                <w:lang w:eastAsia="zh-CN"/>
              </w:rPr>
              <w:t>；</w:t>
            </w:r>
          </w:p>
          <w:p w14:paraId="15637D1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（6）定期对汽车进行检修和保养，确保车辆在良好工作状态；</w:t>
            </w:r>
          </w:p>
          <w:p w14:paraId="6FB1F97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通过采取上述措施，可有效减轻无组织排放粉尘和二次扬尘的产生，降低施工期扬尘对大气环境的影响，且施工期扬尘对大气环境的影响是短暂的，随着实施期的结束而消失。</w:t>
            </w:r>
          </w:p>
          <w:p w14:paraId="3821AB66">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bCs/>
                <w:color w:val="auto"/>
                <w:sz w:val="24"/>
                <w:highlight w:val="none"/>
              </w:rPr>
              <w:t>2、施工期</w:t>
            </w:r>
            <w:r>
              <w:rPr>
                <w:rFonts w:hint="default" w:ascii="Times New Roman" w:hAnsi="Times New Roman" w:cs="Times New Roman"/>
                <w:b/>
                <w:color w:val="auto"/>
                <w:sz w:val="24"/>
                <w:highlight w:val="none"/>
              </w:rPr>
              <w:t>水环境保护措施</w:t>
            </w:r>
          </w:p>
          <w:p w14:paraId="40505F2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（1）生产废水：</w:t>
            </w:r>
            <w:r>
              <w:rPr>
                <w:rFonts w:hint="eastAsia" w:cs="Times New Roman"/>
                <w:color w:val="auto"/>
                <w:sz w:val="24"/>
                <w:highlight w:val="none"/>
                <w:lang w:val="en-US" w:eastAsia="zh-CN"/>
              </w:rPr>
              <w:t>施工过程中基本无生产废水产生</w:t>
            </w:r>
            <w:r>
              <w:rPr>
                <w:rFonts w:hint="default" w:ascii="Times New Roman" w:hAnsi="Times New Roman" w:cs="Times New Roman"/>
                <w:color w:val="auto"/>
                <w:sz w:val="24"/>
                <w:highlight w:val="none"/>
              </w:rPr>
              <w:t>；</w:t>
            </w:r>
          </w:p>
          <w:p w14:paraId="5B99D86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（2）生活污水：工程施工过程中，临时施工人员生活会产生生活污水</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本项目施工</w:t>
            </w:r>
            <w:r>
              <w:rPr>
                <w:rFonts w:hint="default" w:ascii="Times New Roman" w:hAnsi="Times New Roman" w:cs="Times New Roman"/>
                <w:color w:val="auto"/>
                <w:sz w:val="24"/>
                <w:highlight w:val="none"/>
                <w:lang w:val="en-US" w:eastAsia="zh-CN"/>
              </w:rPr>
              <w:t>人员在厂区宿舍居住，</w:t>
            </w:r>
            <w:r>
              <w:rPr>
                <w:rFonts w:hint="eastAsia" w:ascii="Times New Roman" w:hAnsi="Times New Roman" w:cs="Times New Roman"/>
                <w:color w:val="auto"/>
                <w:sz w:val="24"/>
                <w:highlight w:val="none"/>
                <w:lang w:val="en-US" w:eastAsia="zh-CN"/>
              </w:rPr>
              <w:t>生活污水</w:t>
            </w:r>
            <w:r>
              <w:rPr>
                <w:rFonts w:hint="default" w:ascii="Times New Roman" w:hAnsi="Times New Roman" w:cs="Times New Roman"/>
                <w:color w:val="auto"/>
                <w:sz w:val="24"/>
                <w:highlight w:val="none"/>
                <w:lang w:val="en-US" w:eastAsia="zh-CN"/>
              </w:rPr>
              <w:t>进入</w:t>
            </w:r>
            <w:r>
              <w:rPr>
                <w:rFonts w:hint="default" w:ascii="Times New Roman" w:hAnsi="Times New Roman" w:cs="Times New Roman"/>
                <w:color w:val="auto"/>
                <w:sz w:val="24"/>
                <w:highlight w:val="none"/>
              </w:rPr>
              <w:t>厂区污水处理设施处理。只要施工单位加强环境管理，做好施工废水处理及排放措施，施工期对周围地表水环境影响可控制在一定范围之内。</w:t>
            </w:r>
          </w:p>
          <w:p w14:paraId="4A1A808B">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3、施工期噪声环境保护措施</w:t>
            </w:r>
          </w:p>
          <w:p w14:paraId="370DFBDD">
            <w:pPr>
              <w:spacing w:line="360" w:lineRule="auto"/>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项目施工期噪声包括土方作业、建构筑物作业等过程机械设备噪声和建筑材料运输产生的交通噪声。项目场地</w:t>
            </w:r>
            <w:r>
              <w:rPr>
                <w:rFonts w:hint="eastAsia" w:cs="Times New Roman"/>
                <w:color w:val="auto"/>
                <w:sz w:val="24"/>
                <w:highlight w:val="none"/>
                <w:lang w:val="en-US" w:eastAsia="zh-CN"/>
              </w:rPr>
              <w:t>200米内无声环境</w:t>
            </w:r>
            <w:r>
              <w:rPr>
                <w:rFonts w:hint="eastAsia" w:ascii="Times New Roman" w:hAnsi="Times New Roman" w:eastAsia="宋体" w:cs="Times New Roman"/>
                <w:color w:val="auto"/>
                <w:sz w:val="24"/>
                <w:highlight w:val="none"/>
              </w:rPr>
              <w:t>敏感保护目标，施工期间主要采取如下噪声防治措施：</w:t>
            </w:r>
          </w:p>
          <w:p w14:paraId="6969F65A">
            <w:pPr>
              <w:spacing w:line="360" w:lineRule="auto"/>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（1）设置围挡</w:t>
            </w:r>
          </w:p>
          <w:p w14:paraId="163FC721">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rPr>
              <w:t>施工现场周围采用符合规定强度的硬质材料（夹芯彩钢板、砌体）设置不低于</w:t>
            </w:r>
            <w:r>
              <w:rPr>
                <w:rFonts w:hint="default" w:ascii="Times New Roman" w:hAnsi="Times New Roman" w:eastAsia="宋体" w:cs="Times New Roman"/>
                <w:color w:val="auto"/>
                <w:sz w:val="24"/>
                <w:highlight w:val="none"/>
              </w:rPr>
              <w:t>2</w:t>
            </w:r>
            <w:r>
              <w:rPr>
                <w:rFonts w:hint="eastAsia" w:ascii="Times New Roman" w:hAnsi="Times New Roman" w:eastAsia="宋体" w:cs="Times New Roman"/>
                <w:color w:val="auto"/>
                <w:sz w:val="24"/>
                <w:highlight w:val="none"/>
              </w:rPr>
              <w:t>m的密闭</w:t>
            </w:r>
            <w:r>
              <w:rPr>
                <w:rFonts w:hint="eastAsia" w:ascii="Times New Roman" w:hAnsi="Times New Roman" w:eastAsia="宋体" w:cs="Times New Roman"/>
                <w:color w:val="auto"/>
                <w:sz w:val="24"/>
                <w:highlight w:val="none"/>
                <w:lang w:eastAsia="zh-CN"/>
              </w:rPr>
              <w:t>围挡</w:t>
            </w:r>
            <w:r>
              <w:rPr>
                <w:rFonts w:hint="eastAsia" w:ascii="Times New Roman" w:hAnsi="Times New Roman" w:eastAsia="宋体" w:cs="Times New Roman"/>
                <w:color w:val="auto"/>
                <w:sz w:val="24"/>
                <w:highlight w:val="none"/>
              </w:rPr>
              <w:t>，确保基础牢固，表面平整和清洁</w:t>
            </w:r>
            <w:r>
              <w:rPr>
                <w:rFonts w:hint="eastAsia" w:cs="Times New Roman"/>
                <w:color w:val="auto"/>
                <w:sz w:val="24"/>
                <w:highlight w:val="none"/>
                <w:lang w:eastAsia="zh-CN"/>
              </w:rPr>
              <w:t>。</w:t>
            </w:r>
          </w:p>
          <w:p w14:paraId="654A0AA5">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2</w:t>
            </w:r>
            <w:r>
              <w:rPr>
                <w:rFonts w:hint="default" w:ascii="Times New Roman" w:hAnsi="Times New Roman" w:eastAsia="宋体" w:cs="Times New Roman"/>
                <w:color w:val="auto"/>
                <w:sz w:val="24"/>
                <w:highlight w:val="none"/>
              </w:rPr>
              <w:t>）降低施工设备噪声</w:t>
            </w:r>
          </w:p>
          <w:p w14:paraId="16726D95">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施工机械应尽量选用低噪声的机械设备，从噪声的源头上控制；要定期对机械设备进行维护和保养，使其一直保持良好的状态</w:t>
            </w:r>
            <w:r>
              <w:rPr>
                <w:rFonts w:hint="eastAsia"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rPr>
              <w:t>减轻因设备运行状态不佳而造成的噪声污染。</w:t>
            </w:r>
          </w:p>
          <w:p w14:paraId="6EE4CAF3">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3</w:t>
            </w:r>
            <w:r>
              <w:rPr>
                <w:rFonts w:hint="default" w:ascii="Times New Roman" w:hAnsi="Times New Roman" w:eastAsia="宋体" w:cs="Times New Roman"/>
                <w:color w:val="auto"/>
                <w:sz w:val="24"/>
                <w:highlight w:val="none"/>
              </w:rPr>
              <w:t>）合理安排施工时间</w:t>
            </w:r>
          </w:p>
          <w:p w14:paraId="55FD45F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合理安排施工时间和施工进度，合理安排好施工时间，除工程必需外，夜间（22：00~6：00）不得进行施工作业；此外，在午休前后（12：00~14：00），打桩机、挖土机、装载机、搅拌机等强噪声源也应停止施工，以免噪声污染引起纠纷。</w:t>
            </w:r>
          </w:p>
          <w:p w14:paraId="7049703C">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4</w:t>
            </w:r>
            <w:r>
              <w:rPr>
                <w:rFonts w:hint="default" w:ascii="Times New Roman" w:hAnsi="Times New Roman" w:eastAsia="宋体" w:cs="Times New Roman"/>
                <w:color w:val="auto"/>
                <w:sz w:val="24"/>
                <w:highlight w:val="none"/>
              </w:rPr>
              <w:t>）运输噪声污染防治措施</w:t>
            </w:r>
          </w:p>
          <w:p w14:paraId="701189B4">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物料及设备运输尽量减少夜间运输量，限制车速，经过居民区时应限速</w:t>
            </w:r>
            <w:r>
              <w:rPr>
                <w:rFonts w:hint="eastAsia"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rPr>
              <w:t>对运输、施工车辆定期维修、养护，减少或杜绝鸣笛。</w:t>
            </w:r>
          </w:p>
          <w:p w14:paraId="41CF333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综上所述，只要严格管理，文明施工，场界噪声能达到</w:t>
            </w:r>
            <w:r>
              <w:rPr>
                <w:rFonts w:hint="default" w:ascii="Times New Roman" w:hAnsi="Times New Roman" w:cs="Times New Roman"/>
                <w:color w:val="0000FF"/>
                <w:sz w:val="24"/>
                <w:highlight w:val="none"/>
              </w:rPr>
              <w:t>《建筑施工噪声排放标准》（GB12523-20</w:t>
            </w:r>
            <w:r>
              <w:rPr>
                <w:rFonts w:hint="eastAsia" w:cs="Times New Roman"/>
                <w:color w:val="0000FF"/>
                <w:sz w:val="24"/>
                <w:highlight w:val="none"/>
                <w:lang w:val="en-US" w:eastAsia="zh-CN"/>
              </w:rPr>
              <w:t>25</w:t>
            </w:r>
            <w:r>
              <w:rPr>
                <w:rFonts w:hint="default" w:ascii="Times New Roman" w:hAnsi="Times New Roman" w:cs="Times New Roman"/>
                <w:color w:val="0000FF"/>
                <w:sz w:val="24"/>
                <w:highlight w:val="none"/>
              </w:rPr>
              <w:t>）</w:t>
            </w:r>
            <w:r>
              <w:rPr>
                <w:rFonts w:hint="default" w:ascii="Times New Roman" w:hAnsi="Times New Roman" w:cs="Times New Roman"/>
                <w:color w:val="auto"/>
                <w:sz w:val="24"/>
                <w:highlight w:val="none"/>
              </w:rPr>
              <w:t>的规定，而且施工期产生的噪声的影响是短期的，不会对评价范围内的声环境产生明显的不利影响。</w:t>
            </w:r>
          </w:p>
          <w:p w14:paraId="7364CC0F">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4、施工期固体废物污染防治措施</w:t>
            </w:r>
          </w:p>
          <w:p w14:paraId="10AC927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施工期固体废物主要指建筑垃圾和施工人员产生的少量生活垃圾。</w:t>
            </w:r>
          </w:p>
          <w:p w14:paraId="47C02A3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对于建筑垃圾，其中的钢筋可以回收利用，废砖、混凝土、</w:t>
            </w:r>
            <w:r>
              <w:rPr>
                <w:rFonts w:hint="eastAsia" w:ascii="Times New Roman" w:hAnsi="Times New Roman" w:cs="Times New Roman"/>
                <w:color w:val="auto"/>
                <w:sz w:val="24"/>
                <w:highlight w:val="none"/>
                <w:lang w:eastAsia="zh-CN"/>
              </w:rPr>
              <w:t>砂石</w:t>
            </w:r>
            <w:r>
              <w:rPr>
                <w:rFonts w:hint="default" w:ascii="Times New Roman" w:hAnsi="Times New Roman" w:cs="Times New Roman"/>
                <w:color w:val="auto"/>
                <w:sz w:val="24"/>
                <w:highlight w:val="none"/>
              </w:rPr>
              <w:t>和混凝土块等，可用于回填低洼地带或送至城管部门指定地点处置。在施工过程中，施工单位应规范运输，不随意倾倒建筑垃圾，减少对周围环境的影响。</w:t>
            </w:r>
          </w:p>
          <w:p w14:paraId="254D03A0">
            <w:pPr>
              <w:widowControl/>
              <w:tabs>
                <w:tab w:val="left" w:pos="425"/>
              </w:tabs>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施工人员产生的生活垃圾，应设置临时垃圾箱</w:t>
            </w:r>
            <w:r>
              <w:rPr>
                <w:rFonts w:hint="eastAsia" w:ascii="Times New Roman" w:hAnsi="Times New Roman" w:cs="Times New Roman"/>
                <w:color w:val="auto"/>
                <w:sz w:val="24"/>
                <w:highlight w:val="none"/>
                <w:lang w:eastAsia="zh-CN"/>
              </w:rPr>
              <w:t>（桶）</w:t>
            </w:r>
            <w:r>
              <w:rPr>
                <w:rFonts w:hint="default" w:ascii="Times New Roman" w:hAnsi="Times New Roman" w:cs="Times New Roman"/>
                <w:color w:val="auto"/>
                <w:sz w:val="24"/>
                <w:highlight w:val="none"/>
              </w:rPr>
              <w:t>收集，并由环卫部门统一及时清运处理。</w:t>
            </w:r>
          </w:p>
          <w:p w14:paraId="78814184">
            <w:pPr>
              <w:widowControl/>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采取以上措施之后，施工期固体废弃物对周围环境产生的影响不大。</w:t>
            </w:r>
          </w:p>
          <w:p w14:paraId="3C4788D1">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5、施工期生态环境保护措施</w:t>
            </w:r>
          </w:p>
          <w:p w14:paraId="36A43887">
            <w:pPr>
              <w:widowControl/>
              <w:spacing w:line="360" w:lineRule="auto"/>
              <w:ind w:firstLine="480" w:firstLineChars="200"/>
              <w:rPr>
                <w:rFonts w:hint="eastAsia" w:ascii="Times New Roman" w:hAnsi="Times New Roman" w:cs="Times New Roman"/>
                <w:b/>
                <w:color w:val="auto"/>
                <w:sz w:val="24"/>
                <w:highlight w:val="none"/>
                <w:lang w:val="en-US" w:eastAsia="zh-CN"/>
              </w:rPr>
            </w:pPr>
            <w:r>
              <w:rPr>
                <w:rFonts w:hint="eastAsia" w:cs="Times New Roman"/>
                <w:bCs/>
                <w:color w:val="auto"/>
                <w:kern w:val="0"/>
                <w:sz w:val="24"/>
                <w:szCs w:val="21"/>
                <w:highlight w:val="none"/>
                <w:lang w:val="en-US" w:eastAsia="zh-CN"/>
              </w:rPr>
              <w:t>本项目危险废物暂存库为煤矿原有废弃炸药库改建，改造范围仅为现有厂房内，不会对周边及现有生态环境造成改变和破坏</w:t>
            </w:r>
            <w:r>
              <w:rPr>
                <w:rFonts w:hint="default" w:ascii="Times New Roman" w:hAnsi="Times New Roman" w:cs="Times New Roman"/>
                <w:bCs/>
                <w:color w:val="auto"/>
                <w:kern w:val="0"/>
                <w:sz w:val="24"/>
                <w:szCs w:val="21"/>
                <w:highlight w:val="none"/>
              </w:rPr>
              <w:t>，</w:t>
            </w:r>
            <w:r>
              <w:rPr>
                <w:rFonts w:hint="eastAsia" w:cs="Times New Roman"/>
                <w:bCs/>
                <w:color w:val="auto"/>
                <w:kern w:val="0"/>
                <w:sz w:val="24"/>
                <w:szCs w:val="21"/>
                <w:highlight w:val="none"/>
                <w:lang w:val="en-US" w:eastAsia="zh-CN"/>
              </w:rPr>
              <w:t>所以本项目施工期对</w:t>
            </w:r>
            <w:r>
              <w:rPr>
                <w:rFonts w:hint="default" w:ascii="Times New Roman" w:hAnsi="Times New Roman" w:cs="Times New Roman"/>
                <w:bCs/>
                <w:color w:val="auto"/>
                <w:kern w:val="0"/>
                <w:sz w:val="24"/>
                <w:szCs w:val="21"/>
                <w:highlight w:val="none"/>
              </w:rPr>
              <w:t>生态</w:t>
            </w:r>
            <w:r>
              <w:rPr>
                <w:rFonts w:hint="eastAsia" w:cs="Times New Roman"/>
                <w:bCs/>
                <w:color w:val="auto"/>
                <w:kern w:val="0"/>
                <w:sz w:val="24"/>
                <w:szCs w:val="21"/>
                <w:highlight w:val="none"/>
                <w:lang w:val="en-US" w:eastAsia="zh-CN"/>
              </w:rPr>
              <w:t>环境基本无影响</w:t>
            </w:r>
            <w:r>
              <w:rPr>
                <w:rFonts w:hint="default" w:ascii="Times New Roman" w:hAnsi="Times New Roman" w:cs="Times New Roman"/>
                <w:bCs/>
                <w:color w:val="auto"/>
                <w:kern w:val="0"/>
                <w:sz w:val="24"/>
                <w:szCs w:val="21"/>
                <w:highlight w:val="none"/>
              </w:rPr>
              <w:t>。</w:t>
            </w:r>
          </w:p>
          <w:p w14:paraId="1FE43A6B">
            <w:pPr>
              <w:widowControl/>
              <w:spacing w:line="360" w:lineRule="auto"/>
              <w:ind w:firstLine="482" w:firstLineChars="200"/>
              <w:rPr>
                <w:rFonts w:hint="default" w:ascii="Times New Roman" w:hAnsi="Times New Roman" w:cs="Times New Roman"/>
                <w:bCs/>
                <w:color w:val="auto"/>
                <w:kern w:val="0"/>
                <w:sz w:val="24"/>
                <w:szCs w:val="21"/>
                <w:highlight w:val="none"/>
              </w:rPr>
            </w:pPr>
            <w:r>
              <w:rPr>
                <w:rFonts w:hint="eastAsia" w:ascii="Times New Roman" w:hAnsi="Times New Roman" w:cs="Times New Roman"/>
                <w:b/>
                <w:color w:val="auto"/>
                <w:sz w:val="24"/>
                <w:highlight w:val="none"/>
                <w:lang w:val="en-US" w:eastAsia="zh-CN"/>
              </w:rPr>
              <w:t>6、</w:t>
            </w:r>
            <w:r>
              <w:rPr>
                <w:rFonts w:hint="default" w:ascii="Times New Roman" w:hAnsi="Times New Roman" w:cs="Times New Roman"/>
                <w:b/>
                <w:color w:val="auto"/>
                <w:sz w:val="24"/>
                <w:highlight w:val="none"/>
              </w:rPr>
              <w:t>考古注意事项</w:t>
            </w:r>
          </w:p>
          <w:p w14:paraId="15B0922A">
            <w:pPr>
              <w:widowControl/>
              <w:spacing w:line="360" w:lineRule="auto"/>
              <w:ind w:firstLine="480" w:firstLineChars="200"/>
              <w:rPr>
                <w:rFonts w:hint="default" w:ascii="Times New Roman" w:hAnsi="Times New Roman" w:cs="Times New Roman"/>
                <w:bCs/>
                <w:color w:val="auto"/>
                <w:kern w:val="0"/>
                <w:sz w:val="24"/>
                <w:szCs w:val="21"/>
                <w:highlight w:val="none"/>
              </w:rPr>
            </w:pPr>
            <w:r>
              <w:rPr>
                <w:rFonts w:hint="eastAsia" w:cs="Times New Roman"/>
                <w:bCs/>
                <w:color w:val="auto"/>
                <w:kern w:val="0"/>
                <w:sz w:val="24"/>
                <w:szCs w:val="21"/>
                <w:highlight w:val="none"/>
                <w:lang w:val="en-US" w:eastAsia="zh-CN"/>
              </w:rPr>
              <w:t>根据</w:t>
            </w:r>
            <w:r>
              <w:rPr>
                <w:rFonts w:hint="eastAsia" w:cs="Times New Roman"/>
                <w:bCs/>
                <w:color w:val="auto"/>
                <w:kern w:val="0"/>
                <w:sz w:val="24"/>
                <w:szCs w:val="21"/>
                <w:highlight w:val="none"/>
                <w:lang w:eastAsia="zh-CN"/>
              </w:rPr>
              <w:t>伊金霍洛旗文物保护和旅游事业发展中心</w:t>
            </w:r>
            <w:r>
              <w:rPr>
                <w:rFonts w:hint="default" w:ascii="Times New Roman" w:hAnsi="Times New Roman" w:cs="Times New Roman"/>
                <w:bCs/>
                <w:color w:val="auto"/>
                <w:kern w:val="0"/>
                <w:sz w:val="24"/>
                <w:szCs w:val="21"/>
                <w:highlight w:val="none"/>
              </w:rPr>
              <w:t>出具</w:t>
            </w:r>
            <w:r>
              <w:rPr>
                <w:rFonts w:hint="eastAsia" w:cs="Times New Roman"/>
                <w:bCs/>
                <w:color w:val="auto"/>
                <w:kern w:val="0"/>
                <w:sz w:val="24"/>
                <w:szCs w:val="21"/>
                <w:highlight w:val="none"/>
                <w:lang w:eastAsia="zh-CN"/>
              </w:rPr>
              <w:t>的《关于内蒙古向荣矿业有限公司纳林沟煤矿矿区项目范围内文物审查意见的函》</w:t>
            </w:r>
            <w:r>
              <w:rPr>
                <w:rFonts w:hint="default" w:ascii="Times New Roman" w:hAnsi="Times New Roman" w:cs="Times New Roman"/>
                <w:bCs/>
                <w:color w:val="auto"/>
                <w:kern w:val="0"/>
                <w:sz w:val="24"/>
                <w:szCs w:val="21"/>
                <w:highlight w:val="none"/>
              </w:rPr>
              <w:t>审查意见（伊文旅中心函</w:t>
            </w:r>
            <w:r>
              <w:rPr>
                <w:rFonts w:hint="eastAsia" w:ascii="Times New Roman" w:hAnsi="Times New Roman" w:cs="Times New Roman"/>
                <w:bCs/>
                <w:color w:val="auto"/>
                <w:kern w:val="0"/>
                <w:sz w:val="24"/>
                <w:szCs w:val="21"/>
                <w:highlight w:val="none"/>
              </w:rPr>
              <w:t>〔</w:t>
            </w:r>
            <w:r>
              <w:rPr>
                <w:rFonts w:hint="default" w:ascii="Times New Roman" w:hAnsi="Times New Roman" w:cs="Times New Roman"/>
                <w:bCs/>
                <w:color w:val="auto"/>
                <w:kern w:val="0"/>
                <w:sz w:val="24"/>
                <w:szCs w:val="21"/>
                <w:highlight w:val="none"/>
              </w:rPr>
              <w:t>2023</w:t>
            </w:r>
            <w:r>
              <w:rPr>
                <w:rFonts w:hint="eastAsia" w:ascii="Times New Roman" w:hAnsi="Times New Roman" w:cs="Times New Roman"/>
                <w:bCs/>
                <w:color w:val="auto"/>
                <w:kern w:val="0"/>
                <w:sz w:val="24"/>
                <w:szCs w:val="21"/>
                <w:highlight w:val="none"/>
              </w:rPr>
              <w:t>〕</w:t>
            </w:r>
            <w:r>
              <w:rPr>
                <w:rFonts w:hint="default" w:ascii="Times New Roman" w:hAnsi="Times New Roman" w:cs="Times New Roman"/>
                <w:bCs/>
                <w:color w:val="auto"/>
                <w:kern w:val="0"/>
                <w:sz w:val="24"/>
                <w:szCs w:val="21"/>
                <w:highlight w:val="none"/>
              </w:rPr>
              <w:t>154号），原则同意本项目建设。</w:t>
            </w:r>
          </w:p>
          <w:p w14:paraId="7531EF3F">
            <w:pPr>
              <w:widowControl/>
              <w:spacing w:line="360" w:lineRule="auto"/>
              <w:ind w:firstLine="480" w:firstLineChars="200"/>
              <w:rPr>
                <w:rFonts w:hint="default" w:ascii="Times New Roman" w:hAnsi="Times New Roman" w:cs="Times New Roman"/>
                <w:bCs/>
                <w:color w:val="auto"/>
                <w:kern w:val="0"/>
                <w:sz w:val="24"/>
                <w:szCs w:val="21"/>
                <w:highlight w:val="none"/>
              </w:rPr>
            </w:pPr>
            <w:r>
              <w:rPr>
                <w:rFonts w:hint="default" w:ascii="Times New Roman" w:hAnsi="Times New Roman" w:cs="Times New Roman"/>
                <w:bCs/>
                <w:color w:val="auto"/>
                <w:kern w:val="0"/>
                <w:sz w:val="24"/>
                <w:szCs w:val="21"/>
                <w:highlight w:val="none"/>
              </w:rPr>
              <w:t>本环评要求建设单位严格限定作业范围，严禁进入未批准区域，因地下文物存在未知性，根据《中华人民共和国文物保护法》有关规定，在项目施工建设中，如发现或涉及文物遗存，应当保护现场，立即报告当地文物部门。</w:t>
            </w:r>
          </w:p>
        </w:tc>
      </w:tr>
    </w:tbl>
    <w:p w14:paraId="220AFD3D">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br w:type="page"/>
      </w:r>
    </w:p>
    <w:tbl>
      <w:tblPr>
        <w:tblStyle w:val="20"/>
        <w:tblW w:w="850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07"/>
        <w:gridCol w:w="8198"/>
      </w:tblGrid>
      <w:tr w14:paraId="5E277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dxa"/>
            <w:tcMar>
              <w:left w:w="28" w:type="dxa"/>
              <w:right w:w="28" w:type="dxa"/>
            </w:tcMar>
            <w:vAlign w:val="center"/>
          </w:tcPr>
          <w:p w14:paraId="550D4539">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运营</w:t>
            </w:r>
          </w:p>
          <w:p w14:paraId="4FEAF5DE">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期环</w:t>
            </w:r>
          </w:p>
          <w:p w14:paraId="212EDE7C">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境影</w:t>
            </w:r>
          </w:p>
          <w:p w14:paraId="71D0A093">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响和</w:t>
            </w:r>
          </w:p>
          <w:p w14:paraId="295659D4">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保护</w:t>
            </w:r>
          </w:p>
          <w:p w14:paraId="3ADDCE09">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措施</w:t>
            </w:r>
          </w:p>
        </w:tc>
        <w:tc>
          <w:tcPr>
            <w:tcW w:w="8198" w:type="dxa"/>
            <w:vAlign w:val="center"/>
          </w:tcPr>
          <w:p w14:paraId="036B50A6">
            <w:pPr>
              <w:spacing w:line="360" w:lineRule="auto"/>
              <w:ind w:firstLine="482" w:firstLineChars="200"/>
              <w:jc w:val="left"/>
              <w:rPr>
                <w:rFonts w:hint="default" w:ascii="Times New Roman" w:hAnsi="Times New Roman" w:cs="Times New Roman"/>
                <w:b/>
                <w:color w:val="auto"/>
                <w:sz w:val="24"/>
                <w:szCs w:val="22"/>
                <w:highlight w:val="none"/>
              </w:rPr>
            </w:pPr>
            <w:r>
              <w:rPr>
                <w:rFonts w:hint="default" w:ascii="Times New Roman" w:hAnsi="Times New Roman" w:cs="Times New Roman"/>
                <w:b/>
                <w:color w:val="auto"/>
                <w:sz w:val="24"/>
                <w:szCs w:val="22"/>
                <w:highlight w:val="none"/>
              </w:rPr>
              <w:t>一、运营期大气环境影响和保护措施</w:t>
            </w:r>
          </w:p>
          <w:p w14:paraId="23B757E4">
            <w:pPr>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（1）污染工序及与源强分析</w:t>
            </w:r>
            <w:bookmarkStart w:id="14" w:name="_Hlk60845694"/>
          </w:p>
          <w:p w14:paraId="0DC0569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本项目运营期废气产生的环节有：在废矿物油临时储存、运输装卸</w:t>
            </w:r>
            <w:r>
              <w:rPr>
                <w:rFonts w:hint="eastAsia" w:cs="Times New Roman"/>
                <w:color w:val="auto"/>
                <w:sz w:val="24"/>
                <w:highlight w:val="none"/>
                <w:lang w:eastAsia="zh-CN"/>
              </w:rPr>
              <w:t>过程中</w:t>
            </w:r>
            <w:r>
              <w:rPr>
                <w:rFonts w:hint="default" w:ascii="Times New Roman" w:hAnsi="Times New Roman" w:cs="Times New Roman"/>
                <w:color w:val="auto"/>
                <w:sz w:val="24"/>
                <w:highlight w:val="none"/>
              </w:rPr>
              <w:t>产生的一部分的废气，主要污染物为非甲烷总烃；运输车辆产生的汽车尾气。</w:t>
            </w:r>
          </w:p>
          <w:p w14:paraId="3B06BB4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其中收集和运输过程废气的产生量较少，产生频次较少，产生位置相对分散，在采取规范抽油过程、加强道路维护，定期洒水抑尘和控制车速等措施后，收集和运输过程废气的产生量较少，故不进行定量分析。</w:t>
            </w:r>
          </w:p>
          <w:p w14:paraId="3667B36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运营期废气的来源主要为厂内储存机械维修产生的废矿物油产生的废气，主要污染物为非甲烷总烃。废矿物油直接装入密封桶内，一般情况下密封性较好，且经专用车辆运至本项目贮存区，一般不会造成外泄。因此非正常工况下，废矿物油发生泄漏，会挥发的少量废气，由于本项目废矿物油储存量较小且由专人负责管理，正常不会发生外泄，因此不对废矿物油挥发的少量废气进行定量分析，正常情况暂存间的废气经通风装置外排，对周围环境影响不大。</w:t>
            </w:r>
          </w:p>
          <w:p w14:paraId="7C47674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废矿物油储存过程中产生的废气，主要成分为非甲烷总烃。</w:t>
            </w:r>
          </w:p>
          <w:p w14:paraId="0E8C705A">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本项目运营期产生的废气来源于废矿物油</w:t>
            </w:r>
            <w:r>
              <w:rPr>
                <w:rFonts w:hint="default" w:ascii="Times New Roman" w:hAnsi="Times New Roman" w:cs="Times New Roman"/>
                <w:color w:val="auto"/>
                <w:sz w:val="24"/>
                <w:highlight w:val="none"/>
              </w:rPr>
              <w:t>储存</w:t>
            </w:r>
            <w:r>
              <w:rPr>
                <w:rFonts w:hint="eastAsia" w:cs="Times New Roman"/>
                <w:color w:val="auto"/>
                <w:sz w:val="24"/>
                <w:highlight w:val="none"/>
                <w:lang w:eastAsia="zh-CN"/>
              </w:rPr>
              <w:t>、</w:t>
            </w:r>
            <w:r>
              <w:rPr>
                <w:rFonts w:hint="eastAsia" w:cs="Times New Roman"/>
                <w:color w:val="auto"/>
                <w:sz w:val="24"/>
                <w:highlight w:val="none"/>
                <w:lang w:val="en-US" w:eastAsia="zh-CN"/>
              </w:rPr>
              <w:t>灌装</w:t>
            </w:r>
            <w:r>
              <w:rPr>
                <w:rFonts w:hint="default" w:ascii="Times New Roman" w:hAnsi="Times New Roman" w:cs="Times New Roman"/>
                <w:color w:val="auto"/>
                <w:sz w:val="24"/>
                <w:highlight w:val="none"/>
              </w:rPr>
              <w:t>过程</w:t>
            </w:r>
            <w:r>
              <w:rPr>
                <w:rFonts w:hint="default" w:ascii="Times New Roman" w:hAnsi="Times New Roman" w:eastAsia="宋体" w:cs="Times New Roman"/>
                <w:color w:val="auto"/>
                <w:sz w:val="24"/>
                <w:highlight w:val="none"/>
              </w:rPr>
              <w:t>挥发产生的废气，主要污染物以非甲烷总烃计。本项目危废暂存库内的危险废物分区暂存，产生的危险废物不进行倒罐、分装等，</w:t>
            </w:r>
            <w:r>
              <w:rPr>
                <w:rFonts w:hint="eastAsia" w:cs="Times New Roman"/>
                <w:color w:val="auto"/>
                <w:sz w:val="24"/>
                <w:highlight w:val="none"/>
                <w:lang w:val="en-US" w:eastAsia="zh-CN"/>
              </w:rPr>
              <w:t>且</w:t>
            </w:r>
            <w:r>
              <w:rPr>
                <w:rFonts w:hint="default" w:ascii="Times New Roman" w:hAnsi="Times New Roman" w:eastAsia="宋体" w:cs="Times New Roman"/>
                <w:color w:val="auto"/>
                <w:sz w:val="24"/>
                <w:highlight w:val="none"/>
              </w:rPr>
              <w:t>每年委托有资质单位集中收集运走处置</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因此在暂存过程中正常情况下废气排放量极少</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根据《散装液态石油产品损耗》（GB11085-89）表</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贮存损耗率其他油（不分季节）为 0.01%，则本项目非甲烷总烃月排放量按储存量的 0.01%计算，则本项目</w:t>
            </w:r>
            <w:r>
              <w:rPr>
                <w:rFonts w:hint="eastAsia" w:cs="Times New Roman"/>
                <w:color w:val="auto"/>
                <w:sz w:val="24"/>
                <w:highlight w:val="none"/>
                <w:lang w:val="en-US" w:eastAsia="zh-CN"/>
              </w:rPr>
              <w:t>全年处置量</w:t>
            </w:r>
            <w:r>
              <w:rPr>
                <w:rFonts w:hint="default" w:ascii="Times New Roman" w:hAnsi="Times New Roman" w:eastAsia="宋体" w:cs="Times New Roman"/>
                <w:color w:val="auto"/>
                <w:sz w:val="24"/>
                <w:highlight w:val="none"/>
              </w:rPr>
              <w:t>约</w:t>
            </w:r>
            <w:r>
              <w:rPr>
                <w:rFonts w:hint="eastAsia" w:cs="Times New Roman"/>
                <w:color w:val="auto"/>
                <w:sz w:val="24"/>
                <w:highlight w:val="none"/>
                <w:lang w:val="en-US" w:eastAsia="zh-CN"/>
              </w:rPr>
              <w:t>1.7</w:t>
            </w:r>
            <w:r>
              <w:rPr>
                <w:rFonts w:hint="default" w:ascii="Times New Roman" w:hAnsi="Times New Roman" w:eastAsia="宋体" w:cs="Times New Roman"/>
                <w:color w:val="auto"/>
                <w:sz w:val="24"/>
                <w:highlight w:val="none"/>
              </w:rPr>
              <w:t>t/a，则产生的非甲烷总烃量为0.</w:t>
            </w:r>
            <w:r>
              <w:rPr>
                <w:rFonts w:hint="eastAsia" w:cs="Times New Roman"/>
                <w:color w:val="auto"/>
                <w:sz w:val="24"/>
                <w:highlight w:val="none"/>
                <w:lang w:val="en-US" w:eastAsia="zh-CN"/>
              </w:rPr>
              <w:t>00204</w:t>
            </w:r>
            <w:r>
              <w:rPr>
                <w:rFonts w:hint="eastAsia" w:ascii="Times New Roman" w:hAnsi="Times New Roman" w:eastAsia="宋体" w:cs="Times New Roman"/>
                <w:color w:val="auto"/>
                <w:sz w:val="24"/>
                <w:highlight w:val="none"/>
                <w:lang w:val="en-US" w:eastAsia="zh-CN"/>
              </w:rPr>
              <w:t>t</w:t>
            </w:r>
            <w:r>
              <w:rPr>
                <w:rFonts w:hint="default" w:ascii="Times New Roman" w:hAnsi="Times New Roman" w:eastAsia="宋体" w:cs="Times New Roman"/>
                <w:color w:val="auto"/>
                <w:sz w:val="24"/>
                <w:highlight w:val="none"/>
              </w:rPr>
              <w:t>/a。</w:t>
            </w:r>
          </w:p>
          <w:bookmarkEnd w:id="14"/>
          <w:p w14:paraId="35CDE69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本项目废矿物油产生的废气量较小，通过密封储罐，排放浓度可以满足《大气污染物综合排放标准》（GB16297-1996）中无组织排放监控浓度限值。因此本项目产生的废气对周围环境影响较小。</w:t>
            </w:r>
          </w:p>
          <w:p w14:paraId="5943184A">
            <w:pPr>
              <w:spacing w:line="360" w:lineRule="auto"/>
              <w:ind w:firstLine="482"/>
              <w:rPr>
                <w:rFonts w:hint="default" w:ascii="Times New Roman" w:hAnsi="Times New Roman" w:cs="Times New Roman"/>
                <w:b/>
                <w:color w:val="auto"/>
                <w:sz w:val="24"/>
                <w:szCs w:val="22"/>
                <w:highlight w:val="none"/>
              </w:rPr>
            </w:pPr>
            <w:r>
              <w:rPr>
                <w:rFonts w:hint="default" w:ascii="Times New Roman" w:hAnsi="Times New Roman" w:cs="Times New Roman"/>
                <w:b/>
                <w:color w:val="auto"/>
                <w:sz w:val="24"/>
                <w:szCs w:val="22"/>
                <w:highlight w:val="none"/>
              </w:rPr>
              <w:t>二、运营期水环境影响和保护措施</w:t>
            </w:r>
          </w:p>
          <w:p w14:paraId="25C015DB">
            <w:pPr>
              <w:spacing w:line="360" w:lineRule="auto"/>
              <w:ind w:firstLine="482"/>
              <w:rPr>
                <w:rFonts w:hint="default" w:ascii="Times New Roman" w:hAnsi="Times New Roman" w:cs="Times New Roman"/>
                <w:b/>
                <w:color w:val="auto"/>
                <w:sz w:val="24"/>
                <w:szCs w:val="22"/>
                <w:highlight w:val="none"/>
              </w:rPr>
            </w:pPr>
            <w:r>
              <w:rPr>
                <w:rFonts w:hint="default" w:ascii="Times New Roman" w:hAnsi="Times New Roman" w:cs="Times New Roman"/>
                <w:color w:val="auto"/>
                <w:sz w:val="24"/>
                <w:highlight w:val="none"/>
              </w:rPr>
              <w:t>项目运营期不产生生产废水，无新增劳动定员，无新增生活污水产生。</w:t>
            </w:r>
          </w:p>
          <w:p w14:paraId="30F274E6">
            <w:pPr>
              <w:spacing w:line="360" w:lineRule="auto"/>
              <w:ind w:firstLine="482"/>
              <w:rPr>
                <w:rFonts w:hint="default" w:ascii="Times New Roman" w:hAnsi="Times New Roman" w:cs="Times New Roman"/>
                <w:b/>
                <w:color w:val="auto"/>
                <w:sz w:val="24"/>
                <w:szCs w:val="22"/>
                <w:highlight w:val="none"/>
              </w:rPr>
            </w:pPr>
            <w:r>
              <w:rPr>
                <w:rFonts w:hint="default" w:ascii="Times New Roman" w:hAnsi="Times New Roman" w:cs="Times New Roman"/>
                <w:b/>
                <w:color w:val="auto"/>
                <w:sz w:val="24"/>
                <w:szCs w:val="22"/>
                <w:highlight w:val="none"/>
              </w:rPr>
              <w:t>1、地下水环境影响分析</w:t>
            </w:r>
          </w:p>
          <w:p w14:paraId="6AF18DA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危险废物暂存库油品贮存期间一旦发生</w:t>
            </w:r>
            <w:r>
              <w:rPr>
                <w:rFonts w:hint="default" w:ascii="Times New Roman" w:hAnsi="Times New Roman" w:cs="Times New Roman"/>
                <w:color w:val="auto"/>
                <w:sz w:val="24"/>
                <w:highlight w:val="none"/>
                <w:lang w:eastAsia="zh-CN"/>
              </w:rPr>
              <w:t>油品泄漏</w:t>
            </w:r>
            <w:r>
              <w:rPr>
                <w:rFonts w:hint="default" w:ascii="Times New Roman" w:hAnsi="Times New Roman" w:cs="Times New Roman"/>
                <w:color w:val="auto"/>
                <w:sz w:val="24"/>
                <w:highlight w:val="none"/>
              </w:rPr>
              <w:t>，将对地下水产生较为严重的影响，在油类穿过土壤层的过程中，土壤吸附的机油会造成植物的枯萎甚至死亡，若油类渗漏至地下水含水层，将对地下水水质产生极为不利的影响。</w:t>
            </w:r>
          </w:p>
          <w:p w14:paraId="03A4D8A0">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为防止油品泄漏对地下水水质造成污染，按照“源头控制、分区防控、污染监控、应急响应”原则，建设单位应采取以下防范措施：</w:t>
            </w:r>
            <w:r>
              <w:rPr>
                <w:rFonts w:hint="eastAsia" w:cs="Times New Roman"/>
                <w:color w:val="auto"/>
                <w:sz w:val="24"/>
                <w:highlight w:val="none"/>
                <w:lang w:val="en-US" w:eastAsia="zh-CN"/>
              </w:rPr>
              <w:t xml:space="preserve"> </w:t>
            </w:r>
          </w:p>
          <w:p w14:paraId="185AB3E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（1）源头控制措施</w:t>
            </w:r>
          </w:p>
          <w:p w14:paraId="7F4B973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为防止事故废水对地下水造成污染影响，应对事故应急池防渗措施的性能定期进行</w:t>
            </w:r>
            <w:r>
              <w:rPr>
                <w:rFonts w:hint="default" w:ascii="Times New Roman" w:hAnsi="Times New Roman" w:cs="Times New Roman"/>
                <w:color w:val="auto"/>
                <w:sz w:val="24"/>
                <w:highlight w:val="none"/>
                <w:lang w:eastAsia="zh-CN"/>
              </w:rPr>
              <w:t>检测</w:t>
            </w:r>
            <w:r>
              <w:rPr>
                <w:rFonts w:hint="default" w:ascii="Times New Roman" w:hAnsi="Times New Roman" w:cs="Times New Roman"/>
                <w:color w:val="auto"/>
                <w:sz w:val="24"/>
                <w:highlight w:val="none"/>
              </w:rPr>
              <w:t>，便于发现污染物的跑、冒、滴、漏，将污染物泄漏降至最低限度。</w:t>
            </w:r>
          </w:p>
          <w:p w14:paraId="69B7CFD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（2）分区防控措施</w:t>
            </w:r>
          </w:p>
          <w:p w14:paraId="3954A46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为防止污染地下水，本项目依据《危险废物贮存污染控制标准》（GB18597-20</w:t>
            </w:r>
            <w:r>
              <w:rPr>
                <w:rFonts w:hint="default" w:ascii="Times New Roman" w:hAnsi="Times New Roman" w:cs="Times New Roman"/>
                <w:color w:val="auto"/>
                <w:sz w:val="24"/>
                <w:highlight w:val="none"/>
                <w:lang w:val="en-US" w:eastAsia="zh-CN"/>
              </w:rPr>
              <w:t>23</w:t>
            </w:r>
            <w:r>
              <w:rPr>
                <w:rFonts w:hint="default" w:ascii="Times New Roman" w:hAnsi="Times New Roman" w:cs="Times New Roman"/>
                <w:color w:val="auto"/>
                <w:sz w:val="24"/>
                <w:highlight w:val="none"/>
              </w:rPr>
              <w:t>），危险废物暂存库基础必须防渗，防渗层为至少1米厚黏土层，或2mm厚高密度聚乙烯或至少2mm厚的其他人工材料，渗透系数≤1.0×10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w:t>
            </w:r>
          </w:p>
          <w:p w14:paraId="4E05555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本项目危废库防渗设计方案为：自下而上分别为</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0cm</w:t>
            </w:r>
            <w:r>
              <w:rPr>
                <w:rFonts w:hint="default" w:ascii="Times New Roman" w:hAnsi="Times New Roman" w:cs="Times New Roman"/>
                <w:color w:val="auto"/>
                <w:sz w:val="24"/>
                <w:highlight w:val="none"/>
                <w:lang w:val="en-US" w:eastAsia="zh-CN"/>
              </w:rPr>
              <w:t>防渗水泥砂浆，</w:t>
            </w:r>
            <w:r>
              <w:rPr>
                <w:rFonts w:hint="default" w:ascii="Times New Roman" w:hAnsi="Times New Roman" w:cs="Times New Roman"/>
                <w:color w:val="auto"/>
                <w:sz w:val="24"/>
                <w:highlight w:val="none"/>
              </w:rPr>
              <w:t>后</w:t>
            </w:r>
            <w:r>
              <w:rPr>
                <w:rFonts w:hint="default" w:ascii="Times New Roman" w:hAnsi="Times New Roman" w:cs="Times New Roman"/>
                <w:color w:val="auto"/>
                <w:sz w:val="24"/>
                <w:highlight w:val="none"/>
                <w:lang w:val="en-US" w:eastAsia="zh-CN"/>
              </w:rPr>
              <w:t>铺设</w:t>
            </w:r>
            <w:r>
              <w:rPr>
                <w:rFonts w:hint="default" w:ascii="Times New Roman" w:hAnsi="Times New Roman" w:cs="Times New Roman"/>
                <w:color w:val="auto"/>
                <w:sz w:val="24"/>
                <w:highlight w:val="none"/>
              </w:rPr>
              <w:t>SBS防水层＋5cm的混凝土基础层+</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mmHDPE土工膜（地面+导流渠+四周墙壁高800mm）+5cm防渗砂浆地面找平层＋绿色0.2mm的环氧地坪层处理；防渗满足渗透系数≤1.0×10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w:t>
            </w:r>
          </w:p>
          <w:p w14:paraId="148081B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在危废库内四周设导流槽，导流槽导入收集池，用于收集泄漏废矿物油。装载危险废物的容器必须完好无损；盛装危险废物的容器材质和衬里要与危险废物相容</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不相互反应</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液体危险废物可注入开孔直径不超过70mm并有放气孔的桶中；盛装危险废物的容器上必须粘贴符合《危险废物贮存污染控制标准》附录A所示的标签；装载液体危险废物的容器内须留足够空间，容器顶部与液体表面之间保留100mm以上的空间。对危险废物贮存容器</w:t>
            </w:r>
            <w:r>
              <w:rPr>
                <w:rFonts w:hint="eastAsia" w:ascii="Times New Roman" w:hAnsi="Times New Roman" w:cs="Times New Roman"/>
                <w:color w:val="auto"/>
                <w:sz w:val="24"/>
                <w:highlight w:val="none"/>
                <w:lang w:eastAsia="zh-CN"/>
              </w:rPr>
              <w:t>在日常生活中</w:t>
            </w:r>
            <w:r>
              <w:rPr>
                <w:rFonts w:hint="default" w:ascii="Times New Roman" w:hAnsi="Times New Roman" w:cs="Times New Roman"/>
                <w:color w:val="auto"/>
                <w:sz w:val="24"/>
                <w:highlight w:val="none"/>
              </w:rPr>
              <w:t>进行保养、维护，加强危险废物防漏胶袋的检查和维护，以防因腐蚀造成泄漏，而对地下水造成影响。</w:t>
            </w:r>
          </w:p>
          <w:p w14:paraId="6A16204C">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（3）地下水风险事故应急预案</w:t>
            </w:r>
          </w:p>
          <w:p w14:paraId="09B11FD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项目投入运行后若发生突发污染事故时，建设单位首先尽快对污染物进行收集和处理，修缮发生污染的设施和防渗结构，并将污染物抽出并进行处理。具体措施如下：</w:t>
            </w:r>
          </w:p>
          <w:p w14:paraId="335617D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①在发生污染处，采取工程措施，将污染处的污染物及时清理，泄漏后的废矿物油经泵抽入油桶，外委有资质单位处理；</w:t>
            </w:r>
          </w:p>
          <w:p w14:paraId="579F634E">
            <w:pPr>
              <w:spacing w:line="360" w:lineRule="auto"/>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②</w:t>
            </w:r>
            <w:r>
              <w:rPr>
                <w:rFonts w:hint="default" w:ascii="Times New Roman" w:hAnsi="Times New Roman" w:cs="Times New Roman"/>
                <w:color w:val="auto"/>
                <w:sz w:val="24"/>
                <w:highlight w:val="none"/>
              </w:rPr>
              <w:t>若发生污染事故，污染物由表层下渗到地下水面需要一段时间，可根据泄漏点具体位置和具体情况有针对性地采取地面清污、设置拦挡及设置地下水力屏障等，防止污染进一步扩大。</w:t>
            </w:r>
          </w:p>
          <w:p w14:paraId="31A2D0CD">
            <w:pPr>
              <w:spacing w:line="360" w:lineRule="auto"/>
              <w:ind w:firstLine="482"/>
              <w:rPr>
                <w:rFonts w:hint="default" w:ascii="Times New Roman" w:hAnsi="Times New Roman" w:eastAsia="宋体" w:cs="Times New Roman"/>
                <w:b/>
                <w:color w:val="auto"/>
                <w:sz w:val="24"/>
                <w:szCs w:val="22"/>
                <w:highlight w:val="none"/>
              </w:rPr>
            </w:pPr>
            <w:r>
              <w:rPr>
                <w:rFonts w:hint="eastAsia" w:ascii="Times New Roman" w:hAnsi="Times New Roman" w:eastAsia="宋体" w:cs="Times New Roman"/>
                <w:b/>
                <w:color w:val="auto"/>
                <w:sz w:val="24"/>
                <w:szCs w:val="22"/>
                <w:highlight w:val="none"/>
                <w:lang w:val="en-US" w:eastAsia="zh-CN"/>
              </w:rPr>
              <w:t>三、</w:t>
            </w:r>
            <w:r>
              <w:rPr>
                <w:rFonts w:hint="default" w:ascii="Times New Roman" w:hAnsi="Times New Roman" w:cs="Times New Roman"/>
                <w:b/>
                <w:color w:val="auto"/>
                <w:sz w:val="24"/>
                <w:szCs w:val="22"/>
                <w:highlight w:val="none"/>
              </w:rPr>
              <w:t>运营期</w:t>
            </w:r>
            <w:r>
              <w:rPr>
                <w:rFonts w:hint="default" w:ascii="Times New Roman" w:hAnsi="Times New Roman" w:eastAsia="宋体" w:cs="Times New Roman"/>
                <w:b/>
                <w:color w:val="auto"/>
                <w:sz w:val="24"/>
                <w:szCs w:val="22"/>
                <w:highlight w:val="none"/>
              </w:rPr>
              <w:t>土壤</w:t>
            </w:r>
            <w:r>
              <w:rPr>
                <w:rFonts w:hint="default" w:ascii="Times New Roman" w:hAnsi="Times New Roman" w:cs="Times New Roman"/>
                <w:b/>
                <w:color w:val="auto"/>
                <w:sz w:val="24"/>
                <w:szCs w:val="22"/>
                <w:highlight w:val="none"/>
              </w:rPr>
              <w:t>环境影响和保护措施</w:t>
            </w:r>
          </w:p>
          <w:p w14:paraId="14193297">
            <w:pPr>
              <w:spacing w:line="360" w:lineRule="auto"/>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影响类型及途径</w:t>
            </w:r>
          </w:p>
          <w:p w14:paraId="397350DF">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运营期危险废物贮存库在废液泄漏工况下废水下渗将会对土壤造成垂直入渗影响。项目影响途径主要为运营期垂直入渗污染，因此拟建项目土壤环境影响 类型为“污染影响型 ”。</w:t>
            </w:r>
          </w:p>
          <w:p w14:paraId="2B7B014D">
            <w:pPr>
              <w:spacing w:line="360" w:lineRule="auto"/>
              <w:ind w:firstLine="480"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2、</w:t>
            </w:r>
            <w:r>
              <w:rPr>
                <w:rFonts w:hint="default" w:ascii="Times New Roman" w:hAnsi="Times New Roman" w:eastAsia="宋体" w:cs="Times New Roman"/>
                <w:color w:val="auto"/>
                <w:sz w:val="24"/>
                <w:highlight w:val="none"/>
              </w:rPr>
              <w:t>影响分析</w:t>
            </w:r>
          </w:p>
          <w:p w14:paraId="5D2A5B8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本项目不涉及大气沉降污染，正常生产状况下，危险废物贮存库内部出现设备故障、容器破损、管道破损、防渗层破损等导致物料泄漏或密封件损坏发生跑 冒滴漏现象，其泄漏量一般都很小，且危险废物贮存库地面均采取了防渗、防腐、硬化措施，发生以上事故，工作人员可在第一时间发现并处理，不会产生大的泄漏情况，泄漏物料可得到有效控制，不会接触土壤，不会对土壤造成影响。</w:t>
            </w:r>
          </w:p>
          <w:p w14:paraId="65B8D4ED">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一旦发生大的泄漏事故，在收集设施防渗层完好的情况下，泄漏物料可被全部截留收集，不发生外溢或渗漏，不与土壤接触，不会造成土壤污染。在物料收集设施防渗结构发生损坏情况下发生物料泄漏，泄漏物料将通过防渗层破裂处下渗污染土壤。发生这种情况通常是在风险事故状态下，事故结束后，物料及时被清理转移，防渗结构破损设施内停留时间较短，下渗物料量较少，入渗深度有限，水平扩散距离很小，不会对周围土壤产生影响。</w:t>
            </w:r>
          </w:p>
          <w:p w14:paraId="6631DA55">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3、环保措施</w:t>
            </w:r>
          </w:p>
          <w:p w14:paraId="328B5295">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项目建设运营过程中，对土壤污染的主要途径为废液垂直入渗进入土壤环境，故本项目尽可能从源头上减少可能污染物产生，严格按照国家相关规范要求， 对该厂区危险废物贮存库采取相应的措施，以防止和降低废液的跑、冒、滴、漏，将废液泄漏的环境风险事故降低到最低程度。企业采取以下措施，以减轻对土壤的污染。</w:t>
            </w:r>
          </w:p>
          <w:p w14:paraId="745EC730">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①项目危险废物贮存库地面进行硬化、防渗处理，按照防渗标准要求进行合理设计，建立防渗设施的检漏系统。</w:t>
            </w:r>
          </w:p>
          <w:p w14:paraId="52EB3611">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②项目危险废物贮存库设危险废物导流槽、围堰、集液池，用于收集环境事 故时的库区泄漏危险废物。</w:t>
            </w:r>
          </w:p>
          <w:p w14:paraId="67FC985E">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采取上述措施后，项目的建设对周围土壤环境影响不大。</w:t>
            </w:r>
          </w:p>
          <w:p w14:paraId="4EFDAE03">
            <w:pPr>
              <w:spacing w:line="360" w:lineRule="auto"/>
              <w:ind w:firstLine="482"/>
              <w:rPr>
                <w:rFonts w:hint="default" w:ascii="Times New Roman" w:hAnsi="Times New Roman" w:cs="Times New Roman"/>
                <w:b/>
                <w:color w:val="auto"/>
                <w:sz w:val="24"/>
                <w:szCs w:val="22"/>
                <w:highlight w:val="none"/>
              </w:rPr>
            </w:pPr>
            <w:r>
              <w:rPr>
                <w:rFonts w:hint="eastAsia" w:ascii="Times New Roman" w:hAnsi="Times New Roman" w:cs="Times New Roman"/>
                <w:b/>
                <w:color w:val="auto"/>
                <w:sz w:val="24"/>
                <w:szCs w:val="22"/>
                <w:highlight w:val="none"/>
                <w:lang w:val="en-US" w:eastAsia="zh-CN"/>
              </w:rPr>
              <w:t>四</w:t>
            </w:r>
            <w:r>
              <w:rPr>
                <w:rFonts w:hint="default" w:ascii="Times New Roman" w:hAnsi="Times New Roman" w:cs="Times New Roman"/>
                <w:b/>
                <w:color w:val="auto"/>
                <w:sz w:val="24"/>
                <w:szCs w:val="22"/>
                <w:highlight w:val="none"/>
              </w:rPr>
              <w:t>、运营期噪声环境影响和保护措施</w:t>
            </w:r>
          </w:p>
          <w:p w14:paraId="09AF741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（1）噪声源强分析</w:t>
            </w:r>
          </w:p>
          <w:p w14:paraId="0C3AA494">
            <w:pPr>
              <w:spacing w:line="360" w:lineRule="auto"/>
              <w:ind w:firstLine="480" w:firstLineChars="200"/>
              <w:rPr>
                <w:rFonts w:hint="default" w:ascii="Times New Roman" w:hAnsi="Times New Roman" w:cs="Times New Roman"/>
                <w:bCs/>
                <w:color w:val="auto"/>
                <w:sz w:val="24"/>
                <w:szCs w:val="20"/>
                <w:highlight w:val="none"/>
              </w:rPr>
            </w:pPr>
            <w:r>
              <w:rPr>
                <w:rFonts w:hint="default" w:ascii="Times New Roman" w:hAnsi="Times New Roman" w:cs="Times New Roman"/>
                <w:bCs/>
                <w:color w:val="auto"/>
                <w:sz w:val="24"/>
                <w:szCs w:val="20"/>
                <w:highlight w:val="none"/>
              </w:rPr>
              <w:t>本项目运营期产生噪声的环节为：叉车装卸过程噪声、汽车运输噪声、镀锌铁皮桶搬运噪声。噪声产生的影响很小，采取运输车辆减速、规范装卸操作、车间隔声等措施后噪声满足《工业企业厂界环境噪声排放标准》（GB12348-2008）2类标准要求。主要噪声源的噪声值见下表。</w:t>
            </w:r>
          </w:p>
          <w:p w14:paraId="2359A4B2">
            <w:pPr>
              <w:pStyle w:val="7"/>
              <w:keepNext/>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lang w:val="en-US" w:eastAsia="zh-CN"/>
              </w:rPr>
              <w:t>1</w:t>
            </w:r>
            <w:r>
              <w:rPr>
                <w:rFonts w:hint="default" w:ascii="Times New Roman" w:hAnsi="Times New Roman" w:eastAsia="宋体" w:cs="Times New Roman"/>
                <w:b/>
                <w:color w:val="auto"/>
                <w:sz w:val="21"/>
                <w:szCs w:val="21"/>
                <w:highlight w:val="none"/>
              </w:rPr>
              <w:t>主要噪声源噪声值</w:t>
            </w:r>
          </w:p>
          <w:tbl>
            <w:tblPr>
              <w:tblStyle w:val="20"/>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7"/>
              <w:gridCol w:w="2657"/>
              <w:gridCol w:w="2658"/>
            </w:tblGrid>
            <w:tr w14:paraId="7875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vAlign w:val="center"/>
                </w:tcPr>
                <w:p w14:paraId="76369525">
                  <w:pPr>
                    <w:jc w:val="center"/>
                    <w:rPr>
                      <w:rFonts w:hint="default" w:ascii="Times New Roman" w:hAnsi="Times New Roman" w:cs="Times New Roman"/>
                      <w:bCs/>
                      <w:color w:val="auto"/>
                      <w:sz w:val="24"/>
                      <w:szCs w:val="20"/>
                      <w:highlight w:val="none"/>
                    </w:rPr>
                  </w:pPr>
                  <w:r>
                    <w:rPr>
                      <w:rFonts w:hint="default" w:ascii="Times New Roman" w:hAnsi="Times New Roman" w:cs="Times New Roman"/>
                      <w:b/>
                      <w:color w:val="auto"/>
                      <w:szCs w:val="21"/>
                      <w:highlight w:val="none"/>
                    </w:rPr>
                    <w:t>序号</w:t>
                  </w:r>
                </w:p>
              </w:tc>
              <w:tc>
                <w:tcPr>
                  <w:tcW w:w="2652" w:type="dxa"/>
                  <w:vAlign w:val="center"/>
                </w:tcPr>
                <w:p w14:paraId="502FCAFE">
                  <w:pPr>
                    <w:jc w:val="center"/>
                    <w:rPr>
                      <w:rFonts w:hint="default" w:ascii="Times New Roman" w:hAnsi="Times New Roman" w:cs="Times New Roman"/>
                      <w:bCs/>
                      <w:color w:val="auto"/>
                      <w:sz w:val="24"/>
                      <w:szCs w:val="20"/>
                      <w:highlight w:val="none"/>
                    </w:rPr>
                  </w:pPr>
                  <w:r>
                    <w:rPr>
                      <w:rFonts w:hint="default" w:ascii="Times New Roman" w:hAnsi="Times New Roman" w:cs="Times New Roman"/>
                      <w:b/>
                      <w:color w:val="auto"/>
                      <w:szCs w:val="21"/>
                      <w:highlight w:val="none"/>
                    </w:rPr>
                    <w:t>噪声源名称</w:t>
                  </w:r>
                </w:p>
              </w:tc>
              <w:tc>
                <w:tcPr>
                  <w:tcW w:w="2653" w:type="dxa"/>
                  <w:vAlign w:val="center"/>
                </w:tcPr>
                <w:p w14:paraId="50BF2312">
                  <w:pPr>
                    <w:jc w:val="center"/>
                    <w:rPr>
                      <w:rFonts w:hint="default" w:ascii="Times New Roman" w:hAnsi="Times New Roman" w:cs="Times New Roman"/>
                      <w:bCs/>
                      <w:color w:val="auto"/>
                      <w:sz w:val="24"/>
                      <w:szCs w:val="20"/>
                      <w:highlight w:val="none"/>
                    </w:rPr>
                  </w:pPr>
                  <w:r>
                    <w:rPr>
                      <w:rFonts w:hint="default" w:ascii="Times New Roman" w:hAnsi="Times New Roman" w:cs="Times New Roman"/>
                      <w:b/>
                      <w:color w:val="auto"/>
                      <w:szCs w:val="21"/>
                      <w:highlight w:val="none"/>
                    </w:rPr>
                    <w:t>噪声值源强dB（A）</w:t>
                  </w:r>
                </w:p>
              </w:tc>
            </w:tr>
            <w:tr w14:paraId="5A6D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vAlign w:val="center"/>
                </w:tcPr>
                <w:p w14:paraId="409C3747">
                  <w:pPr>
                    <w:jc w:val="center"/>
                    <w:rPr>
                      <w:rFonts w:hint="default" w:ascii="Times New Roman" w:hAnsi="Times New Roman" w:cs="Times New Roman"/>
                      <w:bCs/>
                      <w:color w:val="auto"/>
                      <w:sz w:val="24"/>
                      <w:szCs w:val="20"/>
                      <w:highlight w:val="none"/>
                    </w:rPr>
                  </w:pPr>
                  <w:r>
                    <w:rPr>
                      <w:rFonts w:hint="default" w:ascii="Times New Roman" w:hAnsi="Times New Roman" w:cs="Times New Roman"/>
                      <w:color w:val="auto"/>
                      <w:szCs w:val="21"/>
                      <w:highlight w:val="none"/>
                    </w:rPr>
                    <w:t>1</w:t>
                  </w:r>
                </w:p>
              </w:tc>
              <w:tc>
                <w:tcPr>
                  <w:tcW w:w="2652" w:type="dxa"/>
                  <w:vAlign w:val="center"/>
                </w:tcPr>
                <w:p w14:paraId="1236F48C">
                  <w:pPr>
                    <w:jc w:val="center"/>
                    <w:rPr>
                      <w:rFonts w:hint="default" w:ascii="Times New Roman" w:hAnsi="Times New Roman" w:cs="Times New Roman"/>
                      <w:bCs/>
                      <w:color w:val="auto"/>
                      <w:sz w:val="24"/>
                      <w:szCs w:val="20"/>
                      <w:highlight w:val="none"/>
                    </w:rPr>
                  </w:pPr>
                  <w:r>
                    <w:rPr>
                      <w:rFonts w:hint="default" w:ascii="Times New Roman" w:hAnsi="Times New Roman" w:cs="Times New Roman"/>
                      <w:color w:val="auto"/>
                      <w:szCs w:val="21"/>
                      <w:highlight w:val="none"/>
                    </w:rPr>
                    <w:t>叉车</w:t>
                  </w:r>
                </w:p>
              </w:tc>
              <w:tc>
                <w:tcPr>
                  <w:tcW w:w="2653" w:type="dxa"/>
                  <w:vAlign w:val="center"/>
                </w:tcPr>
                <w:p w14:paraId="68DE42BC">
                  <w:pPr>
                    <w:jc w:val="center"/>
                    <w:rPr>
                      <w:rFonts w:hint="default" w:ascii="Times New Roman" w:hAnsi="Times New Roman" w:cs="Times New Roman"/>
                      <w:bCs/>
                      <w:color w:val="auto"/>
                      <w:sz w:val="24"/>
                      <w:szCs w:val="20"/>
                      <w:highlight w:val="none"/>
                    </w:rPr>
                  </w:pPr>
                  <w:r>
                    <w:rPr>
                      <w:rFonts w:hint="default" w:ascii="Times New Roman" w:hAnsi="Times New Roman" w:cs="Times New Roman"/>
                      <w:color w:val="auto"/>
                      <w:szCs w:val="21"/>
                      <w:highlight w:val="none"/>
                    </w:rPr>
                    <w:t>65</w:t>
                  </w:r>
                </w:p>
              </w:tc>
            </w:tr>
            <w:tr w14:paraId="32F4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vAlign w:val="center"/>
                </w:tcPr>
                <w:p w14:paraId="10519AA5">
                  <w:pPr>
                    <w:jc w:val="center"/>
                    <w:rPr>
                      <w:rFonts w:hint="default" w:ascii="Times New Roman" w:hAnsi="Times New Roman" w:cs="Times New Roman"/>
                      <w:bCs/>
                      <w:color w:val="auto"/>
                      <w:sz w:val="24"/>
                      <w:szCs w:val="20"/>
                      <w:highlight w:val="none"/>
                    </w:rPr>
                  </w:pPr>
                  <w:r>
                    <w:rPr>
                      <w:rFonts w:hint="default" w:ascii="Times New Roman" w:hAnsi="Times New Roman" w:cs="Times New Roman"/>
                      <w:color w:val="auto"/>
                      <w:szCs w:val="21"/>
                      <w:highlight w:val="none"/>
                    </w:rPr>
                    <w:t>2</w:t>
                  </w:r>
                </w:p>
              </w:tc>
              <w:tc>
                <w:tcPr>
                  <w:tcW w:w="2652" w:type="dxa"/>
                  <w:vAlign w:val="center"/>
                </w:tcPr>
                <w:p w14:paraId="570729AB">
                  <w:pPr>
                    <w:jc w:val="center"/>
                    <w:rPr>
                      <w:rFonts w:hint="default" w:ascii="Times New Roman" w:hAnsi="Times New Roman" w:eastAsia="宋体" w:cs="Times New Roman"/>
                      <w:bCs/>
                      <w:color w:val="auto"/>
                      <w:sz w:val="24"/>
                      <w:szCs w:val="20"/>
                      <w:highlight w:val="none"/>
                      <w:lang w:eastAsia="zh-CN"/>
                    </w:rPr>
                  </w:pPr>
                  <w:r>
                    <w:rPr>
                      <w:rFonts w:hint="default" w:ascii="Times New Roman" w:hAnsi="Times New Roman" w:cs="Times New Roman"/>
                      <w:color w:val="auto"/>
                      <w:szCs w:val="21"/>
                      <w:highlight w:val="none"/>
                    </w:rPr>
                    <w:t>收油</w:t>
                  </w:r>
                  <w:r>
                    <w:rPr>
                      <w:rFonts w:hint="default" w:ascii="Times New Roman" w:hAnsi="Times New Roman" w:cs="Times New Roman"/>
                      <w:color w:val="auto"/>
                      <w:szCs w:val="21"/>
                      <w:highlight w:val="none"/>
                      <w:lang w:val="en-US" w:eastAsia="zh-CN"/>
                    </w:rPr>
                    <w:t>车辆</w:t>
                  </w:r>
                </w:p>
              </w:tc>
              <w:tc>
                <w:tcPr>
                  <w:tcW w:w="2653" w:type="dxa"/>
                  <w:vAlign w:val="center"/>
                </w:tcPr>
                <w:p w14:paraId="235D23A0">
                  <w:pPr>
                    <w:jc w:val="center"/>
                    <w:rPr>
                      <w:rFonts w:hint="default" w:ascii="Times New Roman" w:hAnsi="Times New Roman" w:cs="Times New Roman"/>
                      <w:bCs/>
                      <w:color w:val="auto"/>
                      <w:sz w:val="24"/>
                      <w:szCs w:val="20"/>
                      <w:highlight w:val="none"/>
                    </w:rPr>
                  </w:pPr>
                  <w:r>
                    <w:rPr>
                      <w:rFonts w:hint="default" w:ascii="Times New Roman" w:hAnsi="Times New Roman" w:cs="Times New Roman"/>
                      <w:color w:val="auto"/>
                      <w:szCs w:val="21"/>
                      <w:highlight w:val="none"/>
                    </w:rPr>
                    <w:t>70</w:t>
                  </w:r>
                </w:p>
              </w:tc>
            </w:tr>
          </w:tbl>
          <w:p w14:paraId="4DDFFF16">
            <w:pPr>
              <w:spacing w:before="156" w:beforeLines="50" w:line="360" w:lineRule="auto"/>
              <w:ind w:left="420" w:leftChars="200"/>
              <w:rPr>
                <w:rFonts w:hint="default" w:ascii="Times New Roman" w:hAnsi="Times New Roman" w:cs="Times New Roman"/>
                <w:color w:val="auto"/>
                <w:sz w:val="24"/>
                <w:highlight w:val="none"/>
              </w:rPr>
            </w:pPr>
            <w:bookmarkStart w:id="15" w:name="_Hlk58234395"/>
            <w:r>
              <w:rPr>
                <w:rFonts w:hint="default" w:ascii="Times New Roman" w:hAnsi="Times New Roman" w:cs="Times New Roman"/>
                <w:color w:val="auto"/>
                <w:sz w:val="24"/>
                <w:highlight w:val="none"/>
              </w:rPr>
              <w:t>（2）噪声污染防治措施</w:t>
            </w:r>
          </w:p>
          <w:p w14:paraId="2EC19C07">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本项目运营期噪声产生的影响很小，采取运输车辆减速、规范装卸操作、车间隔声及距离衰减等措施后，噪声满足《工业企业厂界环境噪声排放标准》（GB12348-2008）</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类标准要求。</w:t>
            </w:r>
          </w:p>
          <w:p w14:paraId="56C8CFB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采取以上措施后，运营期噪声对周边环境的影响不大。</w:t>
            </w:r>
          </w:p>
          <w:p w14:paraId="12F7C15F">
            <w:pPr>
              <w:spacing w:line="360" w:lineRule="auto"/>
              <w:ind w:firstLine="482" w:firstLineChars="200"/>
              <w:rPr>
                <w:rFonts w:hint="default" w:ascii="Times New Roman" w:hAnsi="Times New Roman" w:cs="Times New Roman"/>
                <w:b/>
                <w:color w:val="auto"/>
                <w:sz w:val="24"/>
                <w:szCs w:val="22"/>
                <w:highlight w:val="none"/>
              </w:rPr>
            </w:pPr>
            <w:r>
              <w:rPr>
                <w:rFonts w:hint="eastAsia" w:ascii="Times New Roman" w:hAnsi="Times New Roman" w:cs="Times New Roman"/>
                <w:b/>
                <w:color w:val="auto"/>
                <w:sz w:val="24"/>
                <w:szCs w:val="22"/>
                <w:highlight w:val="none"/>
                <w:lang w:val="en-US" w:eastAsia="zh-CN"/>
              </w:rPr>
              <w:t>五</w:t>
            </w:r>
            <w:r>
              <w:rPr>
                <w:rFonts w:hint="default" w:ascii="Times New Roman" w:hAnsi="Times New Roman" w:cs="Times New Roman"/>
                <w:b/>
                <w:color w:val="auto"/>
                <w:sz w:val="24"/>
                <w:szCs w:val="22"/>
                <w:highlight w:val="none"/>
              </w:rPr>
              <w:t>、运营期固体废物环境影响和保护措施</w:t>
            </w:r>
          </w:p>
          <w:p w14:paraId="14024172">
            <w:pPr>
              <w:spacing w:line="360" w:lineRule="auto"/>
              <w:ind w:firstLine="480" w:firstLineChars="200"/>
              <w:rPr>
                <w:rFonts w:hint="default" w:ascii="Times New Roman" w:hAnsi="Times New Roman" w:cs="Times New Roman"/>
                <w:color w:val="0000FF"/>
                <w:sz w:val="24"/>
                <w:highlight w:val="none"/>
              </w:rPr>
            </w:pPr>
            <w:r>
              <w:rPr>
                <w:rFonts w:hint="default" w:ascii="Times New Roman" w:hAnsi="Times New Roman" w:cs="Times New Roman"/>
                <w:color w:val="0000FF"/>
                <w:sz w:val="24"/>
                <w:highlight w:val="none"/>
              </w:rPr>
              <w:t>（1）固体废物产生情况</w:t>
            </w:r>
          </w:p>
          <w:p w14:paraId="38F5EB6F">
            <w:pPr>
              <w:spacing w:line="360" w:lineRule="auto"/>
              <w:ind w:firstLine="480" w:firstLineChars="200"/>
              <w:rPr>
                <w:rFonts w:hint="default" w:ascii="Times New Roman" w:hAnsi="Times New Roman" w:eastAsia="宋体" w:cs="Times New Roman"/>
                <w:b/>
                <w:color w:val="0000FF"/>
                <w:sz w:val="21"/>
                <w:szCs w:val="21"/>
                <w:highlight w:val="none"/>
              </w:rPr>
            </w:pPr>
            <w:r>
              <w:rPr>
                <w:rFonts w:ascii="宋体" w:hAnsi="宋体" w:eastAsia="宋体" w:cs="宋体"/>
                <w:color w:val="0000FF"/>
                <w:sz w:val="24"/>
                <w:szCs w:val="24"/>
              </w:rPr>
              <w:t>本项目为主体工程配套建设的危险废物暂存库项目，主要进行危险废物的贮存，本身不产生固体废弃物，本项目不新增劳动定员，故不新增生活垃圾。项目运营期产生的固体废物主要为</w:t>
            </w:r>
            <w:r>
              <w:rPr>
                <w:rFonts w:hint="eastAsia" w:ascii="宋体" w:hAnsi="宋体" w:eastAsia="宋体" w:cs="宋体"/>
                <w:color w:val="0000FF"/>
                <w:sz w:val="24"/>
                <w:szCs w:val="24"/>
              </w:rPr>
              <w:t>沾染废</w:t>
            </w:r>
            <w:r>
              <w:rPr>
                <w:rFonts w:hint="eastAsia" w:ascii="宋体" w:hAnsi="宋体" w:eastAsia="宋体" w:cs="宋体"/>
                <w:color w:val="0000FF"/>
                <w:sz w:val="24"/>
                <w:szCs w:val="24"/>
                <w:lang w:val="en-US" w:eastAsia="zh-CN"/>
              </w:rPr>
              <w:t>矿</w:t>
            </w:r>
            <w:r>
              <w:rPr>
                <w:rFonts w:hint="eastAsia" w:ascii="宋体" w:hAnsi="宋体" w:eastAsia="宋体" w:cs="宋体"/>
                <w:color w:val="0000FF"/>
                <w:sz w:val="24"/>
                <w:szCs w:val="24"/>
              </w:rPr>
              <w:t>物油的劳保用品</w:t>
            </w:r>
            <w:r>
              <w:rPr>
                <w:rFonts w:ascii="宋体" w:hAnsi="宋体" w:eastAsia="宋体" w:cs="宋体"/>
                <w:color w:val="0000FF"/>
                <w:sz w:val="24"/>
                <w:szCs w:val="24"/>
              </w:rPr>
              <w:t>等。</w:t>
            </w:r>
            <w:r>
              <w:rPr>
                <w:rFonts w:hint="eastAsia" w:cs="Times New Roman"/>
                <w:color w:val="0000FF"/>
                <w:sz w:val="24"/>
                <w:highlight w:val="none"/>
                <w:lang w:val="en-US" w:eastAsia="zh-CN"/>
              </w:rPr>
              <w:t>本项目</w:t>
            </w:r>
            <w:r>
              <w:rPr>
                <w:rFonts w:hint="default" w:ascii="Times New Roman" w:hAnsi="Times New Roman" w:cs="Times New Roman"/>
                <w:color w:val="0000FF"/>
                <w:sz w:val="24"/>
                <w:highlight w:val="none"/>
              </w:rPr>
              <w:t>沾染废矿物油的劳保用品产生量约0.01t/a，由于项目产生的危险废物量较少，且产生周期不固定，根据《国家危险废物名录》（2025年版），全部环节未分类收集的沾染废矿物油的劳保用品全过程不按危险废物管理，因此统一收集后由环卫部门统一清理。本项目主要涉及的固体废物具体情况见下表。</w:t>
            </w:r>
            <w:bookmarkStart w:id="16" w:name="_Hlk60826031"/>
          </w:p>
          <w:p w14:paraId="0F36E30B">
            <w:pPr>
              <w:pStyle w:val="7"/>
              <w:keepNext/>
              <w:jc w:val="center"/>
              <w:rPr>
                <w:rFonts w:hint="default" w:ascii="Times New Roman" w:hAnsi="Times New Roman" w:eastAsia="宋体" w:cs="Times New Roman"/>
                <w:b/>
                <w:color w:val="0000FF"/>
                <w:sz w:val="21"/>
                <w:szCs w:val="21"/>
                <w:highlight w:val="none"/>
              </w:rPr>
            </w:pPr>
            <w:r>
              <w:rPr>
                <w:rFonts w:hint="default" w:ascii="Times New Roman" w:hAnsi="Times New Roman" w:eastAsia="宋体" w:cs="Times New Roman"/>
                <w:b/>
                <w:color w:val="0000FF"/>
                <w:sz w:val="21"/>
                <w:szCs w:val="21"/>
                <w:highlight w:val="none"/>
              </w:rPr>
              <w:t>表</w:t>
            </w:r>
            <w:r>
              <w:rPr>
                <w:rFonts w:hint="default" w:ascii="Times New Roman" w:hAnsi="Times New Roman" w:eastAsia="宋体" w:cs="Times New Roman"/>
                <w:b/>
                <w:color w:val="0000FF"/>
                <w:sz w:val="21"/>
                <w:szCs w:val="21"/>
                <w:highlight w:val="none"/>
                <w:lang w:val="en-US" w:eastAsia="zh-CN"/>
              </w:rPr>
              <w:t>4-</w:t>
            </w:r>
            <w:r>
              <w:rPr>
                <w:rFonts w:hint="eastAsia" w:ascii="Times New Roman" w:hAnsi="Times New Roman" w:eastAsia="宋体" w:cs="Times New Roman"/>
                <w:b/>
                <w:color w:val="0000FF"/>
                <w:sz w:val="21"/>
                <w:szCs w:val="21"/>
                <w:highlight w:val="none"/>
                <w:lang w:val="en-US" w:eastAsia="zh-CN"/>
              </w:rPr>
              <w:t>2</w:t>
            </w:r>
            <w:r>
              <w:rPr>
                <w:rFonts w:hint="default" w:ascii="Times New Roman" w:hAnsi="Times New Roman" w:eastAsia="宋体" w:cs="Times New Roman"/>
                <w:b/>
                <w:color w:val="0000FF"/>
                <w:sz w:val="21"/>
                <w:szCs w:val="21"/>
                <w:highlight w:val="none"/>
              </w:rPr>
              <w:t>固体废弃物涉及情况一览表</w:t>
            </w:r>
          </w:p>
          <w:bookmarkEnd w:id="16"/>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9"/>
              <w:gridCol w:w="1830"/>
              <w:gridCol w:w="1647"/>
              <w:gridCol w:w="2373"/>
            </w:tblGrid>
            <w:tr w14:paraId="09C9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329" w:type="pct"/>
                  <w:vAlign w:val="center"/>
                </w:tcPr>
                <w:p w14:paraId="4966161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color w:val="0000FF"/>
                      <w:kern w:val="0"/>
                      <w:sz w:val="21"/>
                      <w:szCs w:val="21"/>
                      <w:highlight w:val="none"/>
                    </w:rPr>
                  </w:pPr>
                  <w:bookmarkStart w:id="17" w:name="_Hlk60826025"/>
                  <w:r>
                    <w:rPr>
                      <w:rFonts w:hint="eastAsia" w:ascii="宋体" w:hAnsi="宋体" w:eastAsia="宋体" w:cs="宋体"/>
                      <w:b/>
                      <w:color w:val="0000FF"/>
                      <w:kern w:val="0"/>
                      <w:sz w:val="21"/>
                      <w:szCs w:val="21"/>
                      <w:highlight w:val="none"/>
                    </w:rPr>
                    <w:t>污染物</w:t>
                  </w:r>
                </w:p>
              </w:tc>
              <w:tc>
                <w:tcPr>
                  <w:tcW w:w="1148" w:type="pct"/>
                  <w:vAlign w:val="center"/>
                </w:tcPr>
                <w:p w14:paraId="1519055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color w:val="0000FF"/>
                      <w:kern w:val="0"/>
                      <w:sz w:val="21"/>
                      <w:szCs w:val="21"/>
                      <w:highlight w:val="none"/>
                    </w:rPr>
                  </w:pPr>
                  <w:r>
                    <w:rPr>
                      <w:rFonts w:hint="eastAsia" w:ascii="宋体" w:hAnsi="宋体" w:cs="宋体"/>
                      <w:b/>
                      <w:color w:val="0000FF"/>
                      <w:kern w:val="0"/>
                      <w:sz w:val="21"/>
                      <w:szCs w:val="21"/>
                      <w:highlight w:val="none"/>
                      <w:lang w:val="en-US" w:eastAsia="zh-CN"/>
                    </w:rPr>
                    <w:t>最大暂存量</w:t>
                  </w:r>
                </w:p>
              </w:tc>
              <w:tc>
                <w:tcPr>
                  <w:tcW w:w="1033" w:type="pct"/>
                </w:tcPr>
                <w:p w14:paraId="3613519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color w:val="0000FF"/>
                      <w:kern w:val="0"/>
                      <w:sz w:val="21"/>
                      <w:szCs w:val="21"/>
                      <w:highlight w:val="none"/>
                    </w:rPr>
                  </w:pPr>
                  <w:r>
                    <w:rPr>
                      <w:rFonts w:hint="eastAsia" w:ascii="宋体" w:hAnsi="宋体" w:eastAsia="宋体" w:cs="宋体"/>
                      <w:b/>
                      <w:color w:val="0000FF"/>
                      <w:kern w:val="0"/>
                      <w:sz w:val="21"/>
                      <w:szCs w:val="21"/>
                      <w:highlight w:val="none"/>
                    </w:rPr>
                    <w:t>危险特性</w:t>
                  </w:r>
                </w:p>
              </w:tc>
              <w:tc>
                <w:tcPr>
                  <w:tcW w:w="1488" w:type="pct"/>
                  <w:vAlign w:val="center"/>
                </w:tcPr>
                <w:p w14:paraId="1A82A91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color w:val="0000FF"/>
                      <w:kern w:val="0"/>
                      <w:sz w:val="21"/>
                      <w:szCs w:val="21"/>
                      <w:highlight w:val="none"/>
                    </w:rPr>
                  </w:pPr>
                  <w:r>
                    <w:rPr>
                      <w:rFonts w:hint="eastAsia" w:ascii="宋体" w:hAnsi="宋体" w:eastAsia="宋体" w:cs="宋体"/>
                      <w:b/>
                      <w:color w:val="0000FF"/>
                      <w:kern w:val="0"/>
                      <w:sz w:val="21"/>
                      <w:szCs w:val="21"/>
                      <w:highlight w:val="none"/>
                    </w:rPr>
                    <w:t>储存方式</w:t>
                  </w:r>
                  <w:r>
                    <w:rPr>
                      <w:rFonts w:hint="eastAsia" w:ascii="宋体" w:hAnsi="宋体" w:cs="宋体"/>
                      <w:b/>
                      <w:color w:val="0000FF"/>
                      <w:kern w:val="0"/>
                      <w:sz w:val="21"/>
                      <w:szCs w:val="21"/>
                      <w:highlight w:val="none"/>
                      <w:lang w:val="en-US" w:eastAsia="zh-CN"/>
                    </w:rPr>
                    <w:t>及</w:t>
                  </w:r>
                  <w:r>
                    <w:rPr>
                      <w:rFonts w:hint="eastAsia" w:ascii="宋体" w:hAnsi="宋体" w:eastAsia="宋体" w:cs="宋体"/>
                      <w:b/>
                      <w:color w:val="0000FF"/>
                      <w:kern w:val="0"/>
                      <w:sz w:val="21"/>
                      <w:szCs w:val="21"/>
                      <w:highlight w:val="none"/>
                    </w:rPr>
                    <w:t>处置措施</w:t>
                  </w:r>
                </w:p>
              </w:tc>
            </w:tr>
            <w:tr w14:paraId="30BD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29" w:type="pct"/>
                  <w:vAlign w:val="center"/>
                </w:tcPr>
                <w:p w14:paraId="19C32B0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废矿物油</w:t>
                  </w:r>
                </w:p>
              </w:tc>
              <w:tc>
                <w:tcPr>
                  <w:tcW w:w="1148" w:type="pct"/>
                  <w:vAlign w:val="center"/>
                </w:tcPr>
                <w:p w14:paraId="06092BF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lang w:val="en-US" w:eastAsia="zh-CN"/>
                    </w:rPr>
                    <w:t>0.5</w:t>
                  </w:r>
                  <w:r>
                    <w:rPr>
                      <w:rFonts w:hint="eastAsia" w:ascii="宋体" w:hAnsi="宋体" w:eastAsia="宋体" w:cs="宋体"/>
                      <w:color w:val="0000FF"/>
                      <w:kern w:val="0"/>
                      <w:sz w:val="21"/>
                      <w:szCs w:val="21"/>
                      <w:highlight w:val="none"/>
                    </w:rPr>
                    <w:t>t/a</w:t>
                  </w:r>
                </w:p>
              </w:tc>
              <w:tc>
                <w:tcPr>
                  <w:tcW w:w="1033" w:type="pct"/>
                  <w:vAlign w:val="center"/>
                </w:tcPr>
                <w:p w14:paraId="7ACF5EB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T/In</w:t>
                  </w:r>
                </w:p>
              </w:tc>
              <w:tc>
                <w:tcPr>
                  <w:tcW w:w="1488" w:type="pct"/>
                  <w:vAlign w:val="center"/>
                </w:tcPr>
                <w:p w14:paraId="2F43C61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委托有资质单位处置</w:t>
                  </w:r>
                </w:p>
              </w:tc>
            </w:tr>
            <w:tr w14:paraId="26F9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1329" w:type="pct"/>
                  <w:vAlign w:val="center"/>
                </w:tcPr>
                <w:p w14:paraId="5647DB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废包装（废油桶）</w:t>
                  </w:r>
                </w:p>
              </w:tc>
              <w:tc>
                <w:tcPr>
                  <w:tcW w:w="1148" w:type="pct"/>
                  <w:vAlign w:val="center"/>
                </w:tcPr>
                <w:p w14:paraId="3B59BD5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lang w:val="en-US" w:eastAsia="zh-CN"/>
                    </w:rPr>
                    <w:t>3</w:t>
                  </w:r>
                  <w:r>
                    <w:rPr>
                      <w:rFonts w:hint="eastAsia" w:ascii="宋体" w:hAnsi="宋体" w:eastAsia="宋体" w:cs="宋体"/>
                      <w:color w:val="0000FF"/>
                      <w:kern w:val="0"/>
                      <w:sz w:val="21"/>
                      <w:szCs w:val="21"/>
                      <w:highlight w:val="none"/>
                    </w:rPr>
                    <w:t>个/a</w:t>
                  </w:r>
                </w:p>
              </w:tc>
              <w:tc>
                <w:tcPr>
                  <w:tcW w:w="1033" w:type="pct"/>
                  <w:vAlign w:val="center"/>
                </w:tcPr>
                <w:p w14:paraId="183A9F9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T/In</w:t>
                  </w:r>
                </w:p>
              </w:tc>
              <w:tc>
                <w:tcPr>
                  <w:tcW w:w="1488" w:type="pct"/>
                  <w:vAlign w:val="center"/>
                </w:tcPr>
                <w:p w14:paraId="3269B0B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委托有资质单位处置</w:t>
                  </w:r>
                </w:p>
              </w:tc>
            </w:tr>
            <w:tr w14:paraId="4B93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1329" w:type="pct"/>
                  <w:vAlign w:val="center"/>
                </w:tcPr>
                <w:p w14:paraId="2D4A3EB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沾染废</w:t>
                  </w:r>
                  <w:r>
                    <w:rPr>
                      <w:rFonts w:hint="eastAsia" w:ascii="宋体" w:hAnsi="宋体" w:cs="宋体"/>
                      <w:color w:val="0000FF"/>
                      <w:kern w:val="0"/>
                      <w:sz w:val="21"/>
                      <w:szCs w:val="21"/>
                      <w:highlight w:val="none"/>
                      <w:lang w:val="en-US" w:eastAsia="zh-CN"/>
                    </w:rPr>
                    <w:t>矿</w:t>
                  </w:r>
                  <w:r>
                    <w:rPr>
                      <w:rFonts w:hint="eastAsia" w:ascii="宋体" w:hAnsi="宋体" w:eastAsia="宋体" w:cs="宋体"/>
                      <w:color w:val="0000FF"/>
                      <w:kern w:val="0"/>
                      <w:sz w:val="21"/>
                      <w:szCs w:val="21"/>
                      <w:highlight w:val="none"/>
                    </w:rPr>
                    <w:t>物油的劳保用品</w:t>
                  </w:r>
                </w:p>
              </w:tc>
              <w:tc>
                <w:tcPr>
                  <w:tcW w:w="1148" w:type="pct"/>
                  <w:vAlign w:val="center"/>
                </w:tcPr>
                <w:p w14:paraId="13A79DE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color w:val="0000FF"/>
                      <w:kern w:val="0"/>
                      <w:sz w:val="21"/>
                      <w:szCs w:val="21"/>
                      <w:highlight w:val="none"/>
                      <w:lang w:val="en-US" w:eastAsia="zh-CN"/>
                    </w:rPr>
                  </w:pPr>
                  <w:r>
                    <w:rPr>
                      <w:rFonts w:hint="eastAsia" w:ascii="宋体" w:hAnsi="宋体" w:eastAsia="宋体" w:cs="宋体"/>
                      <w:color w:val="0000FF"/>
                      <w:kern w:val="0"/>
                      <w:sz w:val="21"/>
                      <w:szCs w:val="21"/>
                      <w:highlight w:val="none"/>
                      <w:lang w:val="en-US" w:eastAsia="zh-CN"/>
                    </w:rPr>
                    <w:t>0.01t/</w:t>
                  </w:r>
                  <w:r>
                    <w:rPr>
                      <w:rFonts w:hint="eastAsia" w:ascii="宋体" w:hAnsi="宋体" w:cs="宋体"/>
                      <w:color w:val="0000FF"/>
                      <w:kern w:val="0"/>
                      <w:sz w:val="21"/>
                      <w:szCs w:val="21"/>
                      <w:highlight w:val="none"/>
                      <w:lang w:val="en-US" w:eastAsia="zh-CN"/>
                    </w:rPr>
                    <w:t>a</w:t>
                  </w:r>
                </w:p>
              </w:tc>
              <w:tc>
                <w:tcPr>
                  <w:tcW w:w="1033" w:type="pct"/>
                  <w:vAlign w:val="center"/>
                </w:tcPr>
                <w:p w14:paraId="154F7FC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T，In</w:t>
                  </w:r>
                </w:p>
              </w:tc>
              <w:tc>
                <w:tcPr>
                  <w:tcW w:w="1488" w:type="pct"/>
                  <w:vAlign w:val="center"/>
                </w:tcPr>
                <w:p w14:paraId="2D580C9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根据《国家危险废物名录》（2025年版），全部环节未分类收集的废弃的</w:t>
                  </w:r>
                  <w:r>
                    <w:rPr>
                      <w:rFonts w:hint="eastAsia" w:ascii="宋体" w:hAnsi="宋体" w:eastAsia="宋体" w:cs="宋体"/>
                      <w:color w:val="0000FF"/>
                      <w:kern w:val="0"/>
                      <w:sz w:val="21"/>
                      <w:szCs w:val="21"/>
                      <w:highlight w:val="none"/>
                    </w:rPr>
                    <w:t>沾染废</w:t>
                  </w:r>
                  <w:r>
                    <w:rPr>
                      <w:rFonts w:hint="eastAsia" w:ascii="宋体" w:hAnsi="宋体" w:cs="宋体"/>
                      <w:color w:val="0000FF"/>
                      <w:kern w:val="0"/>
                      <w:sz w:val="21"/>
                      <w:szCs w:val="21"/>
                      <w:highlight w:val="none"/>
                      <w:lang w:val="en-US" w:eastAsia="zh-CN"/>
                    </w:rPr>
                    <w:t>矿</w:t>
                  </w:r>
                  <w:r>
                    <w:rPr>
                      <w:rFonts w:hint="eastAsia" w:ascii="宋体" w:hAnsi="宋体" w:eastAsia="宋体" w:cs="宋体"/>
                      <w:color w:val="0000FF"/>
                      <w:kern w:val="0"/>
                      <w:sz w:val="21"/>
                      <w:szCs w:val="21"/>
                      <w:highlight w:val="none"/>
                    </w:rPr>
                    <w:t>物油的劳保用品</w:t>
                  </w:r>
                  <w:r>
                    <w:rPr>
                      <w:rFonts w:hint="eastAsia" w:ascii="宋体" w:hAnsi="宋体" w:eastAsia="宋体" w:cs="宋体"/>
                      <w:color w:val="0000FF"/>
                      <w:sz w:val="21"/>
                      <w:szCs w:val="21"/>
                      <w:highlight w:val="none"/>
                    </w:rPr>
                    <w:t>全过程不按危险废物管理，因此统一收集后由环卫部门统一清理。</w:t>
                  </w:r>
                </w:p>
              </w:tc>
            </w:tr>
            <w:bookmarkEnd w:id="15"/>
            <w:bookmarkEnd w:id="17"/>
          </w:tbl>
          <w:p w14:paraId="6BF705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（2）固体废物贮存情况</w:t>
            </w:r>
          </w:p>
          <w:p w14:paraId="3064C851">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项目设1座</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的危险废物暂存库。废矿物油产生</w:t>
            </w:r>
            <w:r>
              <w:rPr>
                <w:rFonts w:hint="eastAsia" w:cs="Times New Roman"/>
                <w:color w:val="auto"/>
                <w:sz w:val="24"/>
                <w:highlight w:val="none"/>
                <w:lang w:val="en-US" w:eastAsia="zh-CN"/>
              </w:rPr>
              <w:t>最大暂存</w:t>
            </w:r>
            <w:r>
              <w:rPr>
                <w:rFonts w:hint="default" w:ascii="Times New Roman" w:hAnsi="Times New Roman" w:cs="Times New Roman"/>
                <w:color w:val="auto"/>
                <w:sz w:val="24"/>
                <w:highlight w:val="none"/>
              </w:rPr>
              <w:t>量为</w:t>
            </w:r>
            <w:r>
              <w:rPr>
                <w:rFonts w:hint="default" w:ascii="Times New Roman" w:hAnsi="Times New Roman" w:cs="Times New Roman"/>
                <w:color w:val="auto"/>
                <w:sz w:val="24"/>
                <w:highlight w:val="none"/>
                <w:lang w:val="en-US" w:eastAsia="zh-CN"/>
              </w:rPr>
              <w:t>0.5</w:t>
            </w:r>
            <w:r>
              <w:rPr>
                <w:rFonts w:hint="default" w:ascii="Times New Roman" w:hAnsi="Times New Roman" w:cs="Times New Roman"/>
                <w:color w:val="auto"/>
                <w:sz w:val="24"/>
                <w:highlight w:val="none"/>
              </w:rPr>
              <w:t>t/a，废矿物油盛放容器为200L的铁皮桶收集，废矿物油密度为0.85kg/L，每桶约存放</w:t>
            </w:r>
            <w:r>
              <w:rPr>
                <w:rFonts w:hint="default" w:ascii="Times New Roman" w:hAnsi="Times New Roman" w:cs="Times New Roman"/>
                <w:color w:val="auto"/>
                <w:sz w:val="24"/>
                <w:highlight w:val="none"/>
                <w:lang w:eastAsia="zh-CN"/>
              </w:rPr>
              <w:t>废矿物</w:t>
            </w:r>
            <w:r>
              <w:rPr>
                <w:rFonts w:hint="default" w:ascii="Times New Roman" w:hAnsi="Times New Roman" w:cs="Times New Roman"/>
                <w:color w:val="auto"/>
                <w:sz w:val="24"/>
                <w:highlight w:val="none"/>
              </w:rPr>
              <w:t>油170kg，桶按不叠加存放考虑，库内约可储存</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个</w:t>
            </w:r>
            <w:r>
              <w:rPr>
                <w:rFonts w:hint="default" w:ascii="Times New Roman" w:hAnsi="Times New Roman" w:cs="Times New Roman"/>
                <w:color w:val="auto"/>
                <w:sz w:val="24"/>
                <w:highlight w:val="none"/>
                <w:lang w:val="en-US" w:eastAsia="zh-CN"/>
              </w:rPr>
              <w:t>存放废矿物油的</w:t>
            </w:r>
            <w:r>
              <w:rPr>
                <w:rFonts w:hint="default" w:ascii="Times New Roman" w:hAnsi="Times New Roman" w:cs="Times New Roman"/>
                <w:color w:val="auto"/>
                <w:sz w:val="24"/>
                <w:highlight w:val="none"/>
              </w:rPr>
              <w:t>油桶，</w:t>
            </w:r>
            <w:r>
              <w:rPr>
                <w:rFonts w:hint="eastAsia" w:cs="Times New Roman"/>
                <w:color w:val="auto"/>
                <w:sz w:val="24"/>
                <w:highlight w:val="none"/>
                <w:lang w:val="en-US" w:eastAsia="zh-CN"/>
              </w:rPr>
              <w:t>全年处置</w:t>
            </w:r>
            <w:r>
              <w:rPr>
                <w:rFonts w:hint="default" w:ascii="Times New Roman" w:hAnsi="Times New Roman" w:cs="Times New Roman"/>
                <w:color w:val="auto"/>
                <w:sz w:val="24"/>
                <w:highlight w:val="none"/>
              </w:rPr>
              <w:t>废油</w:t>
            </w:r>
            <w:r>
              <w:rPr>
                <w:rFonts w:hint="eastAsia" w:cs="Times New Roman"/>
                <w:color w:val="auto"/>
                <w:sz w:val="24"/>
                <w:highlight w:val="none"/>
                <w:lang w:val="en-US" w:eastAsia="zh-CN"/>
              </w:rPr>
              <w:t>量</w:t>
            </w:r>
            <w:r>
              <w:rPr>
                <w:rFonts w:hint="default" w:ascii="Times New Roman" w:hAnsi="Times New Roman" w:cs="Times New Roman"/>
                <w:color w:val="auto"/>
                <w:sz w:val="24"/>
                <w:highlight w:val="none"/>
              </w:rPr>
              <w:t>约</w:t>
            </w:r>
            <w:r>
              <w:rPr>
                <w:rFonts w:hint="default"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7</w:t>
            </w:r>
            <w:r>
              <w:rPr>
                <w:rFonts w:hint="default" w:ascii="Times New Roman" w:hAnsi="Times New Roman" w:cs="Times New Roman"/>
                <w:color w:val="auto"/>
                <w:sz w:val="24"/>
                <w:highlight w:val="none"/>
              </w:rPr>
              <w:t>t。故废矿物油储存区的贮存能力满足所需。</w:t>
            </w:r>
          </w:p>
          <w:p w14:paraId="580D6C11">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综上所述，拟建危险废物暂存库的贮存能力满足生产所需。</w:t>
            </w:r>
          </w:p>
          <w:p w14:paraId="498E368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cs="Times New Roman"/>
                <w:b/>
                <w:color w:val="auto"/>
                <w:sz w:val="24"/>
                <w:szCs w:val="22"/>
                <w:highlight w:val="none"/>
              </w:rPr>
            </w:pPr>
            <w:r>
              <w:rPr>
                <w:rFonts w:hint="eastAsia" w:ascii="Times New Roman" w:hAnsi="Times New Roman" w:cs="Times New Roman"/>
                <w:b/>
                <w:color w:val="auto"/>
                <w:sz w:val="24"/>
                <w:szCs w:val="22"/>
                <w:highlight w:val="none"/>
                <w:lang w:val="en-US" w:eastAsia="zh-CN"/>
              </w:rPr>
              <w:t>六</w:t>
            </w:r>
            <w:r>
              <w:rPr>
                <w:rFonts w:hint="default" w:ascii="Times New Roman" w:hAnsi="Times New Roman" w:cs="Times New Roman"/>
                <w:b/>
                <w:color w:val="auto"/>
                <w:sz w:val="24"/>
                <w:szCs w:val="22"/>
                <w:highlight w:val="none"/>
              </w:rPr>
              <w:t>、环境风险分析</w:t>
            </w:r>
          </w:p>
          <w:p w14:paraId="0C44E6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1、评价原则</w:t>
            </w:r>
          </w:p>
          <w:p w14:paraId="51B40B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按照《建设项目环境风险评价技术导则》（HT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0377339E">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2、环境风险识别</w:t>
            </w:r>
          </w:p>
          <w:p w14:paraId="06D9DDDD">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（1）物质风险识别</w:t>
            </w:r>
          </w:p>
          <w:p w14:paraId="20C03D89">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根据《建设项目环境风险评价技术导则》（HJ169-2018）附录B，识别本项目危险物质为有机废矿物油，其毒性、易燃特性见下表。</w:t>
            </w:r>
          </w:p>
          <w:p w14:paraId="3F9A592E">
            <w:pPr>
              <w:pStyle w:val="7"/>
              <w:keepNext/>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lang w:val="en-US" w:eastAsia="zh-CN"/>
              </w:rPr>
              <w:t>3</w:t>
            </w:r>
            <w:r>
              <w:rPr>
                <w:rFonts w:hint="default" w:ascii="Times New Roman" w:hAnsi="Times New Roman" w:eastAsia="宋体" w:cs="Times New Roman"/>
                <w:b/>
                <w:color w:val="auto"/>
                <w:sz w:val="21"/>
                <w:szCs w:val="21"/>
                <w:highlight w:val="none"/>
              </w:rPr>
              <w:t>废矿物油的理化性质和危险特性</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3584"/>
              <w:gridCol w:w="3290"/>
            </w:tblGrid>
            <w:tr w14:paraId="3DDD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687" w:type="pct"/>
                  <w:vAlign w:val="center"/>
                </w:tcPr>
                <w:p w14:paraId="04691B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物料名称</w:t>
                  </w:r>
                </w:p>
              </w:tc>
              <w:tc>
                <w:tcPr>
                  <w:tcW w:w="2248" w:type="pct"/>
                  <w:vAlign w:val="center"/>
                </w:tcPr>
                <w:p w14:paraId="72836A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理化性质</w:t>
                  </w:r>
                </w:p>
              </w:tc>
              <w:tc>
                <w:tcPr>
                  <w:tcW w:w="2063" w:type="pct"/>
                  <w:vAlign w:val="center"/>
                </w:tcPr>
                <w:p w14:paraId="7B3C7F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危险特性</w:t>
                  </w:r>
                </w:p>
              </w:tc>
            </w:tr>
            <w:tr w14:paraId="3A0C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687" w:type="pct"/>
                  <w:vAlign w:val="center"/>
                </w:tcPr>
                <w:p w14:paraId="5084A1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废矿物油</w:t>
                  </w:r>
                </w:p>
              </w:tc>
              <w:tc>
                <w:tcPr>
                  <w:tcW w:w="2248" w:type="pct"/>
                  <w:vAlign w:val="center"/>
                </w:tcPr>
                <w:p w14:paraId="1EE67D43">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稍有黏性的淡黄色至褐色液体。密度为850kg/m</w:t>
                  </w:r>
                  <w:r>
                    <w:rPr>
                      <w:rFonts w:hint="default" w:ascii="Times New Roman" w:hAnsi="Times New Roman" w:cs="Times New Roman"/>
                      <w:color w:val="auto"/>
                      <w:kern w:val="0"/>
                      <w:szCs w:val="21"/>
                      <w:highlight w:val="none"/>
                      <w:vertAlign w:val="superscript"/>
                    </w:rPr>
                    <w:t>3</w:t>
                  </w:r>
                  <w:r>
                    <w:rPr>
                      <w:rFonts w:hint="default" w:ascii="Times New Roman" w:hAnsi="Times New Roman" w:cs="Times New Roman"/>
                      <w:color w:val="auto"/>
                      <w:kern w:val="0"/>
                      <w:szCs w:val="21"/>
                      <w:highlight w:val="none"/>
                    </w:rPr>
                    <w:t>。润滑性、导热性、稳定性以及相容性</w:t>
                  </w:r>
                  <w:r>
                    <w:rPr>
                      <w:rFonts w:hint="eastAsia"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主要指对密封材料、软管等不</w:t>
                  </w:r>
                  <w:r>
                    <w:rPr>
                      <w:rFonts w:hint="eastAsia" w:cs="Times New Roman"/>
                      <w:color w:val="auto"/>
                      <w:kern w:val="0"/>
                      <w:szCs w:val="21"/>
                      <w:highlight w:val="none"/>
                      <w:lang w:eastAsia="zh-CN"/>
                    </w:rPr>
                    <w:t>浸蚀</w:t>
                  </w:r>
                  <w:r>
                    <w:rPr>
                      <w:rFonts w:hint="default" w:ascii="Times New Roman" w:hAnsi="Times New Roman" w:cs="Times New Roman"/>
                      <w:color w:val="auto"/>
                      <w:kern w:val="0"/>
                      <w:szCs w:val="21"/>
                      <w:highlight w:val="none"/>
                    </w:rPr>
                    <w:t>、不溶胀的性质</w:t>
                  </w:r>
                  <w:r>
                    <w:rPr>
                      <w:rFonts w:hint="eastAsia"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等</w:t>
                  </w:r>
                </w:p>
              </w:tc>
              <w:tc>
                <w:tcPr>
                  <w:tcW w:w="2063" w:type="pct"/>
                  <w:vAlign w:val="center"/>
                </w:tcPr>
                <w:p w14:paraId="7C2CD4E6">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危险废物通过摄入、吸入、皮肤吸收、眼接触而引起毒害，或引起燃烧、爆炸等危险性事件；长期危害包括重复接触导致的长期中毒、致癌、致畸、致变等</w:t>
                  </w:r>
                </w:p>
              </w:tc>
            </w:tr>
          </w:tbl>
          <w:p w14:paraId="1B057FB9">
            <w:pPr>
              <w:keepNext w:val="0"/>
              <w:keepLines w:val="0"/>
              <w:pageBreakBefore w:val="0"/>
              <w:widowControl w:val="0"/>
              <w:kinsoku/>
              <w:wordWrap/>
              <w:overflowPunct/>
              <w:topLinePunct w:val="0"/>
              <w:autoSpaceDE/>
              <w:autoSpaceDN/>
              <w:bidi w:val="0"/>
              <w:adjustRightInd w:val="0"/>
              <w:snapToGrid w:val="0"/>
              <w:spacing w:line="240" w:lineRule="auto"/>
              <w:ind w:firstLine="482"/>
              <w:textAlignment w:val="auto"/>
              <w:rPr>
                <w:rFonts w:hint="default" w:ascii="Times New Roman" w:hAnsi="Times New Roman" w:eastAsia="宋体" w:cs="Times New Roman"/>
                <w:b/>
                <w:color w:val="auto"/>
                <w:sz w:val="21"/>
                <w:szCs w:val="21"/>
                <w:highlight w:val="none"/>
              </w:rPr>
            </w:pPr>
            <w:r>
              <w:rPr>
                <w:rFonts w:hint="default" w:ascii="Times New Roman" w:hAnsi="Times New Roman" w:cs="Times New Roman"/>
                <w:color w:val="auto"/>
                <w:sz w:val="24"/>
                <w:highlight w:val="none"/>
              </w:rPr>
              <w:t>（2）生产设施风险识别</w:t>
            </w:r>
          </w:p>
          <w:p w14:paraId="34048C17">
            <w:pPr>
              <w:pStyle w:val="7"/>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rPr>
              <w:fldChar w:fldCharType="begin"/>
            </w:r>
            <w:r>
              <w:rPr>
                <w:rFonts w:hint="default" w:ascii="Times New Roman" w:hAnsi="Times New Roman" w:eastAsia="宋体" w:cs="Times New Roman"/>
                <w:b/>
                <w:color w:val="auto"/>
                <w:sz w:val="21"/>
                <w:szCs w:val="21"/>
                <w:highlight w:val="none"/>
              </w:rPr>
              <w:instrText xml:space="preserve"> SEQ 表 \* ARABIC </w:instrText>
            </w:r>
            <w:r>
              <w:rPr>
                <w:rFonts w:hint="default" w:ascii="Times New Roman" w:hAnsi="Times New Roman" w:eastAsia="宋体" w:cs="Times New Roman"/>
                <w:b/>
                <w:color w:val="auto"/>
                <w:sz w:val="21"/>
                <w:szCs w:val="21"/>
                <w:highlight w:val="none"/>
              </w:rPr>
              <w:fldChar w:fldCharType="separate"/>
            </w:r>
            <w:r>
              <w:rPr>
                <w:rFonts w:hint="default" w:ascii="Times New Roman" w:hAnsi="Times New Roman" w:eastAsia="宋体"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lang w:val="en-US" w:eastAsia="zh-CN"/>
              </w:rPr>
              <w:t>4</w:t>
            </w:r>
            <w:r>
              <w:rPr>
                <w:rFonts w:hint="default" w:ascii="Times New Roman" w:hAnsi="Times New Roman" w:eastAsia="宋体" w:cs="Times New Roman"/>
                <w:b/>
                <w:color w:val="auto"/>
                <w:sz w:val="21"/>
                <w:szCs w:val="21"/>
                <w:highlight w:val="none"/>
              </w:rPr>
              <w:fldChar w:fldCharType="end"/>
            </w:r>
            <w:r>
              <w:rPr>
                <w:rFonts w:hint="default" w:ascii="Times New Roman" w:hAnsi="Times New Roman" w:eastAsia="宋体" w:cs="Times New Roman"/>
                <w:b/>
                <w:color w:val="auto"/>
                <w:sz w:val="21"/>
                <w:szCs w:val="21"/>
                <w:highlight w:val="none"/>
              </w:rPr>
              <w:t>生产设施风险识别表</w:t>
            </w:r>
          </w:p>
          <w:tbl>
            <w:tblPr>
              <w:tblStyle w:val="20"/>
              <w:tblW w:w="794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1"/>
              <w:gridCol w:w="984"/>
              <w:gridCol w:w="6301"/>
            </w:tblGrid>
            <w:tr w14:paraId="092E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661" w:type="dxa"/>
                  <w:vAlign w:val="center"/>
                </w:tcPr>
                <w:p w14:paraId="1A536C9B">
                  <w:pPr>
                    <w:adjustRightInd w:val="0"/>
                    <w:snapToGrid w:val="0"/>
                    <w:spacing w:line="360" w:lineRule="exac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分类</w:t>
                  </w:r>
                </w:p>
              </w:tc>
              <w:tc>
                <w:tcPr>
                  <w:tcW w:w="984" w:type="dxa"/>
                  <w:vAlign w:val="center"/>
                </w:tcPr>
                <w:p w14:paraId="1F8A9F06">
                  <w:pPr>
                    <w:adjustRightInd w:val="0"/>
                    <w:snapToGrid w:val="0"/>
                    <w:spacing w:line="360" w:lineRule="exac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类型</w:t>
                  </w:r>
                </w:p>
              </w:tc>
              <w:tc>
                <w:tcPr>
                  <w:tcW w:w="6301" w:type="dxa"/>
                  <w:vAlign w:val="center"/>
                </w:tcPr>
                <w:p w14:paraId="2420E8FC">
                  <w:pPr>
                    <w:adjustRightInd w:val="0"/>
                    <w:snapToGrid w:val="0"/>
                    <w:spacing w:line="360" w:lineRule="exac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风险项</w:t>
                  </w:r>
                </w:p>
              </w:tc>
            </w:tr>
            <w:tr w14:paraId="4C3E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661" w:type="dxa"/>
                  <w:vMerge w:val="restart"/>
                  <w:vAlign w:val="center"/>
                </w:tcPr>
                <w:p w14:paraId="18CF4A73">
                  <w:pPr>
                    <w:adjustRightInd w:val="0"/>
                    <w:snapToGrid w:val="0"/>
                    <w:spacing w:line="3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工艺危险性</w:t>
                  </w:r>
                </w:p>
              </w:tc>
              <w:tc>
                <w:tcPr>
                  <w:tcW w:w="984" w:type="dxa"/>
                  <w:vAlign w:val="center"/>
                </w:tcPr>
                <w:p w14:paraId="614149F7">
                  <w:pPr>
                    <w:adjustRightInd w:val="0"/>
                    <w:snapToGrid w:val="0"/>
                    <w:spacing w:line="3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设计施工</w:t>
                  </w:r>
                </w:p>
              </w:tc>
              <w:tc>
                <w:tcPr>
                  <w:tcW w:w="6301" w:type="dxa"/>
                  <w:vAlign w:val="center"/>
                </w:tcPr>
                <w:p w14:paraId="05416616">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受外界不良影响、设计、制造和施工缺陷可能引起</w:t>
                  </w:r>
                  <w:r>
                    <w:rPr>
                      <w:rFonts w:hint="eastAsia" w:ascii="Times New Roman" w:hAnsi="Times New Roman" w:cs="Times New Roman"/>
                      <w:color w:val="auto"/>
                      <w:szCs w:val="21"/>
                      <w:highlight w:val="none"/>
                      <w:lang w:eastAsia="zh-CN"/>
                    </w:rPr>
                    <w:t>工区</w:t>
                  </w:r>
                  <w:r>
                    <w:rPr>
                      <w:rFonts w:hint="default" w:ascii="Times New Roman" w:hAnsi="Times New Roman" w:cs="Times New Roman"/>
                      <w:color w:val="auto"/>
                      <w:szCs w:val="21"/>
                      <w:highlight w:val="none"/>
                    </w:rPr>
                    <w:t>发生爆破危险。</w:t>
                  </w:r>
                </w:p>
              </w:tc>
            </w:tr>
            <w:tr w14:paraId="77BB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 w:hRule="atLeast"/>
              </w:trPr>
              <w:tc>
                <w:tcPr>
                  <w:tcW w:w="661" w:type="dxa"/>
                  <w:vMerge w:val="continue"/>
                  <w:vAlign w:val="center"/>
                </w:tcPr>
                <w:p w14:paraId="5354966D">
                  <w:pPr>
                    <w:adjustRightInd w:val="0"/>
                    <w:snapToGrid w:val="0"/>
                    <w:spacing w:line="360" w:lineRule="exact"/>
                    <w:jc w:val="center"/>
                    <w:rPr>
                      <w:rFonts w:hint="default" w:ascii="Times New Roman" w:hAnsi="Times New Roman" w:cs="Times New Roman"/>
                      <w:color w:val="auto"/>
                      <w:szCs w:val="21"/>
                      <w:highlight w:val="none"/>
                    </w:rPr>
                  </w:pPr>
                </w:p>
              </w:tc>
              <w:tc>
                <w:tcPr>
                  <w:tcW w:w="984" w:type="dxa"/>
                  <w:vAlign w:val="center"/>
                </w:tcPr>
                <w:p w14:paraId="1CC87C76">
                  <w:pPr>
                    <w:adjustRightInd w:val="0"/>
                    <w:snapToGrid w:val="0"/>
                    <w:spacing w:line="3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设备</w:t>
                  </w:r>
                </w:p>
              </w:tc>
              <w:tc>
                <w:tcPr>
                  <w:tcW w:w="6301" w:type="dxa"/>
                  <w:vAlign w:val="center"/>
                </w:tcPr>
                <w:p w14:paraId="45FAACD2">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①油桶等因腐蚀、雷击或关闭不严等造成漏气，在有火源（如静电、明火等）情况下发生燃烧、爆炸。</w:t>
                  </w:r>
                </w:p>
                <w:p w14:paraId="50FECADC">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②油桶发生开裂等，造成</w:t>
                  </w:r>
                  <w:r>
                    <w:rPr>
                      <w:rFonts w:hint="default" w:ascii="Times New Roman" w:hAnsi="Times New Roman" w:cs="Times New Roman"/>
                      <w:color w:val="auto"/>
                      <w:szCs w:val="21"/>
                      <w:highlight w:val="none"/>
                      <w:lang w:eastAsia="zh-CN"/>
                    </w:rPr>
                    <w:t>油品泄漏</w:t>
                  </w:r>
                  <w:r>
                    <w:rPr>
                      <w:rFonts w:hint="default" w:ascii="Times New Roman" w:hAnsi="Times New Roman" w:cs="Times New Roman"/>
                      <w:color w:val="auto"/>
                      <w:szCs w:val="21"/>
                      <w:highlight w:val="none"/>
                    </w:rPr>
                    <w:t>，对土壤、地下水造成严重的污染。</w:t>
                  </w:r>
                </w:p>
              </w:tc>
            </w:tr>
            <w:tr w14:paraId="585C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1" w:type="dxa"/>
                  <w:vMerge w:val="continue"/>
                  <w:vAlign w:val="center"/>
                </w:tcPr>
                <w:p w14:paraId="75B4C086">
                  <w:pPr>
                    <w:adjustRightInd w:val="0"/>
                    <w:snapToGrid w:val="0"/>
                    <w:spacing w:line="360" w:lineRule="exact"/>
                    <w:jc w:val="center"/>
                    <w:rPr>
                      <w:rFonts w:hint="default" w:ascii="Times New Roman" w:hAnsi="Times New Roman" w:cs="Times New Roman"/>
                      <w:color w:val="auto"/>
                      <w:szCs w:val="21"/>
                      <w:highlight w:val="none"/>
                    </w:rPr>
                  </w:pPr>
                </w:p>
              </w:tc>
              <w:tc>
                <w:tcPr>
                  <w:tcW w:w="984" w:type="dxa"/>
                  <w:vAlign w:val="center"/>
                </w:tcPr>
                <w:p w14:paraId="6C4BD276">
                  <w:pPr>
                    <w:adjustRightInd w:val="0"/>
                    <w:snapToGrid w:val="0"/>
                    <w:spacing w:line="3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操作</w:t>
                  </w:r>
                </w:p>
              </w:tc>
              <w:tc>
                <w:tcPr>
                  <w:tcW w:w="6301" w:type="dxa"/>
                  <w:vAlign w:val="center"/>
                </w:tcPr>
                <w:p w14:paraId="4CFEA643">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①操作不当引起油桶泄漏及燃烧、爆炸。</w:t>
                  </w:r>
                </w:p>
                <w:p w14:paraId="244E6E13">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②桶区泄漏遇火源或撞击、静电、电气等火花引发火灾爆炸危险。</w:t>
                  </w:r>
                </w:p>
              </w:tc>
            </w:tr>
            <w:tr w14:paraId="73EC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661" w:type="dxa"/>
                  <w:vMerge w:val="continue"/>
                  <w:vAlign w:val="center"/>
                </w:tcPr>
                <w:p w14:paraId="288284EE">
                  <w:pPr>
                    <w:adjustRightInd w:val="0"/>
                    <w:snapToGrid w:val="0"/>
                    <w:spacing w:line="360" w:lineRule="exact"/>
                    <w:jc w:val="center"/>
                    <w:rPr>
                      <w:rFonts w:hint="default" w:ascii="Times New Roman" w:hAnsi="Times New Roman" w:cs="Times New Roman"/>
                      <w:color w:val="auto"/>
                      <w:szCs w:val="21"/>
                      <w:highlight w:val="none"/>
                    </w:rPr>
                  </w:pPr>
                </w:p>
              </w:tc>
              <w:tc>
                <w:tcPr>
                  <w:tcW w:w="984" w:type="dxa"/>
                  <w:vAlign w:val="center"/>
                </w:tcPr>
                <w:p w14:paraId="4EDD6A7E">
                  <w:pPr>
                    <w:adjustRightInd w:val="0"/>
                    <w:snapToGrid w:val="0"/>
                    <w:spacing w:line="3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自然</w:t>
                  </w:r>
                </w:p>
                <w:p w14:paraId="75FB7AEF">
                  <w:pPr>
                    <w:adjustRightInd w:val="0"/>
                    <w:snapToGrid w:val="0"/>
                    <w:spacing w:line="3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因素</w:t>
                  </w:r>
                </w:p>
              </w:tc>
              <w:tc>
                <w:tcPr>
                  <w:tcW w:w="6301" w:type="dxa"/>
                  <w:vAlign w:val="center"/>
                </w:tcPr>
                <w:p w14:paraId="50743995">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①地震、滑坡、泥石流等地质灾害引发场内承压设备受外力裂缝、折断等造成油品泄漏，遇火源发生爆炸。</w:t>
                  </w:r>
                </w:p>
                <w:p w14:paraId="3A777753">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②在雷雨天气，有可能受到雷击的危险，引起爆炸和火灾。</w:t>
                  </w:r>
                </w:p>
              </w:tc>
            </w:tr>
            <w:tr w14:paraId="07CC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661" w:type="dxa"/>
                  <w:vMerge w:val="continue"/>
                  <w:vAlign w:val="center"/>
                </w:tcPr>
                <w:p w14:paraId="3D1AAA13">
                  <w:pPr>
                    <w:adjustRightInd w:val="0"/>
                    <w:snapToGrid w:val="0"/>
                    <w:spacing w:line="360" w:lineRule="exact"/>
                    <w:jc w:val="center"/>
                    <w:rPr>
                      <w:rFonts w:hint="default" w:ascii="Times New Roman" w:hAnsi="Times New Roman" w:cs="Times New Roman"/>
                      <w:color w:val="auto"/>
                      <w:szCs w:val="21"/>
                      <w:highlight w:val="none"/>
                    </w:rPr>
                  </w:pPr>
                </w:p>
              </w:tc>
              <w:tc>
                <w:tcPr>
                  <w:tcW w:w="984" w:type="dxa"/>
                  <w:vAlign w:val="center"/>
                </w:tcPr>
                <w:p w14:paraId="1CD73611">
                  <w:pPr>
                    <w:adjustRightInd w:val="0"/>
                    <w:snapToGrid w:val="0"/>
                    <w:spacing w:line="360" w:lineRule="exact"/>
                    <w:jc w:val="center"/>
                    <w:rPr>
                      <w:rFonts w:hint="default" w:ascii="Times New Roman" w:hAnsi="Times New Roman" w:cs="Times New Roman"/>
                      <w:color w:val="auto"/>
                      <w:szCs w:val="21"/>
                      <w:highlight w:val="none"/>
                    </w:rPr>
                  </w:pPr>
                  <w:r>
                    <w:rPr>
                      <w:rFonts w:hint="eastAsia" w:cs="Times New Roman"/>
                      <w:color w:val="auto"/>
                      <w:szCs w:val="21"/>
                      <w:highlight w:val="none"/>
                      <w:lang w:eastAsia="zh-CN"/>
                    </w:rPr>
                    <w:t>其他</w:t>
                  </w:r>
                </w:p>
              </w:tc>
              <w:tc>
                <w:tcPr>
                  <w:tcW w:w="6301" w:type="dxa"/>
                  <w:vAlign w:val="center"/>
                </w:tcPr>
                <w:p w14:paraId="1B07BB9F">
                  <w:pPr>
                    <w:adjustRightInd w:val="0"/>
                    <w:snapToGrid w:val="0"/>
                    <w:spacing w:line="36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库房附近危险性建筑带来的危害。</w:t>
                  </w:r>
                </w:p>
              </w:tc>
            </w:tr>
          </w:tbl>
          <w:p w14:paraId="2D159C35">
            <w:pPr>
              <w:pStyle w:val="7"/>
              <w:keepNext/>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rPr>
              <w:fldChar w:fldCharType="begin"/>
            </w:r>
            <w:r>
              <w:rPr>
                <w:rFonts w:hint="default" w:ascii="Times New Roman" w:hAnsi="Times New Roman" w:eastAsia="宋体" w:cs="Times New Roman"/>
                <w:b/>
                <w:color w:val="auto"/>
                <w:sz w:val="21"/>
                <w:szCs w:val="21"/>
                <w:highlight w:val="none"/>
              </w:rPr>
              <w:instrText xml:space="preserve"> SEQ 表 \* ARABIC </w:instrText>
            </w:r>
            <w:r>
              <w:rPr>
                <w:rFonts w:hint="default" w:ascii="Times New Roman" w:hAnsi="Times New Roman" w:eastAsia="宋体" w:cs="Times New Roman"/>
                <w:b/>
                <w:color w:val="auto"/>
                <w:sz w:val="21"/>
                <w:szCs w:val="21"/>
                <w:highlight w:val="none"/>
              </w:rPr>
              <w:fldChar w:fldCharType="separate"/>
            </w:r>
            <w:r>
              <w:rPr>
                <w:rFonts w:hint="default" w:ascii="Times New Roman" w:hAnsi="Times New Roman" w:eastAsia="宋体"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lang w:val="en-US" w:eastAsia="zh-CN"/>
              </w:rPr>
              <w:t>5</w:t>
            </w:r>
            <w:r>
              <w:rPr>
                <w:rFonts w:hint="default" w:ascii="Times New Roman" w:hAnsi="Times New Roman" w:eastAsia="宋体" w:cs="Times New Roman"/>
                <w:b/>
                <w:color w:val="auto"/>
                <w:sz w:val="21"/>
                <w:szCs w:val="21"/>
                <w:highlight w:val="none"/>
              </w:rPr>
              <w:fldChar w:fldCharType="end"/>
            </w:r>
            <w:r>
              <w:rPr>
                <w:rFonts w:hint="default" w:ascii="Times New Roman" w:hAnsi="Times New Roman" w:eastAsia="宋体" w:cs="Times New Roman"/>
                <w:b/>
                <w:color w:val="auto"/>
                <w:sz w:val="21"/>
                <w:szCs w:val="21"/>
                <w:highlight w:val="none"/>
              </w:rPr>
              <w:t>建设项目环境风险识别表</w:t>
            </w:r>
          </w:p>
          <w:tbl>
            <w:tblPr>
              <w:tblStyle w:val="20"/>
              <w:tblW w:w="79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08"/>
              <w:gridCol w:w="2146"/>
              <w:gridCol w:w="1539"/>
              <w:gridCol w:w="1701"/>
              <w:gridCol w:w="1551"/>
            </w:tblGrid>
            <w:tr w14:paraId="6B6D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1008" w:type="dxa"/>
                  <w:noWrap/>
                  <w:vAlign w:val="center"/>
                </w:tcPr>
                <w:p w14:paraId="22CCAC1C">
                  <w:pPr>
                    <w:tabs>
                      <w:tab w:val="center" w:pos="4153"/>
                      <w:tab w:val="right" w:pos="8306"/>
                    </w:tabs>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危险单元</w:t>
                  </w:r>
                </w:p>
              </w:tc>
              <w:tc>
                <w:tcPr>
                  <w:tcW w:w="2146" w:type="dxa"/>
                  <w:noWrap/>
                  <w:vAlign w:val="center"/>
                </w:tcPr>
                <w:p w14:paraId="0A3544D8">
                  <w:pPr>
                    <w:tabs>
                      <w:tab w:val="center" w:pos="4153"/>
                      <w:tab w:val="right" w:pos="8306"/>
                    </w:tabs>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风险源</w:t>
                  </w:r>
                </w:p>
              </w:tc>
              <w:tc>
                <w:tcPr>
                  <w:tcW w:w="1539" w:type="dxa"/>
                  <w:noWrap/>
                  <w:vAlign w:val="center"/>
                </w:tcPr>
                <w:p w14:paraId="29EB3950">
                  <w:pPr>
                    <w:tabs>
                      <w:tab w:val="center" w:pos="4153"/>
                      <w:tab w:val="right" w:pos="8306"/>
                    </w:tabs>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环境风险类型</w:t>
                  </w:r>
                </w:p>
              </w:tc>
              <w:tc>
                <w:tcPr>
                  <w:tcW w:w="1701" w:type="dxa"/>
                  <w:noWrap/>
                  <w:vAlign w:val="center"/>
                </w:tcPr>
                <w:p w14:paraId="3319CDBF">
                  <w:pPr>
                    <w:tabs>
                      <w:tab w:val="center" w:pos="4153"/>
                      <w:tab w:val="right" w:pos="8306"/>
                    </w:tabs>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环境影响途径</w:t>
                  </w:r>
                </w:p>
              </w:tc>
              <w:tc>
                <w:tcPr>
                  <w:tcW w:w="1551" w:type="dxa"/>
                  <w:noWrap/>
                  <w:vAlign w:val="center"/>
                </w:tcPr>
                <w:p w14:paraId="3FE63925">
                  <w:pPr>
                    <w:tabs>
                      <w:tab w:val="center" w:pos="4153"/>
                      <w:tab w:val="right" w:pos="8306"/>
                    </w:tabs>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可能受影响的环境敏感目标</w:t>
                  </w:r>
                </w:p>
              </w:tc>
            </w:tr>
            <w:tr w14:paraId="1DEB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1008" w:type="dxa"/>
                  <w:noWrap/>
                  <w:vAlign w:val="center"/>
                </w:tcPr>
                <w:p w14:paraId="1A7E9B5A">
                  <w:pPr>
                    <w:tabs>
                      <w:tab w:val="center" w:pos="4153"/>
                      <w:tab w:val="right" w:pos="8306"/>
                    </w:tabs>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危险废物暂存库</w:t>
                  </w:r>
                </w:p>
              </w:tc>
              <w:tc>
                <w:tcPr>
                  <w:tcW w:w="2146" w:type="dxa"/>
                  <w:noWrap/>
                  <w:vAlign w:val="center"/>
                </w:tcPr>
                <w:p w14:paraId="22F34987">
                  <w:pPr>
                    <w:tabs>
                      <w:tab w:val="center" w:pos="4153"/>
                      <w:tab w:val="right" w:pos="8306"/>
                    </w:tabs>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废矿物油储存桶</w:t>
                  </w:r>
                </w:p>
              </w:tc>
              <w:tc>
                <w:tcPr>
                  <w:tcW w:w="1539" w:type="dxa"/>
                  <w:noWrap/>
                  <w:vAlign w:val="center"/>
                </w:tcPr>
                <w:p w14:paraId="6C7C48CB">
                  <w:pPr>
                    <w:tabs>
                      <w:tab w:val="center" w:pos="4153"/>
                      <w:tab w:val="right" w:pos="8306"/>
                    </w:tabs>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泄漏</w:t>
                  </w:r>
                </w:p>
              </w:tc>
              <w:tc>
                <w:tcPr>
                  <w:tcW w:w="1701" w:type="dxa"/>
                  <w:noWrap/>
                  <w:vAlign w:val="center"/>
                </w:tcPr>
                <w:p w14:paraId="5D4590FC">
                  <w:pPr>
                    <w:tabs>
                      <w:tab w:val="center" w:pos="4153"/>
                      <w:tab w:val="right" w:pos="8306"/>
                    </w:tabs>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地下水</w:t>
                  </w:r>
                </w:p>
              </w:tc>
              <w:tc>
                <w:tcPr>
                  <w:tcW w:w="1551" w:type="dxa"/>
                  <w:noWrap/>
                  <w:vAlign w:val="center"/>
                </w:tcPr>
                <w:p w14:paraId="3CD50205">
                  <w:pPr>
                    <w:tabs>
                      <w:tab w:val="center" w:pos="4153"/>
                      <w:tab w:val="right" w:pos="8306"/>
                    </w:tabs>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bCs/>
                      <w:color w:val="auto"/>
                      <w:kern w:val="0"/>
                      <w:szCs w:val="21"/>
                      <w:highlight w:val="none"/>
                    </w:rPr>
                    <w:t>项目边界3km范围内的居民</w:t>
                  </w:r>
                </w:p>
              </w:tc>
            </w:tr>
          </w:tbl>
          <w:p w14:paraId="17B8AFC3">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（3）源项分析</w:t>
            </w:r>
          </w:p>
          <w:p w14:paraId="2C1F0C9C">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主要事故源于油品泄漏。一旦发生危废泄漏事故，其引起的环境污染造成的后果难以估量，其成品油进入环境，将对河流、土壤、地下水、生物造成毁灭性的污染，这种污染一般范围较广、面积较大、后果较为严重，达到自然环境的完全恢复需要相当长的时间。同时，由于油品泄漏造成油品挥发，油蒸气逸散，进而发生火灾、爆炸和中毒事故。</w:t>
            </w:r>
          </w:p>
          <w:p w14:paraId="07CD2165">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（4）事故情形分析及风险预测评价</w:t>
            </w:r>
          </w:p>
          <w:p w14:paraId="4C2FDCCC">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本项目仅进行简要分析，无需进行事故情形分析及风险预测评价。本项目风险较小，无需设定防护距离。</w:t>
            </w:r>
          </w:p>
          <w:p w14:paraId="04650198">
            <w:pPr>
              <w:tabs>
                <w:tab w:val="left" w:pos="312"/>
              </w:tabs>
              <w:spacing w:line="360" w:lineRule="auto"/>
              <w:ind w:left="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3、风险评级</w:t>
            </w:r>
          </w:p>
          <w:p w14:paraId="546690A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对建设项目生产、使用、储存过程中涉及的有毒有害、易燃易爆物质的分析，参照《建设项目环境风险评价技术导则》（HJT169-2018）附录B中。本项目仅涉及的危险物质为废矿物油一种，其临界量为2500t。根据《建设项目环境风险评价技术导则》（HJT169-2018）附录C，当仅涉及一种危险物时计算该物质的总量与其临界量比值，即为Q。</w:t>
            </w:r>
          </w:p>
          <w:p w14:paraId="6D9C06C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当Q＜1时，该项目环境风险潜势为I。</w:t>
            </w:r>
          </w:p>
          <w:p w14:paraId="547DD9C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当Q≥1时，将Q值划分为：（1）1≤Q＜10；（2）10≤Q＜100；</w:t>
            </w:r>
          </w:p>
          <w:p w14:paraId="4523DC6F">
            <w:pPr>
              <w:spacing w:line="360" w:lineRule="auto"/>
              <w:ind w:left="420" w:left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（3）Q≥100。</w:t>
            </w:r>
          </w:p>
          <w:p w14:paraId="3091AC05">
            <w:pPr>
              <w:spacing w:line="360" w:lineRule="auto"/>
              <w:ind w:left="420" w:left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本项目的危险物质数量与临界量的比值（Q）如下表所示。</w:t>
            </w:r>
          </w:p>
          <w:p w14:paraId="0DBD5FA0">
            <w:pPr>
              <w:pStyle w:val="7"/>
              <w:keepNext/>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rPr>
              <w:fldChar w:fldCharType="begin"/>
            </w:r>
            <w:r>
              <w:rPr>
                <w:rFonts w:hint="default" w:ascii="Times New Roman" w:hAnsi="Times New Roman" w:eastAsia="宋体" w:cs="Times New Roman"/>
                <w:b/>
                <w:color w:val="auto"/>
                <w:sz w:val="21"/>
                <w:szCs w:val="21"/>
                <w:highlight w:val="none"/>
              </w:rPr>
              <w:instrText xml:space="preserve"> SEQ 表 \* ARABIC </w:instrText>
            </w:r>
            <w:r>
              <w:rPr>
                <w:rFonts w:hint="default" w:ascii="Times New Roman" w:hAnsi="Times New Roman" w:eastAsia="宋体" w:cs="Times New Roman"/>
                <w:b/>
                <w:color w:val="auto"/>
                <w:sz w:val="21"/>
                <w:szCs w:val="21"/>
                <w:highlight w:val="none"/>
              </w:rPr>
              <w:fldChar w:fldCharType="separate"/>
            </w:r>
            <w:r>
              <w:rPr>
                <w:rFonts w:hint="default" w:ascii="Times New Roman" w:hAnsi="Times New Roman" w:eastAsia="宋体"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lang w:val="en-US" w:eastAsia="zh-CN"/>
              </w:rPr>
              <w:t>6</w:t>
            </w:r>
            <w:r>
              <w:rPr>
                <w:rFonts w:hint="default" w:ascii="Times New Roman" w:hAnsi="Times New Roman" w:eastAsia="宋体" w:cs="Times New Roman"/>
                <w:b/>
                <w:color w:val="auto"/>
                <w:sz w:val="21"/>
                <w:szCs w:val="21"/>
                <w:highlight w:val="none"/>
              </w:rPr>
              <w:fldChar w:fldCharType="end"/>
            </w:r>
            <w:r>
              <w:rPr>
                <w:rFonts w:hint="default" w:ascii="Times New Roman" w:hAnsi="Times New Roman" w:eastAsia="宋体" w:cs="Times New Roman"/>
                <w:b/>
                <w:color w:val="auto"/>
                <w:sz w:val="21"/>
                <w:szCs w:val="21"/>
                <w:highlight w:val="none"/>
              </w:rPr>
              <w:t>危险物质量与临界量比值</w:t>
            </w:r>
          </w:p>
          <w:tbl>
            <w:tblPr>
              <w:tblStyle w:val="2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9"/>
              <w:gridCol w:w="1625"/>
              <w:gridCol w:w="2360"/>
              <w:gridCol w:w="2039"/>
              <w:gridCol w:w="979"/>
            </w:tblGrid>
            <w:tr w14:paraId="3CC03A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13" w:type="pct"/>
                  <w:vAlign w:val="center"/>
                </w:tcPr>
                <w:p w14:paraId="3DCE2410">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序号</w:t>
                  </w:r>
                </w:p>
              </w:tc>
              <w:tc>
                <w:tcPr>
                  <w:tcW w:w="1017" w:type="pct"/>
                  <w:vAlign w:val="center"/>
                </w:tcPr>
                <w:p w14:paraId="61A31AB4">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危险物质</w:t>
                  </w:r>
                </w:p>
              </w:tc>
              <w:tc>
                <w:tcPr>
                  <w:tcW w:w="1477" w:type="pct"/>
                  <w:vAlign w:val="center"/>
                </w:tcPr>
                <w:p w14:paraId="72746E5F">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最大存储量（t）</w:t>
                  </w:r>
                </w:p>
              </w:tc>
              <w:tc>
                <w:tcPr>
                  <w:tcW w:w="1276" w:type="pct"/>
                  <w:vAlign w:val="center"/>
                </w:tcPr>
                <w:p w14:paraId="2AD99866">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临界量（t）</w:t>
                  </w:r>
                </w:p>
              </w:tc>
              <w:tc>
                <w:tcPr>
                  <w:tcW w:w="613" w:type="pct"/>
                  <w:vAlign w:val="center"/>
                </w:tcPr>
                <w:p w14:paraId="3FE9EB60">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比值</w:t>
                  </w:r>
                </w:p>
              </w:tc>
            </w:tr>
            <w:tr w14:paraId="404E4E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13" w:type="pct"/>
                  <w:vAlign w:val="center"/>
                </w:tcPr>
                <w:p w14:paraId="498986E7">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1</w:t>
                  </w:r>
                </w:p>
              </w:tc>
              <w:tc>
                <w:tcPr>
                  <w:tcW w:w="1017" w:type="pct"/>
                  <w:vAlign w:val="center"/>
                </w:tcPr>
                <w:p w14:paraId="15F9E0DC">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废矿物油</w:t>
                  </w:r>
                </w:p>
              </w:tc>
              <w:tc>
                <w:tcPr>
                  <w:tcW w:w="1477" w:type="pct"/>
                  <w:vAlign w:val="center"/>
                </w:tcPr>
                <w:p w14:paraId="2FEE7447">
                  <w:pPr>
                    <w:jc w:val="center"/>
                    <w:rPr>
                      <w:rFonts w:hint="default" w:ascii="Times New Roman" w:hAnsi="Times New Roman" w:cs="Times New Roman"/>
                      <w:color w:val="auto"/>
                      <w:szCs w:val="22"/>
                      <w:highlight w:val="none"/>
                      <w:lang w:val="en-US"/>
                    </w:rPr>
                  </w:pPr>
                  <w:r>
                    <w:rPr>
                      <w:rFonts w:hint="default" w:ascii="Times New Roman" w:hAnsi="Times New Roman" w:cs="Times New Roman"/>
                      <w:color w:val="auto"/>
                      <w:szCs w:val="22"/>
                      <w:highlight w:val="none"/>
                      <w:lang w:val="en-US" w:eastAsia="zh-CN"/>
                    </w:rPr>
                    <w:t>1.</w:t>
                  </w:r>
                  <w:r>
                    <w:rPr>
                      <w:rFonts w:hint="eastAsia" w:cs="Times New Roman"/>
                      <w:color w:val="auto"/>
                      <w:szCs w:val="22"/>
                      <w:highlight w:val="none"/>
                      <w:lang w:val="en-US" w:eastAsia="zh-CN"/>
                    </w:rPr>
                    <w:t>7</w:t>
                  </w:r>
                </w:p>
              </w:tc>
              <w:tc>
                <w:tcPr>
                  <w:tcW w:w="1276" w:type="pct"/>
                  <w:vAlign w:val="center"/>
                </w:tcPr>
                <w:p w14:paraId="5198A2E3">
                  <w:pPr>
                    <w:jc w:val="center"/>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2500</w:t>
                  </w:r>
                </w:p>
              </w:tc>
              <w:tc>
                <w:tcPr>
                  <w:tcW w:w="613" w:type="pct"/>
                  <w:vAlign w:val="bottom"/>
                </w:tcPr>
                <w:p w14:paraId="21B416DA">
                  <w:pPr>
                    <w:jc w:val="center"/>
                    <w:rPr>
                      <w:rFonts w:hint="default" w:ascii="Times New Roman" w:hAnsi="Times New Roman" w:cs="Times New Roman"/>
                      <w:color w:val="auto"/>
                      <w:szCs w:val="22"/>
                      <w:highlight w:val="none"/>
                      <w:lang w:val="en-US"/>
                    </w:rPr>
                  </w:pPr>
                  <w:r>
                    <w:rPr>
                      <w:rFonts w:hint="default" w:ascii="Times New Roman" w:hAnsi="Times New Roman" w:cs="Times New Roman"/>
                      <w:color w:val="auto"/>
                      <w:szCs w:val="22"/>
                      <w:highlight w:val="none"/>
                    </w:rPr>
                    <w:t>0.00</w:t>
                  </w:r>
                  <w:r>
                    <w:rPr>
                      <w:rFonts w:hint="default" w:ascii="Times New Roman" w:hAnsi="Times New Roman" w:cs="Times New Roman"/>
                      <w:color w:val="auto"/>
                      <w:szCs w:val="22"/>
                      <w:highlight w:val="none"/>
                      <w:lang w:val="en-US" w:eastAsia="zh-CN"/>
                    </w:rPr>
                    <w:t>0</w:t>
                  </w:r>
                  <w:r>
                    <w:rPr>
                      <w:rFonts w:hint="eastAsia" w:cs="Times New Roman"/>
                      <w:color w:val="auto"/>
                      <w:szCs w:val="22"/>
                      <w:highlight w:val="none"/>
                      <w:lang w:val="en-US" w:eastAsia="zh-CN"/>
                    </w:rPr>
                    <w:t>7</w:t>
                  </w:r>
                </w:p>
              </w:tc>
            </w:tr>
          </w:tbl>
          <w:p w14:paraId="6FFF5219">
            <w:pPr>
              <w:spacing w:line="360" w:lineRule="auto"/>
              <w:ind w:left="420" w:leftChars="200"/>
              <w:rPr>
                <w:rFonts w:hint="default" w:ascii="Times New Roman" w:hAnsi="Times New Roman" w:cs="Times New Roman"/>
                <w:b/>
                <w:bCs/>
                <w:color w:val="auto"/>
                <w:sz w:val="24"/>
                <w:szCs w:val="22"/>
                <w:highlight w:val="none"/>
              </w:rPr>
            </w:pPr>
            <w:r>
              <w:rPr>
                <w:rFonts w:hint="default" w:ascii="Times New Roman" w:hAnsi="Times New Roman" w:cs="Times New Roman"/>
                <w:color w:val="auto"/>
                <w:sz w:val="24"/>
                <w:szCs w:val="22"/>
                <w:highlight w:val="none"/>
              </w:rPr>
              <w:t>故本项目Q=0.00</w:t>
            </w:r>
            <w:r>
              <w:rPr>
                <w:rFonts w:hint="default" w:ascii="Times New Roman" w:hAnsi="Times New Roman" w:cs="Times New Roman"/>
                <w:color w:val="auto"/>
                <w:sz w:val="24"/>
                <w:szCs w:val="22"/>
                <w:highlight w:val="none"/>
                <w:lang w:val="en-US" w:eastAsia="zh-CN"/>
              </w:rPr>
              <w:t>0</w:t>
            </w:r>
            <w:r>
              <w:rPr>
                <w:rFonts w:hint="eastAsia" w:cs="Times New Roman"/>
                <w:color w:val="auto"/>
                <w:sz w:val="24"/>
                <w:szCs w:val="22"/>
                <w:highlight w:val="none"/>
                <w:lang w:val="en-US" w:eastAsia="zh-CN"/>
              </w:rPr>
              <w:t>7</w:t>
            </w:r>
            <w:r>
              <w:rPr>
                <w:rFonts w:hint="default" w:ascii="Times New Roman" w:hAnsi="Times New Roman" w:cs="Times New Roman"/>
                <w:color w:val="auto"/>
                <w:sz w:val="24"/>
                <w:szCs w:val="22"/>
                <w:highlight w:val="none"/>
              </w:rPr>
              <w:t>＜1</w:t>
            </w:r>
            <w:r>
              <w:rPr>
                <w:rFonts w:hint="default" w:ascii="Times New Roman" w:hAnsi="Times New Roman" w:cs="Times New Roman"/>
                <w:b/>
                <w:bCs/>
                <w:color w:val="auto"/>
                <w:sz w:val="24"/>
                <w:szCs w:val="22"/>
                <w:highlight w:val="none"/>
              </w:rPr>
              <w:t>，</w:t>
            </w:r>
            <w:r>
              <w:rPr>
                <w:rFonts w:hint="default" w:ascii="Times New Roman" w:hAnsi="Times New Roman" w:cs="Times New Roman"/>
                <w:color w:val="auto"/>
                <w:sz w:val="24"/>
                <w:szCs w:val="22"/>
                <w:highlight w:val="none"/>
              </w:rPr>
              <w:t>该项目环境风险潜势为I，做简单分析</w:t>
            </w:r>
          </w:p>
          <w:p w14:paraId="2E00D03A">
            <w:pPr>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4、环境风险分析</w:t>
            </w:r>
          </w:p>
          <w:p w14:paraId="316075CF">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（1）火灾爆炸</w:t>
            </w:r>
          </w:p>
          <w:p w14:paraId="02810751">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火灾爆炸出现的频率较低，但其危害性较大，一旦出现，瞬间即可完成，并且很难进行补救和应急，其后果十分严重。参照同类型项目火灾影响范围，火灾蔓延涉及库周边20~30m范围</w:t>
            </w:r>
            <w:r>
              <w:rPr>
                <w:rFonts w:hint="eastAsia" w:cs="Times New Roman"/>
                <w:color w:val="auto"/>
                <w:sz w:val="24"/>
                <w:highlight w:val="none"/>
                <w:lang w:eastAsia="zh-CN"/>
              </w:rPr>
              <w:t>，</w:t>
            </w:r>
            <w:r>
              <w:rPr>
                <w:rFonts w:hint="eastAsia" w:cs="Times New Roman"/>
                <w:color w:val="auto"/>
                <w:sz w:val="24"/>
                <w:highlight w:val="none"/>
                <w:lang w:val="en-US" w:eastAsia="zh-CN"/>
              </w:rPr>
              <w:t>本项目30m范围仅有部分废弃房屋，无其他设施</w:t>
            </w:r>
            <w:r>
              <w:rPr>
                <w:rFonts w:hint="default" w:ascii="Times New Roman" w:hAnsi="Times New Roman" w:cs="Times New Roman"/>
                <w:color w:val="auto"/>
                <w:sz w:val="24"/>
                <w:highlight w:val="none"/>
              </w:rPr>
              <w:t>。</w:t>
            </w:r>
          </w:p>
          <w:p w14:paraId="3E18A9CC">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（2）泄漏事故</w:t>
            </w:r>
          </w:p>
          <w:p w14:paraId="0CCEA7AD">
            <w:pPr>
              <w:spacing w:line="360" w:lineRule="auto"/>
              <w:ind w:firstLine="480"/>
              <w:rPr>
                <w:rFonts w:hint="default" w:ascii="Times New Roman" w:hAnsi="Times New Roman" w:cs="Times New Roman"/>
                <w:color w:val="auto"/>
                <w:sz w:val="24"/>
                <w:highlight w:val="none"/>
              </w:rPr>
            </w:pPr>
            <w:bookmarkStart w:id="18" w:name="_Hlk60236375"/>
            <w:r>
              <w:rPr>
                <w:rFonts w:hint="default" w:ascii="Times New Roman" w:hAnsi="Times New Roman" w:cs="Times New Roman"/>
                <w:color w:val="auto"/>
                <w:sz w:val="24"/>
                <w:highlight w:val="none"/>
              </w:rPr>
              <w:t>①对地下水和土壤的污染</w:t>
            </w:r>
          </w:p>
          <w:p w14:paraId="22938E4A">
            <w:pPr>
              <w:spacing w:line="360" w:lineRule="auto"/>
              <w:ind w:firstLine="480"/>
              <w:rPr>
                <w:rFonts w:hint="default" w:ascii="Times New Roman" w:hAnsi="Times New Roman" w:cs="Times New Roman"/>
                <w:color w:val="auto"/>
                <w:sz w:val="24"/>
                <w:highlight w:val="none"/>
              </w:rPr>
            </w:pPr>
            <w:bookmarkStart w:id="19" w:name="_Hlk60827355"/>
            <w:r>
              <w:rPr>
                <w:rFonts w:hint="default" w:ascii="Times New Roman" w:hAnsi="Times New Roman" w:cs="Times New Roman"/>
                <w:color w:val="auto"/>
                <w:sz w:val="24"/>
                <w:highlight w:val="none"/>
              </w:rPr>
              <w:t>废矿物油在储存时容器发生故障泄漏或渗漏对地下水的污染较为严重，地下水一旦遭到油品的污染，将使地下水产生严重异味，并具有较强的致畸、致癌性，根本无法饮用。由于这种渗漏必然穿过较厚的土壤层，使土壤层中吸附了大量的废矿物油，土壤层吸附的废矿物油不仅会造成植物生物的死亡，而且土壤层吸附的废矿物油还会随着地表水的下渗对土壤层的冲刷作用补充到地下水，这样即便污染源得到及时控制，地下水要完全恢复也需要几十年甚至上百年的时间。</w:t>
            </w:r>
          </w:p>
          <w:p w14:paraId="764178A8">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本项目危险废物暂存库防渗设计方案为：自下而上分别为</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0cm</w:t>
            </w:r>
            <w:r>
              <w:rPr>
                <w:rFonts w:hint="default" w:ascii="Times New Roman" w:hAnsi="Times New Roman" w:cs="Times New Roman"/>
                <w:color w:val="auto"/>
                <w:sz w:val="24"/>
                <w:highlight w:val="none"/>
                <w:lang w:val="en-US" w:eastAsia="zh-CN"/>
              </w:rPr>
              <w:t>防渗水泥砂浆，</w:t>
            </w:r>
            <w:r>
              <w:rPr>
                <w:rFonts w:hint="default" w:ascii="Times New Roman" w:hAnsi="Times New Roman" w:cs="Times New Roman"/>
                <w:color w:val="auto"/>
                <w:sz w:val="24"/>
                <w:highlight w:val="none"/>
              </w:rPr>
              <w:t>后铺设SBS防水层＋5cm的混凝土基础层+</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mmHDPE土工膜（地面+导流渠+四周墙壁高800mm）+5cm防渗砂浆地面找平层＋绿色0.2mm的环氧地坪层处理；满足渗透系数≤1.0×10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cm/s；库房内设有导流槽、收集池，一旦发生</w:t>
            </w:r>
            <w:r>
              <w:rPr>
                <w:rFonts w:hint="default" w:ascii="Times New Roman" w:hAnsi="Times New Roman" w:cs="Times New Roman"/>
                <w:color w:val="auto"/>
                <w:sz w:val="24"/>
                <w:highlight w:val="none"/>
                <w:lang w:eastAsia="zh-CN"/>
              </w:rPr>
              <w:t>泄漏</w:t>
            </w:r>
            <w:r>
              <w:rPr>
                <w:rFonts w:hint="default" w:ascii="Times New Roman" w:hAnsi="Times New Roman" w:cs="Times New Roman"/>
                <w:color w:val="auto"/>
                <w:sz w:val="24"/>
                <w:highlight w:val="none"/>
              </w:rPr>
              <w:t>，收集池容积为</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，可以容纳事故状态下的泄漏液，采取上述措施后，本项目正常生产过程中不会对地下水</w:t>
            </w:r>
            <w:r>
              <w:rPr>
                <w:rFonts w:hint="eastAsia" w:cs="Times New Roman"/>
                <w:color w:val="auto"/>
                <w:sz w:val="24"/>
                <w:highlight w:val="none"/>
                <w:lang w:val="en-US" w:eastAsia="zh-CN"/>
              </w:rPr>
              <w:t>及土壤</w:t>
            </w:r>
            <w:r>
              <w:rPr>
                <w:rFonts w:hint="default" w:ascii="Times New Roman" w:hAnsi="Times New Roman" w:cs="Times New Roman"/>
                <w:color w:val="auto"/>
                <w:sz w:val="24"/>
                <w:highlight w:val="none"/>
              </w:rPr>
              <w:t>环境造成影响。</w:t>
            </w:r>
          </w:p>
          <w:bookmarkEnd w:id="19"/>
          <w:p w14:paraId="6157B27C">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②对大气环境的污染</w:t>
            </w:r>
          </w:p>
          <w:p w14:paraId="6C85E8AA">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废矿物油泄漏后经危废库内导流槽收集至集液池内，不会扩散至外环境。项目密封油桶均储存在危废库内，虽然废矿物油有一定的挥发性，但是由于泄漏量很小，最终散逸到环境中的非甲烷总烃十分有限，因此，废矿物油桶的泄漏不会对环境产生明显的影响。根据国内外相关研究，对于突发性的事故溢油，油品溢出后在地面呈不规则的面源分布，影响油品挥发速度的重要因素为油品蒸汽压、现场风速、油品溢出面积、油品蒸汽平均重度。</w:t>
            </w:r>
          </w:p>
          <w:p w14:paraId="0BD10D3B">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本项目库房为防风、防雨、防晒、防渗漏的封闭库房，废矿物油盛放桶加盖密封。</w:t>
            </w:r>
          </w:p>
          <w:p w14:paraId="2697D9F4">
            <w:pPr>
              <w:pStyle w:val="31"/>
              <w:numPr>
                <w:ilvl w:val="0"/>
                <w:numId w:val="0"/>
              </w:numPr>
              <w:spacing w:line="360" w:lineRule="auto"/>
              <w:ind w:leftChars="0"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③</w:t>
            </w:r>
            <w:r>
              <w:rPr>
                <w:rFonts w:hint="default" w:ascii="Times New Roman" w:hAnsi="Times New Roman" w:cs="Times New Roman"/>
                <w:color w:val="auto"/>
                <w:sz w:val="24"/>
                <w:highlight w:val="none"/>
              </w:rPr>
              <w:t>对环境敏感点的影响分析</w:t>
            </w:r>
          </w:p>
          <w:p w14:paraId="6D2FC958">
            <w:pPr>
              <w:spacing w:line="360" w:lineRule="auto"/>
              <w:ind w:firstLine="48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拟建危险废物暂存库</w:t>
            </w:r>
            <w:r>
              <w:rPr>
                <w:rFonts w:hint="default" w:ascii="Times New Roman" w:hAnsi="Times New Roman" w:cs="Times New Roman"/>
                <w:color w:val="auto"/>
                <w:sz w:val="24"/>
                <w:highlight w:val="none"/>
                <w:lang w:val="en-US"/>
              </w:rPr>
              <w:t>位于内蒙古自治区鄂尔多斯市伊金霍洛旗纳林陶亥镇伊金霍洛旗纳林塔纳林沟煤矿</w:t>
            </w:r>
            <w:r>
              <w:rPr>
                <w:rFonts w:hint="default" w:ascii="Times New Roman" w:hAnsi="Times New Roman" w:cs="Times New Roman"/>
                <w:color w:val="auto"/>
                <w:sz w:val="24"/>
                <w:highlight w:val="none"/>
                <w:lang w:val="en-US" w:eastAsia="zh-CN"/>
              </w:rPr>
              <w:t>厂区内，因</w:t>
            </w:r>
            <w:r>
              <w:rPr>
                <w:rFonts w:hint="eastAsia" w:cs="Times New Roman"/>
                <w:color w:val="auto"/>
                <w:sz w:val="24"/>
                <w:highlight w:val="none"/>
                <w:lang w:val="en-US" w:eastAsia="zh-CN"/>
              </w:rPr>
              <w:t>暂存库</w:t>
            </w:r>
            <w:r>
              <w:rPr>
                <w:rFonts w:hint="default" w:ascii="Times New Roman" w:hAnsi="Times New Roman" w:cs="Times New Roman"/>
                <w:color w:val="auto"/>
                <w:sz w:val="24"/>
                <w:highlight w:val="none"/>
                <w:lang w:val="en-US" w:eastAsia="zh-CN"/>
              </w:rPr>
              <w:t>与</w:t>
            </w:r>
            <w:r>
              <w:rPr>
                <w:rFonts w:hint="eastAsia" w:cs="Times New Roman"/>
                <w:color w:val="auto"/>
                <w:sz w:val="24"/>
                <w:highlight w:val="none"/>
                <w:lang w:val="en-US" w:eastAsia="zh-CN"/>
              </w:rPr>
              <w:t>煤矿</w:t>
            </w:r>
            <w:r>
              <w:rPr>
                <w:rFonts w:hint="default" w:ascii="Times New Roman" w:hAnsi="Times New Roman" w:cs="Times New Roman"/>
                <w:color w:val="auto"/>
                <w:sz w:val="24"/>
                <w:highlight w:val="none"/>
                <w:lang w:val="en-US" w:eastAsia="zh-CN"/>
              </w:rPr>
              <w:t>位于同一厂区，故进行统一管理</w:t>
            </w:r>
            <w:r>
              <w:rPr>
                <w:rFonts w:hint="default" w:ascii="Times New Roman" w:hAnsi="Times New Roman" w:cs="Times New Roman"/>
                <w:color w:val="auto"/>
                <w:sz w:val="24"/>
                <w:highlight w:val="none"/>
                <w:lang w:val="en-US"/>
              </w:rPr>
              <w:t>。</w:t>
            </w:r>
          </w:p>
          <w:p w14:paraId="0B287353">
            <w:pPr>
              <w:spacing w:line="360" w:lineRule="auto"/>
              <w:ind w:firstLine="48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项目周边无敏</w:t>
            </w:r>
            <w:r>
              <w:rPr>
                <w:rFonts w:hint="default" w:ascii="Times New Roman" w:hAnsi="Times New Roman" w:cs="Times New Roman"/>
                <w:bCs/>
                <w:color w:val="auto"/>
                <w:sz w:val="24"/>
                <w:szCs w:val="22"/>
                <w:highlight w:val="none"/>
              </w:rPr>
              <w:t>感目标</w:t>
            </w:r>
            <w:r>
              <w:rPr>
                <w:rFonts w:hint="default" w:ascii="Times New Roman" w:hAnsi="Times New Roman" w:cs="Times New Roman"/>
                <w:color w:val="auto"/>
                <w:sz w:val="24"/>
                <w:highlight w:val="none"/>
              </w:rPr>
              <w:t>。泄漏后油品经地坑收集后，及时装入油桶内，泄漏的油品较少，不会对周边敏感点造成影响。</w:t>
            </w:r>
          </w:p>
          <w:bookmarkEnd w:id="18"/>
          <w:p w14:paraId="2C4911B3">
            <w:pPr>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5、环境风险防范措施及应急要求</w:t>
            </w:r>
          </w:p>
          <w:p w14:paraId="07F72018">
            <w:pPr>
              <w:spacing w:line="360" w:lineRule="auto"/>
              <w:ind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5.1泄漏风险防护措施</w:t>
            </w:r>
          </w:p>
          <w:p w14:paraId="18D6F960">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①库房基础必须防渗，满足渗透系数≤1.0×10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cm/s；废</w:t>
            </w:r>
            <w:r>
              <w:rPr>
                <w:rFonts w:hint="eastAsia" w:ascii="Times New Roman" w:hAnsi="Times New Roman" w:cs="Times New Roman"/>
                <w:color w:val="auto"/>
                <w:sz w:val="24"/>
                <w:highlight w:val="none"/>
                <w:lang w:eastAsia="zh-CN"/>
              </w:rPr>
              <w:t>矿物油</w:t>
            </w:r>
            <w:r>
              <w:rPr>
                <w:rFonts w:hint="default" w:ascii="Times New Roman" w:hAnsi="Times New Roman" w:cs="Times New Roman"/>
                <w:color w:val="auto"/>
                <w:sz w:val="24"/>
                <w:highlight w:val="none"/>
              </w:rPr>
              <w:t>采用铁桶作为盛放容器（200L/个），为外购新桶或厂区完好无损的空桶；危险废物暂存库为防风、防雨、防晒、防渗漏的封闭库房；</w:t>
            </w:r>
          </w:p>
          <w:p w14:paraId="4D73F278">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②加强对危险废物暂存库的巡查，若发生物料泄漏，则立即组织抢修，确保危险废物不发生溢流事故；如发现危险废物暂存库防渗层发生破损，应及时修复，减小对地下水的影响；</w:t>
            </w:r>
          </w:p>
          <w:p w14:paraId="4C540618">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③库房内设有收集池、导流槽，库房地面向导流槽的倾斜度为2%，一旦发生</w:t>
            </w:r>
            <w:r>
              <w:rPr>
                <w:rFonts w:hint="default" w:ascii="Times New Roman" w:hAnsi="Times New Roman" w:cs="Times New Roman"/>
                <w:color w:val="auto"/>
                <w:sz w:val="24"/>
                <w:highlight w:val="none"/>
                <w:lang w:eastAsia="zh-CN"/>
              </w:rPr>
              <w:t>泄漏</w:t>
            </w:r>
            <w:r>
              <w:rPr>
                <w:rFonts w:hint="default" w:ascii="Times New Roman" w:hAnsi="Times New Roman" w:cs="Times New Roman"/>
                <w:color w:val="auto"/>
                <w:sz w:val="24"/>
                <w:highlight w:val="none"/>
              </w:rPr>
              <w:t>，收集池容积为</w:t>
            </w:r>
            <w:r>
              <w:rPr>
                <w:rFonts w:hint="eastAsia" w:cs="Times New Roman"/>
                <w:color w:val="auto"/>
                <w:sz w:val="24"/>
                <w:highlight w:val="none"/>
                <w:lang w:val="en-US" w:eastAsia="zh-CN"/>
              </w:rPr>
              <w:t>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，可以容纳事故状态下的泄漏液，对土壤和地下水的影响不大。</w:t>
            </w:r>
          </w:p>
          <w:p w14:paraId="4867E0C1">
            <w:pPr>
              <w:spacing w:line="360" w:lineRule="auto"/>
              <w:ind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5.2火灾事故风险防护措施</w:t>
            </w:r>
          </w:p>
          <w:p w14:paraId="0983F032">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①火源的管理：严禁火源进入库区，对明火严格控制，明火发生源为火柴、打火机等。汽车等机动车库区外部水泥路面行驶</w:t>
            </w:r>
            <w:r>
              <w:rPr>
                <w:rFonts w:hint="eastAsia" w:cs="Times New Roman"/>
                <w:color w:val="auto"/>
                <w:sz w:val="24"/>
                <w:highlight w:val="none"/>
                <w:lang w:eastAsia="zh-CN"/>
              </w:rPr>
              <w:t>，必</w:t>
            </w:r>
            <w:r>
              <w:rPr>
                <w:rFonts w:hint="default" w:ascii="Times New Roman" w:hAnsi="Times New Roman" w:cs="Times New Roman"/>
                <w:color w:val="auto"/>
                <w:sz w:val="24"/>
                <w:highlight w:val="none"/>
              </w:rPr>
              <w:t>须安装阻火器，并安装防火、防爆装置；</w:t>
            </w:r>
          </w:p>
          <w:p w14:paraId="77280361">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②完善消防设施针对不同的工作部位，设计相应的消防系统。</w:t>
            </w:r>
          </w:p>
          <w:p w14:paraId="4619B26D">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③火灾爆炸敏感区内的照明、电机等电力装置的选型设计，应严格按照《爆炸和火灾危险环境电力装置设计规范》（GB50058-92）的要求进行，照明、电机等电力装置易产生静电等，故选型和安装均要符合规范。</w:t>
            </w:r>
          </w:p>
          <w:p w14:paraId="4EE75CAF">
            <w:pPr>
              <w:spacing w:line="360" w:lineRule="auto"/>
              <w:ind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5.3储运防护措施</w:t>
            </w:r>
          </w:p>
          <w:p w14:paraId="358FE2B8">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在线检测设备、实验室废矿物油均为危险废物，在运输过程中，需特别关注其运输过程中的风险防范。主要采取以下措施：</w:t>
            </w:r>
          </w:p>
          <w:p w14:paraId="7EA135BB">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①对承运企业的要求</w:t>
            </w:r>
          </w:p>
          <w:p w14:paraId="65312028">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运废矿物油的道路运输公司必须具备相应的危险货物运输资质，且符合《危险化学品安全管理条例》（国务院令第591号）、《道路危险货物运输管理规定》（中华人民共和国交通运输部令2013年第2号）、《汽车运输危险货物规则》（JT617-2004）、《汽车运输、装卸危险货物作业规程》（JT618-2004）等法规、标准对危险货物运输的要求。</w:t>
            </w:r>
          </w:p>
          <w:p w14:paraId="38D3DBBA">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运输企业应建立健全安全生产管理制度，并严格落实。对危废泄漏应建立技术档案，对阀门状况等进行跟踪检查，保证阀门等关键部件在运输途中不会出现故障。</w:t>
            </w:r>
          </w:p>
          <w:p w14:paraId="7BD0DCCE">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运输企业应制定废矿物油储存油桶泄漏的突发事件应急预案，通过培训使驾驶员及押运人员能够采取正确有效的补救措施。</w:t>
            </w:r>
          </w:p>
          <w:p w14:paraId="264761BC">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运输企业要对运输全过程进行安全控制，对运输车辆实行GPS全程监控，公司实时掌握承运车辆的运输动态，约束驾驶员的行为，加大对驾驶员超速驾驶等不安全行为的处罚力度，加强风险控制，增加安全性。</w:t>
            </w:r>
          </w:p>
          <w:p w14:paraId="5DDFD2A4">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②对运输从业人员尤其是驾驶员、押运人员的安全要求</w:t>
            </w:r>
          </w:p>
          <w:p w14:paraId="0E39F8DE">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驾驶员要做到小心安全驾驶，不留事故隐患。驾驶员及押运员要了解油品的性质、危害特性及油桶的使用情况，一旦油桶出现安全问题等意外事故时能采取紧急处置措施。事故发生时，要及时使用干粉灭火器灭火，不可用水直接喷淋</w:t>
            </w:r>
            <w:r>
              <w:rPr>
                <w:rFonts w:hint="default" w:ascii="Times New Roman" w:hAnsi="Times New Roman" w:cs="Times New Roman"/>
                <w:color w:val="auto"/>
                <w:sz w:val="24"/>
                <w:highlight w:val="none"/>
                <w:lang w:eastAsia="zh-CN"/>
              </w:rPr>
              <w:t>液体泄漏</w:t>
            </w:r>
            <w:r>
              <w:rPr>
                <w:rFonts w:hint="default" w:ascii="Times New Roman" w:hAnsi="Times New Roman" w:cs="Times New Roman"/>
                <w:color w:val="auto"/>
                <w:sz w:val="24"/>
                <w:highlight w:val="none"/>
              </w:rPr>
              <w:t>处在遇到紧急情况时，要及时向当地公安机关报告，避免事故后果进一步扩大。采取一切措施，配合当地事故救援单位，减少事故危害性，必要时进行泄压等处理，确保安全第一。</w:t>
            </w:r>
          </w:p>
          <w:p w14:paraId="3D7DD6FD">
            <w:pPr>
              <w:spacing w:line="360" w:lineRule="auto"/>
              <w:ind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5.4安全防护措施</w:t>
            </w:r>
          </w:p>
          <w:p w14:paraId="7EFE2322">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①危险废物贮存设施必须按GB15562.2的规定设置警示标志；</w:t>
            </w:r>
          </w:p>
          <w:p w14:paraId="3189A991">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②危险废物贮存设施周围应设置围墙</w:t>
            </w:r>
            <w:r>
              <w:rPr>
                <w:rFonts w:hint="default" w:ascii="Times New Roman" w:hAnsi="Times New Roman" w:cs="Times New Roman"/>
                <w:color w:val="auto"/>
                <w:sz w:val="24"/>
                <w:highlight w:val="none"/>
                <w:lang w:eastAsia="zh-CN"/>
              </w:rPr>
              <w:t>或其他</w:t>
            </w:r>
            <w:r>
              <w:rPr>
                <w:rFonts w:hint="default" w:ascii="Times New Roman" w:hAnsi="Times New Roman" w:cs="Times New Roman"/>
                <w:color w:val="auto"/>
                <w:sz w:val="24"/>
                <w:highlight w:val="none"/>
              </w:rPr>
              <w:t>防护栅栏；</w:t>
            </w:r>
          </w:p>
          <w:p w14:paraId="1ACEC0C2">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③危险废物贮存设施应配备通讯设备、照明设施、安全防护服装及工具，并设有应急防护设施。</w:t>
            </w:r>
          </w:p>
          <w:p w14:paraId="747A67CD">
            <w:pPr>
              <w:spacing w:line="360" w:lineRule="auto"/>
              <w:ind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5.5应急预案</w:t>
            </w:r>
          </w:p>
          <w:p w14:paraId="63CC577A">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rPr>
              <w:t>本项目属于危险废物暂存项目，应参照国家环境保护总局公告2007年的第48号《危险废物经营单位编制应急预案指南》的要求。项目建设单位应编制环境风险应急预案，并通过专家评审，报送当地生态环境主管部门进行备案。</w:t>
            </w:r>
          </w:p>
          <w:p w14:paraId="137F06DE">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1）应急预案</w:t>
            </w:r>
          </w:p>
          <w:p w14:paraId="4D345532">
            <w:pPr>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bCs/>
                <w:color w:val="auto"/>
                <w:sz w:val="24"/>
                <w:highlight w:val="none"/>
              </w:rPr>
              <w:fldChar w:fldCharType="begin"/>
            </w:r>
            <w:r>
              <w:rPr>
                <w:rFonts w:hint="default" w:ascii="Times New Roman" w:hAnsi="Times New Roman" w:cs="Times New Roman"/>
                <w:bCs/>
                <w:color w:val="auto"/>
                <w:sz w:val="24"/>
                <w:highlight w:val="none"/>
              </w:rPr>
              <w:instrText xml:space="preserve"> = 1 \* GB3 </w:instrText>
            </w:r>
            <w:r>
              <w:rPr>
                <w:rFonts w:hint="default" w:ascii="Times New Roman" w:hAnsi="Times New Roman" w:cs="Times New Roman"/>
                <w:bCs/>
                <w:color w:val="auto"/>
                <w:sz w:val="24"/>
                <w:highlight w:val="none"/>
              </w:rPr>
              <w:fldChar w:fldCharType="separate"/>
            </w:r>
            <w:r>
              <w:rPr>
                <w:rFonts w:hint="default" w:ascii="Times New Roman" w:hAnsi="Times New Roman" w:cs="Times New Roman"/>
                <w:bCs/>
                <w:color w:val="auto"/>
                <w:sz w:val="24"/>
                <w:highlight w:val="none"/>
              </w:rPr>
              <w:t>①</w:t>
            </w:r>
            <w:r>
              <w:rPr>
                <w:rFonts w:hint="default" w:ascii="Times New Roman" w:hAnsi="Times New Roman" w:cs="Times New Roman"/>
                <w:bCs/>
                <w:color w:val="auto"/>
                <w:sz w:val="24"/>
                <w:highlight w:val="none"/>
              </w:rPr>
              <w:fldChar w:fldCharType="end"/>
            </w:r>
            <w:r>
              <w:rPr>
                <w:rFonts w:hint="default" w:ascii="Times New Roman" w:hAnsi="Times New Roman" w:cs="Times New Roman"/>
                <w:bCs/>
                <w:color w:val="auto"/>
                <w:sz w:val="24"/>
                <w:highlight w:val="none"/>
              </w:rPr>
              <w:t>结合公司现有环境突发事件应急预案完善本项目应急预案。应急预案主要内容汇总见表</w:t>
            </w:r>
            <w:r>
              <w:rPr>
                <w:rFonts w:hint="default" w:ascii="Times New Roman" w:hAnsi="Times New Roman" w:cs="Times New Roman"/>
                <w:bCs/>
                <w:color w:val="auto"/>
                <w:sz w:val="24"/>
                <w:highlight w:val="none"/>
                <w:lang w:val="en-US" w:eastAsia="zh-CN"/>
              </w:rPr>
              <w:t>4-</w:t>
            </w:r>
            <w:r>
              <w:rPr>
                <w:rFonts w:hint="eastAsia" w:cs="Times New Roman"/>
                <w:bCs/>
                <w:color w:val="auto"/>
                <w:sz w:val="24"/>
                <w:highlight w:val="none"/>
                <w:lang w:val="en-US" w:eastAsia="zh-CN"/>
              </w:rPr>
              <w:t>7</w:t>
            </w:r>
            <w:r>
              <w:rPr>
                <w:rFonts w:hint="default" w:ascii="Times New Roman" w:hAnsi="Times New Roman" w:cs="Times New Roman"/>
                <w:bCs/>
                <w:color w:val="auto"/>
                <w:sz w:val="24"/>
                <w:highlight w:val="none"/>
              </w:rPr>
              <w:t>。</w:t>
            </w:r>
          </w:p>
          <w:p w14:paraId="4E50022C">
            <w:pPr>
              <w:pStyle w:val="7"/>
              <w:keepNext/>
              <w:jc w:val="center"/>
              <w:rPr>
                <w:rFonts w:hint="default" w:ascii="Times New Roman" w:hAnsi="Times New Roman" w:cs="Times New Roman"/>
                <w:bCs/>
                <w:color w:val="auto"/>
                <w:sz w:val="24"/>
                <w:highlight w:val="none"/>
                <w:lang w:val="en-US" w:eastAsia="zh-CN"/>
              </w:rPr>
            </w:pPr>
            <w:r>
              <w:rPr>
                <w:rFonts w:hint="default" w:ascii="Times New Roman" w:hAnsi="Times New Roman" w:eastAsia="宋体" w:cs="Times New Roman"/>
                <w:b/>
                <w:color w:val="auto"/>
                <w:sz w:val="21"/>
                <w:szCs w:val="21"/>
                <w:highlight w:val="none"/>
                <w:lang w:val="en-US" w:eastAsia="zh-CN"/>
              </w:rPr>
              <w:t>表4-</w:t>
            </w:r>
            <w:r>
              <w:rPr>
                <w:rFonts w:hint="eastAsia" w:ascii="Times New Roman" w:hAnsi="Times New Roman" w:eastAsia="宋体" w:cs="Times New Roman"/>
                <w:b/>
                <w:color w:val="auto"/>
                <w:sz w:val="21"/>
                <w:szCs w:val="21"/>
                <w:highlight w:val="none"/>
                <w:lang w:val="en-US" w:eastAsia="zh-CN"/>
              </w:rPr>
              <w:t>7</w:t>
            </w:r>
            <w:r>
              <w:rPr>
                <w:rFonts w:hint="default"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应急预案编写基本内容</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2025"/>
              <w:gridCol w:w="5160"/>
            </w:tblGrid>
            <w:tr w14:paraId="44FE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57741DBA">
                  <w:pPr>
                    <w:pStyle w:val="7"/>
                    <w:keepNext/>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序号</w:t>
                  </w:r>
                </w:p>
              </w:tc>
              <w:tc>
                <w:tcPr>
                  <w:tcW w:w="1270" w:type="pct"/>
                  <w:noWrap w:val="0"/>
                  <w:vAlign w:val="center"/>
                </w:tcPr>
                <w:p w14:paraId="3B6E855C">
                  <w:pPr>
                    <w:pStyle w:val="7"/>
                    <w:keepNext/>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项目</w:t>
                  </w:r>
                </w:p>
              </w:tc>
              <w:tc>
                <w:tcPr>
                  <w:tcW w:w="3237" w:type="pct"/>
                  <w:noWrap w:val="0"/>
                  <w:vAlign w:val="center"/>
                </w:tcPr>
                <w:p w14:paraId="5089147D">
                  <w:pPr>
                    <w:pStyle w:val="7"/>
                    <w:keepNext/>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内容及要求</w:t>
                  </w:r>
                </w:p>
              </w:tc>
            </w:tr>
            <w:tr w14:paraId="213A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70D330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1270" w:type="pct"/>
                  <w:noWrap w:val="0"/>
                  <w:vAlign w:val="top"/>
                </w:tcPr>
                <w:p w14:paraId="69487E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应急计划区</w:t>
                  </w:r>
                </w:p>
              </w:tc>
              <w:tc>
                <w:tcPr>
                  <w:tcW w:w="3237" w:type="pct"/>
                  <w:noWrap w:val="0"/>
                  <w:vAlign w:val="top"/>
                </w:tcPr>
                <w:p w14:paraId="13D491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危险目标：危废品暂存库</w:t>
                  </w:r>
                </w:p>
              </w:tc>
            </w:tr>
            <w:tr w14:paraId="135D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03160A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1270" w:type="pct"/>
                  <w:noWrap w:val="0"/>
                  <w:vAlign w:val="top"/>
                </w:tcPr>
                <w:p w14:paraId="7A6ED9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应急组织机构、人员</w:t>
                  </w:r>
                </w:p>
              </w:tc>
              <w:tc>
                <w:tcPr>
                  <w:tcW w:w="3237" w:type="pct"/>
                  <w:noWrap w:val="0"/>
                  <w:vAlign w:val="center"/>
                </w:tcPr>
                <w:p w14:paraId="29B9AD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公司应急组织领导小组</w:t>
                  </w:r>
                </w:p>
              </w:tc>
            </w:tr>
            <w:tr w14:paraId="085D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352FB4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1270" w:type="pct"/>
                  <w:noWrap w:val="0"/>
                  <w:vAlign w:val="top"/>
                </w:tcPr>
                <w:p w14:paraId="441FC6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预案分级响应条件</w:t>
                  </w:r>
                </w:p>
              </w:tc>
              <w:tc>
                <w:tcPr>
                  <w:tcW w:w="3237" w:type="pct"/>
                  <w:noWrap w:val="0"/>
                  <w:vAlign w:val="center"/>
                </w:tcPr>
                <w:p w14:paraId="09AD4D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规定预案的级别及分级响应程序</w:t>
                  </w:r>
                </w:p>
              </w:tc>
            </w:tr>
            <w:tr w14:paraId="3E62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23BB6E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1270" w:type="pct"/>
                  <w:noWrap w:val="0"/>
                  <w:vAlign w:val="top"/>
                </w:tcPr>
                <w:p w14:paraId="19D250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应急救援保障</w:t>
                  </w:r>
                </w:p>
              </w:tc>
              <w:tc>
                <w:tcPr>
                  <w:tcW w:w="3237" w:type="pct"/>
                  <w:noWrap w:val="0"/>
                  <w:vAlign w:val="top"/>
                </w:tcPr>
                <w:p w14:paraId="10D441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应急设施，设备与器材等</w:t>
                  </w:r>
                </w:p>
              </w:tc>
            </w:tr>
            <w:tr w14:paraId="1D87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766F3E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1270" w:type="pct"/>
                  <w:noWrap w:val="0"/>
                  <w:vAlign w:val="top"/>
                </w:tcPr>
                <w:p w14:paraId="38E75B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报警、通信联络方式</w:t>
                  </w:r>
                </w:p>
              </w:tc>
              <w:tc>
                <w:tcPr>
                  <w:tcW w:w="3237" w:type="pct"/>
                  <w:noWrap w:val="0"/>
                  <w:vAlign w:val="top"/>
                </w:tcPr>
                <w:p w14:paraId="348F5E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规定应急状态下的</w:t>
                  </w:r>
                  <w:r>
                    <w:rPr>
                      <w:rFonts w:hint="eastAsia" w:ascii="Times New Roman" w:hAnsi="Times New Roman" w:cs="Times New Roman"/>
                      <w:color w:val="auto"/>
                      <w:highlight w:val="none"/>
                      <w:lang w:eastAsia="zh-CN"/>
                    </w:rPr>
                    <w:t>报警通信</w:t>
                  </w:r>
                  <w:r>
                    <w:rPr>
                      <w:rFonts w:hint="default" w:ascii="Times New Roman" w:hAnsi="Times New Roman" w:cs="Times New Roman"/>
                      <w:color w:val="auto"/>
                      <w:highlight w:val="none"/>
                    </w:rPr>
                    <w:t>方式、通知方式和交通保障、管制</w:t>
                  </w:r>
                </w:p>
              </w:tc>
            </w:tr>
            <w:tr w14:paraId="0F26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394665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1270" w:type="pct"/>
                  <w:noWrap w:val="0"/>
                  <w:vAlign w:val="top"/>
                </w:tcPr>
                <w:p w14:paraId="6BBDD7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应急环境监测、抢险、救援及控制措施</w:t>
                  </w:r>
                </w:p>
              </w:tc>
              <w:tc>
                <w:tcPr>
                  <w:tcW w:w="3237" w:type="pct"/>
                  <w:noWrap w:val="0"/>
                  <w:vAlign w:val="top"/>
                </w:tcPr>
                <w:p w14:paraId="339C5D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有专业队伍负责对事故现场进行侦查监测，对事故现场进行侦查监测，对事故性质、参数与后果进行评估，为指挥部门提供决策依据</w:t>
                  </w:r>
                </w:p>
              </w:tc>
            </w:tr>
            <w:tr w14:paraId="7DC7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38F6D0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7</w:t>
                  </w:r>
                </w:p>
              </w:tc>
              <w:tc>
                <w:tcPr>
                  <w:tcW w:w="1270" w:type="pct"/>
                  <w:noWrap w:val="0"/>
                  <w:vAlign w:val="top"/>
                </w:tcPr>
                <w:p w14:paraId="7F5CE3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应急检测、防护措施、清除泄漏措施和器材</w:t>
                  </w:r>
                </w:p>
              </w:tc>
              <w:tc>
                <w:tcPr>
                  <w:tcW w:w="3237" w:type="pct"/>
                  <w:noWrap w:val="0"/>
                  <w:vAlign w:val="center"/>
                </w:tcPr>
                <w:p w14:paraId="41A258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事故现场、临近区域、控制防火区域，控制和清除污染措施及相应设备</w:t>
                  </w:r>
                </w:p>
              </w:tc>
            </w:tr>
            <w:tr w14:paraId="556A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258E95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8</w:t>
                  </w:r>
                </w:p>
              </w:tc>
              <w:tc>
                <w:tcPr>
                  <w:tcW w:w="1270" w:type="pct"/>
                  <w:noWrap w:val="0"/>
                  <w:vAlign w:val="top"/>
                </w:tcPr>
                <w:p w14:paraId="382B0D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人员紧急撤离、疏散，应急剂量控制、撤离组织计划</w:t>
                  </w:r>
                </w:p>
              </w:tc>
              <w:tc>
                <w:tcPr>
                  <w:tcW w:w="3237" w:type="pct"/>
                  <w:noWrap w:val="0"/>
                  <w:vAlign w:val="center"/>
                </w:tcPr>
                <w:p w14:paraId="05D34C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事故现场、厂区临近区、受事故影响的区域人员及公众对有害物应急剂量控制规定，撤离组织计划及救护，医疗救护与公众健康</w:t>
                  </w:r>
                </w:p>
              </w:tc>
            </w:tr>
            <w:tr w14:paraId="196A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230D53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9</w:t>
                  </w:r>
                </w:p>
              </w:tc>
              <w:tc>
                <w:tcPr>
                  <w:tcW w:w="1270" w:type="pct"/>
                  <w:noWrap w:val="0"/>
                  <w:vAlign w:val="top"/>
                </w:tcPr>
                <w:p w14:paraId="76E1D6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事故应急救援关闭程序与恢复措施</w:t>
                  </w:r>
                </w:p>
              </w:tc>
              <w:tc>
                <w:tcPr>
                  <w:tcW w:w="3237" w:type="pct"/>
                  <w:noWrap w:val="0"/>
                  <w:vAlign w:val="center"/>
                </w:tcPr>
                <w:p w14:paraId="393EE2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规定应急状态终止程序，事故现场善后处理，恢复措施，</w:t>
                  </w:r>
                  <w:r>
                    <w:rPr>
                      <w:rFonts w:hint="eastAsia" w:ascii="Times New Roman" w:hAnsi="Times New Roman" w:cs="Times New Roman"/>
                      <w:color w:val="auto"/>
                      <w:highlight w:val="none"/>
                      <w:lang w:eastAsia="zh-CN"/>
                    </w:rPr>
                    <w:t>临界区域</w:t>
                  </w:r>
                  <w:r>
                    <w:rPr>
                      <w:rFonts w:hint="default" w:ascii="Times New Roman" w:hAnsi="Times New Roman" w:cs="Times New Roman"/>
                      <w:color w:val="auto"/>
                      <w:highlight w:val="none"/>
                    </w:rPr>
                    <w:t>解除事故警戒及善后恢复措施</w:t>
                  </w:r>
                </w:p>
              </w:tc>
            </w:tr>
            <w:tr w14:paraId="41A2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73A266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10</w:t>
                  </w:r>
                </w:p>
              </w:tc>
              <w:tc>
                <w:tcPr>
                  <w:tcW w:w="1270" w:type="pct"/>
                  <w:noWrap w:val="0"/>
                  <w:vAlign w:val="top"/>
                </w:tcPr>
                <w:p w14:paraId="66BD06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应急培训计划</w:t>
                  </w:r>
                </w:p>
              </w:tc>
              <w:tc>
                <w:tcPr>
                  <w:tcW w:w="3237" w:type="pct"/>
                  <w:noWrap w:val="0"/>
                  <w:vAlign w:val="top"/>
                </w:tcPr>
                <w:p w14:paraId="18BEC0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应急计划制定后，平时安排人员培训与演练</w:t>
                  </w:r>
                </w:p>
              </w:tc>
            </w:tr>
            <w:tr w14:paraId="7F33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noWrap w:val="0"/>
                  <w:vAlign w:val="center"/>
                </w:tcPr>
                <w:p w14:paraId="2556BB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11</w:t>
                  </w:r>
                </w:p>
              </w:tc>
              <w:tc>
                <w:tcPr>
                  <w:tcW w:w="1270" w:type="pct"/>
                  <w:noWrap w:val="0"/>
                  <w:vAlign w:val="top"/>
                </w:tcPr>
                <w:p w14:paraId="2B7D37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公众教育和信息</w:t>
                  </w:r>
                </w:p>
              </w:tc>
              <w:tc>
                <w:tcPr>
                  <w:tcW w:w="3237" w:type="pct"/>
                  <w:noWrap w:val="0"/>
                  <w:vAlign w:val="top"/>
                </w:tcPr>
                <w:p w14:paraId="0D4880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对厂区临近地区</w:t>
                  </w:r>
                  <w:r>
                    <w:rPr>
                      <w:rFonts w:hint="eastAsia" w:ascii="Times New Roman" w:hAnsi="Times New Roman" w:cs="Times New Roman"/>
                      <w:color w:val="auto"/>
                      <w:highlight w:val="none"/>
                      <w:lang w:eastAsia="zh-CN"/>
                    </w:rPr>
                    <w:t>开展</w:t>
                  </w:r>
                  <w:r>
                    <w:rPr>
                      <w:rFonts w:hint="default" w:ascii="Times New Roman" w:hAnsi="Times New Roman" w:cs="Times New Roman"/>
                      <w:color w:val="auto"/>
                      <w:highlight w:val="none"/>
                    </w:rPr>
                    <w:t>公众教育、培训和发布有关信息</w:t>
                  </w:r>
                </w:p>
              </w:tc>
            </w:tr>
          </w:tbl>
          <w:p w14:paraId="62DE7265">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建设单位应根据环境污染事故应急预案编</w:t>
            </w:r>
            <w:r>
              <w:rPr>
                <w:rFonts w:hint="eastAsia" w:cs="Times New Roman"/>
                <w:bCs/>
                <w:color w:val="auto"/>
                <w:sz w:val="24"/>
                <w:highlight w:val="none"/>
                <w:lang w:eastAsia="zh-CN"/>
              </w:rPr>
              <w:t>制和</w:t>
            </w:r>
            <w:r>
              <w:rPr>
                <w:rFonts w:hint="default" w:ascii="Times New Roman" w:hAnsi="Times New Roman" w:cs="Times New Roman"/>
                <w:bCs/>
                <w:color w:val="auto"/>
                <w:sz w:val="24"/>
                <w:highlight w:val="none"/>
              </w:rPr>
              <w:t>技术指南要求编制应急预案，并经过专家评审，审查合格后实施运行。</w:t>
            </w:r>
          </w:p>
          <w:p w14:paraId="36090F95">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②应急物资储备</w:t>
            </w:r>
          </w:p>
          <w:p w14:paraId="3CD8B286">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在事故现场、临近区域、控制防火区域，要有控制和消除污染措施及相应设备。本项目在危废品暂存库储备</w:t>
            </w:r>
            <w:r>
              <w:rPr>
                <w:rFonts w:hint="default" w:ascii="Times New Roman" w:hAnsi="Times New Roman" w:cs="Times New Roman"/>
                <w:bCs/>
                <w:color w:val="auto"/>
                <w:sz w:val="24"/>
                <w:highlight w:val="none"/>
                <w:lang w:val="en-US" w:eastAsia="zh-CN"/>
              </w:rPr>
              <w:t>2</w:t>
            </w:r>
            <w:r>
              <w:rPr>
                <w:rFonts w:hint="default" w:ascii="Times New Roman" w:hAnsi="Times New Roman" w:cs="Times New Roman"/>
                <w:bCs/>
                <w:color w:val="auto"/>
                <w:sz w:val="24"/>
                <w:highlight w:val="none"/>
              </w:rPr>
              <w:t>个干粉灭火器、</w:t>
            </w:r>
            <w:r>
              <w:rPr>
                <w:rFonts w:hint="default" w:ascii="Times New Roman" w:hAnsi="Times New Roman" w:cs="Times New Roman"/>
                <w:bCs/>
                <w:color w:val="auto"/>
                <w:sz w:val="24"/>
                <w:highlight w:val="none"/>
                <w:lang w:val="en-US" w:eastAsia="zh-CN"/>
              </w:rPr>
              <w:t>1</w:t>
            </w:r>
            <w:r>
              <w:rPr>
                <w:rFonts w:hint="default" w:ascii="Times New Roman" w:hAnsi="Times New Roman" w:cs="Times New Roman"/>
                <w:bCs/>
                <w:color w:val="auto"/>
                <w:sz w:val="24"/>
                <w:highlight w:val="none"/>
              </w:rPr>
              <w:t>个装满消防沙的箱子。</w:t>
            </w:r>
          </w:p>
          <w:p w14:paraId="061777C6">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③应急系统</w:t>
            </w:r>
          </w:p>
          <w:p w14:paraId="0E44F23F">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为防范和应对突发性环境污染事故的发生，要求建立既能对污染隐患进行监控和警告，又能对突发性污染事故实施统一指挥协调、现场快速监测和应急处理的应急系统。应急系统由应急响应、应急监测和应急处理系统三部分组成。</w:t>
            </w:r>
          </w:p>
          <w:p w14:paraId="3EBFF931">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④事故应急响应</w:t>
            </w:r>
          </w:p>
          <w:p w14:paraId="7CB34614">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突发性环境污染事故应急处置刻不容缓，响应速度至关重要，任何人接到污染事故报警，必须马上报告应急办公室。应急组织各环节相互配合，确保响应迅速。应建立</w:t>
            </w:r>
            <w:r>
              <w:rPr>
                <w:rFonts w:hint="eastAsia" w:cs="Times New Roman"/>
                <w:bCs/>
                <w:color w:val="auto"/>
                <w:sz w:val="24"/>
                <w:highlight w:val="none"/>
                <w:lang w:val="en-US" w:eastAsia="zh-CN"/>
              </w:rPr>
              <w:t>暂存库</w:t>
            </w:r>
            <w:r>
              <w:rPr>
                <w:rFonts w:hint="default" w:ascii="Times New Roman" w:hAnsi="Times New Roman" w:cs="Times New Roman"/>
                <w:bCs/>
                <w:color w:val="auto"/>
                <w:sz w:val="24"/>
                <w:highlight w:val="none"/>
              </w:rPr>
              <w:t>→</w:t>
            </w:r>
            <w:r>
              <w:rPr>
                <w:rFonts w:hint="eastAsia" w:cs="Times New Roman"/>
                <w:bCs/>
                <w:color w:val="auto"/>
                <w:sz w:val="24"/>
                <w:highlight w:val="none"/>
                <w:lang w:val="en-US" w:eastAsia="zh-CN"/>
              </w:rPr>
              <w:t>矿</w:t>
            </w:r>
            <w:r>
              <w:rPr>
                <w:rFonts w:hint="default" w:ascii="Times New Roman" w:hAnsi="Times New Roman" w:cs="Times New Roman"/>
                <w:bCs/>
                <w:color w:val="auto"/>
                <w:sz w:val="24"/>
                <w:highlight w:val="none"/>
              </w:rPr>
              <w:t>区→地方三级应急响应防控体系。</w:t>
            </w:r>
          </w:p>
          <w:p w14:paraId="3D5489A5">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突发性环境污染</w:t>
            </w:r>
            <w:r>
              <w:rPr>
                <w:rFonts w:hint="eastAsia" w:ascii="Times New Roman" w:hAnsi="Times New Roman" w:cs="Times New Roman"/>
                <w:bCs/>
                <w:color w:val="auto"/>
                <w:sz w:val="24"/>
                <w:highlight w:val="none"/>
                <w:lang w:eastAsia="zh-CN"/>
              </w:rPr>
              <w:t>事故应急通信</w:t>
            </w:r>
            <w:r>
              <w:rPr>
                <w:rFonts w:hint="default" w:ascii="Times New Roman" w:hAnsi="Times New Roman" w:cs="Times New Roman"/>
                <w:bCs/>
                <w:color w:val="auto"/>
                <w:sz w:val="24"/>
                <w:highlight w:val="none"/>
              </w:rPr>
              <w:t>系统包括事故报警、应急指挥、应急信息发布三部分。事故报警应设立专用电话，电话号码为大众所熟知，同时充分利用社会上现有的110、119、120等救援电话，做到24h畅通。</w:t>
            </w:r>
          </w:p>
          <w:p w14:paraId="1613BBF1">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⑤事故应急监测</w:t>
            </w:r>
          </w:p>
          <w:p w14:paraId="286E70C5">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要求应急监测人员快速赶赴现场，根据事故现场的具体情况布点采样，利用快速监测手段判断污染物的种类，给出定性、半定量和定量</w:t>
            </w:r>
            <w:r>
              <w:rPr>
                <w:rFonts w:hint="default" w:ascii="Times New Roman" w:hAnsi="Times New Roman" w:cs="Times New Roman"/>
                <w:bCs/>
                <w:color w:val="auto"/>
                <w:sz w:val="24"/>
                <w:highlight w:val="none"/>
                <w:lang w:eastAsia="zh-CN"/>
              </w:rPr>
              <w:t>检测</w:t>
            </w:r>
            <w:r>
              <w:rPr>
                <w:rFonts w:hint="default" w:ascii="Times New Roman" w:hAnsi="Times New Roman" w:cs="Times New Roman"/>
                <w:bCs/>
                <w:color w:val="auto"/>
                <w:sz w:val="24"/>
                <w:highlight w:val="none"/>
              </w:rPr>
              <w:t>结果，确认污染事故的危害程度和污染范围等。</w:t>
            </w:r>
          </w:p>
          <w:p w14:paraId="58B8840D">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2）应急处置</w:t>
            </w:r>
          </w:p>
          <w:p w14:paraId="6E058828">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一旦发现地下水发生异常情况，必须按照应急预案马上采取紧急措施：</w:t>
            </w:r>
          </w:p>
          <w:p w14:paraId="18E3688D">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①当确定发生地下水异常情况时，按照</w:t>
            </w:r>
            <w:r>
              <w:rPr>
                <w:rFonts w:hint="default" w:ascii="Times New Roman" w:hAnsi="Times New Roman" w:cs="Times New Roman"/>
                <w:bCs/>
                <w:color w:val="auto"/>
                <w:sz w:val="24"/>
                <w:highlight w:val="none"/>
                <w:lang w:eastAsia="zh-CN"/>
              </w:rPr>
              <w:t>制定</w:t>
            </w:r>
            <w:r>
              <w:rPr>
                <w:rFonts w:hint="default" w:ascii="Times New Roman" w:hAnsi="Times New Roman" w:cs="Times New Roman"/>
                <w:bCs/>
                <w:color w:val="auto"/>
                <w:sz w:val="24"/>
                <w:highlight w:val="none"/>
              </w:rPr>
              <w:t>的地下水应急预案，在第一时间内尽快上报主管领导，通知当地环保部门，密切关注地下水水质变化情况；</w:t>
            </w:r>
          </w:p>
          <w:p w14:paraId="1CB04984">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②组织专业队伍对事故现场进行调查、</w:t>
            </w:r>
            <w:r>
              <w:rPr>
                <w:rFonts w:hint="default" w:ascii="Times New Roman" w:hAnsi="Times New Roman" w:cs="Times New Roman"/>
                <w:bCs/>
                <w:color w:val="auto"/>
                <w:sz w:val="24"/>
                <w:highlight w:val="none"/>
                <w:lang w:eastAsia="zh-CN"/>
              </w:rPr>
              <w:t>检测</w:t>
            </w:r>
            <w:r>
              <w:rPr>
                <w:rFonts w:hint="default" w:ascii="Times New Roman" w:hAnsi="Times New Roman" w:cs="Times New Roman"/>
                <w:bCs/>
                <w:color w:val="auto"/>
                <w:sz w:val="24"/>
                <w:highlight w:val="none"/>
              </w:rPr>
              <w:t>，结合</w:t>
            </w:r>
            <w:r>
              <w:rPr>
                <w:rFonts w:hint="default" w:ascii="Times New Roman" w:hAnsi="Times New Roman" w:cs="Times New Roman"/>
                <w:bCs/>
                <w:color w:val="auto"/>
                <w:sz w:val="24"/>
                <w:highlight w:val="none"/>
                <w:lang w:eastAsia="zh-CN"/>
              </w:rPr>
              <w:t>检测</w:t>
            </w:r>
            <w:r>
              <w:rPr>
                <w:rFonts w:hint="default" w:ascii="Times New Roman" w:hAnsi="Times New Roman" w:cs="Times New Roman"/>
                <w:bCs/>
                <w:color w:val="auto"/>
                <w:sz w:val="24"/>
                <w:highlight w:val="none"/>
              </w:rPr>
              <w:t>结果查找环境事故发生地点、确定影响范围、分析事故原因，尽量将紧急事件局部化，如可能应予以消除，采取有效措施，防止事故的扩散、蔓延及连锁反应，尽量缩小地下水污染事故对人和财产的影响；</w:t>
            </w:r>
          </w:p>
          <w:p w14:paraId="6CB491D1">
            <w:pPr>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③当通过</w:t>
            </w:r>
            <w:r>
              <w:rPr>
                <w:rFonts w:hint="default" w:ascii="Times New Roman" w:hAnsi="Times New Roman" w:cs="Times New Roman"/>
                <w:bCs/>
                <w:color w:val="auto"/>
                <w:sz w:val="24"/>
                <w:highlight w:val="none"/>
                <w:lang w:eastAsia="zh-CN"/>
              </w:rPr>
              <w:t>检测</w:t>
            </w:r>
            <w:r>
              <w:rPr>
                <w:rFonts w:hint="default" w:ascii="Times New Roman" w:hAnsi="Times New Roman" w:cs="Times New Roman"/>
                <w:bCs/>
                <w:color w:val="auto"/>
                <w:sz w:val="24"/>
                <w:highlight w:val="none"/>
              </w:rPr>
              <w:t>发现对周围地下水造成污染时，根据</w:t>
            </w:r>
            <w:r>
              <w:rPr>
                <w:rFonts w:hint="default" w:ascii="Times New Roman" w:hAnsi="Times New Roman" w:cs="Times New Roman"/>
                <w:bCs/>
                <w:color w:val="auto"/>
                <w:sz w:val="24"/>
                <w:highlight w:val="none"/>
                <w:lang w:eastAsia="zh-CN"/>
              </w:rPr>
              <w:t>检测</w:t>
            </w:r>
            <w:r>
              <w:rPr>
                <w:rFonts w:hint="default" w:ascii="Times New Roman" w:hAnsi="Times New Roman" w:cs="Times New Roman"/>
                <w:bCs/>
                <w:color w:val="auto"/>
                <w:sz w:val="24"/>
                <w:highlight w:val="none"/>
              </w:rPr>
              <w:t>井的反馈信息，控制污染区地下水流场，防止污染物扩散；</w:t>
            </w:r>
          </w:p>
          <w:p w14:paraId="7E1608F5">
            <w:pPr>
              <w:spacing w:line="360" w:lineRule="auto"/>
              <w:ind w:firstLine="480" w:firstLineChars="200"/>
              <w:rPr>
                <w:rFonts w:hint="eastAsia" w:ascii="Times New Roman" w:hAnsi="Times New Roman" w:eastAsia="宋体" w:cs="Times New Roman"/>
                <w:b/>
                <w:color w:val="auto"/>
                <w:kern w:val="28"/>
                <w:sz w:val="24"/>
                <w:highlight w:val="none"/>
                <w:lang w:val="en-US" w:eastAsia="zh-CN"/>
              </w:rPr>
            </w:pPr>
            <w:r>
              <w:rPr>
                <w:rFonts w:hint="default" w:ascii="Times New Roman" w:hAnsi="Times New Roman" w:cs="Times New Roman"/>
                <w:bCs/>
                <w:color w:val="auto"/>
                <w:sz w:val="24"/>
                <w:highlight w:val="none"/>
              </w:rPr>
              <w:t>④对事故后果进行评估，并制定防止类似事件发生的措施。</w:t>
            </w:r>
            <w:bookmarkStart w:id="20" w:name="_Toc23678"/>
            <w:bookmarkStart w:id="21" w:name="_Toc12597"/>
          </w:p>
          <w:p w14:paraId="01F38AAD">
            <w:pPr>
              <w:spacing w:line="360" w:lineRule="auto"/>
              <w:ind w:firstLine="482" w:firstLineChars="200"/>
              <w:rPr>
                <w:rFonts w:hint="default" w:ascii="Times New Roman" w:hAnsi="Times New Roman" w:eastAsia="宋体" w:cs="Times New Roman"/>
                <w:b/>
                <w:color w:val="auto"/>
                <w:kern w:val="28"/>
                <w:sz w:val="24"/>
                <w:highlight w:val="none"/>
              </w:rPr>
            </w:pPr>
            <w:r>
              <w:rPr>
                <w:rFonts w:hint="eastAsia" w:ascii="Times New Roman" w:hAnsi="Times New Roman" w:eastAsia="宋体" w:cs="Times New Roman"/>
                <w:b/>
                <w:color w:val="auto"/>
                <w:kern w:val="28"/>
                <w:sz w:val="24"/>
                <w:highlight w:val="none"/>
                <w:lang w:val="en-US" w:eastAsia="zh-CN"/>
              </w:rPr>
              <w:t>七</w:t>
            </w:r>
            <w:r>
              <w:rPr>
                <w:rFonts w:hint="eastAsia" w:ascii="Times New Roman" w:hAnsi="Times New Roman" w:eastAsia="宋体" w:cs="Times New Roman"/>
                <w:b/>
                <w:color w:val="auto"/>
                <w:kern w:val="28"/>
                <w:sz w:val="24"/>
                <w:highlight w:val="none"/>
              </w:rPr>
              <w:t>、</w:t>
            </w:r>
            <w:r>
              <w:rPr>
                <w:rFonts w:hint="eastAsia" w:ascii="Times New Roman" w:hAnsi="Times New Roman" w:eastAsia="宋体" w:cs="Times New Roman"/>
                <w:b/>
                <w:color w:val="auto"/>
                <w:kern w:val="28"/>
                <w:sz w:val="24"/>
                <w:highlight w:val="none"/>
                <w:lang w:val="en-US" w:eastAsia="zh-CN"/>
              </w:rPr>
              <w:t>土壤及地下水</w:t>
            </w:r>
            <w:r>
              <w:rPr>
                <w:rFonts w:hint="eastAsia" w:ascii="Times New Roman" w:hAnsi="Times New Roman" w:eastAsia="宋体" w:cs="Times New Roman"/>
                <w:b/>
                <w:color w:val="auto"/>
                <w:kern w:val="28"/>
                <w:sz w:val="24"/>
                <w:highlight w:val="none"/>
              </w:rPr>
              <w:t>影响分析及环境保护措施</w:t>
            </w:r>
            <w:bookmarkEnd w:id="20"/>
            <w:bookmarkEnd w:id="21"/>
          </w:p>
          <w:p w14:paraId="0EDDE8C0">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废矿物油在储存时容器发生故障泄漏或渗漏对地下水的污染较为严重，地下水一旦遭到油品的污染，将使地下水产生严重异味，并具有较强的致畸、致癌性，根本无法饮用。由于这种渗漏必然穿过较厚的土壤层，使土壤层中吸附了大量的废矿物油，土壤层吸附的废矿物油不仅会造成植物生物的死亡，而且土壤层吸附的废矿物油还会随着地表水的下渗对土壤层的冲刷作用补充到地下水，这样即便污染源得到及时控制，地下水要完全恢复也需要几十年甚至上百年的时间。</w:t>
            </w:r>
          </w:p>
          <w:p w14:paraId="7F4CE25D">
            <w:pPr>
              <w:spacing w:line="360" w:lineRule="auto"/>
              <w:ind w:firstLine="480"/>
              <w:rPr>
                <w:rFonts w:hint="default" w:ascii="Times New Roman" w:hAnsi="Times New Roman" w:eastAsia="宋体" w:cs="Times New Roman"/>
                <w:bCs/>
                <w:color w:val="auto"/>
                <w:sz w:val="24"/>
                <w:highlight w:val="none"/>
              </w:rPr>
            </w:pPr>
            <w:r>
              <w:rPr>
                <w:rFonts w:hint="default" w:ascii="Times New Roman" w:hAnsi="Times New Roman" w:cs="Times New Roman"/>
                <w:color w:val="auto"/>
                <w:sz w:val="24"/>
                <w:highlight w:val="none"/>
              </w:rPr>
              <w:t>本项目危险废物暂存库防渗设计方案为：自下而上分别为</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0cm</w:t>
            </w:r>
            <w:r>
              <w:rPr>
                <w:rFonts w:hint="default" w:ascii="Times New Roman" w:hAnsi="Times New Roman" w:cs="Times New Roman"/>
                <w:color w:val="auto"/>
                <w:sz w:val="24"/>
                <w:highlight w:val="none"/>
                <w:lang w:val="en-US" w:eastAsia="zh-CN"/>
              </w:rPr>
              <w:t>防渗水泥砂浆，</w:t>
            </w:r>
            <w:r>
              <w:rPr>
                <w:rFonts w:hint="default" w:ascii="Times New Roman" w:hAnsi="Times New Roman" w:cs="Times New Roman"/>
                <w:color w:val="auto"/>
                <w:sz w:val="24"/>
                <w:highlight w:val="none"/>
              </w:rPr>
              <w:t>后铺设SBS防水层＋5cm的混凝土基础层+</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mmHDPE土工膜（地面+导流渠+四周墙壁高800mm）+5cm防渗砂浆地面找平层＋绿色0.2mm的环氧地坪层处理；满足渗透系数≤1.0×10</w:t>
            </w:r>
            <w:r>
              <w:rPr>
                <w:rFonts w:hint="default" w:ascii="Times New Roman" w:hAnsi="Times New Roman" w:cs="Times New Roman"/>
                <w:color w:val="auto"/>
                <w:sz w:val="24"/>
                <w:highlight w:val="none"/>
                <w:vertAlign w:val="superscript"/>
              </w:rPr>
              <w:t>-10</w:t>
            </w:r>
            <w:r>
              <w:rPr>
                <w:rFonts w:hint="default" w:ascii="Times New Roman" w:hAnsi="Times New Roman" w:cs="Times New Roman"/>
                <w:color w:val="auto"/>
                <w:sz w:val="24"/>
                <w:highlight w:val="none"/>
              </w:rPr>
              <w:t>cm/s；库房内设有导流槽、收集池，一旦发生</w:t>
            </w:r>
            <w:r>
              <w:rPr>
                <w:rFonts w:hint="default" w:ascii="Times New Roman" w:hAnsi="Times New Roman" w:cs="Times New Roman"/>
                <w:color w:val="auto"/>
                <w:sz w:val="24"/>
                <w:highlight w:val="none"/>
                <w:lang w:eastAsia="zh-CN"/>
              </w:rPr>
              <w:t>泄漏</w:t>
            </w:r>
            <w:r>
              <w:rPr>
                <w:rFonts w:hint="default" w:ascii="Times New Roman" w:hAnsi="Times New Roman" w:cs="Times New Roman"/>
                <w:color w:val="auto"/>
                <w:sz w:val="24"/>
                <w:highlight w:val="none"/>
              </w:rPr>
              <w:t>，收集池容积</w:t>
            </w:r>
            <w:r>
              <w:rPr>
                <w:rFonts w:hint="eastAsia" w:cs="Times New Roman"/>
                <w:color w:val="auto"/>
                <w:sz w:val="24"/>
                <w:highlight w:val="none"/>
                <w:lang w:val="en-US" w:eastAsia="zh-CN"/>
              </w:rPr>
              <w:t>为1</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，可以容纳事故状态下的泄漏液，采取上述措施后，本项目正常生产过程中不会对地下水</w:t>
            </w:r>
            <w:r>
              <w:rPr>
                <w:rFonts w:hint="eastAsia" w:cs="Times New Roman"/>
                <w:color w:val="auto"/>
                <w:sz w:val="24"/>
                <w:highlight w:val="none"/>
                <w:lang w:val="en-US" w:eastAsia="zh-CN"/>
              </w:rPr>
              <w:t>及土壤</w:t>
            </w:r>
            <w:r>
              <w:rPr>
                <w:rFonts w:hint="default" w:ascii="Times New Roman" w:hAnsi="Times New Roman" w:cs="Times New Roman"/>
                <w:color w:val="auto"/>
                <w:sz w:val="24"/>
                <w:highlight w:val="none"/>
              </w:rPr>
              <w:t>环境造成影响</w:t>
            </w:r>
            <w:r>
              <w:rPr>
                <w:rFonts w:hint="eastAsia" w:ascii="Times New Roman" w:hAnsi="Times New Roman" w:eastAsia="宋体" w:cs="Times New Roman"/>
                <w:bCs/>
                <w:color w:val="auto"/>
                <w:sz w:val="24"/>
                <w:highlight w:val="none"/>
              </w:rPr>
              <w:t>。</w:t>
            </w:r>
          </w:p>
          <w:p w14:paraId="1535951A">
            <w:pPr>
              <w:spacing w:line="360" w:lineRule="auto"/>
              <w:ind w:firstLine="482" w:firstLineChars="200"/>
              <w:rPr>
                <w:rFonts w:hint="default" w:ascii="Times New Roman" w:hAnsi="Times New Roman" w:cs="Times New Roman"/>
                <w:bCs/>
                <w:color w:val="auto"/>
                <w:sz w:val="24"/>
                <w:highlight w:val="none"/>
              </w:rPr>
            </w:pPr>
            <w:r>
              <w:rPr>
                <w:rFonts w:hint="eastAsia" w:cs="Times New Roman"/>
                <w:b/>
                <w:color w:val="auto"/>
                <w:kern w:val="28"/>
                <w:sz w:val="24"/>
                <w:highlight w:val="none"/>
                <w:lang w:val="en-US" w:eastAsia="zh-CN"/>
              </w:rPr>
              <w:t>八</w:t>
            </w:r>
            <w:r>
              <w:rPr>
                <w:rFonts w:hint="default" w:ascii="Times New Roman" w:hAnsi="Times New Roman" w:cs="Times New Roman"/>
                <w:b/>
                <w:color w:val="auto"/>
                <w:kern w:val="28"/>
                <w:sz w:val="24"/>
                <w:highlight w:val="none"/>
              </w:rPr>
              <w:t>、分析结论</w:t>
            </w:r>
          </w:p>
          <w:p w14:paraId="01B02B19">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环境风险潜势初判结果，本项目环境风险潜势为I级，环境风险评价等级为简单分析；根据环境风险识别结果，本项目风险事故类型为油桶泄漏引起的火灾和爆炸。本项目在设计、建设和运行中确保环境风险防范措施和应急预案落实的基础上，其环境风险影响在可接受程度范围内。</w:t>
            </w:r>
          </w:p>
          <w:p w14:paraId="1BE71AB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highlight w:val="none"/>
              </w:rPr>
            </w:pPr>
            <w:r>
              <w:rPr>
                <w:rFonts w:hint="eastAsia" w:cs="Times New Roman"/>
                <w:b/>
                <w:bCs/>
                <w:color w:val="auto"/>
                <w:sz w:val="24"/>
                <w:highlight w:val="none"/>
                <w:lang w:val="en-US" w:eastAsia="zh-CN"/>
              </w:rPr>
              <w:t>九</w:t>
            </w:r>
            <w:r>
              <w:rPr>
                <w:rFonts w:hint="default" w:ascii="Times New Roman" w:hAnsi="Times New Roman" w:cs="Times New Roman"/>
                <w:b/>
                <w:bCs/>
                <w:color w:val="auto"/>
                <w:sz w:val="24"/>
                <w:highlight w:val="none"/>
              </w:rPr>
              <w:t>、环保投资及“三同时”</w:t>
            </w:r>
          </w:p>
          <w:p w14:paraId="2CC2CE01">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本项目为危险废物暂存项目，环保投资为</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万元，属于环保工程，全部为环保投资。“三同时”验收情况见下表：</w:t>
            </w:r>
          </w:p>
          <w:p w14:paraId="3EB5895C">
            <w:pPr>
              <w:pStyle w:val="7"/>
              <w:keepNext/>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lang w:val="en-US" w:eastAsia="zh-CN"/>
              </w:rPr>
              <w:t>8</w:t>
            </w:r>
            <w:r>
              <w:rPr>
                <w:rFonts w:hint="default" w:ascii="Times New Roman" w:hAnsi="Times New Roman" w:eastAsia="宋体" w:cs="Times New Roman"/>
                <w:b/>
                <w:color w:val="auto"/>
                <w:sz w:val="21"/>
                <w:szCs w:val="21"/>
                <w:highlight w:val="none"/>
              </w:rPr>
              <w:t>“三同时”验收清单</w:t>
            </w:r>
          </w:p>
          <w:tbl>
            <w:tblPr>
              <w:tblStyle w:val="20"/>
              <w:tblW w:w="7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60"/>
              <w:gridCol w:w="930"/>
              <w:gridCol w:w="1616"/>
              <w:gridCol w:w="1590"/>
              <w:gridCol w:w="2373"/>
              <w:gridCol w:w="1003"/>
            </w:tblGrid>
            <w:tr w14:paraId="4842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 w:hRule="atLeast"/>
                <w:jc w:val="center"/>
              </w:trPr>
              <w:tc>
                <w:tcPr>
                  <w:tcW w:w="460" w:type="dxa"/>
                  <w:tcBorders>
                    <w:bottom w:val="single" w:color="auto" w:sz="4" w:space="0"/>
                    <w:right w:val="single" w:color="auto" w:sz="4" w:space="0"/>
                  </w:tcBorders>
                  <w:vAlign w:val="center"/>
                </w:tcPr>
                <w:p w14:paraId="6B8281D7">
                  <w:pPr>
                    <w:adjustRightInd w:val="0"/>
                    <w:snapToGrid w:val="0"/>
                    <w:spacing w:line="240" w:lineRule="auto"/>
                    <w:jc w:val="center"/>
                    <w:rPr>
                      <w:rFonts w:hint="eastAsia" w:ascii="宋体" w:hAnsi="宋体" w:eastAsia="宋体" w:cs="宋体"/>
                      <w:b/>
                      <w:bCs/>
                      <w:color w:val="auto"/>
                      <w:sz w:val="21"/>
                      <w:szCs w:val="21"/>
                      <w:highlight w:val="none"/>
                    </w:rPr>
                  </w:pPr>
                  <w:bookmarkStart w:id="22" w:name="_Hlk3971772"/>
                  <w:r>
                    <w:rPr>
                      <w:rFonts w:hint="eastAsia" w:ascii="宋体" w:hAnsi="宋体" w:eastAsia="宋体" w:cs="宋体"/>
                      <w:b/>
                      <w:bCs/>
                      <w:color w:val="auto"/>
                      <w:sz w:val="21"/>
                      <w:szCs w:val="21"/>
                      <w:highlight w:val="none"/>
                    </w:rPr>
                    <w:t>类别</w:t>
                  </w:r>
                </w:p>
              </w:tc>
              <w:tc>
                <w:tcPr>
                  <w:tcW w:w="930" w:type="dxa"/>
                  <w:tcBorders>
                    <w:left w:val="single" w:color="auto" w:sz="4" w:space="0"/>
                    <w:bottom w:val="single" w:color="auto" w:sz="4" w:space="0"/>
                    <w:right w:val="single" w:color="auto" w:sz="4" w:space="0"/>
                  </w:tcBorders>
                  <w:vAlign w:val="center"/>
                </w:tcPr>
                <w:p w14:paraId="099CB3C9">
                  <w:pPr>
                    <w:adjustRightInd w:val="0"/>
                    <w:snapToGrid w:val="0"/>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w:t>
                  </w:r>
                </w:p>
                <w:p w14:paraId="33812065">
                  <w:pPr>
                    <w:adjustRightInd w:val="0"/>
                    <w:snapToGrid w:val="0"/>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内容</w:t>
                  </w:r>
                </w:p>
              </w:tc>
              <w:tc>
                <w:tcPr>
                  <w:tcW w:w="1616" w:type="dxa"/>
                  <w:tcBorders>
                    <w:left w:val="single" w:color="auto" w:sz="4" w:space="0"/>
                    <w:bottom w:val="single" w:color="auto" w:sz="4" w:space="0"/>
                    <w:right w:val="single" w:color="auto" w:sz="4" w:space="0"/>
                  </w:tcBorders>
                  <w:vAlign w:val="center"/>
                </w:tcPr>
                <w:p w14:paraId="2B9081AB">
                  <w:pPr>
                    <w:adjustRightInd w:val="0"/>
                    <w:snapToGrid w:val="0"/>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污染物名称</w:t>
                  </w:r>
                </w:p>
              </w:tc>
              <w:tc>
                <w:tcPr>
                  <w:tcW w:w="1590" w:type="dxa"/>
                  <w:tcBorders>
                    <w:left w:val="single" w:color="auto" w:sz="4" w:space="0"/>
                    <w:bottom w:val="single" w:color="auto" w:sz="4" w:space="0"/>
                    <w:right w:val="single" w:color="auto" w:sz="4" w:space="0"/>
                  </w:tcBorders>
                  <w:vAlign w:val="center"/>
                </w:tcPr>
                <w:p w14:paraId="0D7AD7FF">
                  <w:pPr>
                    <w:adjustRightInd w:val="0"/>
                    <w:snapToGrid w:val="0"/>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污染防治措施</w:t>
                  </w:r>
                </w:p>
              </w:tc>
              <w:tc>
                <w:tcPr>
                  <w:tcW w:w="2373" w:type="dxa"/>
                  <w:tcBorders>
                    <w:left w:val="single" w:color="auto" w:sz="4" w:space="0"/>
                    <w:bottom w:val="single" w:color="auto" w:sz="4" w:space="0"/>
                    <w:right w:val="single" w:color="auto" w:sz="4" w:space="0"/>
                  </w:tcBorders>
                  <w:vAlign w:val="center"/>
                </w:tcPr>
                <w:p w14:paraId="2EA29CB5">
                  <w:pPr>
                    <w:adjustRightInd w:val="0"/>
                    <w:snapToGrid w:val="0"/>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1003" w:type="dxa"/>
                  <w:tcBorders>
                    <w:left w:val="single" w:color="auto" w:sz="4" w:space="0"/>
                    <w:bottom w:val="single" w:color="auto" w:sz="4" w:space="0"/>
                  </w:tcBorders>
                  <w:vAlign w:val="center"/>
                </w:tcPr>
                <w:p w14:paraId="5E57AFF1">
                  <w:pPr>
                    <w:adjustRightInd w:val="0"/>
                    <w:snapToGrid w:val="0"/>
                    <w:spacing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环保投资（万元）</w:t>
                  </w:r>
                </w:p>
              </w:tc>
            </w:tr>
            <w:tr w14:paraId="261D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 w:hRule="atLeast"/>
                <w:jc w:val="center"/>
              </w:trPr>
              <w:tc>
                <w:tcPr>
                  <w:tcW w:w="460" w:type="dxa"/>
                  <w:tcBorders>
                    <w:top w:val="single" w:color="auto" w:sz="4" w:space="0"/>
                    <w:bottom w:val="single" w:color="auto" w:sz="4" w:space="0"/>
                    <w:right w:val="single" w:color="auto" w:sz="4" w:space="0"/>
                  </w:tcBorders>
                  <w:vAlign w:val="center"/>
                </w:tcPr>
                <w:p w14:paraId="0660B4F3">
                  <w:pPr>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废气</w:t>
                  </w:r>
                </w:p>
              </w:tc>
              <w:tc>
                <w:tcPr>
                  <w:tcW w:w="930" w:type="dxa"/>
                  <w:tcBorders>
                    <w:top w:val="single" w:color="auto" w:sz="4" w:space="0"/>
                    <w:left w:val="single" w:color="auto" w:sz="4" w:space="0"/>
                    <w:bottom w:val="single" w:color="auto" w:sz="4" w:space="0"/>
                    <w:right w:val="single" w:color="auto" w:sz="4" w:space="0"/>
                  </w:tcBorders>
                  <w:vAlign w:val="center"/>
                </w:tcPr>
                <w:p w14:paraId="67F6E447">
                  <w:pPr>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无组织</w:t>
                  </w:r>
                </w:p>
              </w:tc>
              <w:tc>
                <w:tcPr>
                  <w:tcW w:w="1616" w:type="dxa"/>
                  <w:tcBorders>
                    <w:top w:val="single" w:color="auto" w:sz="4" w:space="0"/>
                    <w:left w:val="single" w:color="auto" w:sz="4" w:space="0"/>
                    <w:bottom w:val="single" w:color="auto" w:sz="4" w:space="0"/>
                    <w:right w:val="single" w:color="auto" w:sz="4" w:space="0"/>
                  </w:tcBorders>
                  <w:vAlign w:val="center"/>
                </w:tcPr>
                <w:p w14:paraId="6F96E7BF">
                  <w:pPr>
                    <w:adjustRightInd w:val="0"/>
                    <w:snapToGri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非甲烷总烃</w:t>
                  </w:r>
                </w:p>
              </w:tc>
              <w:tc>
                <w:tcPr>
                  <w:tcW w:w="1590" w:type="dxa"/>
                  <w:tcBorders>
                    <w:top w:val="single" w:color="auto" w:sz="4" w:space="0"/>
                    <w:left w:val="single" w:color="auto" w:sz="4" w:space="0"/>
                    <w:bottom w:val="single" w:color="auto" w:sz="4" w:space="0"/>
                    <w:right w:val="single" w:color="auto" w:sz="4" w:space="0"/>
                  </w:tcBorders>
                  <w:vAlign w:val="center"/>
                </w:tcPr>
                <w:p w14:paraId="1F38004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废矿物油盛放桶加盖密封，及时清运</w:t>
                  </w:r>
                </w:p>
              </w:tc>
              <w:tc>
                <w:tcPr>
                  <w:tcW w:w="2373" w:type="dxa"/>
                  <w:tcBorders>
                    <w:top w:val="single" w:color="auto" w:sz="4" w:space="0"/>
                    <w:left w:val="single" w:color="auto" w:sz="4" w:space="0"/>
                    <w:bottom w:val="single" w:color="auto" w:sz="4" w:space="0"/>
                    <w:right w:val="single" w:color="auto" w:sz="4" w:space="0"/>
                  </w:tcBorders>
                  <w:vAlign w:val="center"/>
                </w:tcPr>
                <w:p w14:paraId="3C36C975">
                  <w:pPr>
                    <w:adjustRightInd w:val="0"/>
                    <w:snapToGri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《大气污染物综合排放标准》（GB16297-1996）中无组织排放监控浓度限值</w:t>
                  </w:r>
                </w:p>
              </w:tc>
              <w:tc>
                <w:tcPr>
                  <w:tcW w:w="1003" w:type="dxa"/>
                  <w:tcBorders>
                    <w:top w:val="single" w:color="auto" w:sz="4" w:space="0"/>
                    <w:left w:val="single" w:color="auto" w:sz="4" w:space="0"/>
                    <w:bottom w:val="single" w:color="auto" w:sz="4" w:space="0"/>
                  </w:tcBorders>
                  <w:vAlign w:val="center"/>
                </w:tcPr>
                <w:p w14:paraId="3214003E">
                  <w:pPr>
                    <w:adjustRightInd w:val="0"/>
                    <w:snapToGri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r>
            <w:tr w14:paraId="0DB1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460" w:type="dxa"/>
                  <w:tcBorders>
                    <w:top w:val="single" w:color="auto" w:sz="4" w:space="0"/>
                    <w:bottom w:val="single" w:color="auto" w:sz="4" w:space="0"/>
                    <w:right w:val="single" w:color="auto" w:sz="4" w:space="0"/>
                  </w:tcBorders>
                  <w:vAlign w:val="center"/>
                </w:tcPr>
                <w:p w14:paraId="1C6861FA">
                  <w:pPr>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噪声</w:t>
                  </w:r>
                </w:p>
              </w:tc>
              <w:tc>
                <w:tcPr>
                  <w:tcW w:w="930" w:type="dxa"/>
                  <w:tcBorders>
                    <w:top w:val="single" w:color="auto" w:sz="4" w:space="0"/>
                    <w:left w:val="single" w:color="auto" w:sz="4" w:space="0"/>
                    <w:bottom w:val="single" w:color="auto" w:sz="4" w:space="0"/>
                    <w:right w:val="single" w:color="auto" w:sz="4" w:space="0"/>
                  </w:tcBorders>
                  <w:vAlign w:val="center"/>
                </w:tcPr>
                <w:p w14:paraId="35DC5E51">
                  <w:pPr>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厂界噪声</w:t>
                  </w:r>
                </w:p>
              </w:tc>
              <w:tc>
                <w:tcPr>
                  <w:tcW w:w="1616" w:type="dxa"/>
                  <w:tcBorders>
                    <w:top w:val="single" w:color="auto" w:sz="4" w:space="0"/>
                    <w:left w:val="single" w:color="auto" w:sz="4" w:space="0"/>
                    <w:bottom w:val="single" w:color="auto" w:sz="4" w:space="0"/>
                    <w:right w:val="single" w:color="auto" w:sz="4" w:space="0"/>
                  </w:tcBorders>
                  <w:vAlign w:val="center"/>
                </w:tcPr>
                <w:p w14:paraId="72A2B820">
                  <w:pPr>
                    <w:adjustRightInd w:val="0"/>
                    <w:snapToGrid w:val="0"/>
                    <w:spacing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等效连续A声级</w:t>
                  </w:r>
                </w:p>
              </w:tc>
              <w:tc>
                <w:tcPr>
                  <w:tcW w:w="1590" w:type="dxa"/>
                  <w:tcBorders>
                    <w:top w:val="single" w:color="auto" w:sz="4" w:space="0"/>
                    <w:left w:val="single" w:color="auto" w:sz="4" w:space="0"/>
                    <w:bottom w:val="single" w:color="auto" w:sz="4" w:space="0"/>
                    <w:right w:val="single" w:color="auto" w:sz="4" w:space="0"/>
                  </w:tcBorders>
                  <w:vAlign w:val="center"/>
                </w:tcPr>
                <w:p w14:paraId="1ADF3AF4">
                  <w:pPr>
                    <w:widowControl/>
                    <w:adjustRightInd w:val="0"/>
                    <w:snapToGri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运输车辆限速，搬运过程轻拿轻放，库房采取墙体隔振</w:t>
                  </w:r>
                </w:p>
              </w:tc>
              <w:tc>
                <w:tcPr>
                  <w:tcW w:w="2373" w:type="dxa"/>
                  <w:tcBorders>
                    <w:top w:val="single" w:color="auto" w:sz="4" w:space="0"/>
                    <w:left w:val="single" w:color="auto" w:sz="4" w:space="0"/>
                    <w:bottom w:val="single" w:color="auto" w:sz="4" w:space="0"/>
                    <w:right w:val="single" w:color="auto" w:sz="4" w:space="0"/>
                  </w:tcBorders>
                  <w:vAlign w:val="center"/>
                </w:tcPr>
                <w:p w14:paraId="1E544C44">
                  <w:pPr>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《工业企业厂界环境噪声排放标准》（GB12348-2008）</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类标准</w:t>
                  </w:r>
                </w:p>
              </w:tc>
              <w:tc>
                <w:tcPr>
                  <w:tcW w:w="1003" w:type="dxa"/>
                  <w:tcBorders>
                    <w:top w:val="single" w:color="auto" w:sz="4" w:space="0"/>
                    <w:left w:val="single" w:color="auto" w:sz="4" w:space="0"/>
                    <w:bottom w:val="single" w:color="auto" w:sz="4" w:space="0"/>
                  </w:tcBorders>
                  <w:vAlign w:val="center"/>
                </w:tcPr>
                <w:p w14:paraId="3F64FFEF">
                  <w:pPr>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7BB0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jc w:val="center"/>
              </w:trPr>
              <w:tc>
                <w:tcPr>
                  <w:tcW w:w="460" w:type="dxa"/>
                  <w:vMerge w:val="restart"/>
                  <w:tcBorders>
                    <w:top w:val="single" w:color="auto" w:sz="4" w:space="0"/>
                    <w:right w:val="single" w:color="auto" w:sz="4" w:space="0"/>
                  </w:tcBorders>
                  <w:vAlign w:val="center"/>
                </w:tcPr>
                <w:p w14:paraId="26843F4C">
                  <w:pPr>
                    <w:adjustRightInd w:val="0"/>
                    <w:snapToGrid w:val="0"/>
                    <w:spacing w:line="240" w:lineRule="auto"/>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固废</w:t>
                  </w:r>
                </w:p>
              </w:tc>
              <w:tc>
                <w:tcPr>
                  <w:tcW w:w="930" w:type="dxa"/>
                  <w:vMerge w:val="restart"/>
                  <w:tcBorders>
                    <w:top w:val="single" w:color="auto" w:sz="4" w:space="0"/>
                    <w:left w:val="single" w:color="auto" w:sz="4" w:space="0"/>
                    <w:right w:val="single" w:color="auto" w:sz="4" w:space="0"/>
                  </w:tcBorders>
                  <w:vAlign w:val="center"/>
                </w:tcPr>
                <w:p w14:paraId="2D2F56BB">
                  <w:pPr>
                    <w:adjustRightInd w:val="0"/>
                    <w:snapToGrid w:val="0"/>
                    <w:spacing w:line="240" w:lineRule="auto"/>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危险废物</w:t>
                  </w:r>
                </w:p>
              </w:tc>
              <w:tc>
                <w:tcPr>
                  <w:tcW w:w="1616" w:type="dxa"/>
                  <w:tcBorders>
                    <w:top w:val="single" w:color="auto" w:sz="4" w:space="0"/>
                    <w:left w:val="single" w:color="auto" w:sz="4" w:space="0"/>
                    <w:bottom w:val="single" w:color="auto" w:sz="4" w:space="0"/>
                    <w:right w:val="single" w:color="auto" w:sz="4" w:space="0"/>
                  </w:tcBorders>
                  <w:vAlign w:val="center"/>
                </w:tcPr>
                <w:p w14:paraId="75CBA85C">
                  <w:pPr>
                    <w:adjustRightInd w:val="0"/>
                    <w:snapToGrid w:val="0"/>
                    <w:spacing w:line="240" w:lineRule="auto"/>
                    <w:jc w:val="center"/>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机械维修废矿物油</w:t>
                  </w:r>
                </w:p>
              </w:tc>
              <w:tc>
                <w:tcPr>
                  <w:tcW w:w="1590" w:type="dxa"/>
                  <w:vMerge w:val="restart"/>
                  <w:tcBorders>
                    <w:top w:val="single" w:color="auto" w:sz="4" w:space="0"/>
                    <w:left w:val="single" w:color="auto" w:sz="4" w:space="0"/>
                    <w:right w:val="single" w:color="auto" w:sz="4" w:space="0"/>
                  </w:tcBorders>
                  <w:vAlign w:val="center"/>
                </w:tcPr>
                <w:p w14:paraId="6081456D">
                  <w:pPr>
                    <w:adjustRightInd w:val="0"/>
                    <w:snapToGrid w:val="0"/>
                    <w:spacing w:line="240" w:lineRule="auto"/>
                    <w:jc w:val="center"/>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新建危险废物暂存库，委托有资质单位转运处置</w:t>
                  </w:r>
                </w:p>
              </w:tc>
              <w:tc>
                <w:tcPr>
                  <w:tcW w:w="2373" w:type="dxa"/>
                  <w:vMerge w:val="restart"/>
                  <w:tcBorders>
                    <w:top w:val="single" w:color="auto" w:sz="4" w:space="0"/>
                    <w:left w:val="single" w:color="auto" w:sz="4" w:space="0"/>
                    <w:right w:val="single" w:color="auto" w:sz="4" w:space="0"/>
                  </w:tcBorders>
                  <w:vAlign w:val="center"/>
                </w:tcPr>
                <w:p w14:paraId="1AB1BA11">
                  <w:pPr>
                    <w:adjustRightInd w:val="0"/>
                    <w:snapToGrid w:val="0"/>
                    <w:spacing w:line="240" w:lineRule="auto"/>
                    <w:jc w:val="center"/>
                    <w:rPr>
                      <w:rFonts w:hint="eastAsia" w:ascii="宋体" w:hAnsi="宋体" w:eastAsia="宋体" w:cs="宋体"/>
                      <w:color w:val="0000FF"/>
                      <w:sz w:val="21"/>
                      <w:szCs w:val="21"/>
                      <w:highlight w:val="none"/>
                    </w:rPr>
                  </w:pPr>
                  <w:r>
                    <w:rPr>
                      <w:rFonts w:hint="eastAsia" w:ascii="宋体" w:hAnsi="宋体" w:eastAsia="宋体" w:cs="宋体"/>
                      <w:color w:val="0000FF"/>
                      <w:kern w:val="0"/>
                      <w:sz w:val="21"/>
                      <w:szCs w:val="21"/>
                      <w:highlight w:val="none"/>
                    </w:rPr>
                    <w:t>《危险废物贮存污染控制标准》（GB18597-20</w:t>
                  </w:r>
                  <w:r>
                    <w:rPr>
                      <w:rFonts w:hint="eastAsia" w:ascii="宋体" w:hAnsi="宋体" w:eastAsia="宋体" w:cs="宋体"/>
                      <w:color w:val="0000FF"/>
                      <w:kern w:val="0"/>
                      <w:sz w:val="21"/>
                      <w:szCs w:val="21"/>
                      <w:highlight w:val="none"/>
                      <w:lang w:val="en-US" w:eastAsia="zh-CN"/>
                    </w:rPr>
                    <w:t>23</w:t>
                  </w:r>
                  <w:r>
                    <w:rPr>
                      <w:rFonts w:hint="eastAsia" w:ascii="宋体" w:hAnsi="宋体" w:eastAsia="宋体" w:cs="宋体"/>
                      <w:color w:val="0000FF"/>
                      <w:kern w:val="0"/>
                      <w:sz w:val="21"/>
                      <w:szCs w:val="21"/>
                      <w:highlight w:val="none"/>
                    </w:rPr>
                    <w:t>）</w:t>
                  </w:r>
                </w:p>
              </w:tc>
              <w:tc>
                <w:tcPr>
                  <w:tcW w:w="1003" w:type="dxa"/>
                  <w:vMerge w:val="restart"/>
                  <w:tcBorders>
                    <w:top w:val="single" w:color="auto" w:sz="4" w:space="0"/>
                    <w:left w:val="single" w:color="auto" w:sz="4" w:space="0"/>
                  </w:tcBorders>
                  <w:vAlign w:val="center"/>
                </w:tcPr>
                <w:p w14:paraId="1C7D7F3E">
                  <w:pPr>
                    <w:adjustRightInd w:val="0"/>
                    <w:snapToGrid w:val="0"/>
                    <w:spacing w:line="240" w:lineRule="auto"/>
                    <w:jc w:val="center"/>
                    <w:rPr>
                      <w:rFonts w:hint="eastAsia" w:ascii="宋体" w:hAnsi="宋体" w:eastAsia="宋体" w:cs="宋体"/>
                      <w:color w:val="0000FF"/>
                      <w:sz w:val="21"/>
                      <w:szCs w:val="21"/>
                      <w:highlight w:val="none"/>
                      <w:lang w:eastAsia="zh-CN"/>
                    </w:rPr>
                  </w:pPr>
                  <w:r>
                    <w:rPr>
                      <w:rFonts w:hint="eastAsia" w:ascii="宋体" w:hAnsi="宋体" w:eastAsia="宋体" w:cs="宋体"/>
                      <w:color w:val="0000FF"/>
                      <w:sz w:val="21"/>
                      <w:szCs w:val="21"/>
                      <w:highlight w:val="none"/>
                      <w:lang w:val="en-US" w:eastAsia="zh-CN"/>
                    </w:rPr>
                    <w:t>2</w:t>
                  </w:r>
                </w:p>
              </w:tc>
            </w:tr>
            <w:tr w14:paraId="1858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460" w:type="dxa"/>
                  <w:vMerge w:val="continue"/>
                  <w:tcBorders>
                    <w:right w:val="single" w:color="auto" w:sz="4" w:space="0"/>
                  </w:tcBorders>
                  <w:vAlign w:val="center"/>
                </w:tcPr>
                <w:p w14:paraId="169FC747">
                  <w:pPr>
                    <w:adjustRightInd w:val="0"/>
                    <w:snapToGrid w:val="0"/>
                    <w:spacing w:line="240" w:lineRule="auto"/>
                    <w:jc w:val="center"/>
                    <w:rPr>
                      <w:rFonts w:hint="eastAsia" w:ascii="宋体" w:hAnsi="宋体" w:eastAsia="宋体" w:cs="宋体"/>
                      <w:color w:val="0000FF"/>
                      <w:sz w:val="21"/>
                      <w:szCs w:val="21"/>
                      <w:highlight w:val="none"/>
                    </w:rPr>
                  </w:pPr>
                </w:p>
              </w:tc>
              <w:tc>
                <w:tcPr>
                  <w:tcW w:w="930" w:type="dxa"/>
                  <w:vMerge w:val="continue"/>
                  <w:tcBorders>
                    <w:left w:val="single" w:color="auto" w:sz="4" w:space="0"/>
                    <w:right w:val="single" w:color="auto" w:sz="4" w:space="0"/>
                  </w:tcBorders>
                  <w:vAlign w:val="center"/>
                </w:tcPr>
                <w:p w14:paraId="4512F0A0">
                  <w:pPr>
                    <w:adjustRightInd w:val="0"/>
                    <w:snapToGrid w:val="0"/>
                    <w:spacing w:line="240" w:lineRule="auto"/>
                    <w:jc w:val="center"/>
                    <w:rPr>
                      <w:rFonts w:hint="eastAsia" w:ascii="宋体" w:hAnsi="宋体" w:eastAsia="宋体" w:cs="宋体"/>
                      <w:color w:val="0000FF"/>
                      <w:sz w:val="21"/>
                      <w:szCs w:val="21"/>
                      <w:highlight w:val="none"/>
                    </w:rPr>
                  </w:pPr>
                </w:p>
              </w:tc>
              <w:tc>
                <w:tcPr>
                  <w:tcW w:w="1616" w:type="dxa"/>
                  <w:tcBorders>
                    <w:top w:val="single" w:color="auto" w:sz="4" w:space="0"/>
                    <w:left w:val="single" w:color="auto" w:sz="4" w:space="0"/>
                    <w:bottom w:val="single" w:color="auto" w:sz="4" w:space="0"/>
                    <w:right w:val="single" w:color="auto" w:sz="4" w:space="0"/>
                  </w:tcBorders>
                  <w:vAlign w:val="center"/>
                </w:tcPr>
                <w:p w14:paraId="7655EB28">
                  <w:pPr>
                    <w:adjustRightInd w:val="0"/>
                    <w:snapToGrid w:val="0"/>
                    <w:spacing w:line="240" w:lineRule="auto"/>
                    <w:jc w:val="center"/>
                    <w:rPr>
                      <w:rFonts w:hint="eastAsia" w:ascii="宋体" w:hAnsi="宋体" w:eastAsia="宋体" w:cs="宋体"/>
                      <w:color w:val="0000FF"/>
                      <w:kern w:val="0"/>
                      <w:sz w:val="21"/>
                      <w:szCs w:val="21"/>
                      <w:highlight w:val="none"/>
                    </w:rPr>
                  </w:pPr>
                  <w:r>
                    <w:rPr>
                      <w:rFonts w:hint="eastAsia" w:ascii="宋体" w:hAnsi="宋体" w:eastAsia="宋体" w:cs="宋体"/>
                      <w:color w:val="0000FF"/>
                      <w:kern w:val="0"/>
                      <w:sz w:val="21"/>
                      <w:szCs w:val="21"/>
                      <w:highlight w:val="none"/>
                    </w:rPr>
                    <w:t>废包装</w:t>
                  </w:r>
                </w:p>
                <w:p w14:paraId="5E271F11">
                  <w:pPr>
                    <w:adjustRightInd w:val="0"/>
                    <w:snapToGrid w:val="0"/>
                    <w:spacing w:line="240" w:lineRule="auto"/>
                    <w:jc w:val="center"/>
                    <w:rPr>
                      <w:rFonts w:hint="eastAsia" w:ascii="宋体" w:hAnsi="宋体" w:eastAsia="宋体" w:cs="宋体"/>
                      <w:color w:val="0000FF"/>
                      <w:kern w:val="0"/>
                      <w:sz w:val="21"/>
                      <w:szCs w:val="21"/>
                      <w:highlight w:val="none"/>
                      <w:lang w:val="en-US" w:eastAsia="zh-CN"/>
                    </w:rPr>
                  </w:pPr>
                  <w:r>
                    <w:rPr>
                      <w:rFonts w:hint="eastAsia" w:ascii="宋体" w:hAnsi="宋体" w:eastAsia="宋体" w:cs="宋体"/>
                      <w:color w:val="0000FF"/>
                      <w:kern w:val="0"/>
                      <w:sz w:val="21"/>
                      <w:szCs w:val="21"/>
                      <w:highlight w:val="none"/>
                    </w:rPr>
                    <w:t>（废弃油桶）</w:t>
                  </w:r>
                </w:p>
              </w:tc>
              <w:tc>
                <w:tcPr>
                  <w:tcW w:w="1590" w:type="dxa"/>
                  <w:vMerge w:val="continue"/>
                  <w:tcBorders>
                    <w:left w:val="single" w:color="auto" w:sz="4" w:space="0"/>
                    <w:right w:val="single" w:color="auto" w:sz="4" w:space="0"/>
                  </w:tcBorders>
                  <w:vAlign w:val="center"/>
                </w:tcPr>
                <w:p w14:paraId="7D045790">
                  <w:pPr>
                    <w:adjustRightInd w:val="0"/>
                    <w:snapToGrid w:val="0"/>
                    <w:spacing w:line="240" w:lineRule="auto"/>
                    <w:jc w:val="center"/>
                    <w:rPr>
                      <w:rFonts w:hint="eastAsia" w:ascii="宋体" w:hAnsi="宋体" w:eastAsia="宋体" w:cs="宋体"/>
                      <w:color w:val="auto"/>
                      <w:kern w:val="0"/>
                      <w:sz w:val="21"/>
                      <w:szCs w:val="21"/>
                      <w:highlight w:val="none"/>
                    </w:rPr>
                  </w:pPr>
                </w:p>
              </w:tc>
              <w:tc>
                <w:tcPr>
                  <w:tcW w:w="2373" w:type="dxa"/>
                  <w:vMerge w:val="continue"/>
                  <w:tcBorders>
                    <w:left w:val="single" w:color="auto" w:sz="4" w:space="0"/>
                    <w:right w:val="single" w:color="auto" w:sz="4" w:space="0"/>
                  </w:tcBorders>
                  <w:vAlign w:val="center"/>
                </w:tcPr>
                <w:p w14:paraId="2F199B91">
                  <w:pPr>
                    <w:adjustRightInd w:val="0"/>
                    <w:snapToGrid w:val="0"/>
                    <w:spacing w:line="240" w:lineRule="auto"/>
                    <w:jc w:val="center"/>
                    <w:rPr>
                      <w:rFonts w:hint="eastAsia" w:ascii="宋体" w:hAnsi="宋体" w:eastAsia="宋体" w:cs="宋体"/>
                      <w:color w:val="auto"/>
                      <w:sz w:val="21"/>
                      <w:szCs w:val="21"/>
                      <w:highlight w:val="none"/>
                    </w:rPr>
                  </w:pPr>
                </w:p>
              </w:tc>
              <w:tc>
                <w:tcPr>
                  <w:tcW w:w="1003" w:type="dxa"/>
                  <w:vMerge w:val="continue"/>
                  <w:tcBorders>
                    <w:left w:val="single" w:color="auto" w:sz="4" w:space="0"/>
                  </w:tcBorders>
                  <w:vAlign w:val="center"/>
                </w:tcPr>
                <w:p w14:paraId="5DECF341">
                  <w:pPr>
                    <w:adjustRightInd w:val="0"/>
                    <w:snapToGrid w:val="0"/>
                    <w:spacing w:line="240" w:lineRule="auto"/>
                    <w:jc w:val="center"/>
                    <w:rPr>
                      <w:rFonts w:hint="eastAsia" w:ascii="宋体" w:hAnsi="宋体" w:eastAsia="宋体" w:cs="宋体"/>
                      <w:color w:val="auto"/>
                      <w:sz w:val="21"/>
                      <w:szCs w:val="21"/>
                      <w:highlight w:val="none"/>
                    </w:rPr>
                  </w:pPr>
                </w:p>
              </w:tc>
            </w:tr>
            <w:tr w14:paraId="30E8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 w:hRule="atLeast"/>
                <w:jc w:val="center"/>
              </w:trPr>
              <w:tc>
                <w:tcPr>
                  <w:tcW w:w="460" w:type="dxa"/>
                  <w:vMerge w:val="continue"/>
                  <w:tcBorders>
                    <w:bottom w:val="single" w:color="auto" w:sz="4" w:space="0"/>
                    <w:right w:val="single" w:color="auto" w:sz="4" w:space="0"/>
                  </w:tcBorders>
                  <w:vAlign w:val="center"/>
                </w:tcPr>
                <w:p w14:paraId="68615703">
                  <w:pPr>
                    <w:snapToGrid w:val="0"/>
                    <w:spacing w:line="240" w:lineRule="auto"/>
                    <w:jc w:val="center"/>
                    <w:rPr>
                      <w:rFonts w:hint="eastAsia" w:ascii="宋体" w:hAnsi="宋体" w:eastAsia="宋体" w:cs="宋体"/>
                      <w:snapToGrid w:val="0"/>
                      <w:color w:val="auto"/>
                      <w:sz w:val="21"/>
                      <w:szCs w:val="21"/>
                      <w:highlight w:val="none"/>
                    </w:rPr>
                  </w:pPr>
                </w:p>
              </w:tc>
              <w:tc>
                <w:tcPr>
                  <w:tcW w:w="930" w:type="dxa"/>
                  <w:tcBorders>
                    <w:top w:val="single" w:color="auto" w:sz="4" w:space="0"/>
                    <w:bottom w:val="single" w:color="auto" w:sz="4" w:space="0"/>
                    <w:right w:val="single" w:color="auto" w:sz="4" w:space="0"/>
                  </w:tcBorders>
                  <w:vAlign w:val="center"/>
                </w:tcPr>
                <w:p w14:paraId="310349EF">
                  <w:pPr>
                    <w:snapToGrid w:val="0"/>
                    <w:spacing w:line="240" w:lineRule="auto"/>
                    <w:jc w:val="center"/>
                    <w:rPr>
                      <w:rFonts w:hint="default" w:ascii="宋体" w:hAnsi="宋体" w:eastAsia="宋体" w:cs="宋体"/>
                      <w:snapToGrid w:val="0"/>
                      <w:color w:val="0000FF"/>
                      <w:sz w:val="21"/>
                      <w:szCs w:val="21"/>
                      <w:highlight w:val="none"/>
                      <w:lang w:val="en-US" w:eastAsia="zh-CN"/>
                    </w:rPr>
                  </w:pPr>
                  <w:r>
                    <w:rPr>
                      <w:rFonts w:hint="eastAsia" w:ascii="宋体" w:hAnsi="宋体" w:cs="宋体"/>
                      <w:snapToGrid w:val="0"/>
                      <w:color w:val="0000FF"/>
                      <w:sz w:val="21"/>
                      <w:szCs w:val="21"/>
                      <w:highlight w:val="none"/>
                      <w:lang w:val="en-US" w:eastAsia="zh-CN"/>
                    </w:rPr>
                    <w:t>一般固废</w:t>
                  </w:r>
                </w:p>
              </w:tc>
              <w:tc>
                <w:tcPr>
                  <w:tcW w:w="5579" w:type="dxa"/>
                  <w:gridSpan w:val="3"/>
                  <w:tcBorders>
                    <w:top w:val="single" w:color="auto" w:sz="4" w:space="0"/>
                    <w:left w:val="single" w:color="auto" w:sz="4" w:space="0"/>
                    <w:bottom w:val="single" w:color="auto" w:sz="4" w:space="0"/>
                    <w:right w:val="single" w:color="auto" w:sz="4" w:space="0"/>
                  </w:tcBorders>
                  <w:vAlign w:val="center"/>
                </w:tcPr>
                <w:p w14:paraId="63B860CD">
                  <w:pPr>
                    <w:keepNext w:val="0"/>
                    <w:keepLines w:val="0"/>
                    <w:widowControl/>
                    <w:suppressLineNumbers w:val="0"/>
                    <w:jc w:val="left"/>
                    <w:rPr>
                      <w:rFonts w:hint="eastAsia" w:ascii="宋体" w:hAnsi="宋体" w:eastAsia="宋体" w:cs="宋体"/>
                      <w:color w:val="0000FF"/>
                      <w:sz w:val="21"/>
                      <w:szCs w:val="21"/>
                      <w:highlight w:val="none"/>
                      <w:lang w:eastAsia="zh-CN"/>
                    </w:rPr>
                  </w:pPr>
                  <w:r>
                    <w:rPr>
                      <w:rFonts w:hint="eastAsia" w:ascii="宋体" w:hAnsi="宋体" w:eastAsia="宋体" w:cs="宋体"/>
                      <w:color w:val="0000FF"/>
                      <w:sz w:val="21"/>
                      <w:szCs w:val="21"/>
                      <w:highlight w:val="none"/>
                    </w:rPr>
                    <w:t>在危险废物转运过程中会产生一定量的</w:t>
                  </w:r>
                  <w:r>
                    <w:rPr>
                      <w:rFonts w:hint="eastAsia" w:ascii="宋体" w:hAnsi="宋体" w:eastAsia="宋体" w:cs="宋体"/>
                      <w:color w:val="0000FF"/>
                      <w:kern w:val="0"/>
                      <w:sz w:val="21"/>
                      <w:szCs w:val="21"/>
                      <w:highlight w:val="none"/>
                    </w:rPr>
                    <w:t>沾染废</w:t>
                  </w:r>
                  <w:r>
                    <w:rPr>
                      <w:rFonts w:hint="eastAsia" w:ascii="宋体" w:hAnsi="宋体" w:cs="宋体"/>
                      <w:color w:val="0000FF"/>
                      <w:kern w:val="0"/>
                      <w:sz w:val="21"/>
                      <w:szCs w:val="21"/>
                      <w:highlight w:val="none"/>
                      <w:lang w:val="en-US" w:eastAsia="zh-CN"/>
                    </w:rPr>
                    <w:t>矿</w:t>
                  </w:r>
                  <w:r>
                    <w:rPr>
                      <w:rFonts w:hint="eastAsia" w:ascii="宋体" w:hAnsi="宋体" w:eastAsia="宋体" w:cs="宋体"/>
                      <w:color w:val="0000FF"/>
                      <w:kern w:val="0"/>
                      <w:sz w:val="21"/>
                      <w:szCs w:val="21"/>
                      <w:highlight w:val="none"/>
                    </w:rPr>
                    <w:t>物油的劳保用品</w:t>
                  </w:r>
                  <w:r>
                    <w:rPr>
                      <w:rFonts w:hint="eastAsia" w:ascii="宋体" w:hAnsi="宋体" w:cs="宋体"/>
                      <w:color w:val="0000FF"/>
                      <w:kern w:val="0"/>
                      <w:sz w:val="21"/>
                      <w:szCs w:val="21"/>
                      <w:highlight w:val="none"/>
                      <w:lang w:eastAsia="zh-CN"/>
                    </w:rPr>
                    <w:t>，</w:t>
                  </w:r>
                  <w:r>
                    <w:rPr>
                      <w:rFonts w:hint="eastAsia" w:ascii="宋体" w:hAnsi="宋体" w:eastAsia="宋体" w:cs="宋体"/>
                      <w:color w:val="0000FF"/>
                      <w:sz w:val="21"/>
                      <w:szCs w:val="21"/>
                      <w:highlight w:val="none"/>
                    </w:rPr>
                    <w:t>根据《国家危险废物名录》（2025年版），全部环节未分类收集的废弃的</w:t>
                  </w:r>
                  <w:r>
                    <w:rPr>
                      <w:rFonts w:hint="eastAsia" w:ascii="宋体" w:hAnsi="宋体" w:eastAsia="宋体" w:cs="宋体"/>
                      <w:color w:val="0000FF"/>
                      <w:kern w:val="0"/>
                      <w:sz w:val="21"/>
                      <w:szCs w:val="21"/>
                      <w:highlight w:val="none"/>
                    </w:rPr>
                    <w:t>沾染废</w:t>
                  </w:r>
                  <w:r>
                    <w:rPr>
                      <w:rFonts w:hint="eastAsia" w:ascii="宋体" w:hAnsi="宋体" w:cs="宋体"/>
                      <w:color w:val="0000FF"/>
                      <w:kern w:val="0"/>
                      <w:sz w:val="21"/>
                      <w:szCs w:val="21"/>
                      <w:highlight w:val="none"/>
                      <w:lang w:val="en-US" w:eastAsia="zh-CN"/>
                    </w:rPr>
                    <w:t>矿</w:t>
                  </w:r>
                  <w:r>
                    <w:rPr>
                      <w:rFonts w:hint="eastAsia" w:ascii="宋体" w:hAnsi="宋体" w:eastAsia="宋体" w:cs="宋体"/>
                      <w:color w:val="0000FF"/>
                      <w:kern w:val="0"/>
                      <w:sz w:val="21"/>
                      <w:szCs w:val="21"/>
                      <w:highlight w:val="none"/>
                    </w:rPr>
                    <w:t>物油的劳保用品</w:t>
                  </w:r>
                  <w:r>
                    <w:rPr>
                      <w:rFonts w:hint="eastAsia" w:ascii="宋体" w:hAnsi="宋体" w:eastAsia="宋体" w:cs="宋体"/>
                      <w:color w:val="0000FF"/>
                      <w:sz w:val="21"/>
                      <w:szCs w:val="21"/>
                      <w:highlight w:val="none"/>
                    </w:rPr>
                    <w:t>全过程不按危险废物管理，因此统一收集后由环卫部门统一清理</w:t>
                  </w:r>
                  <w:r>
                    <w:rPr>
                      <w:rFonts w:hint="eastAsia" w:ascii="宋体" w:hAnsi="宋体" w:cs="宋体"/>
                      <w:color w:val="0000FF"/>
                      <w:sz w:val="21"/>
                      <w:szCs w:val="21"/>
                      <w:highlight w:val="none"/>
                      <w:lang w:eastAsia="zh-CN"/>
                    </w:rPr>
                    <w:t>。</w:t>
                  </w:r>
                </w:p>
              </w:tc>
              <w:tc>
                <w:tcPr>
                  <w:tcW w:w="1003" w:type="dxa"/>
                  <w:vMerge w:val="continue"/>
                  <w:tcBorders>
                    <w:left w:val="single" w:color="auto" w:sz="4" w:space="0"/>
                    <w:bottom w:val="single" w:color="auto" w:sz="4" w:space="0"/>
                  </w:tcBorders>
                  <w:vAlign w:val="center"/>
                </w:tcPr>
                <w:p w14:paraId="5EA3768B">
                  <w:pPr>
                    <w:snapToGrid w:val="0"/>
                    <w:spacing w:line="240" w:lineRule="auto"/>
                    <w:jc w:val="center"/>
                    <w:rPr>
                      <w:rFonts w:hint="eastAsia" w:ascii="宋体" w:hAnsi="宋体" w:eastAsia="宋体" w:cs="宋体"/>
                      <w:color w:val="auto"/>
                      <w:sz w:val="21"/>
                      <w:szCs w:val="21"/>
                      <w:highlight w:val="none"/>
                      <w:lang w:val="en-US" w:eastAsia="zh-CN"/>
                    </w:rPr>
                  </w:pPr>
                </w:p>
              </w:tc>
            </w:tr>
            <w:tr w14:paraId="1255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 w:hRule="atLeast"/>
                <w:jc w:val="center"/>
              </w:trPr>
              <w:tc>
                <w:tcPr>
                  <w:tcW w:w="1390" w:type="dxa"/>
                  <w:gridSpan w:val="2"/>
                  <w:tcBorders>
                    <w:top w:val="single" w:color="auto" w:sz="4" w:space="0"/>
                    <w:bottom w:val="single" w:color="auto" w:sz="4" w:space="0"/>
                    <w:right w:val="single" w:color="auto" w:sz="4" w:space="0"/>
                  </w:tcBorders>
                  <w:vAlign w:val="center"/>
                </w:tcPr>
                <w:p w14:paraId="78C8C588">
                  <w:pPr>
                    <w:snapToGrid w:val="0"/>
                    <w:spacing w:line="240" w:lineRule="auto"/>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环境风险</w:t>
                  </w:r>
                </w:p>
              </w:tc>
              <w:tc>
                <w:tcPr>
                  <w:tcW w:w="5579" w:type="dxa"/>
                  <w:gridSpan w:val="3"/>
                  <w:tcBorders>
                    <w:top w:val="single" w:color="auto" w:sz="4" w:space="0"/>
                    <w:left w:val="single" w:color="auto" w:sz="4" w:space="0"/>
                    <w:bottom w:val="single" w:color="auto" w:sz="4" w:space="0"/>
                    <w:right w:val="single" w:color="auto" w:sz="4" w:space="0"/>
                  </w:tcBorders>
                  <w:vAlign w:val="center"/>
                </w:tcPr>
                <w:p w14:paraId="7A16AF88">
                  <w:pPr>
                    <w:keepNext w:val="0"/>
                    <w:keepLines w:val="0"/>
                    <w:widowControl/>
                    <w:suppressLineNumbers w:val="0"/>
                    <w:jc w:val="left"/>
                    <w:rPr>
                      <w:rFonts w:hint="eastAsia" w:ascii="宋体" w:hAnsi="宋体" w:eastAsia="宋体" w:cs="宋体"/>
                      <w:color w:val="auto"/>
                      <w:sz w:val="21"/>
                      <w:szCs w:val="21"/>
                      <w:highlight w:val="none"/>
                      <w:lang w:eastAsia="zh-CN"/>
                    </w:rPr>
                  </w:pPr>
                  <w:bookmarkStart w:id="23" w:name="_Hlk60758500"/>
                  <w:r>
                    <w:rPr>
                      <w:rFonts w:hint="eastAsia" w:ascii="宋体" w:hAnsi="宋体" w:eastAsia="宋体" w:cs="宋体"/>
                      <w:color w:val="auto"/>
                      <w:sz w:val="21"/>
                      <w:szCs w:val="21"/>
                      <w:highlight w:val="none"/>
                    </w:rPr>
                    <w:t>危险废物暂存库设置导流槽、收集池，库房地面向导流槽的倾斜度为2%，收集事故状态下泄漏的有机废矿物油；废矿物油储存桶设置警示标志，危险废物标识参照</w:t>
                  </w:r>
                  <w:r>
                    <w:rPr>
                      <w:rFonts w:hint="eastAsia" w:ascii="宋体" w:hAnsi="宋体" w:eastAsia="宋体" w:cs="宋体"/>
                      <w:color w:val="auto"/>
                      <w:sz w:val="21"/>
                      <w:szCs w:val="21"/>
                      <w:highlight w:val="none"/>
                      <w:lang w:val="en-US" w:eastAsia="zh-CN"/>
                    </w:rPr>
                    <w:t>HJ 1276—2022</w:t>
                  </w:r>
                  <w:r>
                    <w:rPr>
                      <w:rFonts w:hint="eastAsia" w:ascii="宋体" w:hAnsi="宋体" w:eastAsia="宋体" w:cs="宋体"/>
                      <w:color w:val="auto"/>
                      <w:sz w:val="21"/>
                      <w:szCs w:val="21"/>
                      <w:highlight w:val="none"/>
                    </w:rPr>
                    <w:t>危险废物标签设置</w:t>
                  </w:r>
                  <w:bookmarkEnd w:id="23"/>
                  <w:r>
                    <w:rPr>
                      <w:rFonts w:hint="eastAsia" w:ascii="宋体" w:hAnsi="宋体" w:eastAsia="宋体" w:cs="宋体"/>
                      <w:color w:val="auto"/>
                      <w:sz w:val="21"/>
                      <w:szCs w:val="21"/>
                      <w:highlight w:val="none"/>
                      <w:lang w:eastAsia="zh-CN"/>
                    </w:rPr>
                    <w:t>。</w:t>
                  </w:r>
                </w:p>
              </w:tc>
              <w:tc>
                <w:tcPr>
                  <w:tcW w:w="1003" w:type="dxa"/>
                  <w:tcBorders>
                    <w:top w:val="single" w:color="auto" w:sz="4" w:space="0"/>
                    <w:left w:val="single" w:color="auto" w:sz="4" w:space="0"/>
                    <w:bottom w:val="single" w:color="auto" w:sz="4" w:space="0"/>
                  </w:tcBorders>
                  <w:vAlign w:val="center"/>
                </w:tcPr>
                <w:p w14:paraId="452C58BE">
                  <w:pPr>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r>
            <w:tr w14:paraId="3563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 w:hRule="atLeast"/>
                <w:jc w:val="center"/>
              </w:trPr>
              <w:tc>
                <w:tcPr>
                  <w:tcW w:w="1390" w:type="dxa"/>
                  <w:gridSpan w:val="2"/>
                  <w:tcBorders>
                    <w:top w:val="single" w:color="auto" w:sz="4" w:space="0"/>
                    <w:bottom w:val="single" w:color="auto" w:sz="4" w:space="0"/>
                    <w:right w:val="single" w:color="auto" w:sz="4" w:space="0"/>
                  </w:tcBorders>
                  <w:vAlign w:val="center"/>
                </w:tcPr>
                <w:p w14:paraId="5AB4E127">
                  <w:pPr>
                    <w:snapToGrid w:val="0"/>
                    <w:spacing w:line="240" w:lineRule="auto"/>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防渗</w:t>
                  </w:r>
                </w:p>
              </w:tc>
              <w:tc>
                <w:tcPr>
                  <w:tcW w:w="5579" w:type="dxa"/>
                  <w:gridSpan w:val="3"/>
                  <w:tcBorders>
                    <w:top w:val="single" w:color="auto" w:sz="4" w:space="0"/>
                    <w:left w:val="single" w:color="auto" w:sz="4" w:space="0"/>
                    <w:bottom w:val="single" w:color="auto" w:sz="4" w:space="0"/>
                    <w:right w:val="single" w:color="auto" w:sz="4" w:space="0"/>
                  </w:tcBorders>
                  <w:vAlign w:val="center"/>
                </w:tcPr>
                <w:p w14:paraId="435E2671">
                  <w:pPr>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危险废物暂存库基础防渗系数≤10</w:t>
                  </w:r>
                  <w:r>
                    <w:rPr>
                      <w:rFonts w:hint="eastAsia" w:ascii="宋体" w:hAnsi="宋体" w:eastAsia="宋体" w:cs="宋体"/>
                      <w:color w:val="auto"/>
                      <w:sz w:val="21"/>
                      <w:szCs w:val="21"/>
                      <w:highlight w:val="none"/>
                      <w:vertAlign w:val="superscript"/>
                    </w:rPr>
                    <w:t>-10</w:t>
                  </w:r>
                  <w:r>
                    <w:rPr>
                      <w:rFonts w:hint="eastAsia" w:ascii="宋体" w:hAnsi="宋体" w:eastAsia="宋体" w:cs="宋体"/>
                      <w:color w:val="auto"/>
                      <w:sz w:val="21"/>
                      <w:szCs w:val="21"/>
                      <w:highlight w:val="none"/>
                    </w:rPr>
                    <w:t>cm/s：自下而上分别为</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0cm</w:t>
                  </w:r>
                  <w:r>
                    <w:rPr>
                      <w:rFonts w:hint="eastAsia" w:ascii="宋体" w:hAnsi="宋体" w:eastAsia="宋体" w:cs="宋体"/>
                      <w:color w:val="auto"/>
                      <w:sz w:val="21"/>
                      <w:szCs w:val="21"/>
                      <w:highlight w:val="none"/>
                      <w:lang w:val="en-US" w:eastAsia="zh-CN"/>
                    </w:rPr>
                    <w:t>防渗水泥砂浆，</w:t>
                  </w:r>
                  <w:r>
                    <w:rPr>
                      <w:rFonts w:hint="eastAsia" w:ascii="宋体" w:hAnsi="宋体" w:eastAsia="宋体" w:cs="宋体"/>
                      <w:color w:val="auto"/>
                      <w:sz w:val="21"/>
                      <w:szCs w:val="21"/>
                      <w:highlight w:val="none"/>
                    </w:rPr>
                    <w:t>后铺设SBS防水层＋5cm的混凝土基础层+</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mmHDPE土工膜（地面+导流渠+四周墙壁高800mm）+5cm防渗砂浆地面找平层＋绿色0.2mm的环氧地坪层处理</w:t>
                  </w:r>
                  <w:r>
                    <w:rPr>
                      <w:rFonts w:hint="eastAsia" w:ascii="宋体" w:hAnsi="宋体" w:eastAsia="宋体" w:cs="宋体"/>
                      <w:color w:val="auto"/>
                      <w:sz w:val="21"/>
                      <w:szCs w:val="21"/>
                      <w:highlight w:val="none"/>
                      <w:lang w:eastAsia="zh-CN"/>
                    </w:rPr>
                    <w:t>。</w:t>
                  </w:r>
                </w:p>
              </w:tc>
              <w:tc>
                <w:tcPr>
                  <w:tcW w:w="1003" w:type="dxa"/>
                  <w:tcBorders>
                    <w:top w:val="single" w:color="auto" w:sz="4" w:space="0"/>
                    <w:left w:val="single" w:color="auto" w:sz="4" w:space="0"/>
                    <w:bottom w:val="single" w:color="auto" w:sz="4" w:space="0"/>
                  </w:tcBorders>
                  <w:vAlign w:val="center"/>
                </w:tcPr>
                <w:p w14:paraId="1A8D3BD3">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r>
            <w:tr w14:paraId="7776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 w:hRule="atLeast"/>
                <w:jc w:val="center"/>
              </w:trPr>
              <w:tc>
                <w:tcPr>
                  <w:tcW w:w="6969" w:type="dxa"/>
                  <w:gridSpan w:val="5"/>
                  <w:tcBorders>
                    <w:top w:val="single" w:color="auto" w:sz="4" w:space="0"/>
                    <w:right w:val="single" w:color="auto" w:sz="4" w:space="0"/>
                  </w:tcBorders>
                  <w:vAlign w:val="center"/>
                </w:tcPr>
                <w:p w14:paraId="5B084155">
                  <w:pPr>
                    <w:snapToGrid w:val="0"/>
                    <w:spacing w:line="240" w:lineRule="auto"/>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合计</w:t>
                  </w:r>
                </w:p>
              </w:tc>
              <w:tc>
                <w:tcPr>
                  <w:tcW w:w="1003" w:type="dxa"/>
                  <w:tcBorders>
                    <w:top w:val="single" w:color="auto" w:sz="4" w:space="0"/>
                    <w:left w:val="single" w:color="auto" w:sz="4" w:space="0"/>
                  </w:tcBorders>
                  <w:vAlign w:val="center"/>
                </w:tcPr>
                <w:p w14:paraId="4715B73D">
                  <w:pPr>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bookmarkEnd w:id="22"/>
              </w:tc>
            </w:tr>
          </w:tbl>
          <w:p w14:paraId="650B4CDB">
            <w:pPr>
              <w:spacing w:before="156" w:beforeLines="50"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8、自行</w:t>
            </w:r>
            <w:r>
              <w:rPr>
                <w:rFonts w:hint="default" w:ascii="Times New Roman" w:hAnsi="Times New Roman" w:cs="Times New Roman"/>
                <w:b/>
                <w:bCs/>
                <w:color w:val="auto"/>
                <w:sz w:val="24"/>
                <w:highlight w:val="none"/>
                <w:lang w:eastAsia="zh-CN"/>
              </w:rPr>
              <w:t>检测</w:t>
            </w:r>
            <w:r>
              <w:rPr>
                <w:rFonts w:hint="default" w:ascii="Times New Roman" w:hAnsi="Times New Roman" w:cs="Times New Roman"/>
                <w:b/>
                <w:bCs/>
                <w:color w:val="auto"/>
                <w:sz w:val="24"/>
                <w:highlight w:val="none"/>
              </w:rPr>
              <w:t>计划</w:t>
            </w:r>
          </w:p>
          <w:p w14:paraId="78A6CB1E">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根据《排污单位自行</w:t>
            </w:r>
            <w:r>
              <w:rPr>
                <w:rFonts w:hint="default" w:ascii="Times New Roman" w:hAnsi="Times New Roman" w:cs="Times New Roman"/>
                <w:color w:val="auto"/>
                <w:sz w:val="24"/>
                <w:highlight w:val="none"/>
                <w:lang w:eastAsia="zh-CN"/>
              </w:rPr>
              <w:t>检测</w:t>
            </w:r>
            <w:r>
              <w:rPr>
                <w:rFonts w:hint="default" w:ascii="Times New Roman" w:hAnsi="Times New Roman" w:cs="Times New Roman"/>
                <w:color w:val="auto"/>
                <w:sz w:val="24"/>
                <w:highlight w:val="none"/>
              </w:rPr>
              <w:t>技术指南总则》（HJ819-2017）相关要求，结合煤矿现有</w:t>
            </w:r>
            <w:r>
              <w:rPr>
                <w:rFonts w:hint="default" w:ascii="Times New Roman" w:hAnsi="Times New Roman" w:cs="Times New Roman"/>
                <w:color w:val="auto"/>
                <w:sz w:val="24"/>
                <w:highlight w:val="none"/>
                <w:lang w:eastAsia="zh-CN"/>
              </w:rPr>
              <w:t>检测</w:t>
            </w:r>
            <w:r>
              <w:rPr>
                <w:rFonts w:hint="default" w:ascii="Times New Roman" w:hAnsi="Times New Roman" w:cs="Times New Roman"/>
                <w:color w:val="auto"/>
                <w:sz w:val="24"/>
                <w:highlight w:val="none"/>
              </w:rPr>
              <w:t>，本项目自行</w:t>
            </w:r>
            <w:r>
              <w:rPr>
                <w:rFonts w:hint="default" w:ascii="Times New Roman" w:hAnsi="Times New Roman" w:cs="Times New Roman"/>
                <w:color w:val="auto"/>
                <w:sz w:val="24"/>
                <w:highlight w:val="none"/>
                <w:lang w:eastAsia="zh-CN"/>
              </w:rPr>
              <w:t>检测</w:t>
            </w:r>
            <w:r>
              <w:rPr>
                <w:rFonts w:hint="default" w:ascii="Times New Roman" w:hAnsi="Times New Roman" w:cs="Times New Roman"/>
                <w:color w:val="auto"/>
                <w:sz w:val="24"/>
                <w:highlight w:val="none"/>
              </w:rPr>
              <w:t>计划如下：</w:t>
            </w:r>
          </w:p>
          <w:p w14:paraId="7F07ECB4">
            <w:pPr>
              <w:pStyle w:val="7"/>
              <w:keepNext/>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lang w:val="en-US" w:eastAsia="zh-CN"/>
              </w:rPr>
              <w:t>9</w:t>
            </w:r>
            <w:r>
              <w:rPr>
                <w:rFonts w:hint="default" w:ascii="Times New Roman" w:hAnsi="Times New Roman" w:eastAsia="宋体" w:cs="Times New Roman"/>
                <w:b/>
                <w:color w:val="auto"/>
                <w:sz w:val="21"/>
                <w:szCs w:val="21"/>
                <w:highlight w:val="none"/>
              </w:rPr>
              <w:t>运营期</w:t>
            </w:r>
            <w:r>
              <w:rPr>
                <w:rFonts w:hint="default" w:ascii="Times New Roman" w:hAnsi="Times New Roman" w:eastAsia="宋体" w:cs="Times New Roman"/>
                <w:b/>
                <w:color w:val="auto"/>
                <w:sz w:val="21"/>
                <w:szCs w:val="21"/>
                <w:highlight w:val="none"/>
                <w:lang w:eastAsia="zh-CN"/>
              </w:rPr>
              <w:t>检测</w:t>
            </w:r>
            <w:r>
              <w:rPr>
                <w:rFonts w:hint="default" w:ascii="Times New Roman" w:hAnsi="Times New Roman" w:eastAsia="宋体" w:cs="Times New Roman"/>
                <w:b/>
                <w:color w:val="auto"/>
                <w:sz w:val="21"/>
                <w:szCs w:val="21"/>
                <w:highlight w:val="none"/>
              </w:rPr>
              <w:t>计划一览表</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1059"/>
              <w:gridCol w:w="1317"/>
              <w:gridCol w:w="1212"/>
              <w:gridCol w:w="2977"/>
              <w:gridCol w:w="536"/>
            </w:tblGrid>
            <w:tr w14:paraId="5E86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44" w:type="pct"/>
                  <w:tcBorders>
                    <w:bottom w:val="single" w:color="auto" w:sz="4" w:space="0"/>
                    <w:right w:val="single" w:color="auto" w:sz="4" w:space="0"/>
                  </w:tcBorders>
                  <w:vAlign w:val="center"/>
                </w:tcPr>
                <w:p w14:paraId="4057A72E">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类别</w:t>
                  </w:r>
                </w:p>
              </w:tc>
              <w:tc>
                <w:tcPr>
                  <w:tcW w:w="664" w:type="pct"/>
                  <w:tcBorders>
                    <w:left w:val="single" w:color="auto" w:sz="4" w:space="0"/>
                    <w:bottom w:val="single" w:color="auto" w:sz="4" w:space="0"/>
                    <w:right w:val="single" w:color="auto" w:sz="4" w:space="0"/>
                  </w:tcBorders>
                  <w:vAlign w:val="center"/>
                </w:tcPr>
                <w:p w14:paraId="5DB027A2">
                  <w:pPr>
                    <w:adjustRightInd w:val="0"/>
                    <w:snapToGrid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eastAsia="zh-CN"/>
                    </w:rPr>
                    <w:t>检测</w:t>
                  </w:r>
                  <w:r>
                    <w:rPr>
                      <w:rFonts w:hint="default" w:ascii="Times New Roman" w:hAnsi="Times New Roman" w:cs="Times New Roman"/>
                      <w:b/>
                      <w:bCs/>
                      <w:color w:val="auto"/>
                      <w:sz w:val="21"/>
                      <w:szCs w:val="21"/>
                      <w:highlight w:val="none"/>
                    </w:rPr>
                    <w:t>位置</w:t>
                  </w:r>
                </w:p>
              </w:tc>
              <w:tc>
                <w:tcPr>
                  <w:tcW w:w="826" w:type="pct"/>
                  <w:tcBorders>
                    <w:left w:val="single" w:color="auto" w:sz="4" w:space="0"/>
                    <w:bottom w:val="single" w:color="auto" w:sz="4" w:space="0"/>
                    <w:right w:val="single" w:color="auto" w:sz="4" w:space="0"/>
                  </w:tcBorders>
                  <w:vAlign w:val="center"/>
                </w:tcPr>
                <w:p w14:paraId="67EA2229">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本项目</w:t>
                  </w:r>
                  <w:r>
                    <w:rPr>
                      <w:rFonts w:hint="default" w:ascii="Times New Roman" w:hAnsi="Times New Roman" w:cs="Times New Roman"/>
                      <w:b/>
                      <w:color w:val="auto"/>
                      <w:sz w:val="21"/>
                      <w:szCs w:val="21"/>
                      <w:highlight w:val="none"/>
                      <w:lang w:eastAsia="zh-CN"/>
                    </w:rPr>
                    <w:t>检测</w:t>
                  </w:r>
                  <w:r>
                    <w:rPr>
                      <w:rFonts w:hint="default" w:ascii="Times New Roman" w:hAnsi="Times New Roman" w:cs="Times New Roman"/>
                      <w:b/>
                      <w:color w:val="auto"/>
                      <w:sz w:val="21"/>
                      <w:szCs w:val="21"/>
                      <w:highlight w:val="none"/>
                    </w:rPr>
                    <w:t>因子</w:t>
                  </w:r>
                </w:p>
              </w:tc>
              <w:tc>
                <w:tcPr>
                  <w:tcW w:w="760" w:type="pct"/>
                  <w:tcBorders>
                    <w:left w:val="single" w:color="auto" w:sz="4" w:space="0"/>
                    <w:bottom w:val="single" w:color="auto" w:sz="4" w:space="0"/>
                    <w:right w:val="single" w:color="auto" w:sz="4" w:space="0"/>
                  </w:tcBorders>
                  <w:vAlign w:val="center"/>
                </w:tcPr>
                <w:p w14:paraId="1AE83761">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lang w:eastAsia="zh-CN"/>
                    </w:rPr>
                    <w:t>检测</w:t>
                  </w:r>
                  <w:r>
                    <w:rPr>
                      <w:rFonts w:hint="default" w:ascii="Times New Roman" w:hAnsi="Times New Roman" w:cs="Times New Roman"/>
                      <w:b/>
                      <w:color w:val="auto"/>
                      <w:sz w:val="21"/>
                      <w:szCs w:val="21"/>
                      <w:highlight w:val="none"/>
                    </w:rPr>
                    <w:t>频次</w:t>
                  </w:r>
                </w:p>
              </w:tc>
              <w:tc>
                <w:tcPr>
                  <w:tcW w:w="1867" w:type="pct"/>
                  <w:tcBorders>
                    <w:left w:val="single" w:color="auto" w:sz="4" w:space="0"/>
                    <w:bottom w:val="single" w:color="auto" w:sz="4" w:space="0"/>
                    <w:right w:val="nil"/>
                  </w:tcBorders>
                  <w:vAlign w:val="center"/>
                </w:tcPr>
                <w:p w14:paraId="4142B21F">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lang w:eastAsia="zh-CN"/>
                    </w:rPr>
                    <w:t>检测</w:t>
                  </w:r>
                  <w:r>
                    <w:rPr>
                      <w:rFonts w:hint="default" w:ascii="Times New Roman" w:hAnsi="Times New Roman" w:cs="Times New Roman"/>
                      <w:b/>
                      <w:color w:val="auto"/>
                      <w:sz w:val="21"/>
                      <w:szCs w:val="21"/>
                      <w:highlight w:val="none"/>
                    </w:rPr>
                    <w:t>要求</w:t>
                  </w:r>
                </w:p>
              </w:tc>
              <w:tc>
                <w:tcPr>
                  <w:tcW w:w="336" w:type="pct"/>
                  <w:tcBorders>
                    <w:left w:val="single" w:color="auto" w:sz="4" w:space="0"/>
                    <w:bottom w:val="single" w:color="auto" w:sz="4" w:space="0"/>
                  </w:tcBorders>
                  <w:vAlign w:val="center"/>
                </w:tcPr>
                <w:p w14:paraId="0B811007">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7E1E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44" w:type="pct"/>
                  <w:tcBorders>
                    <w:top w:val="single" w:color="auto" w:sz="4" w:space="0"/>
                    <w:bottom w:val="single" w:color="auto" w:sz="4" w:space="0"/>
                    <w:right w:val="single" w:color="auto" w:sz="4" w:space="0"/>
                  </w:tcBorders>
                  <w:vAlign w:val="center"/>
                </w:tcPr>
                <w:p w14:paraId="7A7976C2">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废气</w:t>
                  </w:r>
                </w:p>
              </w:tc>
              <w:tc>
                <w:tcPr>
                  <w:tcW w:w="664" w:type="pct"/>
                  <w:tcBorders>
                    <w:top w:val="single" w:color="auto" w:sz="4" w:space="0"/>
                    <w:left w:val="single" w:color="auto" w:sz="4" w:space="0"/>
                    <w:bottom w:val="single" w:color="auto" w:sz="4" w:space="0"/>
                    <w:right w:val="single" w:color="auto" w:sz="4" w:space="0"/>
                  </w:tcBorders>
                  <w:vAlign w:val="center"/>
                </w:tcPr>
                <w:p w14:paraId="4A52CF58">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项目厂界外，无组织</w:t>
                  </w:r>
                </w:p>
              </w:tc>
              <w:tc>
                <w:tcPr>
                  <w:tcW w:w="826" w:type="pct"/>
                  <w:tcBorders>
                    <w:top w:val="single" w:color="auto" w:sz="4" w:space="0"/>
                    <w:left w:val="single" w:color="auto" w:sz="4" w:space="0"/>
                    <w:bottom w:val="single" w:color="auto" w:sz="4" w:space="0"/>
                    <w:right w:val="single" w:color="auto" w:sz="4" w:space="0"/>
                  </w:tcBorders>
                  <w:vAlign w:val="center"/>
                </w:tcPr>
                <w:p w14:paraId="50AFCC3C">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非甲烷总烃</w:t>
                  </w:r>
                </w:p>
              </w:tc>
              <w:tc>
                <w:tcPr>
                  <w:tcW w:w="760" w:type="pct"/>
                  <w:tcBorders>
                    <w:top w:val="single" w:color="auto" w:sz="4" w:space="0"/>
                    <w:left w:val="single" w:color="auto" w:sz="4" w:space="0"/>
                    <w:bottom w:val="single" w:color="auto" w:sz="4" w:space="0"/>
                    <w:right w:val="single" w:color="auto" w:sz="4" w:space="0"/>
                  </w:tcBorders>
                  <w:vAlign w:val="center"/>
                </w:tcPr>
                <w:p w14:paraId="5D4654C3">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一次/半年</w:t>
                  </w:r>
                </w:p>
              </w:tc>
              <w:tc>
                <w:tcPr>
                  <w:tcW w:w="1867" w:type="pct"/>
                  <w:tcBorders>
                    <w:top w:val="single" w:color="auto" w:sz="4" w:space="0"/>
                    <w:left w:val="single" w:color="auto" w:sz="4" w:space="0"/>
                    <w:bottom w:val="single" w:color="auto" w:sz="4" w:space="0"/>
                    <w:right w:val="nil"/>
                  </w:tcBorders>
                  <w:vAlign w:val="center"/>
                </w:tcPr>
                <w:p w14:paraId="0A24164B">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《大气污染物综合排放标准》（GB16297-1996）</w:t>
                  </w:r>
                </w:p>
              </w:tc>
              <w:tc>
                <w:tcPr>
                  <w:tcW w:w="336" w:type="pct"/>
                  <w:tcBorders>
                    <w:top w:val="single" w:color="auto" w:sz="4" w:space="0"/>
                    <w:left w:val="single" w:color="auto" w:sz="4" w:space="0"/>
                    <w:bottom w:val="single" w:color="auto" w:sz="4" w:space="0"/>
                  </w:tcBorders>
                  <w:vAlign w:val="center"/>
                </w:tcPr>
                <w:p w14:paraId="45798A51">
                  <w:pPr>
                    <w:adjustRightInd w:val="0"/>
                    <w:snapToGrid w:val="0"/>
                    <w:jc w:val="center"/>
                    <w:rPr>
                      <w:rFonts w:hint="default" w:ascii="Times New Roman" w:hAnsi="Times New Roman" w:cs="Times New Roman"/>
                      <w:color w:val="auto"/>
                      <w:kern w:val="0"/>
                      <w:sz w:val="21"/>
                      <w:szCs w:val="21"/>
                      <w:highlight w:val="none"/>
                    </w:rPr>
                  </w:pPr>
                  <w:r>
                    <w:rPr>
                      <w:rFonts w:hint="eastAsia" w:ascii="宋体" w:hAnsi="宋体" w:eastAsia="宋体" w:cs="宋体"/>
                      <w:color w:val="auto"/>
                      <w:kern w:val="0"/>
                      <w:sz w:val="21"/>
                      <w:szCs w:val="21"/>
                      <w:highlight w:val="none"/>
                    </w:rPr>
                    <w:t>/</w:t>
                  </w:r>
                </w:p>
              </w:tc>
            </w:tr>
            <w:tr w14:paraId="75C0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44" w:type="pct"/>
                  <w:tcBorders>
                    <w:top w:val="single" w:color="auto" w:sz="4" w:space="0"/>
                    <w:bottom w:val="single" w:color="auto" w:sz="4" w:space="0"/>
                    <w:right w:val="single" w:color="auto" w:sz="4" w:space="0"/>
                  </w:tcBorders>
                  <w:vAlign w:val="center"/>
                </w:tcPr>
                <w:p w14:paraId="02A547E8">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地下水</w:t>
                  </w:r>
                </w:p>
              </w:tc>
              <w:tc>
                <w:tcPr>
                  <w:tcW w:w="664" w:type="pct"/>
                  <w:tcBorders>
                    <w:top w:val="single" w:color="auto" w:sz="4" w:space="0"/>
                    <w:left w:val="single" w:color="auto" w:sz="4" w:space="0"/>
                    <w:bottom w:val="single" w:color="auto" w:sz="4" w:space="0"/>
                    <w:right w:val="single" w:color="auto" w:sz="4" w:space="0"/>
                  </w:tcBorders>
                  <w:vAlign w:val="center"/>
                </w:tcPr>
                <w:p w14:paraId="0FF718EE">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厂区</w:t>
                  </w:r>
                  <w:r>
                    <w:rPr>
                      <w:rFonts w:hint="eastAsia" w:cs="Times New Roman"/>
                      <w:color w:val="auto"/>
                      <w:kern w:val="0"/>
                      <w:sz w:val="21"/>
                      <w:szCs w:val="21"/>
                      <w:highlight w:val="none"/>
                      <w:lang w:val="en-US" w:eastAsia="zh-CN"/>
                    </w:rPr>
                    <w:t>西北</w:t>
                  </w:r>
                  <w:r>
                    <w:rPr>
                      <w:rFonts w:hint="eastAsia" w:ascii="Times New Roman" w:hAnsi="Times New Roman" w:cs="Times New Roman"/>
                      <w:color w:val="auto"/>
                      <w:kern w:val="0"/>
                      <w:sz w:val="21"/>
                      <w:szCs w:val="21"/>
                      <w:highlight w:val="none"/>
                      <w:lang w:val="en-US" w:eastAsia="zh-CN"/>
                    </w:rPr>
                    <w:t>侧</w:t>
                  </w:r>
                </w:p>
              </w:tc>
              <w:tc>
                <w:tcPr>
                  <w:tcW w:w="826" w:type="pct"/>
                  <w:tcBorders>
                    <w:top w:val="single" w:color="auto" w:sz="4" w:space="0"/>
                    <w:left w:val="single" w:color="auto" w:sz="4" w:space="0"/>
                    <w:bottom w:val="single" w:color="auto" w:sz="4" w:space="0"/>
                    <w:right w:val="single" w:color="auto" w:sz="4" w:space="0"/>
                  </w:tcBorders>
                  <w:vAlign w:val="center"/>
                </w:tcPr>
                <w:p w14:paraId="5325D69C">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石油类</w:t>
                  </w:r>
                </w:p>
              </w:tc>
              <w:tc>
                <w:tcPr>
                  <w:tcW w:w="760" w:type="pct"/>
                  <w:tcBorders>
                    <w:top w:val="single" w:color="auto" w:sz="4" w:space="0"/>
                    <w:left w:val="single" w:color="auto" w:sz="4" w:space="0"/>
                    <w:bottom w:val="single" w:color="auto" w:sz="4" w:space="0"/>
                    <w:right w:val="single" w:color="auto" w:sz="4" w:space="0"/>
                  </w:tcBorders>
                  <w:vAlign w:val="center"/>
                </w:tcPr>
                <w:p w14:paraId="2A80920D">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一次/</w:t>
                  </w:r>
                  <w:r>
                    <w:rPr>
                      <w:rFonts w:hint="eastAsia" w:cs="Times New Roman"/>
                      <w:color w:val="auto"/>
                      <w:kern w:val="0"/>
                      <w:sz w:val="21"/>
                      <w:szCs w:val="21"/>
                      <w:highlight w:val="none"/>
                      <w:lang w:val="en-US" w:eastAsia="zh-CN"/>
                    </w:rPr>
                    <w:t>一</w:t>
                  </w:r>
                  <w:r>
                    <w:rPr>
                      <w:rFonts w:hint="default" w:ascii="Times New Roman" w:hAnsi="Times New Roman" w:cs="Times New Roman"/>
                      <w:color w:val="auto"/>
                      <w:kern w:val="0"/>
                      <w:sz w:val="21"/>
                      <w:szCs w:val="21"/>
                      <w:highlight w:val="none"/>
                    </w:rPr>
                    <w:t>年</w:t>
                  </w:r>
                </w:p>
              </w:tc>
              <w:tc>
                <w:tcPr>
                  <w:tcW w:w="1867" w:type="pct"/>
                  <w:tcBorders>
                    <w:top w:val="single" w:color="auto" w:sz="4" w:space="0"/>
                    <w:left w:val="single" w:color="auto" w:sz="4" w:space="0"/>
                    <w:bottom w:val="single" w:color="auto" w:sz="4" w:space="0"/>
                    <w:right w:val="nil"/>
                  </w:tcBorders>
                  <w:vAlign w:val="center"/>
                </w:tcPr>
                <w:p w14:paraId="62650652">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rPr>
                    <w:t>石油类参照满足《地表水环境质量标准》（GB3838-2002）标准限值</w:t>
                  </w:r>
                </w:p>
              </w:tc>
              <w:tc>
                <w:tcPr>
                  <w:tcW w:w="336" w:type="pct"/>
                  <w:tcBorders>
                    <w:top w:val="single" w:color="auto" w:sz="4" w:space="0"/>
                    <w:left w:val="single" w:color="auto" w:sz="4" w:space="0"/>
                    <w:bottom w:val="single" w:color="auto" w:sz="4" w:space="0"/>
                  </w:tcBorders>
                  <w:vAlign w:val="center"/>
                </w:tcPr>
                <w:p w14:paraId="0996FF9D">
                  <w:pPr>
                    <w:widowControl/>
                    <w:adjustRightInd w:val="0"/>
                    <w:snapToGrid w:val="0"/>
                    <w:jc w:val="center"/>
                    <w:rPr>
                      <w:rFonts w:hint="default" w:ascii="Times New Roman" w:hAnsi="Times New Roman" w:cs="Times New Roman"/>
                      <w:color w:val="auto"/>
                      <w:kern w:val="0"/>
                      <w:sz w:val="21"/>
                      <w:szCs w:val="21"/>
                      <w:highlight w:val="none"/>
                    </w:rPr>
                  </w:pPr>
                  <w:r>
                    <w:rPr>
                      <w:rFonts w:hint="eastAsia" w:ascii="宋体" w:hAnsi="宋体" w:eastAsia="宋体" w:cs="宋体"/>
                      <w:color w:val="auto"/>
                      <w:kern w:val="0"/>
                      <w:sz w:val="21"/>
                      <w:szCs w:val="21"/>
                      <w:highlight w:val="none"/>
                    </w:rPr>
                    <w:t>/</w:t>
                  </w:r>
                </w:p>
              </w:tc>
            </w:tr>
            <w:tr w14:paraId="7B35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44" w:type="pct"/>
                  <w:tcBorders>
                    <w:top w:val="single" w:color="auto" w:sz="4" w:space="0"/>
                    <w:right w:val="single" w:color="auto" w:sz="4" w:space="0"/>
                  </w:tcBorders>
                  <w:vAlign w:val="center"/>
                </w:tcPr>
                <w:p w14:paraId="5B6E9D5E">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噪声</w:t>
                  </w:r>
                </w:p>
              </w:tc>
              <w:tc>
                <w:tcPr>
                  <w:tcW w:w="664" w:type="pct"/>
                  <w:tcBorders>
                    <w:top w:val="single" w:color="auto" w:sz="4" w:space="0"/>
                    <w:left w:val="single" w:color="auto" w:sz="4" w:space="0"/>
                    <w:right w:val="single" w:color="auto" w:sz="4" w:space="0"/>
                  </w:tcBorders>
                  <w:vAlign w:val="center"/>
                </w:tcPr>
                <w:p w14:paraId="4952D104">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厂界</w:t>
                  </w:r>
                </w:p>
              </w:tc>
              <w:tc>
                <w:tcPr>
                  <w:tcW w:w="826" w:type="pct"/>
                  <w:tcBorders>
                    <w:top w:val="single" w:color="auto" w:sz="4" w:space="0"/>
                    <w:left w:val="single" w:color="auto" w:sz="4" w:space="0"/>
                    <w:right w:val="single" w:color="auto" w:sz="4" w:space="0"/>
                  </w:tcBorders>
                  <w:vAlign w:val="center"/>
                </w:tcPr>
                <w:p w14:paraId="72626FC0">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连续等效A声级</w:t>
                  </w:r>
                </w:p>
              </w:tc>
              <w:tc>
                <w:tcPr>
                  <w:tcW w:w="760" w:type="pct"/>
                  <w:tcBorders>
                    <w:top w:val="single" w:color="auto" w:sz="4" w:space="0"/>
                    <w:left w:val="single" w:color="auto" w:sz="4" w:space="0"/>
                    <w:right w:val="single" w:color="auto" w:sz="4" w:space="0"/>
                  </w:tcBorders>
                  <w:vAlign w:val="center"/>
                </w:tcPr>
                <w:p w14:paraId="493BF9B1">
                  <w:pPr>
                    <w:widowControl/>
                    <w:adjustRightInd w:val="0"/>
                    <w:snapToGrid w:val="0"/>
                    <w:jc w:val="center"/>
                    <w:rPr>
                      <w:rFonts w:hint="default" w:ascii="Times New Roman" w:hAnsi="Times New Roman" w:cs="Times New Roman"/>
                      <w:color w:val="auto"/>
                      <w:kern w:val="0"/>
                      <w:sz w:val="21"/>
                      <w:szCs w:val="21"/>
                      <w:highlight w:val="none"/>
                      <w:lang w:val="en-US"/>
                    </w:rPr>
                  </w:pPr>
                  <w:r>
                    <w:rPr>
                      <w:rFonts w:hint="eastAsia" w:cs="Times New Roman"/>
                      <w:color w:val="auto"/>
                      <w:kern w:val="0"/>
                      <w:sz w:val="21"/>
                      <w:szCs w:val="21"/>
                      <w:highlight w:val="none"/>
                      <w:lang w:val="en-US" w:eastAsia="zh-CN"/>
                    </w:rPr>
                    <w:t>与煤矿监测计划一致</w:t>
                  </w:r>
                </w:p>
              </w:tc>
              <w:tc>
                <w:tcPr>
                  <w:tcW w:w="1867" w:type="pct"/>
                  <w:tcBorders>
                    <w:top w:val="single" w:color="auto" w:sz="4" w:space="0"/>
                    <w:left w:val="single" w:color="auto" w:sz="4" w:space="0"/>
                    <w:right w:val="nil"/>
                  </w:tcBorders>
                  <w:vAlign w:val="center"/>
                </w:tcPr>
                <w:p w14:paraId="7A9EC0D3">
                  <w:pPr>
                    <w:widowControl/>
                    <w:adjustRightInd w:val="0"/>
                    <w:snapToGrid w:val="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《工业企业厂界环境噪声排放标准》（GB12348-2008）</w:t>
                  </w:r>
                </w:p>
              </w:tc>
              <w:tc>
                <w:tcPr>
                  <w:tcW w:w="336" w:type="pct"/>
                  <w:tcBorders>
                    <w:top w:val="single" w:color="auto" w:sz="4" w:space="0"/>
                    <w:left w:val="single" w:color="auto" w:sz="4" w:space="0"/>
                  </w:tcBorders>
                  <w:vAlign w:val="center"/>
                </w:tcPr>
                <w:p w14:paraId="10BCCDF5">
                  <w:pPr>
                    <w:widowControl/>
                    <w:adjustRightInd w:val="0"/>
                    <w:snapToGrid w:val="0"/>
                    <w:jc w:val="center"/>
                    <w:rPr>
                      <w:rFonts w:hint="default" w:ascii="Times New Roman" w:hAnsi="Times New Roman" w:cs="Times New Roman"/>
                      <w:color w:val="auto"/>
                      <w:kern w:val="0"/>
                      <w:sz w:val="21"/>
                      <w:szCs w:val="21"/>
                      <w:highlight w:val="none"/>
                    </w:rPr>
                  </w:pPr>
                  <w:r>
                    <w:rPr>
                      <w:rFonts w:hint="eastAsia" w:ascii="宋体" w:hAnsi="宋体" w:eastAsia="宋体" w:cs="宋体"/>
                      <w:color w:val="auto"/>
                      <w:kern w:val="0"/>
                      <w:sz w:val="21"/>
                      <w:szCs w:val="21"/>
                      <w:highlight w:val="none"/>
                    </w:rPr>
                    <w:t>/</w:t>
                  </w:r>
                </w:p>
              </w:tc>
            </w:tr>
          </w:tbl>
          <w:p w14:paraId="09EEA9A8">
            <w:pPr>
              <w:spacing w:line="360" w:lineRule="auto"/>
              <w:rPr>
                <w:rFonts w:hint="default" w:ascii="Times New Roman" w:hAnsi="Times New Roman" w:cs="Times New Roman"/>
                <w:bCs/>
                <w:color w:val="auto"/>
                <w:spacing w:val="-10"/>
                <w:szCs w:val="21"/>
                <w:highlight w:val="none"/>
              </w:rPr>
            </w:pPr>
          </w:p>
          <w:p w14:paraId="6EA3D5A7">
            <w:pPr>
              <w:spacing w:line="360" w:lineRule="auto"/>
              <w:rPr>
                <w:rFonts w:hint="default" w:ascii="Times New Roman" w:hAnsi="Times New Roman" w:cs="Times New Roman"/>
                <w:bCs/>
                <w:color w:val="auto"/>
                <w:spacing w:val="-10"/>
                <w:szCs w:val="21"/>
                <w:highlight w:val="none"/>
              </w:rPr>
            </w:pPr>
          </w:p>
          <w:p w14:paraId="40BB6A03">
            <w:pPr>
              <w:spacing w:line="360" w:lineRule="auto"/>
              <w:rPr>
                <w:rFonts w:hint="default" w:ascii="Times New Roman" w:hAnsi="Times New Roman" w:cs="Times New Roman"/>
                <w:bCs/>
                <w:color w:val="auto"/>
                <w:spacing w:val="-10"/>
                <w:szCs w:val="21"/>
                <w:highlight w:val="none"/>
              </w:rPr>
            </w:pPr>
          </w:p>
          <w:p w14:paraId="4DAE4FCC">
            <w:pPr>
              <w:spacing w:line="360" w:lineRule="auto"/>
              <w:rPr>
                <w:rFonts w:hint="default" w:ascii="Times New Roman" w:hAnsi="Times New Roman" w:cs="Times New Roman"/>
                <w:bCs/>
                <w:color w:val="auto"/>
                <w:spacing w:val="-10"/>
                <w:szCs w:val="21"/>
                <w:highlight w:val="none"/>
              </w:rPr>
            </w:pPr>
          </w:p>
          <w:p w14:paraId="3C42957E">
            <w:pPr>
              <w:spacing w:line="360" w:lineRule="auto"/>
              <w:rPr>
                <w:rFonts w:hint="default" w:ascii="Times New Roman" w:hAnsi="Times New Roman" w:cs="Times New Roman"/>
                <w:bCs/>
                <w:color w:val="auto"/>
                <w:spacing w:val="-10"/>
                <w:szCs w:val="21"/>
                <w:highlight w:val="none"/>
              </w:rPr>
            </w:pPr>
          </w:p>
          <w:p w14:paraId="730F35F8">
            <w:pPr>
              <w:spacing w:line="360" w:lineRule="auto"/>
              <w:rPr>
                <w:rFonts w:hint="default" w:ascii="Times New Roman" w:hAnsi="Times New Roman" w:cs="Times New Roman"/>
                <w:bCs/>
                <w:color w:val="auto"/>
                <w:spacing w:val="-10"/>
                <w:szCs w:val="21"/>
                <w:highlight w:val="none"/>
              </w:rPr>
            </w:pPr>
          </w:p>
          <w:p w14:paraId="4D2A0F30">
            <w:pPr>
              <w:spacing w:line="360" w:lineRule="auto"/>
              <w:rPr>
                <w:rFonts w:hint="default" w:ascii="Times New Roman" w:hAnsi="Times New Roman" w:cs="Times New Roman"/>
                <w:bCs/>
                <w:color w:val="auto"/>
                <w:spacing w:val="-10"/>
                <w:szCs w:val="21"/>
                <w:highlight w:val="none"/>
              </w:rPr>
            </w:pPr>
          </w:p>
          <w:p w14:paraId="28E6F0FA">
            <w:pPr>
              <w:spacing w:line="360" w:lineRule="auto"/>
              <w:rPr>
                <w:rFonts w:hint="default" w:ascii="Times New Roman" w:hAnsi="Times New Roman" w:cs="Times New Roman"/>
                <w:bCs/>
                <w:color w:val="auto"/>
                <w:spacing w:val="-10"/>
                <w:szCs w:val="21"/>
                <w:highlight w:val="none"/>
              </w:rPr>
            </w:pPr>
          </w:p>
          <w:p w14:paraId="18031E7F">
            <w:pPr>
              <w:spacing w:line="360" w:lineRule="auto"/>
              <w:rPr>
                <w:rFonts w:hint="default" w:ascii="Times New Roman" w:hAnsi="Times New Roman" w:cs="Times New Roman"/>
                <w:bCs/>
                <w:color w:val="auto"/>
                <w:spacing w:val="-10"/>
                <w:szCs w:val="21"/>
                <w:highlight w:val="none"/>
              </w:rPr>
            </w:pPr>
          </w:p>
          <w:p w14:paraId="6646C97F">
            <w:pPr>
              <w:spacing w:line="360" w:lineRule="auto"/>
              <w:rPr>
                <w:rFonts w:hint="default" w:ascii="Times New Roman" w:hAnsi="Times New Roman" w:cs="Times New Roman"/>
                <w:bCs/>
                <w:color w:val="auto"/>
                <w:spacing w:val="-10"/>
                <w:szCs w:val="21"/>
                <w:highlight w:val="none"/>
              </w:rPr>
            </w:pPr>
          </w:p>
          <w:p w14:paraId="0453E125">
            <w:pPr>
              <w:spacing w:line="360" w:lineRule="auto"/>
              <w:rPr>
                <w:rFonts w:hint="default" w:ascii="Times New Roman" w:hAnsi="Times New Roman" w:cs="Times New Roman"/>
                <w:bCs/>
                <w:color w:val="auto"/>
                <w:spacing w:val="-10"/>
                <w:szCs w:val="21"/>
                <w:highlight w:val="none"/>
              </w:rPr>
            </w:pPr>
          </w:p>
          <w:p w14:paraId="08988A54">
            <w:pPr>
              <w:spacing w:line="360" w:lineRule="auto"/>
              <w:rPr>
                <w:rFonts w:hint="default" w:ascii="Times New Roman" w:hAnsi="Times New Roman" w:cs="Times New Roman"/>
                <w:bCs/>
                <w:color w:val="auto"/>
                <w:spacing w:val="-10"/>
                <w:szCs w:val="21"/>
                <w:highlight w:val="none"/>
              </w:rPr>
            </w:pPr>
          </w:p>
          <w:p w14:paraId="7E49D454">
            <w:pPr>
              <w:spacing w:line="360" w:lineRule="auto"/>
              <w:rPr>
                <w:rFonts w:hint="default" w:ascii="Times New Roman" w:hAnsi="Times New Roman" w:cs="Times New Roman"/>
                <w:bCs/>
                <w:color w:val="auto"/>
                <w:spacing w:val="-10"/>
                <w:szCs w:val="21"/>
                <w:highlight w:val="none"/>
              </w:rPr>
            </w:pPr>
          </w:p>
          <w:p w14:paraId="540F4BE1">
            <w:pPr>
              <w:spacing w:line="360" w:lineRule="auto"/>
              <w:rPr>
                <w:rFonts w:hint="default" w:ascii="Times New Roman" w:hAnsi="Times New Roman" w:cs="Times New Roman"/>
                <w:bCs/>
                <w:color w:val="auto"/>
                <w:spacing w:val="-10"/>
                <w:szCs w:val="21"/>
                <w:highlight w:val="none"/>
              </w:rPr>
            </w:pPr>
          </w:p>
          <w:p w14:paraId="39413555">
            <w:pPr>
              <w:spacing w:line="360" w:lineRule="auto"/>
              <w:rPr>
                <w:rFonts w:hint="default" w:ascii="Times New Roman" w:hAnsi="Times New Roman" w:cs="Times New Roman"/>
                <w:bCs/>
                <w:color w:val="auto"/>
                <w:spacing w:val="-10"/>
                <w:szCs w:val="21"/>
                <w:highlight w:val="none"/>
              </w:rPr>
            </w:pPr>
          </w:p>
          <w:p w14:paraId="7246F10C">
            <w:pPr>
              <w:spacing w:line="360" w:lineRule="auto"/>
              <w:rPr>
                <w:rFonts w:hint="default" w:ascii="Times New Roman" w:hAnsi="Times New Roman" w:cs="Times New Roman"/>
                <w:bCs/>
                <w:color w:val="auto"/>
                <w:spacing w:val="-10"/>
                <w:szCs w:val="21"/>
                <w:highlight w:val="none"/>
              </w:rPr>
            </w:pPr>
          </w:p>
          <w:p w14:paraId="3C87FB51">
            <w:pPr>
              <w:spacing w:line="360" w:lineRule="auto"/>
              <w:rPr>
                <w:rFonts w:hint="default" w:ascii="Times New Roman" w:hAnsi="Times New Roman" w:cs="Times New Roman"/>
                <w:bCs/>
                <w:color w:val="auto"/>
                <w:spacing w:val="-10"/>
                <w:szCs w:val="21"/>
                <w:highlight w:val="none"/>
              </w:rPr>
            </w:pPr>
          </w:p>
        </w:tc>
      </w:tr>
    </w:tbl>
    <w:p w14:paraId="7B4A0737">
      <w:pPr>
        <w:pStyle w:val="5"/>
        <w:ind w:left="0" w:leftChars="0" w:firstLine="0" w:firstLineChars="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br w:type="page"/>
      </w:r>
    </w:p>
    <w:p w14:paraId="5E0F9165">
      <w:pPr>
        <w:pStyle w:val="31"/>
        <w:widowControl/>
        <w:numPr>
          <w:ilvl w:val="0"/>
          <w:numId w:val="2"/>
        </w:numPr>
        <w:spacing w:before="100" w:beforeAutospacing="1" w:after="100" w:afterAutospacing="1"/>
        <w:ind w:firstLineChars="0"/>
        <w:jc w:val="center"/>
        <w:outlineLvl w:val="0"/>
        <w:rPr>
          <w:rFonts w:hint="default" w:ascii="Times New Roman" w:hAnsi="Times New Roman" w:cs="Times New Roman"/>
          <w:b/>
          <w:bCs/>
          <w:snapToGrid w:val="0"/>
          <w:color w:val="auto"/>
          <w:kern w:val="0"/>
          <w:sz w:val="30"/>
          <w:szCs w:val="30"/>
          <w:highlight w:val="none"/>
        </w:rPr>
      </w:pPr>
      <w:r>
        <w:rPr>
          <w:rFonts w:hint="default" w:ascii="Times New Roman" w:hAnsi="Times New Roman" w:cs="Times New Roman"/>
          <w:b/>
          <w:bCs/>
          <w:snapToGrid w:val="0"/>
          <w:color w:val="auto"/>
          <w:kern w:val="0"/>
          <w:sz w:val="30"/>
          <w:szCs w:val="30"/>
          <w:highlight w:val="none"/>
        </w:rPr>
        <w:t>环境保护措施监督检查清单</w:t>
      </w:r>
    </w:p>
    <w:tbl>
      <w:tblPr>
        <w:tblStyle w:val="20"/>
        <w:tblW w:w="850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509"/>
        <w:gridCol w:w="1375"/>
        <w:gridCol w:w="1779"/>
        <w:gridCol w:w="2218"/>
      </w:tblGrid>
      <w:tr w14:paraId="54135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624" w:type="dxa"/>
            <w:tcBorders>
              <w:tl2br w:val="single" w:color="auto" w:sz="4" w:space="0"/>
            </w:tcBorders>
            <w:vAlign w:val="center"/>
          </w:tcPr>
          <w:p w14:paraId="14F3B01E">
            <w:pPr>
              <w:adjustRightInd w:val="0"/>
              <w:snapToGrid w:val="0"/>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w:t>
            </w:r>
          </w:p>
          <w:p w14:paraId="115BF699">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要素</w:t>
            </w:r>
          </w:p>
        </w:tc>
        <w:tc>
          <w:tcPr>
            <w:tcW w:w="1509" w:type="dxa"/>
            <w:vAlign w:val="center"/>
          </w:tcPr>
          <w:p w14:paraId="5921ED4B">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排放口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编号、名称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/污染源</w:t>
            </w:r>
          </w:p>
        </w:tc>
        <w:tc>
          <w:tcPr>
            <w:tcW w:w="1375" w:type="dxa"/>
            <w:vAlign w:val="center"/>
          </w:tcPr>
          <w:p w14:paraId="5C111A95">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污染物项目</w:t>
            </w:r>
          </w:p>
        </w:tc>
        <w:tc>
          <w:tcPr>
            <w:tcW w:w="1779" w:type="dxa"/>
            <w:vAlign w:val="center"/>
          </w:tcPr>
          <w:p w14:paraId="40247352">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环境保护措施</w:t>
            </w:r>
          </w:p>
        </w:tc>
        <w:tc>
          <w:tcPr>
            <w:tcW w:w="2218" w:type="dxa"/>
            <w:vAlign w:val="center"/>
          </w:tcPr>
          <w:p w14:paraId="6BB18045">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执行标准</w:t>
            </w:r>
          </w:p>
        </w:tc>
      </w:tr>
      <w:tr w14:paraId="34A5C8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4" w:type="dxa"/>
            <w:vAlign w:val="center"/>
          </w:tcPr>
          <w:p w14:paraId="2A53F4C3">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大气环境</w:t>
            </w:r>
          </w:p>
        </w:tc>
        <w:tc>
          <w:tcPr>
            <w:tcW w:w="1509" w:type="dxa"/>
            <w:tcBorders>
              <w:top w:val="single" w:color="auto" w:sz="4" w:space="0"/>
              <w:left w:val="single" w:color="auto" w:sz="4" w:space="0"/>
              <w:right w:val="single" w:color="auto" w:sz="4" w:space="0"/>
            </w:tcBorders>
            <w:vAlign w:val="center"/>
          </w:tcPr>
          <w:p w14:paraId="2F304D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危废暂存库</w:t>
            </w:r>
          </w:p>
        </w:tc>
        <w:tc>
          <w:tcPr>
            <w:tcW w:w="1375" w:type="dxa"/>
            <w:tcBorders>
              <w:top w:val="single" w:color="auto" w:sz="4" w:space="0"/>
              <w:left w:val="single" w:color="auto" w:sz="4" w:space="0"/>
              <w:bottom w:val="single" w:color="auto" w:sz="4" w:space="0"/>
              <w:right w:val="single" w:color="auto" w:sz="4" w:space="0"/>
            </w:tcBorders>
            <w:vAlign w:val="center"/>
          </w:tcPr>
          <w:p w14:paraId="4667133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非甲烷总烃</w:t>
            </w:r>
          </w:p>
        </w:tc>
        <w:tc>
          <w:tcPr>
            <w:tcW w:w="1779" w:type="dxa"/>
            <w:tcBorders>
              <w:top w:val="single" w:color="auto" w:sz="4" w:space="0"/>
              <w:left w:val="single" w:color="auto" w:sz="4" w:space="0"/>
              <w:bottom w:val="single" w:color="auto" w:sz="4" w:space="0"/>
              <w:right w:val="single" w:color="auto" w:sz="4" w:space="0"/>
            </w:tcBorders>
            <w:vAlign w:val="center"/>
          </w:tcPr>
          <w:p w14:paraId="71ECFD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废矿物油盛放桶加盖密封，及时清运</w:t>
            </w:r>
          </w:p>
        </w:tc>
        <w:tc>
          <w:tcPr>
            <w:tcW w:w="2218" w:type="dxa"/>
            <w:vAlign w:val="center"/>
          </w:tcPr>
          <w:p w14:paraId="53BB79AF">
            <w:pP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《大气污染物综合排放标准》（GB16297-1996）中无组织排放监控浓度限值</w:t>
            </w:r>
            <w:r>
              <w:rPr>
                <w:rFonts w:hint="eastAsia" w:ascii="宋体" w:hAnsi="宋体" w:eastAsia="宋体" w:cs="宋体"/>
                <w:color w:val="auto"/>
                <w:sz w:val="21"/>
                <w:szCs w:val="21"/>
                <w:highlight w:val="none"/>
                <w:lang w:val="en-US" w:eastAsia="zh-CN"/>
              </w:rPr>
              <w:t>及《挥发性有机物无组织排放控制标准》（GB37822-2019）</w:t>
            </w:r>
          </w:p>
        </w:tc>
      </w:tr>
      <w:tr w14:paraId="64EE8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624" w:type="dxa"/>
            <w:vAlign w:val="center"/>
          </w:tcPr>
          <w:p w14:paraId="0A7A06B2">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地表水环境</w:t>
            </w:r>
          </w:p>
        </w:tc>
        <w:tc>
          <w:tcPr>
            <w:tcW w:w="6881" w:type="dxa"/>
            <w:gridSpan w:val="4"/>
            <w:tcBorders>
              <w:top w:val="single" w:color="auto" w:sz="4" w:space="0"/>
              <w:left w:val="single" w:color="auto" w:sz="4" w:space="0"/>
            </w:tcBorders>
            <w:vAlign w:val="center"/>
          </w:tcPr>
          <w:p w14:paraId="0DA7E5BC">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3871C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66" w:hRule="atLeast"/>
          <w:jc w:val="center"/>
        </w:trPr>
        <w:tc>
          <w:tcPr>
            <w:tcW w:w="1624" w:type="dxa"/>
            <w:vAlign w:val="center"/>
          </w:tcPr>
          <w:p w14:paraId="0F4C10A3">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声环境</w:t>
            </w:r>
          </w:p>
        </w:tc>
        <w:tc>
          <w:tcPr>
            <w:tcW w:w="1509" w:type="dxa"/>
            <w:vAlign w:val="center"/>
          </w:tcPr>
          <w:p w14:paraId="25E7FA0F">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叉车、收油罐车等噪声</w:t>
            </w:r>
          </w:p>
        </w:tc>
        <w:tc>
          <w:tcPr>
            <w:tcW w:w="1375" w:type="dxa"/>
            <w:vAlign w:val="center"/>
          </w:tcPr>
          <w:p w14:paraId="3C659AAC">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噪声</w:t>
            </w:r>
          </w:p>
        </w:tc>
        <w:tc>
          <w:tcPr>
            <w:tcW w:w="1779" w:type="dxa"/>
            <w:vAlign w:val="center"/>
          </w:tcPr>
          <w:p w14:paraId="25136E02">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运输车辆限速，搬运过程轻拿轻放，库房采取墙体隔振</w:t>
            </w:r>
          </w:p>
        </w:tc>
        <w:tc>
          <w:tcPr>
            <w:tcW w:w="2218" w:type="dxa"/>
            <w:vAlign w:val="center"/>
          </w:tcPr>
          <w:p w14:paraId="7B89C876">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厂界噪声标准执行《工业企业厂界环境噪声排放标准》（GB12348-2008）</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类标准</w:t>
            </w:r>
          </w:p>
        </w:tc>
      </w:tr>
      <w:tr w14:paraId="70935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4" w:type="dxa"/>
            <w:vAlign w:val="center"/>
          </w:tcPr>
          <w:p w14:paraId="455CCAC9">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电磁辐射</w:t>
            </w:r>
          </w:p>
        </w:tc>
        <w:tc>
          <w:tcPr>
            <w:tcW w:w="1509" w:type="dxa"/>
            <w:vAlign w:val="center"/>
          </w:tcPr>
          <w:p w14:paraId="3558CF8B">
            <w:pPr>
              <w:adjustRightInd w:val="0"/>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p>
        </w:tc>
        <w:tc>
          <w:tcPr>
            <w:tcW w:w="1375" w:type="dxa"/>
            <w:vAlign w:val="center"/>
          </w:tcPr>
          <w:p w14:paraId="036B9662">
            <w:pPr>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p>
        </w:tc>
        <w:tc>
          <w:tcPr>
            <w:tcW w:w="1779" w:type="dxa"/>
            <w:vAlign w:val="center"/>
          </w:tcPr>
          <w:p w14:paraId="59A4B109">
            <w:pPr>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p>
        </w:tc>
        <w:tc>
          <w:tcPr>
            <w:tcW w:w="2218" w:type="dxa"/>
            <w:vAlign w:val="center"/>
          </w:tcPr>
          <w:p w14:paraId="2FC43F61">
            <w:pPr>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p>
        </w:tc>
      </w:tr>
      <w:tr w14:paraId="5A931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624" w:type="dxa"/>
            <w:vMerge w:val="restart"/>
            <w:vAlign w:val="center"/>
          </w:tcPr>
          <w:p w14:paraId="1C5E632B">
            <w:pPr>
              <w:adjustRightInd w:val="0"/>
              <w:snapToGrid w:val="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固体废物</w:t>
            </w:r>
          </w:p>
        </w:tc>
        <w:tc>
          <w:tcPr>
            <w:tcW w:w="1509" w:type="dxa"/>
            <w:tcBorders>
              <w:bottom w:val="single" w:color="auto" w:sz="8" w:space="0"/>
            </w:tcBorders>
            <w:vAlign w:val="center"/>
          </w:tcPr>
          <w:p w14:paraId="6CD492CF">
            <w:pPr>
              <w:adjustRightInd w:val="0"/>
              <w:snapToGrid w:val="0"/>
              <w:jc w:val="center"/>
              <w:rPr>
                <w:rFonts w:hint="eastAsia" w:ascii="宋体" w:hAnsi="宋体" w:eastAsia="宋体" w:cs="宋体"/>
                <w:b/>
                <w:color w:val="0000FF"/>
                <w:sz w:val="21"/>
                <w:szCs w:val="21"/>
                <w:highlight w:val="none"/>
              </w:rPr>
            </w:pPr>
            <w:r>
              <w:rPr>
                <w:rFonts w:hint="eastAsia" w:ascii="宋体" w:hAnsi="宋体" w:eastAsia="宋体" w:cs="宋体"/>
                <w:color w:val="0000FF"/>
                <w:sz w:val="21"/>
                <w:szCs w:val="21"/>
                <w:highlight w:val="none"/>
              </w:rPr>
              <w:t>废矿物油（</w:t>
            </w:r>
            <w:r>
              <w:rPr>
                <w:rFonts w:hint="eastAsia" w:ascii="宋体" w:hAnsi="宋体" w:eastAsia="宋体" w:cs="宋体"/>
                <w:color w:val="0000FF"/>
                <w:sz w:val="21"/>
                <w:szCs w:val="21"/>
                <w:highlight w:val="none"/>
                <w:lang w:val="en-US" w:eastAsia="zh-CN"/>
              </w:rPr>
              <w:t>废润滑油、废液压油</w:t>
            </w:r>
            <w:r>
              <w:rPr>
                <w:rFonts w:hint="eastAsia" w:ascii="宋体" w:hAnsi="宋体" w:eastAsia="宋体" w:cs="宋体"/>
                <w:color w:val="0000FF"/>
                <w:sz w:val="21"/>
                <w:szCs w:val="21"/>
                <w:highlight w:val="none"/>
              </w:rPr>
              <w:t>）</w:t>
            </w:r>
          </w:p>
        </w:tc>
        <w:tc>
          <w:tcPr>
            <w:tcW w:w="3154" w:type="dxa"/>
            <w:gridSpan w:val="2"/>
            <w:vMerge w:val="restart"/>
            <w:vAlign w:val="center"/>
          </w:tcPr>
          <w:p w14:paraId="0BA81E62">
            <w:pPr>
              <w:jc w:val="center"/>
              <w:rPr>
                <w:rFonts w:hint="eastAsia" w:ascii="宋体" w:hAnsi="宋体" w:eastAsia="宋体" w:cs="宋体"/>
                <w:b/>
                <w:color w:val="0000FF"/>
                <w:sz w:val="21"/>
                <w:szCs w:val="21"/>
                <w:highlight w:val="none"/>
              </w:rPr>
            </w:pPr>
            <w:r>
              <w:rPr>
                <w:rFonts w:hint="eastAsia" w:ascii="宋体" w:hAnsi="宋体" w:eastAsia="宋体" w:cs="宋体"/>
                <w:color w:val="0000FF"/>
                <w:kern w:val="0"/>
                <w:sz w:val="21"/>
                <w:szCs w:val="21"/>
                <w:highlight w:val="none"/>
              </w:rPr>
              <w:t>建设危废暂存库，分为废矿物油区、废包装区，不同种类废物分开存放，并委托有资质单位处置</w:t>
            </w:r>
          </w:p>
        </w:tc>
        <w:tc>
          <w:tcPr>
            <w:tcW w:w="2218" w:type="dxa"/>
            <w:vMerge w:val="restart"/>
            <w:vAlign w:val="center"/>
          </w:tcPr>
          <w:p w14:paraId="43D990BF">
            <w:pPr>
              <w:jc w:val="center"/>
              <w:rPr>
                <w:rFonts w:hint="eastAsia" w:ascii="宋体" w:hAnsi="宋体" w:eastAsia="宋体" w:cs="宋体"/>
                <w:b/>
                <w:color w:val="0000FF"/>
                <w:sz w:val="21"/>
                <w:szCs w:val="21"/>
                <w:highlight w:val="none"/>
              </w:rPr>
            </w:pPr>
            <w:r>
              <w:rPr>
                <w:rFonts w:hint="eastAsia" w:ascii="宋体" w:hAnsi="宋体" w:eastAsia="宋体" w:cs="宋体"/>
                <w:color w:val="0000FF"/>
                <w:kern w:val="0"/>
                <w:sz w:val="21"/>
                <w:szCs w:val="21"/>
                <w:highlight w:val="none"/>
              </w:rPr>
              <w:t>《危险废物贮存污染控制标准》（GB18597-20</w:t>
            </w:r>
            <w:r>
              <w:rPr>
                <w:rFonts w:hint="eastAsia" w:ascii="宋体" w:hAnsi="宋体" w:eastAsia="宋体" w:cs="宋体"/>
                <w:color w:val="0000FF"/>
                <w:kern w:val="0"/>
                <w:sz w:val="21"/>
                <w:szCs w:val="21"/>
                <w:highlight w:val="none"/>
                <w:lang w:val="en-US" w:eastAsia="zh-CN"/>
              </w:rPr>
              <w:t>23</w:t>
            </w:r>
            <w:r>
              <w:rPr>
                <w:rFonts w:hint="eastAsia" w:ascii="宋体" w:hAnsi="宋体" w:eastAsia="宋体" w:cs="宋体"/>
                <w:color w:val="0000FF"/>
                <w:kern w:val="0"/>
                <w:sz w:val="21"/>
                <w:szCs w:val="21"/>
                <w:highlight w:val="none"/>
              </w:rPr>
              <w:t>）</w:t>
            </w:r>
          </w:p>
        </w:tc>
      </w:tr>
      <w:tr w14:paraId="514D38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624" w:type="dxa"/>
            <w:vMerge w:val="continue"/>
            <w:vAlign w:val="center"/>
          </w:tcPr>
          <w:p w14:paraId="21027002">
            <w:pPr>
              <w:adjustRightInd w:val="0"/>
              <w:snapToGrid w:val="0"/>
              <w:jc w:val="center"/>
              <w:rPr>
                <w:rFonts w:hint="eastAsia" w:ascii="宋体" w:hAnsi="宋体" w:eastAsia="宋体" w:cs="宋体"/>
                <w:color w:val="auto"/>
                <w:sz w:val="21"/>
                <w:szCs w:val="21"/>
                <w:highlight w:val="none"/>
              </w:rPr>
            </w:pPr>
          </w:p>
        </w:tc>
        <w:tc>
          <w:tcPr>
            <w:tcW w:w="1509" w:type="dxa"/>
            <w:tcBorders>
              <w:bottom w:val="single" w:color="auto" w:sz="8" w:space="0"/>
            </w:tcBorders>
            <w:vAlign w:val="center"/>
          </w:tcPr>
          <w:p w14:paraId="2BFAAA05">
            <w:pPr>
              <w:adjustRightInd w:val="0"/>
              <w:snapToGrid w:val="0"/>
              <w:jc w:val="center"/>
              <w:rPr>
                <w:rFonts w:hint="eastAsia" w:ascii="宋体" w:hAnsi="宋体" w:eastAsia="宋体" w:cs="宋体"/>
                <w:color w:val="0000FF"/>
                <w:sz w:val="21"/>
                <w:szCs w:val="21"/>
                <w:highlight w:val="none"/>
              </w:rPr>
            </w:pPr>
            <w:r>
              <w:rPr>
                <w:rFonts w:hint="eastAsia" w:ascii="宋体" w:hAnsi="宋体" w:eastAsia="宋体" w:cs="宋体"/>
                <w:color w:val="0000FF"/>
                <w:sz w:val="21"/>
                <w:szCs w:val="21"/>
                <w:highlight w:val="none"/>
              </w:rPr>
              <w:t>废包装</w:t>
            </w:r>
          </w:p>
          <w:p w14:paraId="0C24A3DE">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0000FF"/>
                <w:sz w:val="21"/>
                <w:szCs w:val="21"/>
                <w:highlight w:val="none"/>
              </w:rPr>
              <w:t>（废油桶）</w:t>
            </w:r>
          </w:p>
        </w:tc>
        <w:tc>
          <w:tcPr>
            <w:tcW w:w="3154" w:type="dxa"/>
            <w:gridSpan w:val="2"/>
            <w:vMerge w:val="continue"/>
            <w:vAlign w:val="center"/>
          </w:tcPr>
          <w:p w14:paraId="35E8612F">
            <w:pPr>
              <w:jc w:val="center"/>
              <w:rPr>
                <w:rFonts w:hint="eastAsia" w:ascii="宋体" w:hAnsi="宋体" w:eastAsia="宋体" w:cs="宋体"/>
                <w:b/>
                <w:color w:val="auto"/>
                <w:sz w:val="21"/>
                <w:szCs w:val="21"/>
                <w:highlight w:val="none"/>
              </w:rPr>
            </w:pPr>
          </w:p>
        </w:tc>
        <w:tc>
          <w:tcPr>
            <w:tcW w:w="2218" w:type="dxa"/>
            <w:vMerge w:val="continue"/>
            <w:vAlign w:val="center"/>
          </w:tcPr>
          <w:p w14:paraId="597E377E">
            <w:pPr>
              <w:jc w:val="center"/>
              <w:rPr>
                <w:rFonts w:hint="eastAsia" w:ascii="宋体" w:hAnsi="宋体" w:eastAsia="宋体" w:cs="宋体"/>
                <w:b/>
                <w:color w:val="auto"/>
                <w:sz w:val="21"/>
                <w:szCs w:val="21"/>
                <w:highlight w:val="none"/>
              </w:rPr>
            </w:pPr>
          </w:p>
        </w:tc>
      </w:tr>
      <w:tr w14:paraId="2630B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4" w:type="dxa"/>
            <w:vMerge w:val="continue"/>
            <w:vAlign w:val="center"/>
          </w:tcPr>
          <w:p w14:paraId="6995C650">
            <w:pPr>
              <w:adjustRightInd w:val="0"/>
              <w:snapToGrid w:val="0"/>
              <w:jc w:val="center"/>
              <w:rPr>
                <w:rFonts w:hint="eastAsia" w:ascii="宋体" w:hAnsi="宋体" w:eastAsia="宋体" w:cs="宋体"/>
                <w:color w:val="auto"/>
                <w:sz w:val="21"/>
                <w:szCs w:val="21"/>
                <w:highlight w:val="none"/>
              </w:rPr>
            </w:pPr>
          </w:p>
        </w:tc>
        <w:tc>
          <w:tcPr>
            <w:tcW w:w="6881" w:type="dxa"/>
            <w:gridSpan w:val="4"/>
            <w:vAlign w:val="center"/>
          </w:tcPr>
          <w:p w14:paraId="18E8553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0000FF"/>
                <w:sz w:val="21"/>
                <w:szCs w:val="21"/>
                <w:highlight w:val="none"/>
              </w:rPr>
              <w:t>在危险废物转运过程中会产生一定量的</w:t>
            </w:r>
            <w:r>
              <w:rPr>
                <w:rFonts w:hint="eastAsia" w:ascii="宋体" w:hAnsi="宋体" w:eastAsia="宋体" w:cs="宋体"/>
                <w:color w:val="0000FF"/>
                <w:kern w:val="0"/>
                <w:sz w:val="21"/>
                <w:szCs w:val="21"/>
                <w:highlight w:val="none"/>
              </w:rPr>
              <w:t>沾染废</w:t>
            </w:r>
            <w:r>
              <w:rPr>
                <w:rFonts w:hint="eastAsia" w:ascii="宋体" w:hAnsi="宋体" w:cs="宋体"/>
                <w:color w:val="0000FF"/>
                <w:kern w:val="0"/>
                <w:sz w:val="21"/>
                <w:szCs w:val="21"/>
                <w:highlight w:val="none"/>
                <w:lang w:val="en-US" w:eastAsia="zh-CN"/>
              </w:rPr>
              <w:t>矿</w:t>
            </w:r>
            <w:r>
              <w:rPr>
                <w:rFonts w:hint="eastAsia" w:ascii="宋体" w:hAnsi="宋体" w:eastAsia="宋体" w:cs="宋体"/>
                <w:color w:val="0000FF"/>
                <w:kern w:val="0"/>
                <w:sz w:val="21"/>
                <w:szCs w:val="21"/>
                <w:highlight w:val="none"/>
              </w:rPr>
              <w:t>物油的劳保用品</w:t>
            </w:r>
            <w:r>
              <w:rPr>
                <w:rFonts w:hint="eastAsia" w:ascii="宋体" w:hAnsi="宋体" w:cs="宋体"/>
                <w:color w:val="0000FF"/>
                <w:kern w:val="0"/>
                <w:sz w:val="21"/>
                <w:szCs w:val="21"/>
                <w:highlight w:val="none"/>
                <w:lang w:eastAsia="zh-CN"/>
              </w:rPr>
              <w:t>，</w:t>
            </w:r>
            <w:r>
              <w:rPr>
                <w:rFonts w:hint="eastAsia" w:ascii="宋体" w:hAnsi="宋体" w:eastAsia="宋体" w:cs="宋体"/>
                <w:color w:val="0000FF"/>
                <w:sz w:val="21"/>
                <w:szCs w:val="21"/>
                <w:highlight w:val="none"/>
              </w:rPr>
              <w:t>根据《国家危险废物名录》（2025年版），全部环节未分类收集的废弃的</w:t>
            </w:r>
            <w:r>
              <w:rPr>
                <w:rFonts w:hint="eastAsia" w:ascii="宋体" w:hAnsi="宋体" w:eastAsia="宋体" w:cs="宋体"/>
                <w:color w:val="0000FF"/>
                <w:kern w:val="0"/>
                <w:sz w:val="21"/>
                <w:szCs w:val="21"/>
                <w:highlight w:val="none"/>
              </w:rPr>
              <w:t>沾染废</w:t>
            </w:r>
            <w:r>
              <w:rPr>
                <w:rFonts w:hint="eastAsia" w:ascii="宋体" w:hAnsi="宋体" w:cs="宋体"/>
                <w:color w:val="0000FF"/>
                <w:kern w:val="0"/>
                <w:sz w:val="21"/>
                <w:szCs w:val="21"/>
                <w:highlight w:val="none"/>
                <w:lang w:val="en-US" w:eastAsia="zh-CN"/>
              </w:rPr>
              <w:t>矿</w:t>
            </w:r>
            <w:r>
              <w:rPr>
                <w:rFonts w:hint="eastAsia" w:ascii="宋体" w:hAnsi="宋体" w:eastAsia="宋体" w:cs="宋体"/>
                <w:color w:val="0000FF"/>
                <w:kern w:val="0"/>
                <w:sz w:val="21"/>
                <w:szCs w:val="21"/>
                <w:highlight w:val="none"/>
              </w:rPr>
              <w:t>物油的劳保用品</w:t>
            </w:r>
            <w:r>
              <w:rPr>
                <w:rFonts w:hint="eastAsia" w:ascii="宋体" w:hAnsi="宋体" w:eastAsia="宋体" w:cs="宋体"/>
                <w:color w:val="0000FF"/>
                <w:sz w:val="21"/>
                <w:szCs w:val="21"/>
                <w:highlight w:val="none"/>
              </w:rPr>
              <w:t>全过程不按危险废物管理，因此统一收集后由环卫部门统一清理。</w:t>
            </w:r>
          </w:p>
        </w:tc>
      </w:tr>
      <w:tr w14:paraId="3737C8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624" w:type="dxa"/>
            <w:vAlign w:val="center"/>
          </w:tcPr>
          <w:p w14:paraId="6DCE7AED">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土壤及地下水</w:t>
            </w:r>
          </w:p>
          <w:p w14:paraId="24DDF190">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污染防治措施</w:t>
            </w:r>
          </w:p>
        </w:tc>
        <w:tc>
          <w:tcPr>
            <w:tcW w:w="6881" w:type="dxa"/>
            <w:gridSpan w:val="4"/>
            <w:vAlign w:val="center"/>
          </w:tcPr>
          <w:p w14:paraId="5A6DA452">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项目区地面进行硬化、防渗处理，具体防渗措施自下而上分别为：</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0cm</w:t>
            </w:r>
            <w:r>
              <w:rPr>
                <w:rFonts w:hint="eastAsia" w:ascii="宋体" w:hAnsi="宋体" w:eastAsia="宋体" w:cs="宋体"/>
                <w:color w:val="auto"/>
                <w:sz w:val="21"/>
                <w:szCs w:val="21"/>
                <w:highlight w:val="none"/>
                <w:lang w:val="en-US" w:eastAsia="zh-CN"/>
              </w:rPr>
              <w:t>防渗水泥砂浆，</w:t>
            </w:r>
            <w:r>
              <w:rPr>
                <w:rFonts w:hint="eastAsia" w:ascii="宋体" w:hAnsi="宋体" w:eastAsia="宋体" w:cs="宋体"/>
                <w:color w:val="auto"/>
                <w:sz w:val="21"/>
                <w:szCs w:val="21"/>
                <w:highlight w:val="none"/>
              </w:rPr>
              <w:t>后铺设SBS防水层＋5cm的混凝土基础层+</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mmHDPE土工膜（地面+导流渠+四周墙壁高800mm）+5cm防渗砂浆地面找平层＋绿色0.2mm的环氧地坪层处理；防渗满足渗透系数≤1.0×10</w:t>
            </w:r>
            <w:r>
              <w:rPr>
                <w:rFonts w:hint="eastAsia" w:ascii="宋体" w:hAnsi="宋体" w:eastAsia="宋体" w:cs="宋体"/>
                <w:color w:val="auto"/>
                <w:sz w:val="21"/>
                <w:szCs w:val="21"/>
                <w:highlight w:val="none"/>
                <w:vertAlign w:val="superscript"/>
              </w:rPr>
              <w:t>-10</w:t>
            </w:r>
            <w:r>
              <w:rPr>
                <w:rFonts w:hint="eastAsia" w:ascii="宋体" w:hAnsi="宋体" w:eastAsia="宋体" w:cs="宋体"/>
                <w:color w:val="auto"/>
                <w:sz w:val="21"/>
                <w:szCs w:val="21"/>
                <w:highlight w:val="none"/>
              </w:rPr>
              <w:t>cm/s。满足</w:t>
            </w:r>
            <w:r>
              <w:rPr>
                <w:rFonts w:hint="eastAsia" w:ascii="宋体" w:hAnsi="宋体" w:eastAsia="宋体" w:cs="宋体"/>
                <w:bCs/>
                <w:color w:val="auto"/>
                <w:sz w:val="21"/>
                <w:szCs w:val="21"/>
                <w:highlight w:val="none"/>
              </w:rPr>
              <w:t>《危险废物贮存污染控制标准》（GB18597-20</w:t>
            </w:r>
            <w:r>
              <w:rPr>
                <w:rFonts w:hint="eastAsia" w:ascii="宋体" w:hAnsi="宋体" w:eastAsia="宋体" w:cs="宋体"/>
                <w:bCs/>
                <w:color w:val="auto"/>
                <w:sz w:val="21"/>
                <w:szCs w:val="21"/>
                <w:highlight w:val="none"/>
                <w:lang w:val="en-US" w:eastAsia="zh-CN"/>
              </w:rPr>
              <w:t>23</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中的防渗要求。</w:t>
            </w:r>
          </w:p>
          <w:p w14:paraId="7EAF64F6">
            <w:pPr>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项目区设危废的收集池与导流槽，用于收集环境事故时的库区泄漏有机废矿物油。采取上述措施后，项目的建设对周围土壤及地下水环境影响不大。</w:t>
            </w:r>
          </w:p>
        </w:tc>
      </w:tr>
      <w:tr w14:paraId="2C138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624" w:type="dxa"/>
            <w:vAlign w:val="center"/>
          </w:tcPr>
          <w:p w14:paraId="5A24211A">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生态保护措施</w:t>
            </w:r>
          </w:p>
        </w:tc>
        <w:tc>
          <w:tcPr>
            <w:tcW w:w="6881" w:type="dxa"/>
            <w:gridSpan w:val="4"/>
            <w:vAlign w:val="center"/>
          </w:tcPr>
          <w:p w14:paraId="7D79681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施工期严格控制工程作业范围，尽可能</w:t>
            </w:r>
            <w:r>
              <w:rPr>
                <w:rFonts w:hint="eastAsia" w:ascii="宋体" w:hAnsi="宋体" w:eastAsia="宋体" w:cs="宋体"/>
                <w:color w:val="auto"/>
                <w:sz w:val="21"/>
                <w:szCs w:val="21"/>
                <w:highlight w:val="none"/>
                <w:lang w:eastAsia="zh-CN"/>
              </w:rPr>
              <w:t>地</w:t>
            </w:r>
            <w:r>
              <w:rPr>
                <w:rFonts w:hint="eastAsia" w:ascii="宋体" w:hAnsi="宋体" w:eastAsia="宋体" w:cs="宋体"/>
                <w:color w:val="auto"/>
                <w:sz w:val="21"/>
                <w:szCs w:val="21"/>
                <w:highlight w:val="none"/>
              </w:rPr>
              <w:t>将影响范围控制在最低限度。施工中临时堆放的土方要用苫布遮盖，避免造成水土流失。</w:t>
            </w:r>
          </w:p>
        </w:tc>
      </w:tr>
      <w:tr w14:paraId="554D3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624" w:type="dxa"/>
            <w:vAlign w:val="center"/>
          </w:tcPr>
          <w:p w14:paraId="759578E8">
            <w:pPr>
              <w:adjustRightInd w:val="0"/>
              <w:snapToGrid w:val="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环境风险</w:t>
            </w:r>
          </w:p>
          <w:p w14:paraId="55CBFC0F">
            <w:pPr>
              <w:adjustRightInd w:val="0"/>
              <w:snapToGrid w:val="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防范措施</w:t>
            </w:r>
          </w:p>
        </w:tc>
        <w:tc>
          <w:tcPr>
            <w:tcW w:w="6881" w:type="dxa"/>
            <w:gridSpan w:val="4"/>
            <w:vAlign w:val="center"/>
          </w:tcPr>
          <w:p w14:paraId="58B27B10">
            <w:pPr>
              <w:adjustRightInd w:val="0"/>
              <w:snapToGrid w:val="0"/>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危险废物暂存库设置导流槽、收集池，库房地面向导流槽的倾斜度为2%，收集事故状态下泄漏的有机废矿物油；废油桶设置警示标志，危险废物标识参照</w:t>
            </w:r>
            <w:r>
              <w:rPr>
                <w:rFonts w:hint="eastAsia" w:ascii="宋体" w:hAnsi="宋体" w:eastAsia="宋体" w:cs="宋体"/>
                <w:color w:val="auto"/>
                <w:sz w:val="21"/>
                <w:szCs w:val="21"/>
                <w:highlight w:val="none"/>
                <w:lang w:val="en-US" w:eastAsia="zh-CN"/>
              </w:rPr>
              <w:t>HJ 1276—2022</w:t>
            </w:r>
            <w:r>
              <w:rPr>
                <w:rFonts w:hint="eastAsia" w:ascii="宋体" w:hAnsi="宋体" w:eastAsia="宋体" w:cs="宋体"/>
                <w:color w:val="auto"/>
                <w:sz w:val="21"/>
                <w:szCs w:val="21"/>
                <w:highlight w:val="none"/>
              </w:rPr>
              <w:t>危险废物标签设置。</w:t>
            </w:r>
          </w:p>
        </w:tc>
      </w:tr>
      <w:tr w14:paraId="50BE91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624" w:type="dxa"/>
            <w:vAlign w:val="center"/>
          </w:tcPr>
          <w:p w14:paraId="3AE2D5CD">
            <w:pPr>
              <w:adjustRightInd w:val="0"/>
              <w:snapToGrid w:val="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其他环境</w:t>
            </w:r>
          </w:p>
          <w:p w14:paraId="1F3952CA">
            <w:pPr>
              <w:adjustRightInd w:val="0"/>
              <w:snapToGrid w:val="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管理要求</w:t>
            </w:r>
          </w:p>
        </w:tc>
        <w:tc>
          <w:tcPr>
            <w:tcW w:w="6881" w:type="dxa"/>
            <w:gridSpan w:val="4"/>
            <w:vAlign w:val="center"/>
          </w:tcPr>
          <w:p w14:paraId="6815CF0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建设单位应建立健全环境保护管理规章制度，加强环境管理，杜绝发生污染事故，并严格接受环境保护主管部门的日常监督管理。</w:t>
            </w:r>
          </w:p>
        </w:tc>
      </w:tr>
    </w:tbl>
    <w:p w14:paraId="2B38006C">
      <w:pPr>
        <w:pStyle w:val="5"/>
        <w:ind w:left="0" w:leftChars="0" w:firstLine="0" w:firstLineChars="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br w:type="page"/>
      </w:r>
    </w:p>
    <w:p w14:paraId="5A6F4C79">
      <w:pPr>
        <w:pStyle w:val="31"/>
        <w:widowControl/>
        <w:numPr>
          <w:ilvl w:val="0"/>
          <w:numId w:val="2"/>
        </w:numPr>
        <w:spacing w:before="100" w:beforeAutospacing="1" w:after="100" w:afterAutospacing="1"/>
        <w:ind w:firstLineChars="0"/>
        <w:jc w:val="center"/>
        <w:outlineLvl w:val="0"/>
        <w:rPr>
          <w:rFonts w:hint="default" w:ascii="Times New Roman" w:hAnsi="Times New Roman" w:cs="Times New Roman"/>
          <w:b/>
          <w:bCs/>
          <w:snapToGrid w:val="0"/>
          <w:color w:val="auto"/>
          <w:kern w:val="0"/>
          <w:sz w:val="30"/>
          <w:szCs w:val="30"/>
          <w:highlight w:val="none"/>
        </w:rPr>
      </w:pPr>
      <w:r>
        <w:rPr>
          <w:rFonts w:hint="default" w:ascii="Times New Roman" w:hAnsi="Times New Roman" w:cs="Times New Roman"/>
          <w:b/>
          <w:bCs/>
          <w:snapToGrid w:val="0"/>
          <w:color w:val="auto"/>
          <w:kern w:val="0"/>
          <w:sz w:val="30"/>
          <w:szCs w:val="30"/>
          <w:highlight w:val="none"/>
        </w:rPr>
        <w:t>结论</w:t>
      </w:r>
    </w:p>
    <w:tbl>
      <w:tblPr>
        <w:tblStyle w:val="20"/>
        <w:tblW w:w="850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0C5BD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74" w:hRule="exact"/>
          <w:jc w:val="center"/>
        </w:trPr>
        <w:tc>
          <w:tcPr>
            <w:tcW w:w="8865" w:type="dxa"/>
          </w:tcPr>
          <w:p w14:paraId="58715D8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综上所述，本项目选址合理，符合产业政策以及“三线一单”的要求。本项目运营期不可避免</w:t>
            </w:r>
            <w:r>
              <w:rPr>
                <w:rFonts w:hint="eastAsia" w:ascii="Times New Roman" w:hAnsi="Times New Roman" w:cs="Times New Roman"/>
                <w:color w:val="auto"/>
                <w:sz w:val="24"/>
                <w:highlight w:val="none"/>
                <w:lang w:eastAsia="zh-CN"/>
              </w:rPr>
              <w:t>地</w:t>
            </w:r>
            <w:r>
              <w:rPr>
                <w:rFonts w:hint="default" w:ascii="Times New Roman" w:hAnsi="Times New Roman" w:cs="Times New Roman"/>
                <w:color w:val="auto"/>
                <w:sz w:val="24"/>
                <w:highlight w:val="none"/>
              </w:rPr>
              <w:t>会对周围环境产生影响，在认真落实本报告中提出的各项污染防治措施及建议的前提下，加强环境管理，其废气、废水、噪声、固体废弃物等对周围环境的影响控制在可接受范围内，从环境保护角度分析，该建设项目可行。</w:t>
            </w:r>
          </w:p>
        </w:tc>
      </w:tr>
    </w:tbl>
    <w:p w14:paraId="457ABA21">
      <w:pPr>
        <w:rPr>
          <w:rFonts w:hint="default" w:ascii="Times New Roman" w:hAnsi="Times New Roman" w:cs="Times New Roman"/>
          <w:snapToGrid w:val="0"/>
          <w:color w:val="auto"/>
          <w:highlight w:val="none"/>
        </w:rPr>
        <w:sectPr>
          <w:footerReference r:id="rId5" w:type="default"/>
          <w:pgSz w:w="11906" w:h="16838"/>
          <w:pgMar w:top="1327" w:right="1800" w:bottom="1327"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14:paraId="25FCA52C">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eastAsia" w:ascii="Times New Roman" w:hAnsi="Times New Roman" w:eastAsia="宋体" w:cs="Times New Roman"/>
          <w:snapToGrid w:val="0"/>
          <w:color w:val="auto"/>
          <w:sz w:val="32"/>
          <w:szCs w:val="32"/>
          <w:highlight w:val="none"/>
          <w:lang w:val="en-US" w:eastAsia="zh-CN"/>
        </w:rPr>
      </w:pPr>
      <w:r>
        <w:rPr>
          <w:rFonts w:hint="default" w:ascii="Times New Roman" w:hAnsi="Times New Roman" w:cs="Times New Roman"/>
          <w:snapToGrid w:val="0"/>
          <w:color w:val="auto"/>
          <w:sz w:val="32"/>
          <w:szCs w:val="32"/>
          <w:highlight w:val="none"/>
        </w:rPr>
        <w:t>附表</w:t>
      </w:r>
      <w:r>
        <w:rPr>
          <w:rFonts w:hint="eastAsia" w:cs="Times New Roman"/>
          <w:snapToGrid w:val="0"/>
          <w:color w:val="auto"/>
          <w:sz w:val="32"/>
          <w:szCs w:val="32"/>
          <w:highlight w:val="none"/>
          <w:lang w:val="en-US" w:eastAsia="zh-CN"/>
        </w:rPr>
        <w:t>1</w:t>
      </w:r>
    </w:p>
    <w:p w14:paraId="4247397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cs="Times New Roman"/>
          <w:snapToGrid w:val="0"/>
          <w:color w:val="auto"/>
          <w:kern w:val="0"/>
          <w:sz w:val="38"/>
          <w:szCs w:val="38"/>
          <w:highlight w:val="none"/>
        </w:rPr>
      </w:pPr>
      <w:r>
        <w:rPr>
          <w:rFonts w:hint="default" w:ascii="Times New Roman" w:hAnsi="Times New Roman" w:cs="Times New Roman"/>
          <w:snapToGrid w:val="0"/>
          <w:color w:val="auto"/>
          <w:kern w:val="0"/>
          <w:sz w:val="38"/>
          <w:szCs w:val="38"/>
          <w:highlight w:val="none"/>
        </w:rPr>
        <w:t>建设项目污染物排放量汇总表</w:t>
      </w:r>
    </w:p>
    <w:tbl>
      <w:tblPr>
        <w:tblStyle w:val="2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03"/>
        <w:gridCol w:w="1182"/>
      </w:tblGrid>
      <w:tr w14:paraId="664E0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tcMar>
              <w:left w:w="28" w:type="dxa"/>
              <w:right w:w="28" w:type="dxa"/>
            </w:tcMar>
            <w:vAlign w:val="center"/>
          </w:tcPr>
          <w:p w14:paraId="6AF7CDE2">
            <w:pPr>
              <w:adjustRightInd w:val="0"/>
              <w:snapToGrid w:val="0"/>
              <w:jc w:val="right"/>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项目</w:t>
            </w:r>
          </w:p>
          <w:p w14:paraId="48D321EE">
            <w:pPr>
              <w:adjustRightInd w:val="0"/>
              <w:snapToGrid w:val="0"/>
              <w:jc w:val="left"/>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分类</w:t>
            </w:r>
          </w:p>
        </w:tc>
        <w:tc>
          <w:tcPr>
            <w:tcW w:w="1417" w:type="dxa"/>
            <w:tcMar>
              <w:left w:w="28" w:type="dxa"/>
              <w:right w:w="28" w:type="dxa"/>
            </w:tcMar>
            <w:vAlign w:val="center"/>
          </w:tcPr>
          <w:p w14:paraId="678C0E5C">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污染物名称</w:t>
            </w:r>
          </w:p>
        </w:tc>
        <w:tc>
          <w:tcPr>
            <w:tcW w:w="1701" w:type="dxa"/>
            <w:tcMar>
              <w:left w:w="28" w:type="dxa"/>
              <w:right w:w="28" w:type="dxa"/>
            </w:tcMar>
            <w:vAlign w:val="center"/>
          </w:tcPr>
          <w:p w14:paraId="544A4DB0">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现有工程</w:t>
            </w:r>
          </w:p>
          <w:p w14:paraId="65476583">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排放量（固体废物产生量）</w:t>
            </w:r>
            <w:r>
              <w:rPr>
                <w:rFonts w:hint="default" w:ascii="Times New Roman" w:hAnsi="Times New Roman" w:cs="Times New Roman"/>
                <w:snapToGrid w:val="0"/>
                <w:color w:val="0000FF"/>
                <w:spacing w:val="-6"/>
                <w:kern w:val="21"/>
                <w:szCs w:val="21"/>
                <w:highlight w:val="none"/>
              </w:rPr>
              <w:fldChar w:fldCharType="begin"/>
            </w:r>
            <w:r>
              <w:rPr>
                <w:rFonts w:hint="default" w:ascii="Times New Roman" w:hAnsi="Times New Roman" w:cs="Times New Roman"/>
                <w:snapToGrid w:val="0"/>
                <w:color w:val="0000FF"/>
                <w:spacing w:val="-6"/>
                <w:kern w:val="21"/>
                <w:szCs w:val="21"/>
                <w:highlight w:val="none"/>
              </w:rPr>
              <w:instrText xml:space="preserve"> = 1 \* GB3 \* MERGEFORMAT </w:instrText>
            </w:r>
            <w:r>
              <w:rPr>
                <w:rFonts w:hint="default" w:ascii="Times New Roman" w:hAnsi="Times New Roman" w:cs="Times New Roman"/>
                <w:snapToGrid w:val="0"/>
                <w:color w:val="0000FF"/>
                <w:spacing w:val="-6"/>
                <w:kern w:val="21"/>
                <w:szCs w:val="21"/>
                <w:highlight w:val="none"/>
              </w:rPr>
              <w:fldChar w:fldCharType="separate"/>
            </w:r>
            <w:r>
              <w:rPr>
                <w:rFonts w:hint="default" w:ascii="Times New Roman" w:hAnsi="Times New Roman" w:cs="Times New Roman"/>
                <w:color w:val="0000FF"/>
                <w:szCs w:val="21"/>
                <w:highlight w:val="none"/>
              </w:rPr>
              <w:t>①</w:t>
            </w:r>
            <w:r>
              <w:rPr>
                <w:rFonts w:hint="default" w:ascii="Times New Roman" w:hAnsi="Times New Roman" w:cs="Times New Roman"/>
                <w:snapToGrid w:val="0"/>
                <w:color w:val="0000FF"/>
                <w:spacing w:val="-6"/>
                <w:kern w:val="21"/>
                <w:szCs w:val="21"/>
                <w:highlight w:val="none"/>
              </w:rPr>
              <w:fldChar w:fldCharType="end"/>
            </w:r>
          </w:p>
        </w:tc>
        <w:tc>
          <w:tcPr>
            <w:tcW w:w="1276" w:type="dxa"/>
            <w:tcMar>
              <w:left w:w="28" w:type="dxa"/>
              <w:right w:w="28" w:type="dxa"/>
            </w:tcMar>
            <w:vAlign w:val="center"/>
          </w:tcPr>
          <w:p w14:paraId="37792694">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现有工程</w:t>
            </w:r>
          </w:p>
          <w:p w14:paraId="1C6BA949">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许可排放量</w:t>
            </w:r>
          </w:p>
          <w:p w14:paraId="611FE5FA">
            <w:pPr>
              <w:adjustRightInd w:val="0"/>
              <w:snapToGrid w:val="0"/>
              <w:spacing w:line="259" w:lineRule="auto"/>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fldChar w:fldCharType="begin"/>
            </w:r>
            <w:r>
              <w:rPr>
                <w:rFonts w:hint="default" w:ascii="Times New Roman" w:hAnsi="Times New Roman" w:cs="Times New Roman"/>
                <w:snapToGrid w:val="0"/>
                <w:color w:val="0000FF"/>
                <w:spacing w:val="-6"/>
                <w:kern w:val="21"/>
                <w:szCs w:val="21"/>
                <w:highlight w:val="none"/>
              </w:rPr>
              <w:instrText xml:space="preserve"> = 2 \* GB3 \* MERGEFORMAT </w:instrText>
            </w:r>
            <w:r>
              <w:rPr>
                <w:rFonts w:hint="default" w:ascii="Times New Roman" w:hAnsi="Times New Roman" w:cs="Times New Roman"/>
                <w:snapToGrid w:val="0"/>
                <w:color w:val="0000FF"/>
                <w:spacing w:val="-6"/>
                <w:kern w:val="21"/>
                <w:szCs w:val="21"/>
                <w:highlight w:val="none"/>
              </w:rPr>
              <w:fldChar w:fldCharType="separate"/>
            </w:r>
            <w:r>
              <w:rPr>
                <w:rFonts w:hint="default" w:ascii="Times New Roman" w:hAnsi="Times New Roman" w:cs="Times New Roman"/>
                <w:snapToGrid w:val="0"/>
                <w:color w:val="0000FF"/>
                <w:spacing w:val="-6"/>
                <w:kern w:val="21"/>
                <w:szCs w:val="21"/>
                <w:highlight w:val="none"/>
              </w:rPr>
              <w:t>②</w:t>
            </w:r>
            <w:r>
              <w:rPr>
                <w:rFonts w:hint="default" w:ascii="Times New Roman" w:hAnsi="Times New Roman" w:cs="Times New Roman"/>
                <w:snapToGrid w:val="0"/>
                <w:color w:val="0000FF"/>
                <w:spacing w:val="-6"/>
                <w:kern w:val="21"/>
                <w:szCs w:val="21"/>
                <w:highlight w:val="none"/>
              </w:rPr>
              <w:fldChar w:fldCharType="end"/>
            </w:r>
          </w:p>
        </w:tc>
        <w:tc>
          <w:tcPr>
            <w:tcW w:w="1701" w:type="dxa"/>
            <w:tcMar>
              <w:left w:w="28" w:type="dxa"/>
              <w:right w:w="28" w:type="dxa"/>
            </w:tcMar>
            <w:vAlign w:val="center"/>
          </w:tcPr>
          <w:p w14:paraId="7A14B6D7">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在建工程</w:t>
            </w:r>
          </w:p>
          <w:p w14:paraId="5F300FE2">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排放量（固体废物产生量）</w:t>
            </w:r>
            <w:r>
              <w:rPr>
                <w:rFonts w:hint="default" w:ascii="Times New Roman" w:hAnsi="Times New Roman" w:cs="Times New Roman"/>
                <w:snapToGrid w:val="0"/>
                <w:color w:val="0000FF"/>
                <w:spacing w:val="-6"/>
                <w:kern w:val="21"/>
                <w:szCs w:val="21"/>
                <w:highlight w:val="none"/>
              </w:rPr>
              <w:fldChar w:fldCharType="begin"/>
            </w:r>
            <w:r>
              <w:rPr>
                <w:rFonts w:hint="default" w:ascii="Times New Roman" w:hAnsi="Times New Roman" w:cs="Times New Roman"/>
                <w:snapToGrid w:val="0"/>
                <w:color w:val="0000FF"/>
                <w:spacing w:val="-6"/>
                <w:kern w:val="21"/>
                <w:szCs w:val="21"/>
                <w:highlight w:val="none"/>
              </w:rPr>
              <w:instrText xml:space="preserve"> = 3 \* GB3 \* MERGEFORMAT </w:instrText>
            </w:r>
            <w:r>
              <w:rPr>
                <w:rFonts w:hint="default" w:ascii="Times New Roman" w:hAnsi="Times New Roman" w:cs="Times New Roman"/>
                <w:snapToGrid w:val="0"/>
                <w:color w:val="0000FF"/>
                <w:spacing w:val="-6"/>
                <w:kern w:val="21"/>
                <w:szCs w:val="21"/>
                <w:highlight w:val="none"/>
              </w:rPr>
              <w:fldChar w:fldCharType="separate"/>
            </w:r>
            <w:r>
              <w:rPr>
                <w:rFonts w:hint="default" w:ascii="Times New Roman" w:hAnsi="Times New Roman" w:cs="Times New Roman"/>
                <w:color w:val="0000FF"/>
                <w:szCs w:val="21"/>
                <w:highlight w:val="none"/>
              </w:rPr>
              <w:t>③</w:t>
            </w:r>
            <w:r>
              <w:rPr>
                <w:rFonts w:hint="default" w:ascii="Times New Roman" w:hAnsi="Times New Roman" w:cs="Times New Roman"/>
                <w:snapToGrid w:val="0"/>
                <w:color w:val="0000FF"/>
                <w:spacing w:val="-6"/>
                <w:kern w:val="21"/>
                <w:szCs w:val="21"/>
                <w:highlight w:val="none"/>
              </w:rPr>
              <w:fldChar w:fldCharType="end"/>
            </w:r>
          </w:p>
        </w:tc>
        <w:tc>
          <w:tcPr>
            <w:tcW w:w="1559" w:type="dxa"/>
            <w:tcMar>
              <w:left w:w="28" w:type="dxa"/>
              <w:right w:w="28" w:type="dxa"/>
            </w:tcMar>
            <w:vAlign w:val="center"/>
          </w:tcPr>
          <w:p w14:paraId="396C9FE0">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本项目</w:t>
            </w:r>
          </w:p>
          <w:p w14:paraId="77D9CD3B">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排放量（固体废物产生量）</w:t>
            </w:r>
            <w:r>
              <w:rPr>
                <w:rFonts w:hint="default" w:ascii="Times New Roman" w:hAnsi="Times New Roman" w:cs="Times New Roman"/>
                <w:snapToGrid w:val="0"/>
                <w:color w:val="0000FF"/>
                <w:spacing w:val="-6"/>
                <w:kern w:val="21"/>
                <w:szCs w:val="21"/>
                <w:highlight w:val="none"/>
              </w:rPr>
              <w:fldChar w:fldCharType="begin"/>
            </w:r>
            <w:r>
              <w:rPr>
                <w:rFonts w:hint="default" w:ascii="Times New Roman" w:hAnsi="Times New Roman" w:cs="Times New Roman"/>
                <w:snapToGrid w:val="0"/>
                <w:color w:val="0000FF"/>
                <w:spacing w:val="-6"/>
                <w:kern w:val="21"/>
                <w:szCs w:val="21"/>
                <w:highlight w:val="none"/>
              </w:rPr>
              <w:instrText xml:space="preserve"> = 4 \* GB3 \* MERGEFORMAT </w:instrText>
            </w:r>
            <w:r>
              <w:rPr>
                <w:rFonts w:hint="default" w:ascii="Times New Roman" w:hAnsi="Times New Roman" w:cs="Times New Roman"/>
                <w:snapToGrid w:val="0"/>
                <w:color w:val="0000FF"/>
                <w:spacing w:val="-6"/>
                <w:kern w:val="21"/>
                <w:szCs w:val="21"/>
                <w:highlight w:val="none"/>
              </w:rPr>
              <w:fldChar w:fldCharType="separate"/>
            </w:r>
            <w:r>
              <w:rPr>
                <w:rFonts w:hint="default" w:ascii="Times New Roman" w:hAnsi="Times New Roman" w:cs="Times New Roman"/>
                <w:color w:val="0000FF"/>
                <w:szCs w:val="21"/>
                <w:highlight w:val="none"/>
              </w:rPr>
              <w:t>④</w:t>
            </w:r>
            <w:r>
              <w:rPr>
                <w:rFonts w:hint="default" w:ascii="Times New Roman" w:hAnsi="Times New Roman" w:cs="Times New Roman"/>
                <w:snapToGrid w:val="0"/>
                <w:color w:val="0000FF"/>
                <w:spacing w:val="-6"/>
                <w:kern w:val="21"/>
                <w:szCs w:val="21"/>
                <w:highlight w:val="none"/>
              </w:rPr>
              <w:fldChar w:fldCharType="end"/>
            </w:r>
          </w:p>
        </w:tc>
        <w:tc>
          <w:tcPr>
            <w:tcW w:w="1761" w:type="dxa"/>
            <w:tcMar>
              <w:left w:w="28" w:type="dxa"/>
              <w:right w:w="28" w:type="dxa"/>
            </w:tcMar>
            <w:vAlign w:val="center"/>
          </w:tcPr>
          <w:p w14:paraId="7C2DEE7F">
            <w:pPr>
              <w:adjustRightInd w:val="0"/>
              <w:snapToGrid w:val="0"/>
              <w:jc w:val="center"/>
              <w:rPr>
                <w:rFonts w:hint="default" w:ascii="Times New Roman" w:hAnsi="Times New Roman" w:cs="Times New Roman"/>
                <w:snapToGrid w:val="0"/>
                <w:color w:val="0000FF"/>
                <w:spacing w:val="-16"/>
                <w:kern w:val="21"/>
                <w:szCs w:val="21"/>
                <w:highlight w:val="none"/>
              </w:rPr>
            </w:pPr>
            <w:r>
              <w:rPr>
                <w:rFonts w:hint="default" w:ascii="Times New Roman" w:hAnsi="Times New Roman" w:cs="Times New Roman"/>
                <w:snapToGrid w:val="0"/>
                <w:color w:val="0000FF"/>
                <w:spacing w:val="-16"/>
                <w:kern w:val="21"/>
                <w:szCs w:val="21"/>
                <w:highlight w:val="none"/>
              </w:rPr>
              <w:t>以新带老削减量</w:t>
            </w:r>
          </w:p>
          <w:p w14:paraId="45F9B08B">
            <w:pPr>
              <w:adjustRightInd w:val="0"/>
              <w:snapToGrid w:val="0"/>
              <w:jc w:val="center"/>
              <w:rPr>
                <w:rFonts w:hint="default" w:ascii="Times New Roman" w:hAnsi="Times New Roman" w:cs="Times New Roman"/>
                <w:snapToGrid w:val="0"/>
                <w:color w:val="0000FF"/>
                <w:spacing w:val="-16"/>
                <w:kern w:val="21"/>
                <w:szCs w:val="21"/>
                <w:highlight w:val="none"/>
              </w:rPr>
            </w:pPr>
            <w:r>
              <w:rPr>
                <w:rFonts w:hint="default" w:ascii="Times New Roman" w:hAnsi="Times New Roman" w:cs="Times New Roman"/>
                <w:snapToGrid w:val="0"/>
                <w:color w:val="0000FF"/>
                <w:spacing w:val="-16"/>
                <w:kern w:val="21"/>
                <w:szCs w:val="21"/>
                <w:highlight w:val="none"/>
              </w:rPr>
              <w:t>（新建项目不填）</w:t>
            </w:r>
            <w:r>
              <w:rPr>
                <w:rFonts w:hint="default" w:ascii="Times New Roman" w:hAnsi="Times New Roman" w:cs="Times New Roman"/>
                <w:snapToGrid w:val="0"/>
                <w:color w:val="0000FF"/>
                <w:spacing w:val="-16"/>
                <w:kern w:val="21"/>
                <w:szCs w:val="21"/>
                <w:highlight w:val="none"/>
              </w:rPr>
              <w:fldChar w:fldCharType="begin"/>
            </w:r>
            <w:r>
              <w:rPr>
                <w:rFonts w:hint="default" w:ascii="Times New Roman" w:hAnsi="Times New Roman" w:cs="Times New Roman"/>
                <w:snapToGrid w:val="0"/>
                <w:color w:val="0000FF"/>
                <w:spacing w:val="-16"/>
                <w:kern w:val="21"/>
                <w:szCs w:val="21"/>
                <w:highlight w:val="none"/>
              </w:rPr>
              <w:instrText xml:space="preserve"> = 5 \* GB3 \* MERGEFORMAT </w:instrText>
            </w:r>
            <w:r>
              <w:rPr>
                <w:rFonts w:hint="default" w:ascii="Times New Roman" w:hAnsi="Times New Roman" w:cs="Times New Roman"/>
                <w:snapToGrid w:val="0"/>
                <w:color w:val="0000FF"/>
                <w:spacing w:val="-16"/>
                <w:kern w:val="21"/>
                <w:szCs w:val="21"/>
                <w:highlight w:val="none"/>
              </w:rPr>
              <w:fldChar w:fldCharType="separate"/>
            </w:r>
            <w:r>
              <w:rPr>
                <w:rFonts w:hint="default" w:ascii="Times New Roman" w:hAnsi="Times New Roman" w:cs="Times New Roman"/>
                <w:color w:val="0000FF"/>
                <w:szCs w:val="21"/>
                <w:highlight w:val="none"/>
              </w:rPr>
              <w:t>⑤</w:t>
            </w:r>
            <w:r>
              <w:rPr>
                <w:rFonts w:hint="default" w:ascii="Times New Roman" w:hAnsi="Times New Roman" w:cs="Times New Roman"/>
                <w:snapToGrid w:val="0"/>
                <w:color w:val="0000FF"/>
                <w:spacing w:val="-16"/>
                <w:kern w:val="21"/>
                <w:szCs w:val="21"/>
                <w:highlight w:val="none"/>
              </w:rPr>
              <w:fldChar w:fldCharType="end"/>
            </w:r>
          </w:p>
        </w:tc>
        <w:tc>
          <w:tcPr>
            <w:tcW w:w="1603" w:type="dxa"/>
            <w:tcMar>
              <w:left w:w="28" w:type="dxa"/>
              <w:right w:w="28" w:type="dxa"/>
            </w:tcMar>
            <w:vAlign w:val="center"/>
          </w:tcPr>
          <w:p w14:paraId="048C84A1">
            <w:pPr>
              <w:adjustRightInd w:val="0"/>
              <w:snapToGrid w:val="0"/>
              <w:jc w:val="center"/>
              <w:rPr>
                <w:rFonts w:hint="default" w:ascii="Times New Roman" w:hAnsi="Times New Roman" w:cs="Times New Roman"/>
                <w:snapToGrid w:val="0"/>
                <w:color w:val="0000FF"/>
                <w:spacing w:val="-16"/>
                <w:kern w:val="21"/>
                <w:szCs w:val="21"/>
                <w:highlight w:val="none"/>
              </w:rPr>
            </w:pPr>
            <w:r>
              <w:rPr>
                <w:rFonts w:hint="default" w:ascii="Times New Roman" w:hAnsi="Times New Roman" w:cs="Times New Roman"/>
                <w:snapToGrid w:val="0"/>
                <w:color w:val="0000FF"/>
                <w:spacing w:val="-16"/>
                <w:kern w:val="21"/>
                <w:szCs w:val="21"/>
                <w:highlight w:val="none"/>
              </w:rPr>
              <w:t>本项目建成后</w:t>
            </w:r>
          </w:p>
          <w:p w14:paraId="1AE1E0CC">
            <w:pPr>
              <w:adjustRightInd w:val="0"/>
              <w:snapToGrid w:val="0"/>
              <w:jc w:val="center"/>
              <w:rPr>
                <w:rFonts w:hint="default" w:ascii="Times New Roman" w:hAnsi="Times New Roman" w:cs="Times New Roman"/>
                <w:snapToGrid w:val="0"/>
                <w:color w:val="0000FF"/>
                <w:spacing w:val="-16"/>
                <w:kern w:val="21"/>
                <w:szCs w:val="21"/>
                <w:highlight w:val="none"/>
              </w:rPr>
            </w:pPr>
            <w:r>
              <w:rPr>
                <w:rFonts w:hint="default" w:ascii="Times New Roman" w:hAnsi="Times New Roman" w:cs="Times New Roman"/>
                <w:snapToGrid w:val="0"/>
                <w:color w:val="0000FF"/>
                <w:spacing w:val="-16"/>
                <w:kern w:val="21"/>
                <w:szCs w:val="21"/>
                <w:highlight w:val="none"/>
              </w:rPr>
              <w:t>全厂排放量（固体废物产生量）</w:t>
            </w:r>
            <w:r>
              <w:rPr>
                <w:rFonts w:hint="default" w:ascii="Times New Roman" w:hAnsi="Times New Roman" w:cs="Times New Roman"/>
                <w:snapToGrid w:val="0"/>
                <w:color w:val="0000FF"/>
                <w:spacing w:val="-16"/>
                <w:kern w:val="21"/>
                <w:szCs w:val="21"/>
                <w:highlight w:val="none"/>
              </w:rPr>
              <w:fldChar w:fldCharType="begin"/>
            </w:r>
            <w:r>
              <w:rPr>
                <w:rFonts w:hint="default" w:ascii="Times New Roman" w:hAnsi="Times New Roman" w:cs="Times New Roman"/>
                <w:snapToGrid w:val="0"/>
                <w:color w:val="0000FF"/>
                <w:spacing w:val="-16"/>
                <w:kern w:val="21"/>
                <w:szCs w:val="21"/>
                <w:highlight w:val="none"/>
              </w:rPr>
              <w:instrText xml:space="preserve"> = 6 \* GB3 \* MERGEFORMAT </w:instrText>
            </w:r>
            <w:r>
              <w:rPr>
                <w:rFonts w:hint="default" w:ascii="Times New Roman" w:hAnsi="Times New Roman" w:cs="Times New Roman"/>
                <w:snapToGrid w:val="0"/>
                <w:color w:val="0000FF"/>
                <w:spacing w:val="-16"/>
                <w:kern w:val="21"/>
                <w:szCs w:val="21"/>
                <w:highlight w:val="none"/>
              </w:rPr>
              <w:fldChar w:fldCharType="separate"/>
            </w:r>
            <w:r>
              <w:rPr>
                <w:rFonts w:hint="default" w:ascii="Times New Roman" w:hAnsi="Times New Roman" w:cs="Times New Roman"/>
                <w:color w:val="0000FF"/>
                <w:szCs w:val="21"/>
                <w:highlight w:val="none"/>
              </w:rPr>
              <w:t>⑥</w:t>
            </w:r>
            <w:r>
              <w:rPr>
                <w:rFonts w:hint="default" w:ascii="Times New Roman" w:hAnsi="Times New Roman" w:cs="Times New Roman"/>
                <w:snapToGrid w:val="0"/>
                <w:color w:val="0000FF"/>
                <w:spacing w:val="-16"/>
                <w:kern w:val="21"/>
                <w:szCs w:val="21"/>
                <w:highlight w:val="none"/>
              </w:rPr>
              <w:fldChar w:fldCharType="end"/>
            </w:r>
          </w:p>
        </w:tc>
        <w:tc>
          <w:tcPr>
            <w:tcW w:w="1182" w:type="dxa"/>
            <w:tcMar>
              <w:left w:w="28" w:type="dxa"/>
              <w:right w:w="28" w:type="dxa"/>
            </w:tcMar>
            <w:vAlign w:val="center"/>
          </w:tcPr>
          <w:p w14:paraId="57B5FDB8">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t>变化量</w:t>
            </w:r>
          </w:p>
          <w:p w14:paraId="1F73F0F1">
            <w:pPr>
              <w:adjustRightInd w:val="0"/>
              <w:snapToGrid w:val="0"/>
              <w:jc w:val="center"/>
              <w:rPr>
                <w:rFonts w:hint="default" w:ascii="Times New Roman" w:hAnsi="Times New Roman" w:cs="Times New Roman"/>
                <w:snapToGrid w:val="0"/>
                <w:color w:val="0000FF"/>
                <w:spacing w:val="-6"/>
                <w:kern w:val="21"/>
                <w:szCs w:val="21"/>
                <w:highlight w:val="none"/>
              </w:rPr>
            </w:pPr>
            <w:r>
              <w:rPr>
                <w:rFonts w:hint="default" w:ascii="Times New Roman" w:hAnsi="Times New Roman" w:cs="Times New Roman"/>
                <w:snapToGrid w:val="0"/>
                <w:color w:val="0000FF"/>
                <w:spacing w:val="-6"/>
                <w:kern w:val="21"/>
                <w:szCs w:val="21"/>
                <w:highlight w:val="none"/>
              </w:rPr>
              <w:fldChar w:fldCharType="begin"/>
            </w:r>
            <w:r>
              <w:rPr>
                <w:rFonts w:hint="default" w:ascii="Times New Roman" w:hAnsi="Times New Roman" w:cs="Times New Roman"/>
                <w:snapToGrid w:val="0"/>
                <w:color w:val="0000FF"/>
                <w:spacing w:val="-6"/>
                <w:kern w:val="21"/>
                <w:szCs w:val="21"/>
                <w:highlight w:val="none"/>
              </w:rPr>
              <w:instrText xml:space="preserve"> = 7 \* GB3 \* MERGEFORMAT </w:instrText>
            </w:r>
            <w:r>
              <w:rPr>
                <w:rFonts w:hint="default" w:ascii="Times New Roman" w:hAnsi="Times New Roman" w:cs="Times New Roman"/>
                <w:snapToGrid w:val="0"/>
                <w:color w:val="0000FF"/>
                <w:spacing w:val="-6"/>
                <w:kern w:val="21"/>
                <w:szCs w:val="21"/>
                <w:highlight w:val="none"/>
              </w:rPr>
              <w:fldChar w:fldCharType="separate"/>
            </w:r>
            <w:r>
              <w:rPr>
                <w:rFonts w:hint="default" w:ascii="Times New Roman" w:hAnsi="Times New Roman" w:cs="Times New Roman"/>
                <w:color w:val="0000FF"/>
                <w:szCs w:val="21"/>
                <w:highlight w:val="none"/>
              </w:rPr>
              <w:t>⑦</w:t>
            </w:r>
            <w:r>
              <w:rPr>
                <w:rFonts w:hint="default" w:ascii="Times New Roman" w:hAnsi="Times New Roman" w:cs="Times New Roman"/>
                <w:snapToGrid w:val="0"/>
                <w:color w:val="0000FF"/>
                <w:spacing w:val="-6"/>
                <w:kern w:val="21"/>
                <w:szCs w:val="21"/>
                <w:highlight w:val="none"/>
              </w:rPr>
              <w:fldChar w:fldCharType="end"/>
            </w:r>
          </w:p>
        </w:tc>
      </w:tr>
      <w:tr w14:paraId="0C1BE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5939767F">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废气</w:t>
            </w:r>
          </w:p>
        </w:tc>
        <w:tc>
          <w:tcPr>
            <w:tcW w:w="1417" w:type="dxa"/>
            <w:vAlign w:val="center"/>
          </w:tcPr>
          <w:p w14:paraId="556F79CF">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非甲烷总烃</w:t>
            </w:r>
          </w:p>
        </w:tc>
        <w:tc>
          <w:tcPr>
            <w:tcW w:w="1701" w:type="dxa"/>
            <w:vAlign w:val="center"/>
          </w:tcPr>
          <w:p w14:paraId="46E22B2E">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276" w:type="dxa"/>
            <w:vAlign w:val="center"/>
          </w:tcPr>
          <w:p w14:paraId="650BDD00">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701" w:type="dxa"/>
            <w:vAlign w:val="center"/>
          </w:tcPr>
          <w:p w14:paraId="5C0E7D3B">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559" w:type="dxa"/>
            <w:vAlign w:val="center"/>
          </w:tcPr>
          <w:p w14:paraId="19349A0B">
            <w:pPr>
              <w:adjustRightInd w:val="0"/>
              <w:snapToGrid w:val="0"/>
              <w:jc w:val="center"/>
              <w:rPr>
                <w:rFonts w:hint="default" w:ascii="Times New Roman" w:hAnsi="Times New Roman" w:eastAsia="宋体" w:cs="Times New Roman"/>
                <w:snapToGrid w:val="0"/>
                <w:color w:val="0000FF"/>
                <w:kern w:val="21"/>
                <w:szCs w:val="21"/>
                <w:highlight w:val="none"/>
              </w:rPr>
            </w:pPr>
            <w:r>
              <w:rPr>
                <w:rFonts w:hint="eastAsia" w:ascii="Times New Roman" w:hAnsi="Times New Roman" w:eastAsia="宋体" w:cs="Times New Roman"/>
                <w:snapToGrid w:val="0"/>
                <w:color w:val="0000FF"/>
                <w:kern w:val="21"/>
                <w:szCs w:val="21"/>
                <w:highlight w:val="none"/>
                <w:lang w:val="en-US" w:eastAsia="zh-CN"/>
              </w:rPr>
              <w:t>0.00204t</w:t>
            </w:r>
            <w:r>
              <w:rPr>
                <w:rFonts w:hint="default" w:ascii="Times New Roman" w:hAnsi="Times New Roman" w:eastAsia="宋体" w:cs="Times New Roman"/>
                <w:snapToGrid w:val="0"/>
                <w:color w:val="0000FF"/>
                <w:kern w:val="21"/>
                <w:szCs w:val="21"/>
                <w:highlight w:val="none"/>
              </w:rPr>
              <w:t>/a</w:t>
            </w:r>
          </w:p>
        </w:tc>
        <w:tc>
          <w:tcPr>
            <w:tcW w:w="1761" w:type="dxa"/>
            <w:vAlign w:val="center"/>
          </w:tcPr>
          <w:p w14:paraId="336DBC26">
            <w:pPr>
              <w:adjustRightInd w:val="0"/>
              <w:snapToGrid w:val="0"/>
              <w:jc w:val="center"/>
              <w:rPr>
                <w:rFonts w:hint="default" w:ascii="Times New Roman" w:hAnsi="Times New Roman" w:eastAsia="宋体" w:cs="Times New Roman"/>
                <w:snapToGrid w:val="0"/>
                <w:color w:val="0000FF"/>
                <w:kern w:val="21"/>
                <w:szCs w:val="21"/>
                <w:highlight w:val="none"/>
              </w:rPr>
            </w:pPr>
            <w:r>
              <w:rPr>
                <w:rFonts w:hint="default" w:ascii="Times New Roman" w:hAnsi="Times New Roman" w:eastAsia="宋体" w:cs="Times New Roman"/>
                <w:snapToGrid w:val="0"/>
                <w:color w:val="0000FF"/>
                <w:kern w:val="21"/>
                <w:szCs w:val="21"/>
                <w:highlight w:val="none"/>
                <w:lang w:val="en-US" w:eastAsia="zh-CN"/>
              </w:rPr>
              <w:t>/</w:t>
            </w:r>
          </w:p>
        </w:tc>
        <w:tc>
          <w:tcPr>
            <w:tcW w:w="1603" w:type="dxa"/>
            <w:vAlign w:val="center"/>
          </w:tcPr>
          <w:p w14:paraId="03AEA811">
            <w:pPr>
              <w:adjustRightInd w:val="0"/>
              <w:snapToGrid w:val="0"/>
              <w:jc w:val="center"/>
              <w:rPr>
                <w:rFonts w:hint="default" w:ascii="Times New Roman" w:hAnsi="Times New Roman" w:eastAsia="宋体" w:cs="Times New Roman"/>
                <w:snapToGrid w:val="0"/>
                <w:color w:val="0000FF"/>
                <w:kern w:val="21"/>
                <w:szCs w:val="21"/>
                <w:highlight w:val="none"/>
              </w:rPr>
            </w:pPr>
            <w:r>
              <w:rPr>
                <w:rFonts w:hint="eastAsia" w:ascii="Times New Roman" w:hAnsi="Times New Roman" w:eastAsia="宋体" w:cs="Times New Roman"/>
                <w:snapToGrid w:val="0"/>
                <w:color w:val="0000FF"/>
                <w:kern w:val="21"/>
                <w:szCs w:val="21"/>
                <w:highlight w:val="none"/>
                <w:lang w:val="en-US" w:eastAsia="zh-CN"/>
              </w:rPr>
              <w:t>0.00204t</w:t>
            </w:r>
            <w:r>
              <w:rPr>
                <w:rFonts w:hint="default" w:ascii="Times New Roman" w:hAnsi="Times New Roman" w:eastAsia="宋体" w:cs="Times New Roman"/>
                <w:snapToGrid w:val="0"/>
                <w:color w:val="0000FF"/>
                <w:kern w:val="21"/>
                <w:szCs w:val="21"/>
                <w:highlight w:val="none"/>
              </w:rPr>
              <w:t>/a</w:t>
            </w:r>
          </w:p>
        </w:tc>
        <w:tc>
          <w:tcPr>
            <w:tcW w:w="1182" w:type="dxa"/>
            <w:vAlign w:val="center"/>
          </w:tcPr>
          <w:p w14:paraId="21B058B8">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r>
      <w:tr w14:paraId="4E6C0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402582A">
            <w:pPr>
              <w:adjustRightInd w:val="0"/>
              <w:snapToGrid w:val="0"/>
              <w:jc w:val="center"/>
              <w:rPr>
                <w:rFonts w:hint="default" w:ascii="Times New Roman" w:hAnsi="Times New Roman" w:cs="Times New Roman"/>
                <w:snapToGrid w:val="0"/>
                <w:color w:val="0000FF"/>
                <w:kern w:val="21"/>
                <w:szCs w:val="21"/>
                <w:highlight w:val="none"/>
              </w:rPr>
            </w:pPr>
          </w:p>
        </w:tc>
        <w:tc>
          <w:tcPr>
            <w:tcW w:w="1417" w:type="dxa"/>
            <w:vAlign w:val="center"/>
          </w:tcPr>
          <w:p w14:paraId="6252244A">
            <w:pPr>
              <w:adjustRightInd w:val="0"/>
              <w:snapToGrid w:val="0"/>
              <w:jc w:val="center"/>
              <w:rPr>
                <w:rFonts w:hint="default" w:ascii="Times New Roman" w:hAnsi="Times New Roman" w:cs="Times New Roman"/>
                <w:snapToGrid w:val="0"/>
                <w:color w:val="0000FF"/>
                <w:kern w:val="21"/>
                <w:szCs w:val="21"/>
                <w:highlight w:val="none"/>
              </w:rPr>
            </w:pPr>
          </w:p>
        </w:tc>
        <w:tc>
          <w:tcPr>
            <w:tcW w:w="1701" w:type="dxa"/>
            <w:vAlign w:val="center"/>
          </w:tcPr>
          <w:p w14:paraId="659F6445">
            <w:pPr>
              <w:adjustRightInd w:val="0"/>
              <w:snapToGrid w:val="0"/>
              <w:jc w:val="center"/>
              <w:rPr>
                <w:rFonts w:hint="default" w:ascii="Times New Roman" w:hAnsi="Times New Roman" w:cs="Times New Roman"/>
                <w:snapToGrid w:val="0"/>
                <w:color w:val="0000FF"/>
                <w:kern w:val="21"/>
                <w:szCs w:val="21"/>
                <w:highlight w:val="none"/>
              </w:rPr>
            </w:pPr>
          </w:p>
        </w:tc>
        <w:tc>
          <w:tcPr>
            <w:tcW w:w="1276" w:type="dxa"/>
            <w:vAlign w:val="center"/>
          </w:tcPr>
          <w:p w14:paraId="31B93FCB">
            <w:pPr>
              <w:adjustRightInd w:val="0"/>
              <w:snapToGrid w:val="0"/>
              <w:jc w:val="center"/>
              <w:rPr>
                <w:rFonts w:hint="default" w:ascii="Times New Roman" w:hAnsi="Times New Roman" w:cs="Times New Roman"/>
                <w:snapToGrid w:val="0"/>
                <w:color w:val="0000FF"/>
                <w:kern w:val="21"/>
                <w:szCs w:val="21"/>
                <w:highlight w:val="none"/>
              </w:rPr>
            </w:pPr>
          </w:p>
        </w:tc>
        <w:tc>
          <w:tcPr>
            <w:tcW w:w="1701" w:type="dxa"/>
            <w:vAlign w:val="center"/>
          </w:tcPr>
          <w:p w14:paraId="3D1AD6A7">
            <w:pPr>
              <w:adjustRightInd w:val="0"/>
              <w:snapToGrid w:val="0"/>
              <w:jc w:val="center"/>
              <w:rPr>
                <w:rFonts w:hint="default" w:ascii="Times New Roman" w:hAnsi="Times New Roman" w:cs="Times New Roman"/>
                <w:snapToGrid w:val="0"/>
                <w:color w:val="0000FF"/>
                <w:kern w:val="21"/>
                <w:szCs w:val="21"/>
                <w:highlight w:val="none"/>
              </w:rPr>
            </w:pPr>
          </w:p>
        </w:tc>
        <w:tc>
          <w:tcPr>
            <w:tcW w:w="1559" w:type="dxa"/>
            <w:vAlign w:val="center"/>
          </w:tcPr>
          <w:p w14:paraId="3A1FC807">
            <w:pPr>
              <w:adjustRightInd w:val="0"/>
              <w:snapToGrid w:val="0"/>
              <w:jc w:val="center"/>
              <w:rPr>
                <w:rFonts w:hint="default" w:ascii="Times New Roman" w:hAnsi="Times New Roman" w:cs="Times New Roman"/>
                <w:snapToGrid w:val="0"/>
                <w:color w:val="0000FF"/>
                <w:kern w:val="21"/>
                <w:szCs w:val="21"/>
                <w:highlight w:val="none"/>
              </w:rPr>
            </w:pPr>
          </w:p>
        </w:tc>
        <w:tc>
          <w:tcPr>
            <w:tcW w:w="1761" w:type="dxa"/>
            <w:vAlign w:val="center"/>
          </w:tcPr>
          <w:p w14:paraId="36B81A80">
            <w:pPr>
              <w:adjustRightInd w:val="0"/>
              <w:snapToGrid w:val="0"/>
              <w:jc w:val="center"/>
              <w:rPr>
                <w:rFonts w:hint="default" w:ascii="Times New Roman" w:hAnsi="Times New Roman" w:cs="Times New Roman"/>
                <w:snapToGrid w:val="0"/>
                <w:color w:val="0000FF"/>
                <w:kern w:val="21"/>
                <w:szCs w:val="21"/>
                <w:highlight w:val="none"/>
              </w:rPr>
            </w:pPr>
          </w:p>
        </w:tc>
        <w:tc>
          <w:tcPr>
            <w:tcW w:w="1603" w:type="dxa"/>
            <w:vAlign w:val="center"/>
          </w:tcPr>
          <w:p w14:paraId="66C47DDB">
            <w:pPr>
              <w:adjustRightInd w:val="0"/>
              <w:snapToGrid w:val="0"/>
              <w:jc w:val="center"/>
              <w:rPr>
                <w:rFonts w:hint="default" w:ascii="Times New Roman" w:hAnsi="Times New Roman" w:cs="Times New Roman"/>
                <w:snapToGrid w:val="0"/>
                <w:color w:val="0000FF"/>
                <w:kern w:val="21"/>
                <w:szCs w:val="21"/>
                <w:highlight w:val="none"/>
              </w:rPr>
            </w:pPr>
          </w:p>
        </w:tc>
        <w:tc>
          <w:tcPr>
            <w:tcW w:w="1182" w:type="dxa"/>
            <w:vAlign w:val="center"/>
          </w:tcPr>
          <w:p w14:paraId="7E07AED1">
            <w:pPr>
              <w:adjustRightInd w:val="0"/>
              <w:snapToGrid w:val="0"/>
              <w:jc w:val="center"/>
              <w:rPr>
                <w:rFonts w:hint="default" w:ascii="Times New Roman" w:hAnsi="Times New Roman" w:cs="Times New Roman"/>
                <w:snapToGrid w:val="0"/>
                <w:color w:val="0000FF"/>
                <w:kern w:val="21"/>
                <w:szCs w:val="21"/>
                <w:highlight w:val="none"/>
              </w:rPr>
            </w:pPr>
          </w:p>
        </w:tc>
      </w:tr>
      <w:tr w14:paraId="46BD9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0AD5A823">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废水</w:t>
            </w:r>
          </w:p>
        </w:tc>
        <w:tc>
          <w:tcPr>
            <w:tcW w:w="1417" w:type="dxa"/>
            <w:vAlign w:val="center"/>
          </w:tcPr>
          <w:p w14:paraId="3769B725">
            <w:pPr>
              <w:adjustRightInd w:val="0"/>
              <w:snapToGrid w:val="0"/>
              <w:jc w:val="center"/>
              <w:rPr>
                <w:rFonts w:hint="default" w:ascii="Times New Roman" w:hAnsi="Times New Roman" w:cs="Times New Roman"/>
                <w:snapToGrid w:val="0"/>
                <w:color w:val="0000FF"/>
                <w:kern w:val="21"/>
                <w:szCs w:val="21"/>
                <w:highlight w:val="none"/>
              </w:rPr>
            </w:pPr>
          </w:p>
        </w:tc>
        <w:tc>
          <w:tcPr>
            <w:tcW w:w="1701" w:type="dxa"/>
            <w:vAlign w:val="center"/>
          </w:tcPr>
          <w:p w14:paraId="144CD1A7">
            <w:pPr>
              <w:adjustRightInd w:val="0"/>
              <w:snapToGrid w:val="0"/>
              <w:jc w:val="center"/>
              <w:rPr>
                <w:rFonts w:hint="default" w:ascii="Times New Roman" w:hAnsi="Times New Roman" w:cs="Times New Roman"/>
                <w:snapToGrid w:val="0"/>
                <w:color w:val="0000FF"/>
                <w:kern w:val="21"/>
                <w:szCs w:val="21"/>
                <w:highlight w:val="none"/>
              </w:rPr>
            </w:pPr>
          </w:p>
        </w:tc>
        <w:tc>
          <w:tcPr>
            <w:tcW w:w="1276" w:type="dxa"/>
            <w:vAlign w:val="center"/>
          </w:tcPr>
          <w:p w14:paraId="67E4F4C4">
            <w:pPr>
              <w:adjustRightInd w:val="0"/>
              <w:snapToGrid w:val="0"/>
              <w:jc w:val="center"/>
              <w:rPr>
                <w:rFonts w:hint="default" w:ascii="Times New Roman" w:hAnsi="Times New Roman" w:cs="Times New Roman"/>
                <w:snapToGrid w:val="0"/>
                <w:color w:val="0000FF"/>
                <w:kern w:val="21"/>
                <w:szCs w:val="21"/>
                <w:highlight w:val="none"/>
              </w:rPr>
            </w:pPr>
          </w:p>
        </w:tc>
        <w:tc>
          <w:tcPr>
            <w:tcW w:w="1701" w:type="dxa"/>
            <w:vAlign w:val="center"/>
          </w:tcPr>
          <w:p w14:paraId="1583BF66">
            <w:pPr>
              <w:adjustRightInd w:val="0"/>
              <w:snapToGrid w:val="0"/>
              <w:jc w:val="center"/>
              <w:rPr>
                <w:rFonts w:hint="default" w:ascii="Times New Roman" w:hAnsi="Times New Roman" w:cs="Times New Roman"/>
                <w:snapToGrid w:val="0"/>
                <w:color w:val="0000FF"/>
                <w:kern w:val="21"/>
                <w:szCs w:val="21"/>
                <w:highlight w:val="none"/>
              </w:rPr>
            </w:pPr>
          </w:p>
        </w:tc>
        <w:tc>
          <w:tcPr>
            <w:tcW w:w="1559" w:type="dxa"/>
            <w:vAlign w:val="center"/>
          </w:tcPr>
          <w:p w14:paraId="339D478C">
            <w:pPr>
              <w:adjustRightInd w:val="0"/>
              <w:snapToGrid w:val="0"/>
              <w:jc w:val="center"/>
              <w:rPr>
                <w:rFonts w:hint="default" w:ascii="Times New Roman" w:hAnsi="Times New Roman" w:cs="Times New Roman"/>
                <w:snapToGrid w:val="0"/>
                <w:color w:val="0000FF"/>
                <w:kern w:val="21"/>
                <w:szCs w:val="21"/>
                <w:highlight w:val="none"/>
              </w:rPr>
            </w:pPr>
          </w:p>
        </w:tc>
        <w:tc>
          <w:tcPr>
            <w:tcW w:w="1761" w:type="dxa"/>
            <w:vAlign w:val="center"/>
          </w:tcPr>
          <w:p w14:paraId="2C181EAA">
            <w:pPr>
              <w:adjustRightInd w:val="0"/>
              <w:snapToGrid w:val="0"/>
              <w:jc w:val="center"/>
              <w:rPr>
                <w:rFonts w:hint="default" w:ascii="Times New Roman" w:hAnsi="Times New Roman" w:cs="Times New Roman"/>
                <w:snapToGrid w:val="0"/>
                <w:color w:val="0000FF"/>
                <w:kern w:val="21"/>
                <w:szCs w:val="21"/>
                <w:highlight w:val="none"/>
              </w:rPr>
            </w:pPr>
          </w:p>
        </w:tc>
        <w:tc>
          <w:tcPr>
            <w:tcW w:w="1603" w:type="dxa"/>
            <w:vAlign w:val="center"/>
          </w:tcPr>
          <w:p w14:paraId="7A0075E2">
            <w:pPr>
              <w:adjustRightInd w:val="0"/>
              <w:snapToGrid w:val="0"/>
              <w:jc w:val="center"/>
              <w:rPr>
                <w:rFonts w:hint="default" w:ascii="Times New Roman" w:hAnsi="Times New Roman" w:cs="Times New Roman"/>
                <w:snapToGrid w:val="0"/>
                <w:color w:val="0000FF"/>
                <w:kern w:val="21"/>
                <w:szCs w:val="21"/>
                <w:highlight w:val="none"/>
              </w:rPr>
            </w:pPr>
          </w:p>
        </w:tc>
        <w:tc>
          <w:tcPr>
            <w:tcW w:w="1182" w:type="dxa"/>
            <w:vAlign w:val="center"/>
          </w:tcPr>
          <w:p w14:paraId="7AFA5B9C">
            <w:pPr>
              <w:adjustRightInd w:val="0"/>
              <w:snapToGrid w:val="0"/>
              <w:jc w:val="center"/>
              <w:rPr>
                <w:rFonts w:hint="default" w:ascii="Times New Roman" w:hAnsi="Times New Roman" w:cs="Times New Roman"/>
                <w:snapToGrid w:val="0"/>
                <w:color w:val="0000FF"/>
                <w:kern w:val="21"/>
                <w:szCs w:val="21"/>
                <w:highlight w:val="none"/>
              </w:rPr>
            </w:pPr>
          </w:p>
        </w:tc>
      </w:tr>
      <w:tr w14:paraId="0CD9D7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80910F9">
            <w:pPr>
              <w:adjustRightInd w:val="0"/>
              <w:snapToGrid w:val="0"/>
              <w:jc w:val="center"/>
              <w:rPr>
                <w:rFonts w:hint="default" w:ascii="Times New Roman" w:hAnsi="Times New Roman" w:cs="Times New Roman"/>
                <w:snapToGrid w:val="0"/>
                <w:color w:val="0000FF"/>
                <w:kern w:val="21"/>
                <w:szCs w:val="21"/>
                <w:highlight w:val="none"/>
              </w:rPr>
            </w:pPr>
          </w:p>
        </w:tc>
        <w:tc>
          <w:tcPr>
            <w:tcW w:w="1417" w:type="dxa"/>
            <w:vAlign w:val="center"/>
          </w:tcPr>
          <w:p w14:paraId="0452F9DB">
            <w:pPr>
              <w:adjustRightInd w:val="0"/>
              <w:snapToGrid w:val="0"/>
              <w:jc w:val="center"/>
              <w:rPr>
                <w:rFonts w:hint="default" w:ascii="Times New Roman" w:hAnsi="Times New Roman" w:cs="Times New Roman"/>
                <w:snapToGrid w:val="0"/>
                <w:color w:val="0000FF"/>
                <w:kern w:val="21"/>
                <w:szCs w:val="21"/>
                <w:highlight w:val="none"/>
              </w:rPr>
            </w:pPr>
          </w:p>
        </w:tc>
        <w:tc>
          <w:tcPr>
            <w:tcW w:w="1701" w:type="dxa"/>
            <w:vAlign w:val="center"/>
          </w:tcPr>
          <w:p w14:paraId="27323D29">
            <w:pPr>
              <w:adjustRightInd w:val="0"/>
              <w:snapToGrid w:val="0"/>
              <w:jc w:val="center"/>
              <w:rPr>
                <w:rFonts w:hint="default" w:ascii="Times New Roman" w:hAnsi="Times New Roman" w:cs="Times New Roman"/>
                <w:snapToGrid w:val="0"/>
                <w:color w:val="0000FF"/>
                <w:kern w:val="21"/>
                <w:szCs w:val="21"/>
                <w:highlight w:val="none"/>
              </w:rPr>
            </w:pPr>
          </w:p>
        </w:tc>
        <w:tc>
          <w:tcPr>
            <w:tcW w:w="1276" w:type="dxa"/>
            <w:vAlign w:val="center"/>
          </w:tcPr>
          <w:p w14:paraId="0A13CD9C">
            <w:pPr>
              <w:adjustRightInd w:val="0"/>
              <w:snapToGrid w:val="0"/>
              <w:jc w:val="center"/>
              <w:rPr>
                <w:rFonts w:hint="default" w:ascii="Times New Roman" w:hAnsi="Times New Roman" w:cs="Times New Roman"/>
                <w:snapToGrid w:val="0"/>
                <w:color w:val="0000FF"/>
                <w:kern w:val="21"/>
                <w:szCs w:val="21"/>
                <w:highlight w:val="none"/>
              </w:rPr>
            </w:pPr>
          </w:p>
        </w:tc>
        <w:tc>
          <w:tcPr>
            <w:tcW w:w="1701" w:type="dxa"/>
            <w:vAlign w:val="center"/>
          </w:tcPr>
          <w:p w14:paraId="256FEFA5">
            <w:pPr>
              <w:adjustRightInd w:val="0"/>
              <w:snapToGrid w:val="0"/>
              <w:jc w:val="center"/>
              <w:rPr>
                <w:rFonts w:hint="default" w:ascii="Times New Roman" w:hAnsi="Times New Roman" w:cs="Times New Roman"/>
                <w:snapToGrid w:val="0"/>
                <w:color w:val="0000FF"/>
                <w:kern w:val="21"/>
                <w:szCs w:val="21"/>
                <w:highlight w:val="none"/>
              </w:rPr>
            </w:pPr>
          </w:p>
        </w:tc>
        <w:tc>
          <w:tcPr>
            <w:tcW w:w="1559" w:type="dxa"/>
            <w:vAlign w:val="center"/>
          </w:tcPr>
          <w:p w14:paraId="24DE8CAE">
            <w:pPr>
              <w:adjustRightInd w:val="0"/>
              <w:snapToGrid w:val="0"/>
              <w:jc w:val="center"/>
              <w:rPr>
                <w:rFonts w:hint="default" w:ascii="Times New Roman" w:hAnsi="Times New Roman" w:cs="Times New Roman"/>
                <w:snapToGrid w:val="0"/>
                <w:color w:val="0000FF"/>
                <w:kern w:val="21"/>
                <w:szCs w:val="21"/>
                <w:highlight w:val="none"/>
              </w:rPr>
            </w:pPr>
          </w:p>
        </w:tc>
        <w:tc>
          <w:tcPr>
            <w:tcW w:w="1761" w:type="dxa"/>
            <w:vAlign w:val="center"/>
          </w:tcPr>
          <w:p w14:paraId="15750E1C">
            <w:pPr>
              <w:adjustRightInd w:val="0"/>
              <w:snapToGrid w:val="0"/>
              <w:jc w:val="center"/>
              <w:rPr>
                <w:rFonts w:hint="default" w:ascii="Times New Roman" w:hAnsi="Times New Roman" w:cs="Times New Roman"/>
                <w:snapToGrid w:val="0"/>
                <w:color w:val="0000FF"/>
                <w:kern w:val="21"/>
                <w:szCs w:val="21"/>
                <w:highlight w:val="none"/>
              </w:rPr>
            </w:pPr>
          </w:p>
        </w:tc>
        <w:tc>
          <w:tcPr>
            <w:tcW w:w="1603" w:type="dxa"/>
            <w:vAlign w:val="center"/>
          </w:tcPr>
          <w:p w14:paraId="53185F07">
            <w:pPr>
              <w:adjustRightInd w:val="0"/>
              <w:snapToGrid w:val="0"/>
              <w:jc w:val="center"/>
              <w:rPr>
                <w:rFonts w:hint="default" w:ascii="Times New Roman" w:hAnsi="Times New Roman" w:cs="Times New Roman"/>
                <w:snapToGrid w:val="0"/>
                <w:color w:val="0000FF"/>
                <w:kern w:val="21"/>
                <w:szCs w:val="21"/>
                <w:highlight w:val="none"/>
              </w:rPr>
            </w:pPr>
          </w:p>
        </w:tc>
        <w:tc>
          <w:tcPr>
            <w:tcW w:w="1182" w:type="dxa"/>
            <w:vAlign w:val="center"/>
          </w:tcPr>
          <w:p w14:paraId="06BEF7A5">
            <w:pPr>
              <w:adjustRightInd w:val="0"/>
              <w:snapToGrid w:val="0"/>
              <w:jc w:val="center"/>
              <w:rPr>
                <w:rFonts w:hint="default" w:ascii="Times New Roman" w:hAnsi="Times New Roman" w:cs="Times New Roman"/>
                <w:snapToGrid w:val="0"/>
                <w:color w:val="0000FF"/>
                <w:kern w:val="21"/>
                <w:szCs w:val="21"/>
                <w:highlight w:val="none"/>
              </w:rPr>
            </w:pPr>
          </w:p>
        </w:tc>
      </w:tr>
      <w:tr w14:paraId="19BC5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Align w:val="center"/>
          </w:tcPr>
          <w:p w14:paraId="1A4121F4">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一般工业</w:t>
            </w:r>
          </w:p>
          <w:p w14:paraId="6BD43EBC">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固体废物</w:t>
            </w:r>
          </w:p>
        </w:tc>
        <w:tc>
          <w:tcPr>
            <w:tcW w:w="1417" w:type="dxa"/>
            <w:vAlign w:val="center"/>
          </w:tcPr>
          <w:p w14:paraId="6F43F118">
            <w:pPr>
              <w:adjustRightInd w:val="0"/>
              <w:snapToGrid w:val="0"/>
              <w:jc w:val="center"/>
              <w:rPr>
                <w:rFonts w:hint="default" w:ascii="Times New Roman" w:hAnsi="Times New Roman" w:cs="Times New Roman"/>
                <w:snapToGrid w:val="0"/>
                <w:color w:val="0000FF"/>
                <w:kern w:val="21"/>
                <w:szCs w:val="21"/>
                <w:highlight w:val="none"/>
              </w:rPr>
            </w:pPr>
            <w:r>
              <w:rPr>
                <w:rFonts w:hint="eastAsia" w:ascii="宋体" w:hAnsi="宋体" w:eastAsia="宋体" w:cs="宋体"/>
                <w:color w:val="0000FF"/>
                <w:kern w:val="0"/>
                <w:sz w:val="21"/>
                <w:szCs w:val="21"/>
                <w:highlight w:val="none"/>
              </w:rPr>
              <w:t>沾染废</w:t>
            </w:r>
            <w:r>
              <w:rPr>
                <w:rFonts w:hint="eastAsia" w:ascii="宋体" w:hAnsi="宋体" w:cs="宋体"/>
                <w:color w:val="0000FF"/>
                <w:kern w:val="0"/>
                <w:sz w:val="21"/>
                <w:szCs w:val="21"/>
                <w:highlight w:val="none"/>
                <w:lang w:val="en-US" w:eastAsia="zh-CN"/>
              </w:rPr>
              <w:t>矿</w:t>
            </w:r>
            <w:r>
              <w:rPr>
                <w:rFonts w:hint="eastAsia" w:ascii="宋体" w:hAnsi="宋体" w:eastAsia="宋体" w:cs="宋体"/>
                <w:color w:val="0000FF"/>
                <w:kern w:val="0"/>
                <w:sz w:val="21"/>
                <w:szCs w:val="21"/>
                <w:highlight w:val="none"/>
              </w:rPr>
              <w:t>物油的劳保用品</w:t>
            </w:r>
          </w:p>
        </w:tc>
        <w:tc>
          <w:tcPr>
            <w:tcW w:w="1701" w:type="dxa"/>
            <w:vAlign w:val="center"/>
          </w:tcPr>
          <w:p w14:paraId="0D3B8B81">
            <w:pPr>
              <w:adjustRightInd w:val="0"/>
              <w:snapToGrid w:val="0"/>
              <w:jc w:val="center"/>
              <w:rPr>
                <w:rFonts w:hint="eastAsia" w:ascii="Times New Roman" w:hAnsi="Times New Roman" w:eastAsia="宋体" w:cs="Times New Roman"/>
                <w:snapToGrid w:val="0"/>
                <w:color w:val="0000FF"/>
                <w:kern w:val="21"/>
                <w:szCs w:val="21"/>
                <w:highlight w:val="none"/>
                <w:lang w:val="en-US" w:eastAsia="zh-CN"/>
              </w:rPr>
            </w:pPr>
            <w:r>
              <w:rPr>
                <w:rFonts w:hint="eastAsia" w:cs="Times New Roman"/>
                <w:snapToGrid w:val="0"/>
                <w:color w:val="0000FF"/>
                <w:kern w:val="21"/>
                <w:szCs w:val="21"/>
                <w:highlight w:val="none"/>
                <w:lang w:val="en-US" w:eastAsia="zh-CN"/>
              </w:rPr>
              <w:t>/</w:t>
            </w:r>
          </w:p>
        </w:tc>
        <w:tc>
          <w:tcPr>
            <w:tcW w:w="1276" w:type="dxa"/>
            <w:vAlign w:val="center"/>
          </w:tcPr>
          <w:p w14:paraId="0341DDC0">
            <w:pPr>
              <w:adjustRightInd w:val="0"/>
              <w:snapToGrid w:val="0"/>
              <w:jc w:val="center"/>
              <w:rPr>
                <w:rFonts w:hint="eastAsia" w:ascii="Times New Roman" w:hAnsi="Times New Roman" w:eastAsia="宋体" w:cs="Times New Roman"/>
                <w:snapToGrid w:val="0"/>
                <w:color w:val="0000FF"/>
                <w:kern w:val="21"/>
                <w:szCs w:val="21"/>
                <w:highlight w:val="none"/>
                <w:lang w:val="en-US" w:eastAsia="zh-CN"/>
              </w:rPr>
            </w:pPr>
            <w:r>
              <w:rPr>
                <w:rFonts w:hint="eastAsia" w:cs="Times New Roman"/>
                <w:snapToGrid w:val="0"/>
                <w:color w:val="0000FF"/>
                <w:kern w:val="21"/>
                <w:szCs w:val="21"/>
                <w:highlight w:val="none"/>
                <w:lang w:val="en-US" w:eastAsia="zh-CN"/>
              </w:rPr>
              <w:t>/</w:t>
            </w:r>
          </w:p>
        </w:tc>
        <w:tc>
          <w:tcPr>
            <w:tcW w:w="1701" w:type="dxa"/>
            <w:vAlign w:val="center"/>
          </w:tcPr>
          <w:p w14:paraId="293A82CA">
            <w:pPr>
              <w:adjustRightInd w:val="0"/>
              <w:snapToGrid w:val="0"/>
              <w:jc w:val="center"/>
              <w:rPr>
                <w:rFonts w:hint="eastAsia" w:ascii="Times New Roman" w:hAnsi="Times New Roman" w:eastAsia="宋体" w:cs="Times New Roman"/>
                <w:snapToGrid w:val="0"/>
                <w:color w:val="0000FF"/>
                <w:kern w:val="21"/>
                <w:szCs w:val="21"/>
                <w:highlight w:val="none"/>
                <w:lang w:val="en-US" w:eastAsia="zh-CN"/>
              </w:rPr>
            </w:pPr>
            <w:r>
              <w:rPr>
                <w:rFonts w:hint="eastAsia" w:cs="Times New Roman"/>
                <w:snapToGrid w:val="0"/>
                <w:color w:val="0000FF"/>
                <w:kern w:val="21"/>
                <w:szCs w:val="21"/>
                <w:highlight w:val="none"/>
                <w:lang w:val="en-US" w:eastAsia="zh-CN"/>
              </w:rPr>
              <w:t>/</w:t>
            </w:r>
          </w:p>
        </w:tc>
        <w:tc>
          <w:tcPr>
            <w:tcW w:w="1559" w:type="dxa"/>
            <w:vAlign w:val="center"/>
          </w:tcPr>
          <w:p w14:paraId="5E5B915C">
            <w:pPr>
              <w:adjustRightInd w:val="0"/>
              <w:snapToGrid w:val="0"/>
              <w:jc w:val="center"/>
              <w:rPr>
                <w:rFonts w:hint="default" w:cs="Times New Roman"/>
                <w:snapToGrid w:val="0"/>
                <w:color w:val="0000FF"/>
                <w:kern w:val="21"/>
                <w:szCs w:val="21"/>
                <w:highlight w:val="none"/>
                <w:lang w:val="en-US" w:eastAsia="zh-CN"/>
              </w:rPr>
            </w:pPr>
            <w:r>
              <w:rPr>
                <w:rFonts w:hint="eastAsia" w:cs="Times New Roman"/>
                <w:snapToGrid w:val="0"/>
                <w:color w:val="0000FF"/>
                <w:kern w:val="21"/>
                <w:szCs w:val="21"/>
                <w:highlight w:val="none"/>
                <w:lang w:val="en-US" w:eastAsia="zh-CN"/>
              </w:rPr>
              <w:t>0.01t/a</w:t>
            </w:r>
          </w:p>
        </w:tc>
        <w:tc>
          <w:tcPr>
            <w:tcW w:w="1761" w:type="dxa"/>
            <w:vAlign w:val="center"/>
          </w:tcPr>
          <w:p w14:paraId="0EC393F3">
            <w:pPr>
              <w:adjustRightInd w:val="0"/>
              <w:snapToGrid w:val="0"/>
              <w:jc w:val="center"/>
              <w:rPr>
                <w:rFonts w:hint="eastAsia" w:ascii="Times New Roman" w:hAnsi="Times New Roman" w:eastAsia="宋体" w:cs="Times New Roman"/>
                <w:snapToGrid w:val="0"/>
                <w:color w:val="0000FF"/>
                <w:kern w:val="21"/>
                <w:szCs w:val="21"/>
                <w:highlight w:val="none"/>
                <w:lang w:val="en-US" w:eastAsia="zh-CN"/>
              </w:rPr>
            </w:pPr>
            <w:r>
              <w:rPr>
                <w:rFonts w:hint="eastAsia" w:cs="Times New Roman"/>
                <w:snapToGrid w:val="0"/>
                <w:color w:val="0000FF"/>
                <w:kern w:val="21"/>
                <w:szCs w:val="21"/>
                <w:highlight w:val="none"/>
                <w:lang w:val="en-US" w:eastAsia="zh-CN"/>
              </w:rPr>
              <w:t>/</w:t>
            </w:r>
          </w:p>
        </w:tc>
        <w:tc>
          <w:tcPr>
            <w:tcW w:w="1603" w:type="dxa"/>
            <w:vAlign w:val="center"/>
          </w:tcPr>
          <w:p w14:paraId="623210F1">
            <w:pPr>
              <w:adjustRightInd w:val="0"/>
              <w:snapToGrid w:val="0"/>
              <w:jc w:val="center"/>
              <w:rPr>
                <w:rFonts w:hint="default" w:ascii="Times New Roman" w:hAnsi="Times New Roman" w:cs="Times New Roman"/>
                <w:snapToGrid w:val="0"/>
                <w:color w:val="0000FF"/>
                <w:kern w:val="21"/>
                <w:szCs w:val="21"/>
                <w:highlight w:val="none"/>
              </w:rPr>
            </w:pPr>
            <w:r>
              <w:rPr>
                <w:rFonts w:hint="eastAsia" w:cs="Times New Roman"/>
                <w:snapToGrid w:val="0"/>
                <w:color w:val="0000FF"/>
                <w:kern w:val="21"/>
                <w:szCs w:val="21"/>
                <w:highlight w:val="none"/>
                <w:lang w:val="en-US" w:eastAsia="zh-CN"/>
              </w:rPr>
              <w:t>0.01t/a</w:t>
            </w:r>
          </w:p>
        </w:tc>
        <w:tc>
          <w:tcPr>
            <w:tcW w:w="1182" w:type="dxa"/>
            <w:vAlign w:val="center"/>
          </w:tcPr>
          <w:p w14:paraId="24A9CF5C">
            <w:pPr>
              <w:adjustRightInd w:val="0"/>
              <w:snapToGrid w:val="0"/>
              <w:jc w:val="center"/>
              <w:rPr>
                <w:rFonts w:hint="eastAsia" w:ascii="Times New Roman" w:hAnsi="Times New Roman" w:eastAsia="宋体" w:cs="Times New Roman"/>
                <w:snapToGrid w:val="0"/>
                <w:color w:val="0000FF"/>
                <w:kern w:val="21"/>
                <w:szCs w:val="21"/>
                <w:highlight w:val="none"/>
                <w:lang w:val="en-US" w:eastAsia="zh-CN"/>
              </w:rPr>
            </w:pPr>
            <w:r>
              <w:rPr>
                <w:rFonts w:hint="eastAsia" w:cs="Times New Roman"/>
                <w:snapToGrid w:val="0"/>
                <w:color w:val="0000FF"/>
                <w:kern w:val="21"/>
                <w:szCs w:val="21"/>
                <w:highlight w:val="none"/>
                <w:lang w:val="en-US" w:eastAsia="zh-CN"/>
              </w:rPr>
              <w:t>/</w:t>
            </w:r>
          </w:p>
        </w:tc>
      </w:tr>
      <w:tr w14:paraId="2E5E67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16D032E7">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危险废物</w:t>
            </w:r>
          </w:p>
        </w:tc>
        <w:tc>
          <w:tcPr>
            <w:tcW w:w="1417" w:type="dxa"/>
            <w:vAlign w:val="center"/>
          </w:tcPr>
          <w:p w14:paraId="443155F4">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废矿物油</w:t>
            </w:r>
          </w:p>
        </w:tc>
        <w:tc>
          <w:tcPr>
            <w:tcW w:w="1701" w:type="dxa"/>
            <w:vAlign w:val="center"/>
          </w:tcPr>
          <w:p w14:paraId="21FF4B67">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276" w:type="dxa"/>
            <w:vAlign w:val="center"/>
          </w:tcPr>
          <w:p w14:paraId="611AA667">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701" w:type="dxa"/>
            <w:vAlign w:val="center"/>
          </w:tcPr>
          <w:p w14:paraId="62AC50C4">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559" w:type="dxa"/>
            <w:vAlign w:val="center"/>
          </w:tcPr>
          <w:p w14:paraId="524C5232">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color w:val="0000FF"/>
                <w:kern w:val="0"/>
                <w:szCs w:val="20"/>
                <w:highlight w:val="none"/>
                <w:lang w:val="en-US" w:eastAsia="zh-CN"/>
              </w:rPr>
              <w:t>0.5</w:t>
            </w:r>
            <w:r>
              <w:rPr>
                <w:rFonts w:hint="default" w:ascii="Times New Roman" w:hAnsi="Times New Roman" w:cs="Times New Roman"/>
                <w:color w:val="0000FF"/>
                <w:kern w:val="0"/>
                <w:szCs w:val="20"/>
                <w:highlight w:val="none"/>
              </w:rPr>
              <w:t>t/a</w:t>
            </w:r>
          </w:p>
        </w:tc>
        <w:tc>
          <w:tcPr>
            <w:tcW w:w="1761" w:type="dxa"/>
            <w:vAlign w:val="center"/>
          </w:tcPr>
          <w:p w14:paraId="09BD8031">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603" w:type="dxa"/>
            <w:vAlign w:val="center"/>
          </w:tcPr>
          <w:p w14:paraId="5ADA9BD9">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color w:val="0000FF"/>
                <w:kern w:val="0"/>
                <w:szCs w:val="20"/>
                <w:highlight w:val="none"/>
                <w:lang w:val="en-US" w:eastAsia="zh-CN"/>
              </w:rPr>
              <w:t>0.5</w:t>
            </w:r>
            <w:r>
              <w:rPr>
                <w:rFonts w:hint="default" w:ascii="Times New Roman" w:hAnsi="Times New Roman" w:cs="Times New Roman"/>
                <w:color w:val="0000FF"/>
                <w:kern w:val="0"/>
                <w:szCs w:val="20"/>
                <w:highlight w:val="none"/>
              </w:rPr>
              <w:t>t/a</w:t>
            </w:r>
          </w:p>
        </w:tc>
        <w:tc>
          <w:tcPr>
            <w:tcW w:w="1182" w:type="dxa"/>
            <w:vAlign w:val="center"/>
          </w:tcPr>
          <w:p w14:paraId="0AFEEB05">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r>
      <w:tr w14:paraId="2E377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109E8539">
            <w:pPr>
              <w:adjustRightInd w:val="0"/>
              <w:snapToGrid w:val="0"/>
              <w:jc w:val="center"/>
              <w:rPr>
                <w:rFonts w:hint="default" w:ascii="Times New Roman" w:hAnsi="Times New Roman" w:cs="Times New Roman"/>
                <w:snapToGrid w:val="0"/>
                <w:color w:val="0000FF"/>
                <w:kern w:val="21"/>
                <w:szCs w:val="21"/>
                <w:highlight w:val="none"/>
              </w:rPr>
            </w:pPr>
          </w:p>
        </w:tc>
        <w:tc>
          <w:tcPr>
            <w:tcW w:w="1417" w:type="dxa"/>
            <w:vAlign w:val="center"/>
          </w:tcPr>
          <w:p w14:paraId="66009B36">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rPr>
              <w:t>废包装</w:t>
            </w:r>
          </w:p>
        </w:tc>
        <w:tc>
          <w:tcPr>
            <w:tcW w:w="1701" w:type="dxa"/>
            <w:vAlign w:val="center"/>
          </w:tcPr>
          <w:p w14:paraId="3599560C">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276" w:type="dxa"/>
            <w:vAlign w:val="center"/>
          </w:tcPr>
          <w:p w14:paraId="4DFFEEE4">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701" w:type="dxa"/>
            <w:vAlign w:val="center"/>
          </w:tcPr>
          <w:p w14:paraId="111B2BD6">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559" w:type="dxa"/>
            <w:vAlign w:val="center"/>
          </w:tcPr>
          <w:p w14:paraId="0E5C035D">
            <w:pPr>
              <w:adjustRightInd w:val="0"/>
              <w:snapToGrid w:val="0"/>
              <w:jc w:val="center"/>
              <w:rPr>
                <w:rFonts w:hint="default" w:ascii="Times New Roman" w:hAnsi="Times New Roman" w:cs="Times New Roman"/>
                <w:color w:val="0000FF"/>
                <w:kern w:val="0"/>
                <w:szCs w:val="20"/>
                <w:highlight w:val="none"/>
              </w:rPr>
            </w:pPr>
            <w:r>
              <w:rPr>
                <w:rFonts w:hint="default" w:ascii="Times New Roman" w:hAnsi="Times New Roman" w:cs="Times New Roman"/>
                <w:color w:val="0000FF"/>
                <w:kern w:val="0"/>
                <w:szCs w:val="20"/>
                <w:highlight w:val="none"/>
                <w:lang w:val="en-US" w:eastAsia="zh-CN"/>
              </w:rPr>
              <w:t>2</w:t>
            </w:r>
            <w:r>
              <w:rPr>
                <w:rFonts w:hint="default" w:ascii="Times New Roman" w:hAnsi="Times New Roman" w:cs="Times New Roman"/>
                <w:color w:val="0000FF"/>
                <w:kern w:val="0"/>
                <w:szCs w:val="20"/>
                <w:highlight w:val="none"/>
              </w:rPr>
              <w:t>个/a</w:t>
            </w:r>
          </w:p>
        </w:tc>
        <w:tc>
          <w:tcPr>
            <w:tcW w:w="1761" w:type="dxa"/>
            <w:vAlign w:val="center"/>
          </w:tcPr>
          <w:p w14:paraId="104B5310">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c>
          <w:tcPr>
            <w:tcW w:w="1603" w:type="dxa"/>
            <w:vAlign w:val="center"/>
          </w:tcPr>
          <w:p w14:paraId="073A1CDB">
            <w:pPr>
              <w:adjustRightInd w:val="0"/>
              <w:snapToGrid w:val="0"/>
              <w:jc w:val="center"/>
              <w:rPr>
                <w:rFonts w:hint="default" w:ascii="Times New Roman" w:hAnsi="Times New Roman" w:cs="Times New Roman"/>
                <w:color w:val="0000FF"/>
                <w:kern w:val="0"/>
                <w:szCs w:val="20"/>
                <w:highlight w:val="none"/>
              </w:rPr>
            </w:pPr>
            <w:r>
              <w:rPr>
                <w:rFonts w:hint="default" w:ascii="Times New Roman" w:hAnsi="Times New Roman" w:cs="Times New Roman"/>
                <w:color w:val="0000FF"/>
                <w:kern w:val="0"/>
                <w:szCs w:val="20"/>
                <w:highlight w:val="none"/>
                <w:lang w:val="en-US" w:eastAsia="zh-CN"/>
              </w:rPr>
              <w:t>2</w:t>
            </w:r>
            <w:r>
              <w:rPr>
                <w:rFonts w:hint="default" w:ascii="Times New Roman" w:hAnsi="Times New Roman" w:cs="Times New Roman"/>
                <w:color w:val="0000FF"/>
                <w:kern w:val="0"/>
                <w:szCs w:val="20"/>
                <w:highlight w:val="none"/>
              </w:rPr>
              <w:t>个/a</w:t>
            </w:r>
          </w:p>
        </w:tc>
        <w:tc>
          <w:tcPr>
            <w:tcW w:w="1182" w:type="dxa"/>
            <w:vAlign w:val="center"/>
          </w:tcPr>
          <w:p w14:paraId="5252F6C4">
            <w:pPr>
              <w:adjustRightInd w:val="0"/>
              <w:snapToGrid w:val="0"/>
              <w:jc w:val="center"/>
              <w:rPr>
                <w:rFonts w:hint="default" w:ascii="Times New Roman" w:hAnsi="Times New Roman" w:cs="Times New Roman"/>
                <w:snapToGrid w:val="0"/>
                <w:color w:val="0000FF"/>
                <w:kern w:val="21"/>
                <w:szCs w:val="21"/>
                <w:highlight w:val="none"/>
              </w:rPr>
            </w:pPr>
            <w:r>
              <w:rPr>
                <w:rFonts w:hint="default" w:ascii="Times New Roman" w:hAnsi="Times New Roman" w:cs="Times New Roman"/>
                <w:snapToGrid w:val="0"/>
                <w:color w:val="0000FF"/>
                <w:kern w:val="21"/>
                <w:szCs w:val="21"/>
                <w:highlight w:val="none"/>
                <w:lang w:val="en-US" w:eastAsia="zh-CN"/>
              </w:rPr>
              <w:t>/</w:t>
            </w:r>
          </w:p>
        </w:tc>
      </w:tr>
    </w:tbl>
    <w:p w14:paraId="208D0CD8">
      <w:pPr>
        <w:adjustRightInd w:val="0"/>
        <w:snapToGrid w:val="0"/>
        <w:spacing w:before="249" w:beforeLines="80" w:after="31" w:afterLines="10" w:line="259" w:lineRule="auto"/>
        <w:jc w:val="lef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0"/>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0"/>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kern w:val="0"/>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kern w:val="0"/>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2C420ABE">
      <w:pPr>
        <w:rPr>
          <w:rFonts w:hint="default" w:ascii="Times New Roman" w:hAnsi="Times New Roman" w:cs="Times New Roman"/>
          <w:snapToGrid w:val="0"/>
          <w:color w:val="auto"/>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64E8E579">
      <w:pPr>
        <w:pStyle w:val="18"/>
        <w:adjustRightInd w:val="0"/>
        <w:snapToGrid w:val="0"/>
        <w:spacing w:before="0" w:beforeAutospacing="0" w:after="0" w:afterAutospacing="0" w:line="360" w:lineRule="auto"/>
        <w:outlineLvl w:val="0"/>
        <w:rPr>
          <w:rFonts w:hint="eastAsia" w:ascii="Times New Roman" w:hAnsi="Times New Roman" w:eastAsia="黑体" w:cs="Times New Roman"/>
          <w:snapToGrid w:val="0"/>
          <w:color w:val="auto"/>
          <w:kern w:val="0"/>
          <w:sz w:val="32"/>
          <w:szCs w:val="32"/>
          <w:highlight w:val="none"/>
          <w:lang w:val="en-US" w:eastAsia="zh-CN"/>
        </w:rPr>
      </w:pPr>
      <w:r>
        <w:rPr>
          <w:rFonts w:hint="default" w:ascii="Times New Roman" w:hAnsi="Times New Roman" w:eastAsia="黑体" w:cs="Times New Roman"/>
          <w:snapToGrid w:val="0"/>
          <w:color w:val="auto"/>
          <w:kern w:val="0"/>
          <w:sz w:val="32"/>
          <w:szCs w:val="32"/>
          <w:highlight w:val="none"/>
        </w:rPr>
        <w:t>附图</w:t>
      </w:r>
      <w:r>
        <w:rPr>
          <w:rFonts w:hint="eastAsia" w:ascii="Times New Roman" w:hAnsi="Times New Roman" w:eastAsia="黑体" w:cs="Times New Roman"/>
          <w:snapToGrid w:val="0"/>
          <w:color w:val="auto"/>
          <w:kern w:val="0"/>
          <w:sz w:val="32"/>
          <w:szCs w:val="32"/>
          <w:highlight w:val="none"/>
          <w:lang w:val="en-US" w:eastAsia="zh-CN"/>
        </w:rPr>
        <w:t>1</w:t>
      </w:r>
      <w:r>
        <w:rPr>
          <w:rFonts w:hint="default" w:ascii="Times New Roman" w:hAnsi="Times New Roman" w:eastAsia="黑体" w:cs="Times New Roman"/>
          <w:snapToGrid w:val="0"/>
          <w:color w:val="auto"/>
          <w:kern w:val="0"/>
          <w:sz w:val="32"/>
          <w:szCs w:val="32"/>
          <w:highlight w:val="none"/>
        </w:rPr>
        <w:t>：本项目在鄂尔多斯市环境管控单元中的位置关系</w:t>
      </w:r>
      <w:r>
        <w:rPr>
          <w:rFonts w:hint="eastAsia" w:ascii="Times New Roman" w:hAnsi="Times New Roman" w:eastAsia="黑体" w:cs="Times New Roman"/>
          <w:snapToGrid w:val="0"/>
          <w:color w:val="auto"/>
          <w:kern w:val="0"/>
          <w:sz w:val="32"/>
          <w:szCs w:val="32"/>
          <w:highlight w:val="none"/>
          <w:lang w:val="en-US" w:eastAsia="zh-CN"/>
        </w:rPr>
        <w:t>图</w:t>
      </w:r>
    </w:p>
    <w:p w14:paraId="6D0B8766">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9"/>
        <w:rPr>
          <w:rFonts w:hint="default" w:ascii="Times New Roman" w:hAnsi="Times New Roman" w:eastAsia="黑体" w:cs="Times New Roman"/>
          <w:snapToGrid w:val="0"/>
          <w:color w:val="auto"/>
          <w:kern w:val="0"/>
          <w:sz w:val="32"/>
          <w:szCs w:val="32"/>
          <w:highlight w:val="none"/>
        </w:rPr>
      </w:pPr>
      <w:r>
        <w:rPr>
          <w:color w:val="auto"/>
          <w:highlight w:val="none"/>
        </w:rPr>
        <w:drawing>
          <wp:inline distT="0" distB="0" distL="114300" distR="114300">
            <wp:extent cx="8851265" cy="4311650"/>
            <wp:effectExtent l="0" t="0" r="6985" b="1270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10"/>
                    <a:stretch>
                      <a:fillRect/>
                    </a:stretch>
                  </pic:blipFill>
                  <pic:spPr>
                    <a:xfrm>
                      <a:off x="0" y="0"/>
                      <a:ext cx="8851265" cy="4311650"/>
                    </a:xfrm>
                    <a:prstGeom prst="rect">
                      <a:avLst/>
                    </a:prstGeom>
                    <a:noFill/>
                    <a:ln>
                      <a:noFill/>
                    </a:ln>
                  </pic:spPr>
                </pic:pic>
              </a:graphicData>
            </a:graphic>
          </wp:inline>
        </w:drawing>
      </w:r>
    </w:p>
    <w:p w14:paraId="54F0E536">
      <w:pPr>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rPr>
        <w:br w:type="page"/>
      </w:r>
    </w:p>
    <w:p w14:paraId="69F7A85C">
      <w:pPr>
        <w:pStyle w:val="18"/>
        <w:adjustRightInd w:val="0"/>
        <w:snapToGrid w:val="0"/>
        <w:spacing w:before="0" w:beforeAutospacing="0" w:after="0" w:afterAutospacing="0" w:line="360" w:lineRule="auto"/>
        <w:outlineLvl w:val="0"/>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rPr>
        <w:t>附图</w:t>
      </w:r>
      <w:r>
        <w:rPr>
          <w:rFonts w:hint="eastAsia" w:ascii="Times New Roman" w:hAnsi="Times New Roman" w:eastAsia="黑体" w:cs="Times New Roman"/>
          <w:snapToGrid w:val="0"/>
          <w:color w:val="auto"/>
          <w:kern w:val="0"/>
          <w:sz w:val="32"/>
          <w:szCs w:val="32"/>
          <w:highlight w:val="none"/>
          <w:lang w:val="en-US" w:eastAsia="zh-CN"/>
        </w:rPr>
        <w:t>2</w:t>
      </w:r>
      <w:r>
        <w:rPr>
          <w:rFonts w:hint="default" w:ascii="Times New Roman" w:hAnsi="Times New Roman" w:eastAsia="黑体" w:cs="Times New Roman"/>
          <w:snapToGrid w:val="0"/>
          <w:color w:val="auto"/>
          <w:kern w:val="0"/>
          <w:sz w:val="32"/>
          <w:szCs w:val="32"/>
          <w:highlight w:val="none"/>
        </w:rPr>
        <w:t>：项目地理位置图</w:t>
      </w:r>
    </w:p>
    <w:p w14:paraId="16FDACBE">
      <w:pPr>
        <w:jc w:val="center"/>
        <w:rPr>
          <w:rFonts w:hint="eastAsia" w:ascii="Times New Roman" w:hAnsi="Times New Roman" w:eastAsia="宋体" w:cs="Times New Roman"/>
          <w:snapToGrid w:val="0"/>
          <w:color w:val="auto"/>
          <w:highlight w:val="none"/>
          <w:lang w:eastAsia="zh-CN"/>
        </w:rPr>
      </w:pPr>
      <w:r>
        <w:rPr>
          <w:rFonts w:hint="default" w:ascii="Times New Roman" w:hAnsi="Times New Roman" w:cs="Times New Roman"/>
          <w:color w:val="auto"/>
          <w:sz w:val="28"/>
          <w:highlight w:val="none"/>
        </w:rPr>
        <mc:AlternateContent>
          <mc:Choice Requires="wps">
            <w:drawing>
              <wp:anchor distT="0" distB="0" distL="114300" distR="114300" simplePos="0" relativeHeight="251663360" behindDoc="0" locked="0" layoutInCell="1" allowOverlap="1">
                <wp:simplePos x="0" y="0"/>
                <wp:positionH relativeFrom="column">
                  <wp:posOffset>5218430</wp:posOffset>
                </wp:positionH>
                <wp:positionV relativeFrom="paragraph">
                  <wp:posOffset>793115</wp:posOffset>
                </wp:positionV>
                <wp:extent cx="1025525" cy="221615"/>
                <wp:effectExtent l="9525" t="9525" r="12700" b="454660"/>
                <wp:wrapNone/>
                <wp:docPr id="17" name="矩形标注 17"/>
                <wp:cNvGraphicFramePr/>
                <a:graphic xmlns:a="http://schemas.openxmlformats.org/drawingml/2006/main">
                  <a:graphicData uri="http://schemas.microsoft.com/office/word/2010/wordprocessingShape">
                    <wps:wsp>
                      <wps:cNvSpPr/>
                      <wps:spPr>
                        <a:xfrm>
                          <a:off x="0" y="0"/>
                          <a:ext cx="1025525" cy="221615"/>
                        </a:xfrm>
                        <a:prstGeom prst="wedgeRectCallout">
                          <a:avLst>
                            <a:gd name="adj1" fmla="val 48079"/>
                            <a:gd name="adj2" fmla="val 231375"/>
                          </a:avLst>
                        </a:prstGeom>
                        <a:noFill/>
                        <a:ln w="19050" cap="flat" cmpd="sng">
                          <a:solidFill>
                            <a:srgbClr val="FF0000"/>
                          </a:solidFill>
                          <a:prstDash val="solid"/>
                          <a:miter/>
                          <a:headEnd type="none" w="med" len="med"/>
                          <a:tailEnd type="none" w="med" len="med"/>
                        </a:ln>
                      </wps:spPr>
                      <wps:txbx>
                        <w:txbxContent>
                          <w:p w14:paraId="0C3AAEEB">
                            <w:pPr>
                              <w:jc w:val="center"/>
                              <w:rPr>
                                <w:rFonts w:hint="eastAsia" w:eastAsia="宋体"/>
                                <w:color w:val="FF0000"/>
                                <w:lang w:eastAsia="zh-CN"/>
                              </w:rPr>
                            </w:pPr>
                            <w:r>
                              <w:rPr>
                                <w:rFonts w:hint="eastAsia" w:eastAsia="宋体"/>
                                <w:color w:val="FF0000"/>
                                <w:lang w:val="en-US" w:eastAsia="zh-CN"/>
                              </w:rPr>
                              <w:t>本项目</w:t>
                            </w:r>
                            <w:r>
                              <w:rPr>
                                <w:rFonts w:hint="eastAsia" w:eastAsia="宋体"/>
                                <w:color w:val="FF0000"/>
                                <w:lang w:eastAsia="zh-CN"/>
                              </w:rPr>
                              <w:t>位置</w:t>
                            </w:r>
                          </w:p>
                        </w:txbxContent>
                      </wps:txbx>
                      <wps:bodyPr lIns="0" tIns="0" rIns="0" bIns="0" anchor="ctr" anchorCtr="0" upright="1"/>
                    </wps:wsp>
                  </a:graphicData>
                </a:graphic>
              </wp:anchor>
            </w:drawing>
          </mc:Choice>
          <mc:Fallback>
            <w:pict>
              <v:shape id="_x0000_s1026" o:spid="_x0000_s1026" o:spt="61" type="#_x0000_t61" style="position:absolute;left:0pt;margin-left:410.9pt;margin-top:62.45pt;height:17.45pt;width:80.75pt;z-index:251663360;v-text-anchor:middle;mso-width-relative:page;mso-height-relative:page;" filled="f" stroked="t" coordsize="21600,21600" o:gfxdata="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pWuLNoAAAAL&#10;AQAADwAAAAAAAAABACAAAAAiAAAAZHJzL2Rvd25yZXYueG1sUEsBAhQAFAAAAAgAh07iQINB5ART&#10;AgAApgQAAA4AAAAAAAAAAQAgAAAAKQEAAGRycy9lMm9Eb2MueG1sUEsFBgAAAAAGAAYAWQEAAO4F&#10;AAAAAA==&#10;" adj="21185,60777">
                <v:fill on="f" focussize="0,0"/>
                <v:stroke weight="1.5pt" color="#FF0000" joinstyle="miter"/>
                <v:imagedata o:title=""/>
                <o:lock v:ext="edit" aspectratio="f"/>
                <v:textbox inset="0mm,0mm,0mm,0mm">
                  <w:txbxContent>
                    <w:p w14:paraId="0C3AAEEB">
                      <w:pPr>
                        <w:jc w:val="center"/>
                        <w:rPr>
                          <w:rFonts w:hint="eastAsia" w:eastAsia="宋体"/>
                          <w:color w:val="FF0000"/>
                          <w:lang w:eastAsia="zh-CN"/>
                        </w:rPr>
                      </w:pPr>
                      <w:r>
                        <w:rPr>
                          <w:rFonts w:hint="eastAsia" w:eastAsia="宋体"/>
                          <w:color w:val="FF0000"/>
                          <w:lang w:val="en-US" w:eastAsia="zh-CN"/>
                        </w:rPr>
                        <w:t>本项目</w:t>
                      </w:r>
                      <w:r>
                        <w:rPr>
                          <w:rFonts w:hint="eastAsia" w:eastAsia="宋体"/>
                          <w:color w:val="FF0000"/>
                          <w:lang w:eastAsia="zh-CN"/>
                        </w:rPr>
                        <w:t>位置</w:t>
                      </w:r>
                    </w:p>
                  </w:txbxContent>
                </v:textbox>
              </v:shape>
            </w:pict>
          </mc:Fallback>
        </mc:AlternateContent>
      </w:r>
      <w:r>
        <w:rPr>
          <w:rFonts w:hint="default" w:ascii="Times New Roman" w:hAnsi="Times New Roman" w:cs="Times New Roman"/>
          <w:color w:val="auto"/>
          <w:sz w:val="28"/>
          <w:highlight w:val="none"/>
        </w:rPr>
        <w:drawing>
          <wp:inline distT="0" distB="0" distL="114300" distR="114300">
            <wp:extent cx="6519545" cy="4744720"/>
            <wp:effectExtent l="0" t="0" r="14605" b="17780"/>
            <wp:docPr id="16" name="图片 3" descr="91e00a8d16cef28464eace008b6d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91e00a8d16cef28464eace008b6d5766"/>
                    <pic:cNvPicPr>
                      <a:picLocks noChangeAspect="1"/>
                    </pic:cNvPicPr>
                  </pic:nvPicPr>
                  <pic:blipFill>
                    <a:blip r:embed="rId11"/>
                    <a:stretch>
                      <a:fillRect/>
                    </a:stretch>
                  </pic:blipFill>
                  <pic:spPr>
                    <a:xfrm>
                      <a:off x="0" y="0"/>
                      <a:ext cx="6519545" cy="4744720"/>
                    </a:xfrm>
                    <a:prstGeom prst="rect">
                      <a:avLst/>
                    </a:prstGeom>
                    <a:noFill/>
                    <a:ln>
                      <a:noFill/>
                    </a:ln>
                  </pic:spPr>
                </pic:pic>
              </a:graphicData>
            </a:graphic>
          </wp:inline>
        </w:drawing>
      </w:r>
    </w:p>
    <w:p w14:paraId="4D8C2A4C">
      <w:pPr>
        <w:pStyle w:val="4"/>
        <w:rPr>
          <w:rFonts w:hint="eastAsia"/>
          <w:color w:val="auto"/>
          <w:highlight w:val="none"/>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97AB9C9">
      <w:pPr>
        <w:pStyle w:val="18"/>
        <w:adjustRightInd w:val="0"/>
        <w:snapToGrid w:val="0"/>
        <w:spacing w:before="0" w:beforeAutospacing="0" w:after="0" w:afterAutospacing="0" w:line="360" w:lineRule="auto"/>
        <w:outlineLvl w:val="0"/>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rPr>
        <w:drawing>
          <wp:anchor distT="0" distB="0" distL="114300" distR="114300" simplePos="0" relativeHeight="251661312" behindDoc="0" locked="0" layoutInCell="1" allowOverlap="1">
            <wp:simplePos x="0" y="0"/>
            <wp:positionH relativeFrom="column">
              <wp:posOffset>0</wp:posOffset>
            </wp:positionH>
            <wp:positionV relativeFrom="paragraph">
              <wp:posOffset>226695</wp:posOffset>
            </wp:positionV>
            <wp:extent cx="8446770" cy="5270500"/>
            <wp:effectExtent l="0" t="0" r="11430" b="6350"/>
            <wp:wrapNone/>
            <wp:docPr id="44" name="图片 44" descr="172899126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728991264950"/>
                    <pic:cNvPicPr>
                      <a:picLocks noChangeAspect="1"/>
                    </pic:cNvPicPr>
                  </pic:nvPicPr>
                  <pic:blipFill>
                    <a:blip r:embed="rId12"/>
                    <a:stretch>
                      <a:fillRect/>
                    </a:stretch>
                  </pic:blipFill>
                  <pic:spPr>
                    <a:xfrm>
                      <a:off x="0" y="0"/>
                      <a:ext cx="8446770" cy="5270500"/>
                    </a:xfrm>
                    <a:prstGeom prst="rect">
                      <a:avLst/>
                    </a:prstGeom>
                  </pic:spPr>
                </pic:pic>
              </a:graphicData>
            </a:graphic>
          </wp:anchor>
        </w:drawing>
      </w:r>
      <w:r>
        <w:rPr>
          <w:rFonts w:hint="default" w:ascii="Times New Roman" w:hAnsi="Times New Roman" w:eastAsia="黑体" w:cs="Times New Roman"/>
          <w:snapToGrid w:val="0"/>
          <w:color w:val="auto"/>
          <w:kern w:val="0"/>
          <w:sz w:val="32"/>
          <w:szCs w:val="32"/>
          <w:highlight w:val="none"/>
        </w:rPr>
        <w:t>附图</w:t>
      </w:r>
      <w:r>
        <w:rPr>
          <w:rFonts w:hint="eastAsia" w:ascii="Times New Roman" w:hAnsi="Times New Roman" w:eastAsia="黑体" w:cs="Times New Roman"/>
          <w:snapToGrid w:val="0"/>
          <w:color w:val="auto"/>
          <w:kern w:val="0"/>
          <w:sz w:val="32"/>
          <w:szCs w:val="32"/>
          <w:highlight w:val="none"/>
          <w:lang w:val="en-US" w:eastAsia="zh-CN"/>
        </w:rPr>
        <w:t>3</w:t>
      </w:r>
      <w:r>
        <w:rPr>
          <w:rFonts w:hint="default" w:ascii="Times New Roman" w:hAnsi="Times New Roman" w:eastAsia="黑体" w:cs="Times New Roman"/>
          <w:snapToGrid w:val="0"/>
          <w:color w:val="auto"/>
          <w:kern w:val="0"/>
          <w:sz w:val="32"/>
          <w:szCs w:val="32"/>
          <w:highlight w:val="none"/>
        </w:rPr>
        <w:t>：危废库平面布置图</w:t>
      </w:r>
    </w:p>
    <w:p w14:paraId="7306C3A3">
      <w:pPr>
        <w:pStyle w:val="5"/>
        <w:ind w:left="0" w:leftChars="0" w:firstLine="0" w:firstLineChars="0"/>
        <w:jc w:val="center"/>
        <w:rPr>
          <w:rFonts w:hint="default" w:ascii="Times New Roman" w:hAnsi="Times New Roman" w:eastAsia="宋体" w:cs="Times New Roman"/>
          <w:color w:val="auto"/>
          <w:highlight w:val="none"/>
          <w:lang w:eastAsia="zh-CN"/>
        </w:rPr>
      </w:pPr>
    </w:p>
    <w:p w14:paraId="0A8481BB">
      <w:pPr>
        <w:pStyle w:val="5"/>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cs="Times New Roman"/>
          <w:color w:val="auto"/>
          <w:highlight w:val="none"/>
        </w:rPr>
        <w:br w:type="page"/>
      </w:r>
    </w:p>
    <w:p w14:paraId="3ED9A81F">
      <w:pPr>
        <w:rPr>
          <w:rFonts w:hint="default" w:ascii="Times New Roman" w:hAnsi="Times New Roman" w:cs="Times New Roman"/>
          <w:snapToGrid w:val="0"/>
          <w:color w:val="auto"/>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457F4C3">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0"/>
        <w:rPr>
          <w:rFonts w:hint="eastAsia" w:eastAsia="黑体" w:cs="Times New Roman"/>
          <w:snapToGrid w:val="0"/>
          <w:color w:val="auto"/>
          <w:kern w:val="0"/>
          <w:sz w:val="32"/>
          <w:szCs w:val="32"/>
          <w:highlight w:val="none"/>
          <w:lang w:val="en-US" w:eastAsia="zh-CN"/>
        </w:rPr>
      </w:pPr>
      <w:r>
        <w:rPr>
          <w:rFonts w:hint="eastAsia" w:eastAsia="黑体" w:cs="Times New Roman"/>
          <w:snapToGrid w:val="0"/>
          <w:color w:val="auto"/>
          <w:kern w:val="0"/>
          <w:sz w:val="32"/>
          <w:szCs w:val="32"/>
          <w:highlight w:val="none"/>
          <w:lang w:val="en-US" w:eastAsia="zh-CN"/>
        </w:rPr>
        <w:t>附图4：本项目与煤矿位置关系图</w:t>
      </w:r>
    </w:p>
    <w:p w14:paraId="5D5F07EA">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9"/>
        <w:rPr>
          <w:rFonts w:hint="default" w:ascii="Times New Roman" w:hAnsi="Times New Roman" w:eastAsia="黑体" w:cs="Times New Roman"/>
          <w:snapToGrid w:val="0"/>
          <w:color w:val="auto"/>
          <w:kern w:val="0"/>
          <w:sz w:val="32"/>
          <w:szCs w:val="32"/>
          <w:highlight w:val="none"/>
        </w:rPr>
      </w:pPr>
      <w:r>
        <w:rPr>
          <w:color w:val="auto"/>
          <w:sz w:val="32"/>
          <w:highlight w:val="none"/>
        </w:rPr>
        <mc:AlternateContent>
          <mc:Choice Requires="wps">
            <w:drawing>
              <wp:anchor distT="0" distB="0" distL="114300" distR="114300" simplePos="0" relativeHeight="251666432" behindDoc="0" locked="0" layoutInCell="1" allowOverlap="1">
                <wp:simplePos x="0" y="0"/>
                <wp:positionH relativeFrom="column">
                  <wp:posOffset>2026920</wp:posOffset>
                </wp:positionH>
                <wp:positionV relativeFrom="paragraph">
                  <wp:posOffset>882650</wp:posOffset>
                </wp:positionV>
                <wp:extent cx="632460" cy="277495"/>
                <wp:effectExtent l="4445" t="4445" r="10795" b="22860"/>
                <wp:wrapNone/>
                <wp:docPr id="12" name="文本框 12"/>
                <wp:cNvGraphicFramePr/>
                <a:graphic xmlns:a="http://schemas.openxmlformats.org/drawingml/2006/main">
                  <a:graphicData uri="http://schemas.microsoft.com/office/word/2010/wordprocessingShape">
                    <wps:wsp>
                      <wps:cNvSpPr txBox="1"/>
                      <wps:spPr>
                        <a:xfrm>
                          <a:off x="3463925" y="2348865"/>
                          <a:ext cx="632460" cy="277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73334B">
                            <w:pPr>
                              <w:rPr>
                                <w:rFonts w:hint="default" w:eastAsia="宋体"/>
                                <w:lang w:val="en-US" w:eastAsia="zh-CN"/>
                              </w:rPr>
                            </w:pPr>
                            <w:r>
                              <w:rPr>
                                <w:rFonts w:hint="eastAsia"/>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6pt;margin-top:69.5pt;height:21.85pt;width:49.8pt;z-index:251666432;mso-width-relative:page;mso-height-relative:page;" fillcolor="#FFFFFF [3201]" filled="t" stroked="t" coordsize="21600,21600" o:gfxdata="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TMAPNcAAAALAQAADwAAAAAAAAABACAAAAAiAAAAZHJzL2Rvd25yZXYueG1sUEsBAhQA&#10;FAAAAAgAh07iQD9ctpxlAgAAxAQAAA4AAAAAAAAAAQAgAAAAJgEAAGRycy9lMm9Eb2MueG1sUEsF&#10;BgAAAAAGAAYAWQEAAP0FAAAAAA==&#10;">
                <v:fill on="t" focussize="0,0"/>
                <v:stroke weight="0.5pt" color="#000000 [3204]" joinstyle="round"/>
                <v:imagedata o:title=""/>
                <o:lock v:ext="edit" aspectratio="f"/>
                <v:textbox>
                  <w:txbxContent>
                    <w:p w14:paraId="7E73334B">
                      <w:pPr>
                        <w:rPr>
                          <w:rFonts w:hint="default" w:eastAsia="宋体"/>
                          <w:lang w:val="en-US" w:eastAsia="zh-CN"/>
                        </w:rPr>
                      </w:pPr>
                      <w:r>
                        <w:rPr>
                          <w:rFonts w:hint="eastAsia"/>
                          <w:lang w:val="en-US" w:eastAsia="zh-CN"/>
                        </w:rPr>
                        <w:t>本项目</w:t>
                      </w:r>
                    </w:p>
                  </w:txbxContent>
                </v:textbox>
              </v:shape>
            </w:pict>
          </mc:Fallback>
        </mc:AlternateContent>
      </w:r>
      <w:r>
        <w:rPr>
          <w:color w:val="auto"/>
          <w:sz w:val="32"/>
          <w:highlight w:val="none"/>
        </w:rPr>
        <mc:AlternateContent>
          <mc:Choice Requires="wps">
            <w:drawing>
              <wp:anchor distT="0" distB="0" distL="114300" distR="114300" simplePos="0" relativeHeight="251665408" behindDoc="0" locked="0" layoutInCell="1" allowOverlap="1">
                <wp:simplePos x="0" y="0"/>
                <wp:positionH relativeFrom="column">
                  <wp:posOffset>2065655</wp:posOffset>
                </wp:positionH>
                <wp:positionV relativeFrom="paragraph">
                  <wp:posOffset>1168400</wp:posOffset>
                </wp:positionV>
                <wp:extent cx="246380" cy="556260"/>
                <wp:effectExtent l="5715" t="0" r="14605" b="15240"/>
                <wp:wrapNone/>
                <wp:docPr id="11" name="直接箭头连接符 11"/>
                <wp:cNvGraphicFramePr/>
                <a:graphic xmlns:a="http://schemas.openxmlformats.org/drawingml/2006/main">
                  <a:graphicData uri="http://schemas.microsoft.com/office/word/2010/wordprocessingShape">
                    <wps:wsp>
                      <wps:cNvCnPr/>
                      <wps:spPr>
                        <a:xfrm flipV="1">
                          <a:off x="3191510" y="2522220"/>
                          <a:ext cx="246380" cy="55626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62.65pt;margin-top:92pt;height:43.8pt;width:19.4pt;z-index:251665408;mso-width-relative:page;mso-height-relative:page;" filled="f" stroked="t" coordsize="21600,21600" o:gfxdata="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BeUcv3AAA&#10;AAsBAAAPAAAAAAAAAAEAIAAAACIAAABkcnMvZG93bnJldi54bWxQSwECFAAUAAAACACHTuJA5zsm&#10;qxoCAAD7AwAADgAAAAAAAAABACAAAAArAQAAZHJzL2Uyb0RvYy54bWxQSwUGAAAAAAYABgBZAQAA&#10;twUAAAAA&#10;">
                <v:fill on="f" focussize="0,0"/>
                <v:stroke weight="1pt" color="#000000 [3213]" miterlimit="8" joinstyle="miter" endarrow="open"/>
                <v:imagedata o:title=""/>
                <o:lock v:ext="edit" aspectratio="f"/>
              </v:shape>
            </w:pict>
          </mc:Fallback>
        </mc:AlternateContent>
      </w:r>
      <w:r>
        <w:rPr>
          <w:color w:val="auto"/>
          <w:sz w:val="32"/>
          <w:highlight w:val="none"/>
        </w:rPr>
        <mc:AlternateContent>
          <mc:Choice Requires="wps">
            <w:drawing>
              <wp:anchor distT="0" distB="0" distL="114300" distR="114300" simplePos="0" relativeHeight="251664384" behindDoc="0" locked="0" layoutInCell="1" allowOverlap="1">
                <wp:simplePos x="0" y="0"/>
                <wp:positionH relativeFrom="column">
                  <wp:posOffset>2026285</wp:posOffset>
                </wp:positionH>
                <wp:positionV relativeFrom="paragraph">
                  <wp:posOffset>1691640</wp:posOffset>
                </wp:positionV>
                <wp:extent cx="65405" cy="76200"/>
                <wp:effectExtent l="8255" t="8255" r="21590" b="10795"/>
                <wp:wrapNone/>
                <wp:docPr id="9" name="任意多边形 9"/>
                <wp:cNvGraphicFramePr/>
                <a:graphic xmlns:a="http://schemas.openxmlformats.org/drawingml/2006/main">
                  <a:graphicData uri="http://schemas.microsoft.com/office/word/2010/wordprocessingShape">
                    <wps:wsp>
                      <wps:cNvSpPr/>
                      <wps:spPr>
                        <a:xfrm>
                          <a:off x="3169285" y="3002280"/>
                          <a:ext cx="65405" cy="76200"/>
                        </a:xfrm>
                        <a:custGeom>
                          <a:avLst/>
                          <a:gdLst>
                            <a:gd name="connisteX0" fmla="*/ 0 w 65405"/>
                            <a:gd name="connsiteY0" fmla="*/ 16510 h 76200"/>
                            <a:gd name="connisteX1" fmla="*/ 41275 w 65405"/>
                            <a:gd name="connsiteY1" fmla="*/ 0 h 76200"/>
                            <a:gd name="connisteX2" fmla="*/ 65405 w 65405"/>
                            <a:gd name="connsiteY2" fmla="*/ 57150 h 76200"/>
                            <a:gd name="connisteX3" fmla="*/ 22225 w 65405"/>
                            <a:gd name="connsiteY3" fmla="*/ 76200 h 76200"/>
                            <a:gd name="connisteX4" fmla="*/ 0 w 65405"/>
                            <a:gd name="connsiteY4" fmla="*/ 16510 h 7620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5405" h="76200">
                              <a:moveTo>
                                <a:pt x="0" y="16510"/>
                              </a:moveTo>
                              <a:lnTo>
                                <a:pt x="41275" y="0"/>
                              </a:lnTo>
                              <a:lnTo>
                                <a:pt x="65405" y="57150"/>
                              </a:lnTo>
                              <a:lnTo>
                                <a:pt x="22225" y="76200"/>
                              </a:lnTo>
                              <a:lnTo>
                                <a:pt x="0" y="1651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9.55pt;margin-top:133.2pt;height:6pt;width:5.15pt;z-index:251664384;mso-width-relative:page;mso-height-relative:page;" filled="f" stroked="t" coordsize="65405,76200" o:gfxdata="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JghiZ3dAAAACwEAAA8AAAAAAAAAAQAgAAAAIgAAAGRycy9kb3ducmV2&#10;LnhtbFBLAQIUABQAAAAIAIdO4kDDIcG5FAMAADAIAAAOAAAAAAAAAAEAIAAAACwBAABkcnMvZTJv&#10;RG9jLnhtbFBLBQYAAAAABgAGAFkBAACyBgAAAAA=&#10;" path="m0,16510l41275,0,65405,57150,22225,76200,0,16510xe">
                <v:path o:connectlocs="0,16510;41275,0;65405,57150;22225,76200;0,16510" o:connectangles="0,0,0,0,0"/>
                <v:fill on="f" focussize="0,0"/>
                <v:stroke weight="1pt" color="#FF0000 [2404]" miterlimit="8" joinstyle="miter"/>
                <v:imagedata o:title=""/>
                <o:lock v:ext="edit" aspectratio="f"/>
              </v:shape>
            </w:pict>
          </mc:Fallback>
        </mc:AlternateContent>
      </w:r>
      <w:r>
        <w:rPr>
          <w:rFonts w:hint="default" w:ascii="Times New Roman" w:hAnsi="Times New Roman" w:eastAsia="黑体" w:cs="Times New Roman"/>
          <w:snapToGrid w:val="0"/>
          <w:color w:val="auto"/>
          <w:kern w:val="0"/>
          <w:sz w:val="32"/>
          <w:szCs w:val="32"/>
          <w:highlight w:val="none"/>
        </w:rPr>
        <w:drawing>
          <wp:inline distT="0" distB="0" distL="114300" distR="114300">
            <wp:extent cx="5259705" cy="5486400"/>
            <wp:effectExtent l="0" t="0" r="17145" b="0"/>
            <wp:docPr id="7" name="图片 7" descr="纳林沟煤矿工业广场平面布置图(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纳林沟煤矿工业广场平面布置图(新)"/>
                    <pic:cNvPicPr>
                      <a:picLocks noChangeAspect="1"/>
                    </pic:cNvPicPr>
                  </pic:nvPicPr>
                  <pic:blipFill>
                    <a:blip r:embed="rId13"/>
                    <a:stretch>
                      <a:fillRect/>
                    </a:stretch>
                  </pic:blipFill>
                  <pic:spPr>
                    <a:xfrm>
                      <a:off x="0" y="0"/>
                      <a:ext cx="5259705" cy="5486400"/>
                    </a:xfrm>
                    <a:prstGeom prst="rect">
                      <a:avLst/>
                    </a:prstGeom>
                  </pic:spPr>
                </pic:pic>
              </a:graphicData>
            </a:graphic>
          </wp:inline>
        </w:drawing>
      </w:r>
    </w:p>
    <w:p w14:paraId="0BADD875">
      <w:pPr>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rPr>
        <w:br w:type="page"/>
      </w:r>
    </w:p>
    <w:p w14:paraId="7F17EE97">
      <w:pPr>
        <w:pStyle w:val="18"/>
        <w:adjustRightInd w:val="0"/>
        <w:snapToGrid w:val="0"/>
        <w:spacing w:before="0" w:beforeAutospacing="0" w:after="0" w:afterAutospacing="0" w:line="360" w:lineRule="auto"/>
        <w:outlineLvl w:val="0"/>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rPr>
        <w:t>附件</w:t>
      </w:r>
      <w:r>
        <w:rPr>
          <w:rFonts w:hint="default" w:ascii="Times New Roman" w:hAnsi="Times New Roman" w:eastAsia="黑体" w:cs="Times New Roman"/>
          <w:snapToGrid w:val="0"/>
          <w:color w:val="auto"/>
          <w:kern w:val="0"/>
          <w:sz w:val="32"/>
          <w:szCs w:val="32"/>
          <w:highlight w:val="none"/>
          <w:lang w:val="en-US" w:eastAsia="zh-CN"/>
        </w:rPr>
        <w:t>1</w:t>
      </w:r>
      <w:r>
        <w:rPr>
          <w:rFonts w:hint="default" w:ascii="Times New Roman" w:hAnsi="Times New Roman" w:eastAsia="黑体" w:cs="Times New Roman"/>
          <w:snapToGrid w:val="0"/>
          <w:color w:val="auto"/>
          <w:kern w:val="0"/>
          <w:sz w:val="32"/>
          <w:szCs w:val="32"/>
          <w:highlight w:val="none"/>
        </w:rPr>
        <w:t>：委托书</w:t>
      </w:r>
    </w:p>
    <w:p w14:paraId="12431D3B">
      <w:pPr>
        <w:spacing w:line="360" w:lineRule="auto"/>
        <w:jc w:val="center"/>
        <w:rPr>
          <w:rFonts w:hint="default" w:ascii="Times New Roman" w:hAnsi="Times New Roman" w:cs="Times New Roman"/>
          <w:b/>
          <w:bCs/>
          <w:color w:val="auto"/>
          <w:sz w:val="44"/>
          <w:szCs w:val="44"/>
          <w:highlight w:val="none"/>
        </w:rPr>
      </w:pPr>
    </w:p>
    <w:p w14:paraId="04E3F578">
      <w:pPr>
        <w:spacing w:line="360" w:lineRule="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委托书</w:t>
      </w:r>
      <w:bookmarkStart w:id="24" w:name="_Hlk72397443"/>
    </w:p>
    <w:p w14:paraId="317A2D31">
      <w:pPr>
        <w:spacing w:line="360" w:lineRule="auto"/>
        <w:rPr>
          <w:rFonts w:hint="default" w:ascii="Times New Roman" w:hAnsi="Times New Roman" w:cs="Times New Roman"/>
          <w:b/>
          <w:bCs/>
          <w:color w:val="auto"/>
          <w:sz w:val="44"/>
          <w:szCs w:val="44"/>
          <w:highlight w:val="none"/>
        </w:rPr>
      </w:pPr>
    </w:p>
    <w:p w14:paraId="14CCD865">
      <w:pPr>
        <w:spacing w:line="360" w:lineRule="auto"/>
        <w:rPr>
          <w:rFonts w:hint="default" w:ascii="Times New Roman" w:hAnsi="Times New Roman" w:eastAsia="宋体" w:cs="Times New Roman"/>
          <w:b/>
          <w:bCs/>
          <w:color w:val="auto"/>
          <w:sz w:val="44"/>
          <w:szCs w:val="44"/>
          <w:highlight w:val="none"/>
          <w:lang w:eastAsia="zh-CN"/>
        </w:rPr>
      </w:pPr>
    </w:p>
    <w:bookmarkEnd w:id="24"/>
    <w:p w14:paraId="33F4C5F6">
      <w:pPr>
        <w:spacing w:line="360" w:lineRule="auto"/>
        <w:rPr>
          <w:rFonts w:hint="default" w:ascii="Times New Roman" w:hAnsi="Times New Roman" w:cs="Times New Roman"/>
          <w:color w:val="auto"/>
          <w:sz w:val="30"/>
          <w:szCs w:val="30"/>
          <w:highlight w:val="none"/>
        </w:rPr>
      </w:pPr>
      <w:r>
        <w:rPr>
          <w:rFonts w:hint="eastAsia" w:cs="Times New Roman"/>
          <w:color w:val="auto"/>
          <w:sz w:val="30"/>
          <w:szCs w:val="30"/>
          <w:highlight w:val="none"/>
          <w:lang w:val="en-US" w:eastAsia="zh-CN"/>
        </w:rPr>
        <w:t>内蒙古宝钜环保技术服务有限公司</w:t>
      </w:r>
      <w:r>
        <w:rPr>
          <w:rFonts w:hint="default" w:ascii="Times New Roman" w:hAnsi="Times New Roman" w:cs="Times New Roman"/>
          <w:color w:val="auto"/>
          <w:sz w:val="30"/>
          <w:szCs w:val="30"/>
          <w:highlight w:val="none"/>
        </w:rPr>
        <w:t>：</w:t>
      </w:r>
    </w:p>
    <w:p w14:paraId="49FA3827">
      <w:pPr>
        <w:adjustRightInd w:val="0"/>
        <w:spacing w:before="156" w:beforeLines="50" w:after="156" w:afterLines="50" w:line="420" w:lineRule="atLeast"/>
        <w:ind w:firstLine="600" w:firstLineChars="200"/>
        <w:jc w:val="left"/>
        <w:textAlignment w:val="baseline"/>
        <w:rPr>
          <w:rFonts w:hint="default" w:ascii="Times New Roman" w:hAnsi="Times New Roman" w:cs="Times New Roman"/>
          <w:color w:val="auto"/>
          <w:kern w:val="0"/>
          <w:sz w:val="30"/>
          <w:szCs w:val="30"/>
          <w:highlight w:val="none"/>
          <w:u w:val="single"/>
        </w:rPr>
      </w:pPr>
      <w:r>
        <w:rPr>
          <w:rFonts w:hint="default" w:ascii="Times New Roman" w:hAnsi="Times New Roman" w:cs="Times New Roman"/>
          <w:color w:val="auto"/>
          <w:sz w:val="30"/>
          <w:szCs w:val="30"/>
          <w:highlight w:val="none"/>
          <w:lang w:val="en-US" w:eastAsia="zh-CN"/>
        </w:rPr>
        <w:t>我单位准备建设“伊金霍洛旗纳林塔纳林沟煤矿配套危废暂存库建设项目</w:t>
      </w:r>
      <w:r>
        <w:rPr>
          <w:rFonts w:hint="default" w:ascii="Times New Roman" w:hAnsi="Times New Roman" w:eastAsia="宋体" w:cs="Times New Roman"/>
          <w:color w:val="auto"/>
          <w:sz w:val="30"/>
          <w:szCs w:val="30"/>
          <w:highlight w:val="none"/>
          <w:lang w:val="en-US" w:eastAsia="zh-CN"/>
        </w:rPr>
        <w:t>”，根据《中华人民共</w:t>
      </w:r>
      <w:r>
        <w:rPr>
          <w:rFonts w:hint="default" w:ascii="Times New Roman" w:hAnsi="Times New Roman" w:cs="Times New Roman"/>
          <w:color w:val="auto"/>
          <w:sz w:val="30"/>
          <w:szCs w:val="30"/>
          <w:highlight w:val="none"/>
          <w:lang w:val="en-US" w:eastAsia="zh-CN"/>
        </w:rPr>
        <w:t>和国环境保护法</w:t>
      </w:r>
      <w:r>
        <w:rPr>
          <w:rFonts w:hint="eastAsia" w:cs="Times New Roman"/>
          <w:color w:val="auto"/>
          <w:sz w:val="30"/>
          <w:szCs w:val="30"/>
          <w:highlight w:val="none"/>
          <w:lang w:val="en-US" w:eastAsia="zh-CN"/>
        </w:rPr>
        <w:t>》《</w:t>
      </w:r>
      <w:r>
        <w:rPr>
          <w:rFonts w:hint="default" w:ascii="Times New Roman" w:hAnsi="Times New Roman" w:cs="Times New Roman"/>
          <w:color w:val="auto"/>
          <w:sz w:val="30"/>
          <w:szCs w:val="30"/>
          <w:highlight w:val="none"/>
          <w:lang w:val="en-US" w:eastAsia="zh-CN"/>
        </w:rPr>
        <w:t>中华人民共和国环境影响评价法》等有关条款规定，上述项目需进行环境影响评价，并编制“环境影响报告表”。</w:t>
      </w:r>
    </w:p>
    <w:p w14:paraId="1E2EAEE2">
      <w:pPr>
        <w:rPr>
          <w:rFonts w:hint="default" w:ascii="Times New Roman" w:hAnsi="Times New Roman" w:cs="Times New Roman"/>
          <w:color w:val="auto"/>
          <w:sz w:val="30"/>
          <w:szCs w:val="30"/>
          <w:highlight w:val="none"/>
        </w:rPr>
      </w:pPr>
      <w:bookmarkStart w:id="25" w:name="_GoBack"/>
      <w:bookmarkEnd w:id="25"/>
    </w:p>
    <w:p w14:paraId="5D4A18FE">
      <w:pPr>
        <w:adjustRightInd w:val="0"/>
        <w:spacing w:before="156" w:beforeLines="50" w:after="156" w:afterLines="50" w:line="420" w:lineRule="atLeast"/>
        <w:jc w:val="left"/>
        <w:textAlignment w:val="baseline"/>
        <w:rPr>
          <w:rFonts w:hint="default" w:ascii="Times New Roman" w:hAnsi="Times New Roman" w:cs="Times New Roman" w:eastAsiaTheme="minorEastAsia"/>
          <w:color w:val="auto"/>
          <w:kern w:val="0"/>
          <w:sz w:val="30"/>
          <w:szCs w:val="30"/>
          <w:highlight w:val="none"/>
        </w:rPr>
      </w:pPr>
    </w:p>
    <w:p w14:paraId="3C5940D5">
      <w:pPr>
        <w:wordWrap w:val="0"/>
        <w:jc w:val="right"/>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委托单位：</w:t>
      </w:r>
      <w:r>
        <w:rPr>
          <w:rFonts w:hint="default" w:ascii="Times New Roman" w:hAnsi="Times New Roman" w:cs="Times New Roman"/>
          <w:color w:val="auto"/>
          <w:sz w:val="30"/>
          <w:szCs w:val="30"/>
          <w:highlight w:val="none"/>
          <w:u w:val="single"/>
          <w:lang w:val="en-US" w:eastAsia="zh-CN"/>
        </w:rPr>
        <w:t>内蒙古向荣矿业有限公司</w:t>
      </w:r>
      <w:r>
        <w:rPr>
          <w:rFonts w:hint="default" w:ascii="Times New Roman" w:hAnsi="Times New Roman" w:cs="Times New Roman"/>
          <w:color w:val="auto"/>
          <w:sz w:val="30"/>
          <w:szCs w:val="30"/>
          <w:highlight w:val="none"/>
        </w:rPr>
        <w:t>（盖章）</w:t>
      </w:r>
    </w:p>
    <w:p w14:paraId="40C511FC">
      <w:pPr>
        <w:rPr>
          <w:rFonts w:hint="default" w:ascii="Times New Roman" w:hAnsi="Times New Roman" w:cs="Times New Roman"/>
          <w:color w:val="auto"/>
          <w:szCs w:val="22"/>
          <w:highlight w:val="none"/>
        </w:rPr>
      </w:pPr>
    </w:p>
    <w:p w14:paraId="183E8AF0">
      <w:pPr>
        <w:adjustRightInd w:val="0"/>
        <w:spacing w:before="156" w:beforeLines="50" w:after="156" w:afterLines="50" w:line="420" w:lineRule="atLeast"/>
        <w:jc w:val="right"/>
        <w:textAlignment w:val="baseline"/>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w:t>
      </w:r>
      <w:r>
        <w:rPr>
          <w:rFonts w:hint="eastAsia" w:cs="Times New Roman"/>
          <w:color w:val="auto"/>
          <w:sz w:val="30"/>
          <w:szCs w:val="30"/>
          <w:highlight w:val="none"/>
          <w:lang w:val="en-US" w:eastAsia="zh-CN"/>
        </w:rPr>
        <w:t>5</w:t>
      </w:r>
      <w:r>
        <w:rPr>
          <w:rFonts w:hint="default" w:ascii="Times New Roman" w:hAnsi="Times New Roman" w:cs="Times New Roman"/>
          <w:color w:val="auto"/>
          <w:sz w:val="30"/>
          <w:szCs w:val="30"/>
          <w:highlight w:val="none"/>
        </w:rPr>
        <w:t>年</w:t>
      </w:r>
      <w:r>
        <w:rPr>
          <w:rFonts w:hint="eastAsia" w:cs="Times New Roman"/>
          <w:color w:val="auto"/>
          <w:sz w:val="30"/>
          <w:szCs w:val="30"/>
          <w:highlight w:val="none"/>
          <w:lang w:val="en-US" w:eastAsia="zh-CN"/>
        </w:rPr>
        <w:t>11</w:t>
      </w:r>
      <w:r>
        <w:rPr>
          <w:rFonts w:hint="default" w:ascii="Times New Roman" w:hAnsi="Times New Roman" w:cs="Times New Roman"/>
          <w:color w:val="auto"/>
          <w:sz w:val="30"/>
          <w:szCs w:val="30"/>
          <w:highlight w:val="none"/>
        </w:rPr>
        <w:t>月</w:t>
      </w:r>
      <w:r>
        <w:rPr>
          <w:rFonts w:hint="eastAsia" w:cs="Times New Roman"/>
          <w:color w:val="auto"/>
          <w:sz w:val="30"/>
          <w:szCs w:val="30"/>
          <w:highlight w:val="none"/>
          <w:lang w:val="en-US" w:eastAsia="zh-CN"/>
        </w:rPr>
        <w:t>6</w:t>
      </w:r>
      <w:r>
        <w:rPr>
          <w:rFonts w:hint="default" w:ascii="Times New Roman" w:hAnsi="Times New Roman" w:cs="Times New Roman"/>
          <w:color w:val="auto"/>
          <w:sz w:val="30"/>
          <w:szCs w:val="30"/>
          <w:highlight w:val="none"/>
        </w:rPr>
        <w:t>日</w:t>
      </w:r>
    </w:p>
    <w:p w14:paraId="44754023">
      <w:pPr>
        <w:rPr>
          <w:rFonts w:hint="default" w:ascii="Times New Roman" w:hAnsi="Times New Roman" w:cs="Times New Roman"/>
          <w:color w:val="auto"/>
          <w:szCs w:val="22"/>
          <w:highlight w:val="none"/>
        </w:rPr>
      </w:pPr>
    </w:p>
    <w:p w14:paraId="1EFC707C">
      <w:pPr>
        <w:rPr>
          <w:rFonts w:hint="default" w:ascii="Times New Roman" w:hAnsi="Times New Roman" w:cs="Times New Roman"/>
          <w:color w:val="auto"/>
          <w:szCs w:val="22"/>
          <w:highlight w:val="none"/>
        </w:rPr>
      </w:pPr>
    </w:p>
    <w:p w14:paraId="7320A26B">
      <w:pPr>
        <w:widowControl/>
        <w:jc w:val="left"/>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br w:type="page"/>
      </w:r>
    </w:p>
    <w:p w14:paraId="5E77766B">
      <w:pPr>
        <w:pStyle w:val="18"/>
        <w:adjustRightInd w:val="0"/>
        <w:snapToGrid w:val="0"/>
        <w:spacing w:before="0" w:beforeAutospacing="0" w:after="0" w:afterAutospacing="0" w:line="360" w:lineRule="auto"/>
        <w:outlineLvl w:val="0"/>
        <w:rPr>
          <w:rFonts w:hint="default" w:ascii="Times New Roman" w:hAnsi="Times New Roman" w:eastAsia="黑体" w:cs="Times New Roman"/>
          <w:snapToGrid w:val="0"/>
          <w:color w:val="auto"/>
          <w:kern w:val="0"/>
          <w:sz w:val="32"/>
          <w:szCs w:val="32"/>
          <w:highlight w:val="none"/>
          <w:lang w:val="en-US" w:eastAsia="zh-CN"/>
        </w:rPr>
      </w:pPr>
      <w:r>
        <w:rPr>
          <w:rFonts w:hint="default" w:ascii="Times New Roman" w:hAnsi="Times New Roman" w:eastAsia="黑体" w:cs="Times New Roman"/>
          <w:snapToGrid w:val="0"/>
          <w:color w:val="auto"/>
          <w:kern w:val="0"/>
          <w:sz w:val="32"/>
          <w:szCs w:val="32"/>
          <w:highlight w:val="none"/>
        </w:rPr>
        <w:t>附件</w:t>
      </w:r>
      <w:r>
        <w:rPr>
          <w:rFonts w:hint="default" w:ascii="Times New Roman" w:hAnsi="Times New Roman" w:eastAsia="黑体" w:cs="Times New Roman"/>
          <w:snapToGrid w:val="0"/>
          <w:color w:val="auto"/>
          <w:kern w:val="0"/>
          <w:sz w:val="32"/>
          <w:szCs w:val="32"/>
          <w:highlight w:val="none"/>
          <w:lang w:val="en-US" w:eastAsia="zh-CN"/>
        </w:rPr>
        <w:t>2</w:t>
      </w:r>
      <w:r>
        <w:rPr>
          <w:rFonts w:hint="default" w:ascii="Times New Roman" w:hAnsi="Times New Roman" w:eastAsia="黑体" w:cs="Times New Roman"/>
          <w:snapToGrid w:val="0"/>
          <w:color w:val="auto"/>
          <w:kern w:val="0"/>
          <w:sz w:val="32"/>
          <w:szCs w:val="32"/>
          <w:highlight w:val="none"/>
        </w:rPr>
        <w:t>：</w:t>
      </w:r>
      <w:r>
        <w:rPr>
          <w:rFonts w:hint="default" w:ascii="Times New Roman" w:hAnsi="Times New Roman" w:eastAsia="黑体" w:cs="Times New Roman"/>
          <w:snapToGrid w:val="0"/>
          <w:color w:val="auto"/>
          <w:kern w:val="0"/>
          <w:sz w:val="32"/>
          <w:szCs w:val="32"/>
          <w:highlight w:val="none"/>
          <w:lang w:val="en-US" w:eastAsia="zh-CN"/>
        </w:rPr>
        <w:t>煤矿环评批复</w:t>
      </w:r>
      <w:r>
        <w:rPr>
          <w:color w:val="auto"/>
          <w:highlight w:val="none"/>
        </w:rPr>
        <w:drawing>
          <wp:inline distT="0" distB="0" distL="114300" distR="114300">
            <wp:extent cx="5267960" cy="7442835"/>
            <wp:effectExtent l="0" t="0" r="8890" b="571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4"/>
                    <a:stretch>
                      <a:fillRect/>
                    </a:stretch>
                  </pic:blipFill>
                  <pic:spPr>
                    <a:xfrm>
                      <a:off x="0" y="0"/>
                      <a:ext cx="5267960" cy="7442835"/>
                    </a:xfrm>
                    <a:prstGeom prst="rect">
                      <a:avLst/>
                    </a:prstGeom>
                    <a:noFill/>
                    <a:ln>
                      <a:noFill/>
                    </a:ln>
                  </pic:spPr>
                </pic:pic>
              </a:graphicData>
            </a:graphic>
          </wp:inline>
        </w:drawing>
      </w:r>
    </w:p>
    <w:p w14:paraId="07C894EE">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9"/>
        <w:rPr>
          <w:rFonts w:hint="default" w:ascii="Times New Roman" w:hAnsi="Times New Roman" w:eastAsia="黑体" w:cs="Times New Roman"/>
          <w:snapToGrid w:val="0"/>
          <w:color w:val="auto"/>
          <w:kern w:val="0"/>
          <w:sz w:val="32"/>
          <w:szCs w:val="32"/>
          <w:highlight w:val="none"/>
          <w:lang w:val="en-US" w:eastAsia="zh-CN"/>
        </w:rPr>
      </w:pPr>
      <w:r>
        <w:rPr>
          <w:color w:val="auto"/>
          <w:highlight w:val="none"/>
        </w:rPr>
        <w:drawing>
          <wp:inline distT="0" distB="0" distL="114300" distR="114300">
            <wp:extent cx="5267960" cy="7442835"/>
            <wp:effectExtent l="0" t="0" r="8890" b="571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5"/>
                    <a:stretch>
                      <a:fillRect/>
                    </a:stretch>
                  </pic:blipFill>
                  <pic:spPr>
                    <a:xfrm>
                      <a:off x="0" y="0"/>
                      <a:ext cx="5267960" cy="7442835"/>
                    </a:xfrm>
                    <a:prstGeom prst="rect">
                      <a:avLst/>
                    </a:prstGeom>
                    <a:noFill/>
                    <a:ln>
                      <a:noFill/>
                    </a:ln>
                  </pic:spPr>
                </pic:pic>
              </a:graphicData>
            </a:graphic>
          </wp:inline>
        </w:drawing>
      </w:r>
      <w:r>
        <w:rPr>
          <w:color w:val="auto"/>
          <w:highlight w:val="none"/>
        </w:rPr>
        <w:drawing>
          <wp:inline distT="0" distB="0" distL="114300" distR="114300">
            <wp:extent cx="5257165" cy="7475855"/>
            <wp:effectExtent l="0" t="0" r="635" b="1079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6"/>
                    <a:stretch>
                      <a:fillRect/>
                    </a:stretch>
                  </pic:blipFill>
                  <pic:spPr>
                    <a:xfrm>
                      <a:off x="0" y="0"/>
                      <a:ext cx="5257165" cy="7475855"/>
                    </a:xfrm>
                    <a:prstGeom prst="rect">
                      <a:avLst/>
                    </a:prstGeom>
                    <a:noFill/>
                    <a:ln>
                      <a:noFill/>
                    </a:ln>
                  </pic:spPr>
                </pic:pic>
              </a:graphicData>
            </a:graphic>
          </wp:inline>
        </w:drawing>
      </w:r>
      <w:r>
        <w:rPr>
          <w:color w:val="auto"/>
          <w:highlight w:val="none"/>
        </w:rPr>
        <w:drawing>
          <wp:inline distT="0" distB="0" distL="114300" distR="114300">
            <wp:extent cx="5265420" cy="7475855"/>
            <wp:effectExtent l="0" t="0" r="11430" b="1079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7"/>
                    <a:stretch>
                      <a:fillRect/>
                    </a:stretch>
                  </pic:blipFill>
                  <pic:spPr>
                    <a:xfrm>
                      <a:off x="0" y="0"/>
                      <a:ext cx="5265420" cy="7475855"/>
                    </a:xfrm>
                    <a:prstGeom prst="rect">
                      <a:avLst/>
                    </a:prstGeom>
                    <a:noFill/>
                    <a:ln>
                      <a:noFill/>
                    </a:ln>
                  </pic:spPr>
                </pic:pic>
              </a:graphicData>
            </a:graphic>
          </wp:inline>
        </w:drawing>
      </w:r>
    </w:p>
    <w:p w14:paraId="69C8A023">
      <w:pPr>
        <w:pStyle w:val="5"/>
        <w:ind w:left="0" w:leftChars="0" w:firstLine="0" w:firstLineChars="0"/>
        <w:rPr>
          <w:rFonts w:hint="default" w:ascii="Times New Roman" w:hAnsi="Times New Roman" w:eastAsia="宋体" w:cs="Times New Roman"/>
          <w:color w:val="auto"/>
          <w:highlight w:val="none"/>
          <w:lang w:eastAsia="zh-CN"/>
        </w:rPr>
      </w:pPr>
    </w:p>
    <w:p w14:paraId="499FE81E">
      <w:pPr>
        <w:pStyle w:val="5"/>
        <w:ind w:left="0" w:leftChars="0" w:firstLine="0" w:firstLineChars="0"/>
        <w:rPr>
          <w:rFonts w:hint="default" w:ascii="Times New Roman" w:hAnsi="Times New Roman" w:cs="Times New Roman"/>
          <w:color w:val="auto"/>
          <w:highlight w:val="none"/>
        </w:rPr>
      </w:pPr>
    </w:p>
    <w:p w14:paraId="381E9004">
      <w:pPr>
        <w:rPr>
          <w:rFonts w:hint="default" w:ascii="Times New Roman" w:hAnsi="Times New Roman" w:eastAsia="宋体" w:cs="Times New Roman"/>
          <w:color w:val="auto"/>
          <w:highlight w:val="none"/>
          <w:lang w:eastAsia="zh-CN"/>
        </w:rPr>
      </w:pPr>
    </w:p>
    <w:p w14:paraId="4D06F996">
      <w:pPr>
        <w:rPr>
          <w:rFonts w:hint="default" w:ascii="Times New Roman" w:hAnsi="Times New Roman" w:eastAsia="宋体" w:cs="Times New Roman"/>
          <w:color w:val="auto"/>
          <w:highlight w:val="none"/>
          <w:lang w:eastAsia="zh-CN"/>
        </w:rPr>
      </w:pPr>
    </w:p>
    <w:p w14:paraId="7ADCE7F5">
      <w:pPr>
        <w:rPr>
          <w:rFonts w:hint="default" w:ascii="Times New Roman" w:hAnsi="Times New Roman" w:eastAsia="宋体" w:cs="Times New Roman"/>
          <w:color w:val="auto"/>
          <w:highlight w:val="none"/>
          <w:lang w:eastAsia="zh-CN"/>
        </w:rPr>
      </w:pPr>
    </w:p>
    <w:p w14:paraId="4DA3F913">
      <w:pPr>
        <w:pStyle w:val="5"/>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0"/>
        <w:rPr>
          <w:rFonts w:hint="default" w:ascii="Times New Roman" w:hAnsi="Times New Roman" w:eastAsia="黑体" w:cs="Times New Roman"/>
          <w:snapToGrid w:val="0"/>
          <w:color w:val="auto"/>
          <w:kern w:val="0"/>
          <w:sz w:val="32"/>
          <w:szCs w:val="32"/>
          <w:highlight w:val="none"/>
          <w:lang w:val="en-US" w:eastAsia="zh-CN"/>
        </w:rPr>
      </w:pPr>
      <w:r>
        <w:rPr>
          <w:rFonts w:hint="default" w:ascii="Times New Roman" w:hAnsi="Times New Roman" w:eastAsia="黑体" w:cs="Times New Roman"/>
          <w:snapToGrid w:val="0"/>
          <w:color w:val="auto"/>
          <w:kern w:val="0"/>
          <w:sz w:val="32"/>
          <w:szCs w:val="32"/>
          <w:highlight w:val="none"/>
        </w:rPr>
        <w:t>附件</w:t>
      </w:r>
      <w:r>
        <w:rPr>
          <w:rFonts w:hint="default" w:ascii="Times New Roman" w:hAnsi="Times New Roman" w:eastAsia="黑体" w:cs="Times New Roman"/>
          <w:snapToGrid w:val="0"/>
          <w:color w:val="auto"/>
          <w:kern w:val="0"/>
          <w:sz w:val="32"/>
          <w:szCs w:val="32"/>
          <w:highlight w:val="none"/>
          <w:lang w:val="en-US" w:eastAsia="zh-CN"/>
        </w:rPr>
        <w:t>3</w:t>
      </w:r>
      <w:r>
        <w:rPr>
          <w:rFonts w:hint="default" w:ascii="Times New Roman" w:hAnsi="Times New Roman" w:eastAsia="黑体" w:cs="Times New Roman"/>
          <w:snapToGrid w:val="0"/>
          <w:color w:val="auto"/>
          <w:kern w:val="0"/>
          <w:sz w:val="32"/>
          <w:szCs w:val="32"/>
          <w:highlight w:val="none"/>
        </w:rPr>
        <w:t>：</w:t>
      </w:r>
      <w:r>
        <w:rPr>
          <w:rFonts w:hint="default" w:ascii="Times New Roman" w:hAnsi="Times New Roman" w:eastAsia="黑体" w:cs="Times New Roman"/>
          <w:snapToGrid w:val="0"/>
          <w:color w:val="auto"/>
          <w:kern w:val="0"/>
          <w:sz w:val="32"/>
          <w:szCs w:val="32"/>
          <w:highlight w:val="none"/>
          <w:lang w:val="en-US" w:eastAsia="zh-CN"/>
        </w:rPr>
        <w:t>煤矿环保验收批复</w:t>
      </w:r>
    </w:p>
    <w:p w14:paraId="30F4FD2D">
      <w:pPr>
        <w:rPr>
          <w:rFonts w:hint="default" w:ascii="Times New Roman" w:hAnsi="Times New Roman" w:cs="Times New Roman"/>
          <w:color w:val="auto"/>
          <w:highlight w:val="none"/>
        </w:rPr>
      </w:pPr>
      <w:r>
        <w:rPr>
          <w:color w:val="auto"/>
          <w:highlight w:val="none"/>
        </w:rPr>
        <w:drawing>
          <wp:inline distT="0" distB="0" distL="114300" distR="114300">
            <wp:extent cx="5261610" cy="7834630"/>
            <wp:effectExtent l="0" t="0" r="15240" b="1397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8"/>
                    <a:stretch>
                      <a:fillRect/>
                    </a:stretch>
                  </pic:blipFill>
                  <pic:spPr>
                    <a:xfrm>
                      <a:off x="0" y="0"/>
                      <a:ext cx="5261610" cy="7834630"/>
                    </a:xfrm>
                    <a:prstGeom prst="rect">
                      <a:avLst/>
                    </a:prstGeom>
                    <a:noFill/>
                    <a:ln>
                      <a:noFill/>
                    </a:ln>
                  </pic:spPr>
                </pic:pic>
              </a:graphicData>
            </a:graphic>
          </wp:inline>
        </w:drawing>
      </w:r>
      <w:r>
        <w:rPr>
          <w:color w:val="auto"/>
          <w:highlight w:val="none"/>
        </w:rPr>
        <w:drawing>
          <wp:inline distT="0" distB="0" distL="114300" distR="114300">
            <wp:extent cx="5269230" cy="8052435"/>
            <wp:effectExtent l="0" t="0" r="7620" b="571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9"/>
                    <a:stretch>
                      <a:fillRect/>
                    </a:stretch>
                  </pic:blipFill>
                  <pic:spPr>
                    <a:xfrm>
                      <a:off x="0" y="0"/>
                      <a:ext cx="5269230" cy="8052435"/>
                    </a:xfrm>
                    <a:prstGeom prst="rect">
                      <a:avLst/>
                    </a:prstGeom>
                    <a:noFill/>
                    <a:ln>
                      <a:noFill/>
                    </a:ln>
                  </pic:spPr>
                </pic:pic>
              </a:graphicData>
            </a:graphic>
          </wp:inline>
        </w:drawing>
      </w:r>
      <w:r>
        <w:rPr>
          <w:color w:val="auto"/>
          <w:highlight w:val="none"/>
        </w:rPr>
        <w:drawing>
          <wp:inline distT="0" distB="0" distL="114300" distR="114300">
            <wp:extent cx="5253355" cy="7710170"/>
            <wp:effectExtent l="0" t="0" r="4445" b="5080"/>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20"/>
                    <a:stretch>
                      <a:fillRect/>
                    </a:stretch>
                  </pic:blipFill>
                  <pic:spPr>
                    <a:xfrm>
                      <a:off x="0" y="0"/>
                      <a:ext cx="5253355" cy="7710170"/>
                    </a:xfrm>
                    <a:prstGeom prst="rect">
                      <a:avLst/>
                    </a:prstGeom>
                    <a:noFill/>
                    <a:ln>
                      <a:noFill/>
                    </a:ln>
                  </pic:spPr>
                </pic:pic>
              </a:graphicData>
            </a:graphic>
          </wp:inline>
        </w:drawing>
      </w:r>
      <w:r>
        <w:rPr>
          <w:color w:val="auto"/>
          <w:highlight w:val="none"/>
        </w:rPr>
        <w:drawing>
          <wp:inline distT="0" distB="0" distL="114300" distR="114300">
            <wp:extent cx="5273040" cy="7368540"/>
            <wp:effectExtent l="0" t="0" r="3810" b="3810"/>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21"/>
                    <a:stretch>
                      <a:fillRect/>
                    </a:stretch>
                  </pic:blipFill>
                  <pic:spPr>
                    <a:xfrm>
                      <a:off x="0" y="0"/>
                      <a:ext cx="5273040" cy="7368540"/>
                    </a:xfrm>
                    <a:prstGeom prst="rect">
                      <a:avLst/>
                    </a:prstGeom>
                    <a:noFill/>
                    <a:ln>
                      <a:noFill/>
                    </a:ln>
                  </pic:spPr>
                </pic:pic>
              </a:graphicData>
            </a:graphic>
          </wp:inline>
        </w:drawing>
      </w:r>
      <w:r>
        <w:rPr>
          <w:color w:val="auto"/>
          <w:highlight w:val="none"/>
        </w:rPr>
        <w:drawing>
          <wp:inline distT="0" distB="0" distL="114300" distR="114300">
            <wp:extent cx="5269865" cy="7679055"/>
            <wp:effectExtent l="0" t="0" r="6985" b="17145"/>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22"/>
                    <a:stretch>
                      <a:fillRect/>
                    </a:stretch>
                  </pic:blipFill>
                  <pic:spPr>
                    <a:xfrm>
                      <a:off x="0" y="0"/>
                      <a:ext cx="5269865" cy="7679055"/>
                    </a:xfrm>
                    <a:prstGeom prst="rect">
                      <a:avLst/>
                    </a:prstGeom>
                    <a:noFill/>
                    <a:ln>
                      <a:noFill/>
                    </a:ln>
                  </pic:spPr>
                </pic:pic>
              </a:graphicData>
            </a:graphic>
          </wp:inline>
        </w:drawing>
      </w:r>
    </w:p>
    <w:p w14:paraId="746D8063">
      <w:pPr>
        <w:pStyle w:val="5"/>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黑体" w:cs="Times New Roman"/>
          <w:snapToGrid w:val="0"/>
          <w:color w:val="auto"/>
          <w:kern w:val="0"/>
          <w:sz w:val="32"/>
          <w:szCs w:val="32"/>
          <w:highlight w:val="none"/>
          <w:lang w:val="en-US" w:eastAsia="zh-CN"/>
        </w:rPr>
      </w:pPr>
    </w:p>
    <w:p w14:paraId="4BC43072">
      <w:pPr>
        <w:pStyle w:val="4"/>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cs="Times New Roman"/>
          <w:color w:val="auto"/>
          <w:highlight w:val="none"/>
        </w:rPr>
      </w:pPr>
    </w:p>
    <w:p w14:paraId="02BF5011">
      <w:pPr>
        <w:pStyle w:val="5"/>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color w:val="auto"/>
          <w:highlight w:val="none"/>
          <w:lang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36EBE49">
      <w:pPr>
        <w:pStyle w:val="5"/>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0"/>
        <w:rPr>
          <w:rFonts w:hint="eastAsia" w:eastAsia="黑体" w:cs="Times New Roman"/>
          <w:snapToGrid w:val="0"/>
          <w:color w:val="auto"/>
          <w:kern w:val="0"/>
          <w:sz w:val="32"/>
          <w:szCs w:val="32"/>
          <w:highlight w:val="none"/>
          <w:lang w:val="en-US" w:eastAsia="zh-CN"/>
        </w:rPr>
      </w:pPr>
      <w:r>
        <w:rPr>
          <w:rFonts w:hint="eastAsia" w:eastAsia="黑体" w:cs="Times New Roman"/>
          <w:snapToGrid w:val="0"/>
          <w:color w:val="auto"/>
          <w:kern w:val="0"/>
          <w:sz w:val="32"/>
          <w:szCs w:val="32"/>
          <w:highlight w:val="none"/>
          <w:lang w:val="en-US" w:eastAsia="zh-CN"/>
        </w:rPr>
        <w:t>附件4：《伊金霍洛旗文物保护和旅游事业发展中心关于内蒙古向荣矿业有限公司纳林沟煤矿矿区项目范围内文物审查意见的函》</w:t>
      </w:r>
    </w:p>
    <w:p w14:paraId="4F4C376B">
      <w:pPr>
        <w:pStyle w:val="5"/>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color w:val="auto"/>
          <w:highlight w:val="none"/>
          <w:lang w:val="en-US" w:eastAsia="zh-CN"/>
        </w:rPr>
      </w:pPr>
      <w:r>
        <w:drawing>
          <wp:inline distT="0" distB="0" distL="114300" distR="114300">
            <wp:extent cx="5269865" cy="7497445"/>
            <wp:effectExtent l="0" t="0" r="6985" b="825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23"/>
                    <a:stretch>
                      <a:fillRect/>
                    </a:stretch>
                  </pic:blipFill>
                  <pic:spPr>
                    <a:xfrm>
                      <a:off x="0" y="0"/>
                      <a:ext cx="5269865" cy="7497445"/>
                    </a:xfrm>
                    <a:prstGeom prst="rect">
                      <a:avLst/>
                    </a:prstGeom>
                    <a:noFill/>
                    <a:ln>
                      <a:noFill/>
                    </a:ln>
                  </pic:spPr>
                </pic:pic>
              </a:graphicData>
            </a:graphic>
          </wp:inline>
        </w:drawing>
      </w:r>
    </w:p>
    <w:p w14:paraId="351A8D8B">
      <w:pPr>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rPr>
        <w:br w:type="page"/>
      </w:r>
    </w:p>
    <w:p w14:paraId="0DAA08F1">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0"/>
        <w:rPr>
          <w:rFonts w:hint="default" w:ascii="Times New Roman" w:hAnsi="Times New Roman" w:eastAsia="黑体" w:cs="Times New Roman"/>
          <w:snapToGrid w:val="0"/>
          <w:color w:val="auto"/>
          <w:kern w:val="0"/>
          <w:sz w:val="32"/>
          <w:szCs w:val="32"/>
          <w:highlight w:val="none"/>
          <w:lang w:val="en-US" w:eastAsia="zh-CN"/>
        </w:rPr>
      </w:pPr>
      <w:r>
        <w:rPr>
          <w:rFonts w:hint="default" w:ascii="Times New Roman" w:hAnsi="Times New Roman" w:eastAsia="黑体" w:cs="Times New Roman"/>
          <w:snapToGrid w:val="0"/>
          <w:color w:val="auto"/>
          <w:kern w:val="0"/>
          <w:sz w:val="32"/>
          <w:szCs w:val="32"/>
          <w:highlight w:val="none"/>
        </w:rPr>
        <w:t>附件</w:t>
      </w:r>
      <w:r>
        <w:rPr>
          <w:rFonts w:hint="eastAsia" w:eastAsia="黑体" w:cs="Times New Roman"/>
          <w:snapToGrid w:val="0"/>
          <w:color w:val="auto"/>
          <w:kern w:val="0"/>
          <w:sz w:val="32"/>
          <w:szCs w:val="32"/>
          <w:highlight w:val="none"/>
          <w:lang w:val="en-US" w:eastAsia="zh-CN"/>
        </w:rPr>
        <w:t>5</w:t>
      </w:r>
      <w:r>
        <w:rPr>
          <w:rFonts w:hint="default" w:ascii="Times New Roman" w:hAnsi="Times New Roman" w:eastAsia="黑体" w:cs="Times New Roman"/>
          <w:snapToGrid w:val="0"/>
          <w:color w:val="auto"/>
          <w:kern w:val="0"/>
          <w:sz w:val="32"/>
          <w:szCs w:val="32"/>
          <w:highlight w:val="none"/>
        </w:rPr>
        <w:t>：</w:t>
      </w:r>
      <w:r>
        <w:rPr>
          <w:rFonts w:hint="default" w:ascii="Times New Roman" w:hAnsi="Times New Roman" w:eastAsia="黑体" w:cs="Times New Roman"/>
          <w:snapToGrid w:val="0"/>
          <w:color w:val="auto"/>
          <w:kern w:val="0"/>
          <w:sz w:val="32"/>
          <w:szCs w:val="32"/>
          <w:highlight w:val="none"/>
          <w:lang w:val="en-US" w:eastAsia="zh-CN"/>
        </w:rPr>
        <w:t>现状检测报告</w:t>
      </w:r>
    </w:p>
    <w:p w14:paraId="7EE0E776">
      <w:pPr>
        <w:pStyle w:val="5"/>
        <w:ind w:left="0" w:leftChars="0" w:firstLine="0" w:firstLineChars="0"/>
        <w:rPr>
          <w:rFonts w:hint="default" w:ascii="Times New Roman" w:hAnsi="Times New Roman" w:cs="Times New Roman"/>
          <w:color w:val="auto"/>
          <w:highlight w:val="none"/>
          <w:lang w:eastAsia="zh-CN"/>
        </w:rPr>
      </w:pPr>
      <w:r>
        <w:drawing>
          <wp:inline distT="0" distB="0" distL="114300" distR="114300">
            <wp:extent cx="5262245" cy="7444105"/>
            <wp:effectExtent l="0" t="0" r="14605"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4"/>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5"/>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6"/>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7"/>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8"/>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29"/>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30"/>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31"/>
                    <a:stretch>
                      <a:fillRect/>
                    </a:stretch>
                  </pic:blipFill>
                  <pic:spPr>
                    <a:xfrm>
                      <a:off x="0" y="0"/>
                      <a:ext cx="5262245" cy="7444105"/>
                    </a:xfrm>
                    <a:prstGeom prst="rect">
                      <a:avLst/>
                    </a:prstGeom>
                    <a:noFill/>
                    <a:ln>
                      <a:noFill/>
                    </a:ln>
                  </pic:spPr>
                </pic:pic>
              </a:graphicData>
            </a:graphic>
          </wp:inline>
        </w:drawing>
      </w:r>
      <w:r>
        <w:drawing>
          <wp:inline distT="0" distB="0" distL="114300" distR="114300">
            <wp:extent cx="5262245" cy="7444105"/>
            <wp:effectExtent l="0" t="0" r="14605" b="4445"/>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pic:cNvPicPr>
                  </pic:nvPicPr>
                  <pic:blipFill>
                    <a:blip r:embed="rId32"/>
                    <a:stretch>
                      <a:fillRect/>
                    </a:stretch>
                  </pic:blipFill>
                  <pic:spPr>
                    <a:xfrm>
                      <a:off x="0" y="0"/>
                      <a:ext cx="5262245" cy="7444105"/>
                    </a:xfrm>
                    <a:prstGeom prst="rect">
                      <a:avLst/>
                    </a:prstGeom>
                    <a:noFill/>
                    <a:ln>
                      <a:noFill/>
                    </a:ln>
                  </pic:spPr>
                </pic:pic>
              </a:graphicData>
            </a:graphic>
          </wp:inline>
        </w:drawing>
      </w: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15502">
    <w:pPr>
      <w:pStyle w:val="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FB904">
    <w:pPr>
      <w:pStyle w:val="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2B786">
    <w:pPr>
      <w:pStyle w:val="9"/>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2B08D">
                          <w:pPr>
                            <w:pStyle w:val="1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672B08D">
                    <w:pPr>
                      <w:pStyle w:val="1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30248">
    <w:pPr>
      <w:pStyle w:val="9"/>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586DE">
                          <w:pPr>
                            <w:pStyle w:val="14"/>
                          </w:pPr>
                          <w:r>
                            <w:fldChar w:fldCharType="begin"/>
                          </w:r>
                          <w:r>
                            <w:instrText xml:space="preserve"> PAGE  \* MERGEFORMAT </w:instrText>
                          </w:r>
                          <w:r>
                            <w:fldChar w:fldCharType="separate"/>
                          </w:r>
                          <w:r>
                            <w:t>- 54 -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2586DE">
                    <w:pPr>
                      <w:pStyle w:val="14"/>
                    </w:pPr>
                    <w:r>
                      <w:fldChar w:fldCharType="begin"/>
                    </w:r>
                    <w:r>
                      <w:instrText xml:space="preserve"> PAGE  \* MERGEFORMAT </w:instrText>
                    </w:r>
                    <w:r>
                      <w:fldChar w:fldCharType="separate"/>
                    </w:r>
                    <w:r>
                      <w:t>- 54 -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CE227D"/>
    <w:multiLevelType w:val="singleLevel"/>
    <w:tmpl w:val="B0CE227D"/>
    <w:lvl w:ilvl="0" w:tentative="0">
      <w:start w:val="2"/>
      <w:numFmt w:val="decimal"/>
      <w:suff w:val="nothing"/>
      <w:lvlText w:val="%1、"/>
      <w:lvlJc w:val="left"/>
      <w:pPr>
        <w:ind w:left="-42"/>
      </w:pPr>
    </w:lvl>
  </w:abstractNum>
  <w:abstractNum w:abstractNumId="1">
    <w:nsid w:val="BD341E83"/>
    <w:multiLevelType w:val="singleLevel"/>
    <w:tmpl w:val="BD341E83"/>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2">
    <w:nsid w:val="10E4D07F"/>
    <w:multiLevelType w:val="singleLevel"/>
    <w:tmpl w:val="10E4D07F"/>
    <w:lvl w:ilvl="0" w:tentative="0">
      <w:start w:val="2"/>
      <w:numFmt w:val="decimal"/>
      <w:suff w:val="nothing"/>
      <w:lvlText w:val="（%1）"/>
      <w:lvlJc w:val="left"/>
      <w:pPr>
        <w:ind w:left="180"/>
      </w:pPr>
      <w:rPr>
        <w:lang w:val="en-US"/>
      </w:rPr>
    </w:lvl>
  </w:abstractNum>
  <w:abstractNum w:abstractNumId="3">
    <w:nsid w:val="11440464"/>
    <w:multiLevelType w:val="multilevel"/>
    <w:tmpl w:val="11440464"/>
    <w:lvl w:ilvl="0" w:tentative="0">
      <w:start w:val="1"/>
      <w:numFmt w:val="decimal"/>
      <w:lvlText w:val="%1、"/>
      <w:lvlJc w:val="left"/>
      <w:pPr>
        <w:ind w:left="857" w:hanging="37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54B607A6"/>
    <w:multiLevelType w:val="multilevel"/>
    <w:tmpl w:val="54B607A6"/>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7AF5141"/>
    <w:multiLevelType w:val="singleLevel"/>
    <w:tmpl w:val="67AF5141"/>
    <w:lvl w:ilvl="0" w:tentative="0">
      <w:start w:val="1"/>
      <w:numFmt w:val="decimal"/>
      <w:suff w:val="nothing"/>
      <w:lvlText w:val="%1、"/>
      <w:lvlJc w:val="left"/>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2MjE4YWVmYjViMjg3ZDZjYzg3ZTg5MzE5NzM5OTMifQ=="/>
  </w:docVars>
  <w:rsids>
    <w:rsidRoot w:val="000407E4"/>
    <w:rsid w:val="00007CF3"/>
    <w:rsid w:val="00013B4F"/>
    <w:rsid w:val="00013E50"/>
    <w:rsid w:val="00027FAF"/>
    <w:rsid w:val="000407E4"/>
    <w:rsid w:val="00044522"/>
    <w:rsid w:val="000A5DDB"/>
    <w:rsid w:val="000D6BD3"/>
    <w:rsid w:val="00120357"/>
    <w:rsid w:val="00150EAD"/>
    <w:rsid w:val="00163691"/>
    <w:rsid w:val="001D4BEB"/>
    <w:rsid w:val="001F1B6E"/>
    <w:rsid w:val="00264AD3"/>
    <w:rsid w:val="002656C3"/>
    <w:rsid w:val="00276990"/>
    <w:rsid w:val="002A3C42"/>
    <w:rsid w:val="002A69E4"/>
    <w:rsid w:val="0031218D"/>
    <w:rsid w:val="00337ADE"/>
    <w:rsid w:val="00370470"/>
    <w:rsid w:val="003C493C"/>
    <w:rsid w:val="003E733C"/>
    <w:rsid w:val="004505D2"/>
    <w:rsid w:val="004511BB"/>
    <w:rsid w:val="0047153F"/>
    <w:rsid w:val="004C5601"/>
    <w:rsid w:val="004F04BA"/>
    <w:rsid w:val="00500F78"/>
    <w:rsid w:val="00593481"/>
    <w:rsid w:val="005A569C"/>
    <w:rsid w:val="00603127"/>
    <w:rsid w:val="00610B3E"/>
    <w:rsid w:val="00614680"/>
    <w:rsid w:val="00630B51"/>
    <w:rsid w:val="00656142"/>
    <w:rsid w:val="00673E69"/>
    <w:rsid w:val="00710D42"/>
    <w:rsid w:val="0072027F"/>
    <w:rsid w:val="007423B5"/>
    <w:rsid w:val="007678F7"/>
    <w:rsid w:val="007D5D2D"/>
    <w:rsid w:val="007F5763"/>
    <w:rsid w:val="008013DB"/>
    <w:rsid w:val="00831D9A"/>
    <w:rsid w:val="0083429E"/>
    <w:rsid w:val="008342CD"/>
    <w:rsid w:val="0086471A"/>
    <w:rsid w:val="00874687"/>
    <w:rsid w:val="00876EF0"/>
    <w:rsid w:val="008B659D"/>
    <w:rsid w:val="008E74F7"/>
    <w:rsid w:val="009051EA"/>
    <w:rsid w:val="00951FEE"/>
    <w:rsid w:val="009605CF"/>
    <w:rsid w:val="00962B3C"/>
    <w:rsid w:val="00973FB8"/>
    <w:rsid w:val="00975CF6"/>
    <w:rsid w:val="009A7AF1"/>
    <w:rsid w:val="009C0009"/>
    <w:rsid w:val="00A004D6"/>
    <w:rsid w:val="00A11E89"/>
    <w:rsid w:val="00A23C2E"/>
    <w:rsid w:val="00A2427B"/>
    <w:rsid w:val="00A32373"/>
    <w:rsid w:val="00A352BB"/>
    <w:rsid w:val="00A35760"/>
    <w:rsid w:val="00A35F61"/>
    <w:rsid w:val="00A7793D"/>
    <w:rsid w:val="00A8097C"/>
    <w:rsid w:val="00A97F45"/>
    <w:rsid w:val="00AB781B"/>
    <w:rsid w:val="00AC3B58"/>
    <w:rsid w:val="00AC6967"/>
    <w:rsid w:val="00AD0569"/>
    <w:rsid w:val="00AF5862"/>
    <w:rsid w:val="00B0071B"/>
    <w:rsid w:val="00B04E84"/>
    <w:rsid w:val="00B24520"/>
    <w:rsid w:val="00B41FDA"/>
    <w:rsid w:val="00B654F6"/>
    <w:rsid w:val="00B872F0"/>
    <w:rsid w:val="00BB11A5"/>
    <w:rsid w:val="00BC6F9C"/>
    <w:rsid w:val="00C423F1"/>
    <w:rsid w:val="00C62611"/>
    <w:rsid w:val="00C9175F"/>
    <w:rsid w:val="00C933B8"/>
    <w:rsid w:val="00C97E9B"/>
    <w:rsid w:val="00CB0CF9"/>
    <w:rsid w:val="00CC2B7F"/>
    <w:rsid w:val="00CD66F4"/>
    <w:rsid w:val="00CF4231"/>
    <w:rsid w:val="00D4742E"/>
    <w:rsid w:val="00D47727"/>
    <w:rsid w:val="00D54B8F"/>
    <w:rsid w:val="00D650D6"/>
    <w:rsid w:val="00DB2A89"/>
    <w:rsid w:val="00DD12FF"/>
    <w:rsid w:val="00DF0120"/>
    <w:rsid w:val="00DF3FAA"/>
    <w:rsid w:val="00DF4E6D"/>
    <w:rsid w:val="00E35DC0"/>
    <w:rsid w:val="00E47C5F"/>
    <w:rsid w:val="00E60096"/>
    <w:rsid w:val="00E61E69"/>
    <w:rsid w:val="00E9290B"/>
    <w:rsid w:val="00E94817"/>
    <w:rsid w:val="00EC26AD"/>
    <w:rsid w:val="00EE3B35"/>
    <w:rsid w:val="00EF0072"/>
    <w:rsid w:val="00EF24F2"/>
    <w:rsid w:val="00F11001"/>
    <w:rsid w:val="00F11A03"/>
    <w:rsid w:val="00F22067"/>
    <w:rsid w:val="00F633DA"/>
    <w:rsid w:val="00F8229A"/>
    <w:rsid w:val="00F90E3A"/>
    <w:rsid w:val="00F95F67"/>
    <w:rsid w:val="00FF26EA"/>
    <w:rsid w:val="013E1165"/>
    <w:rsid w:val="018502B5"/>
    <w:rsid w:val="01A56261"/>
    <w:rsid w:val="01BF5575"/>
    <w:rsid w:val="01C34939"/>
    <w:rsid w:val="01CC382A"/>
    <w:rsid w:val="02092C94"/>
    <w:rsid w:val="02182ED7"/>
    <w:rsid w:val="027B5A8B"/>
    <w:rsid w:val="02975B59"/>
    <w:rsid w:val="02BA3A45"/>
    <w:rsid w:val="0380051D"/>
    <w:rsid w:val="042A1ACF"/>
    <w:rsid w:val="04A64E84"/>
    <w:rsid w:val="054B35C3"/>
    <w:rsid w:val="05B0591B"/>
    <w:rsid w:val="05B6336E"/>
    <w:rsid w:val="05C07B0D"/>
    <w:rsid w:val="06064A05"/>
    <w:rsid w:val="06B225CD"/>
    <w:rsid w:val="073F1474"/>
    <w:rsid w:val="077706A0"/>
    <w:rsid w:val="07AC683C"/>
    <w:rsid w:val="089202EB"/>
    <w:rsid w:val="08C07E24"/>
    <w:rsid w:val="08DF2EFF"/>
    <w:rsid w:val="093F51ED"/>
    <w:rsid w:val="09B71227"/>
    <w:rsid w:val="09D05E45"/>
    <w:rsid w:val="0B1F52D6"/>
    <w:rsid w:val="0BA476BC"/>
    <w:rsid w:val="0C4F3999"/>
    <w:rsid w:val="0C9358E9"/>
    <w:rsid w:val="0CC31C91"/>
    <w:rsid w:val="0CC904F2"/>
    <w:rsid w:val="0CF9470F"/>
    <w:rsid w:val="0D3C254C"/>
    <w:rsid w:val="0D48607B"/>
    <w:rsid w:val="0DB3322E"/>
    <w:rsid w:val="0E8C5E08"/>
    <w:rsid w:val="0F023581"/>
    <w:rsid w:val="0F7A1EA4"/>
    <w:rsid w:val="0FB52A5A"/>
    <w:rsid w:val="105C6685"/>
    <w:rsid w:val="10B43D08"/>
    <w:rsid w:val="1112778D"/>
    <w:rsid w:val="11342C8E"/>
    <w:rsid w:val="114A2981"/>
    <w:rsid w:val="118B59C0"/>
    <w:rsid w:val="11987B90"/>
    <w:rsid w:val="11C11214"/>
    <w:rsid w:val="11EF6D7D"/>
    <w:rsid w:val="123B48D7"/>
    <w:rsid w:val="12721EF0"/>
    <w:rsid w:val="132A0ABC"/>
    <w:rsid w:val="137B6532"/>
    <w:rsid w:val="13E57177"/>
    <w:rsid w:val="14305E5E"/>
    <w:rsid w:val="145130A0"/>
    <w:rsid w:val="148E4EB9"/>
    <w:rsid w:val="14AF152E"/>
    <w:rsid w:val="151B6ADC"/>
    <w:rsid w:val="154A11A2"/>
    <w:rsid w:val="154A73D8"/>
    <w:rsid w:val="15E50ECA"/>
    <w:rsid w:val="16051141"/>
    <w:rsid w:val="16111CBF"/>
    <w:rsid w:val="161D30F1"/>
    <w:rsid w:val="16297D48"/>
    <w:rsid w:val="17012EC0"/>
    <w:rsid w:val="174D0482"/>
    <w:rsid w:val="182B6CC8"/>
    <w:rsid w:val="182C7345"/>
    <w:rsid w:val="18F87006"/>
    <w:rsid w:val="192533E2"/>
    <w:rsid w:val="19510A00"/>
    <w:rsid w:val="19524AC9"/>
    <w:rsid w:val="1A506C89"/>
    <w:rsid w:val="1A951111"/>
    <w:rsid w:val="1AE94FB9"/>
    <w:rsid w:val="1B50488F"/>
    <w:rsid w:val="1B665EBA"/>
    <w:rsid w:val="1B9C202B"/>
    <w:rsid w:val="1BAA299A"/>
    <w:rsid w:val="1BAB6A92"/>
    <w:rsid w:val="1BC852CB"/>
    <w:rsid w:val="1BF025D7"/>
    <w:rsid w:val="1CF917A7"/>
    <w:rsid w:val="1D470184"/>
    <w:rsid w:val="1D525097"/>
    <w:rsid w:val="1D644DCB"/>
    <w:rsid w:val="1D8075EC"/>
    <w:rsid w:val="1DD04C16"/>
    <w:rsid w:val="1DD91556"/>
    <w:rsid w:val="1E3E5127"/>
    <w:rsid w:val="1E8E096D"/>
    <w:rsid w:val="1E921C0A"/>
    <w:rsid w:val="1E983160"/>
    <w:rsid w:val="1F6F21BA"/>
    <w:rsid w:val="1FC906EB"/>
    <w:rsid w:val="1FE92AEA"/>
    <w:rsid w:val="200563F1"/>
    <w:rsid w:val="20425F0F"/>
    <w:rsid w:val="209016E9"/>
    <w:rsid w:val="20CA2DBE"/>
    <w:rsid w:val="20CD4968"/>
    <w:rsid w:val="20DA089D"/>
    <w:rsid w:val="21325FDD"/>
    <w:rsid w:val="214221DC"/>
    <w:rsid w:val="21752768"/>
    <w:rsid w:val="21914190"/>
    <w:rsid w:val="21CA5B44"/>
    <w:rsid w:val="22492855"/>
    <w:rsid w:val="226E7767"/>
    <w:rsid w:val="227B6E3E"/>
    <w:rsid w:val="22EA5D72"/>
    <w:rsid w:val="22F20B8D"/>
    <w:rsid w:val="23387108"/>
    <w:rsid w:val="23476D20"/>
    <w:rsid w:val="236677DC"/>
    <w:rsid w:val="2383244E"/>
    <w:rsid w:val="238E0DF3"/>
    <w:rsid w:val="23A511A7"/>
    <w:rsid w:val="24042E63"/>
    <w:rsid w:val="2452597D"/>
    <w:rsid w:val="246B1625"/>
    <w:rsid w:val="24D10180"/>
    <w:rsid w:val="25063C02"/>
    <w:rsid w:val="25A8609D"/>
    <w:rsid w:val="25E42008"/>
    <w:rsid w:val="25FA62CC"/>
    <w:rsid w:val="26D94133"/>
    <w:rsid w:val="27A91D58"/>
    <w:rsid w:val="27DE7B89"/>
    <w:rsid w:val="28602520"/>
    <w:rsid w:val="28CF57EE"/>
    <w:rsid w:val="291A315C"/>
    <w:rsid w:val="292518B2"/>
    <w:rsid w:val="29382E34"/>
    <w:rsid w:val="29570CE9"/>
    <w:rsid w:val="29673C78"/>
    <w:rsid w:val="298B5A4B"/>
    <w:rsid w:val="29ED4229"/>
    <w:rsid w:val="2A1F09F7"/>
    <w:rsid w:val="2A202246"/>
    <w:rsid w:val="2ACD5C73"/>
    <w:rsid w:val="2B2554ED"/>
    <w:rsid w:val="2B9176D3"/>
    <w:rsid w:val="2BCA4B5F"/>
    <w:rsid w:val="2BDF20BE"/>
    <w:rsid w:val="2C2D73DD"/>
    <w:rsid w:val="2CBB6E29"/>
    <w:rsid w:val="2E196F6F"/>
    <w:rsid w:val="2E1A5778"/>
    <w:rsid w:val="2E1A5D5E"/>
    <w:rsid w:val="2E205BAC"/>
    <w:rsid w:val="2E387DE9"/>
    <w:rsid w:val="2F3E3193"/>
    <w:rsid w:val="2F7964B4"/>
    <w:rsid w:val="2F951A24"/>
    <w:rsid w:val="2FC27D44"/>
    <w:rsid w:val="2FD7164D"/>
    <w:rsid w:val="2FE0169A"/>
    <w:rsid w:val="30530AA5"/>
    <w:rsid w:val="31A309BF"/>
    <w:rsid w:val="31A52FB7"/>
    <w:rsid w:val="31C12394"/>
    <w:rsid w:val="31D3412E"/>
    <w:rsid w:val="31F14A27"/>
    <w:rsid w:val="321D581C"/>
    <w:rsid w:val="325C5606"/>
    <w:rsid w:val="32843928"/>
    <w:rsid w:val="32B06690"/>
    <w:rsid w:val="32F21931"/>
    <w:rsid w:val="33476FB4"/>
    <w:rsid w:val="345671CF"/>
    <w:rsid w:val="34896690"/>
    <w:rsid w:val="34AD3565"/>
    <w:rsid w:val="34C04F0F"/>
    <w:rsid w:val="3520237C"/>
    <w:rsid w:val="35A41300"/>
    <w:rsid w:val="364F61C0"/>
    <w:rsid w:val="36C57C87"/>
    <w:rsid w:val="37490E61"/>
    <w:rsid w:val="377063EE"/>
    <w:rsid w:val="38172D0E"/>
    <w:rsid w:val="382A5FD6"/>
    <w:rsid w:val="386B6C67"/>
    <w:rsid w:val="38886FD6"/>
    <w:rsid w:val="39383582"/>
    <w:rsid w:val="39393677"/>
    <w:rsid w:val="39643077"/>
    <w:rsid w:val="398D68A5"/>
    <w:rsid w:val="3A1261A4"/>
    <w:rsid w:val="3A1704E0"/>
    <w:rsid w:val="3A5D29C3"/>
    <w:rsid w:val="3A747BF2"/>
    <w:rsid w:val="3A750A99"/>
    <w:rsid w:val="3AAF547F"/>
    <w:rsid w:val="3AD844C5"/>
    <w:rsid w:val="3AF81008"/>
    <w:rsid w:val="3B1C3CA9"/>
    <w:rsid w:val="3B9A0687"/>
    <w:rsid w:val="3BD0035C"/>
    <w:rsid w:val="3BE22ABC"/>
    <w:rsid w:val="3BE40B70"/>
    <w:rsid w:val="3C327705"/>
    <w:rsid w:val="3C4F155D"/>
    <w:rsid w:val="3C572545"/>
    <w:rsid w:val="3C7921E9"/>
    <w:rsid w:val="3CB83147"/>
    <w:rsid w:val="3D282439"/>
    <w:rsid w:val="3DAF5796"/>
    <w:rsid w:val="3DD04AF4"/>
    <w:rsid w:val="3DD530DD"/>
    <w:rsid w:val="3DFF4E34"/>
    <w:rsid w:val="3E2E5A5D"/>
    <w:rsid w:val="3E8C21B0"/>
    <w:rsid w:val="3E8C305D"/>
    <w:rsid w:val="3E98597D"/>
    <w:rsid w:val="3EB86397"/>
    <w:rsid w:val="3EE6341B"/>
    <w:rsid w:val="3F2E0CD6"/>
    <w:rsid w:val="3F406FEE"/>
    <w:rsid w:val="3FAF5B98"/>
    <w:rsid w:val="3FF1653A"/>
    <w:rsid w:val="40324B88"/>
    <w:rsid w:val="40692574"/>
    <w:rsid w:val="418A4550"/>
    <w:rsid w:val="41AC1DA8"/>
    <w:rsid w:val="4294482C"/>
    <w:rsid w:val="42B3257D"/>
    <w:rsid w:val="42C972FA"/>
    <w:rsid w:val="42EE7AE7"/>
    <w:rsid w:val="42F36125"/>
    <w:rsid w:val="430254A9"/>
    <w:rsid w:val="433D63B6"/>
    <w:rsid w:val="434500D6"/>
    <w:rsid w:val="43A07D68"/>
    <w:rsid w:val="43E55CD4"/>
    <w:rsid w:val="444F0625"/>
    <w:rsid w:val="44CE4CC2"/>
    <w:rsid w:val="45644310"/>
    <w:rsid w:val="45CB4AE3"/>
    <w:rsid w:val="45F971C9"/>
    <w:rsid w:val="463776B3"/>
    <w:rsid w:val="463D26CA"/>
    <w:rsid w:val="464949DA"/>
    <w:rsid w:val="465D66D7"/>
    <w:rsid w:val="466D0317"/>
    <w:rsid w:val="46761CC7"/>
    <w:rsid w:val="4722661A"/>
    <w:rsid w:val="473327A6"/>
    <w:rsid w:val="474451A1"/>
    <w:rsid w:val="47E178EC"/>
    <w:rsid w:val="47ED3A8B"/>
    <w:rsid w:val="48147025"/>
    <w:rsid w:val="48931F3C"/>
    <w:rsid w:val="48EE64FE"/>
    <w:rsid w:val="4A6F03FF"/>
    <w:rsid w:val="4AC72922"/>
    <w:rsid w:val="4AF60EA8"/>
    <w:rsid w:val="4B0A29A4"/>
    <w:rsid w:val="4B1E10EB"/>
    <w:rsid w:val="4C0362F5"/>
    <w:rsid w:val="4C0C67C5"/>
    <w:rsid w:val="4C2567F0"/>
    <w:rsid w:val="4C2A2BB8"/>
    <w:rsid w:val="4C762403"/>
    <w:rsid w:val="4C874458"/>
    <w:rsid w:val="4D07259F"/>
    <w:rsid w:val="4D6A60F7"/>
    <w:rsid w:val="4D752B9B"/>
    <w:rsid w:val="4D886C44"/>
    <w:rsid w:val="4DB82445"/>
    <w:rsid w:val="4DD21759"/>
    <w:rsid w:val="4DE84AD8"/>
    <w:rsid w:val="4DED5E72"/>
    <w:rsid w:val="4E8E690C"/>
    <w:rsid w:val="4EAB01DD"/>
    <w:rsid w:val="4F414FC2"/>
    <w:rsid w:val="4FA62E9D"/>
    <w:rsid w:val="4FE90FDC"/>
    <w:rsid w:val="501014A8"/>
    <w:rsid w:val="501D0BC1"/>
    <w:rsid w:val="507054CE"/>
    <w:rsid w:val="50781E59"/>
    <w:rsid w:val="50830C5C"/>
    <w:rsid w:val="50940CF9"/>
    <w:rsid w:val="50A313E0"/>
    <w:rsid w:val="513D0753"/>
    <w:rsid w:val="514F5D43"/>
    <w:rsid w:val="516F0998"/>
    <w:rsid w:val="51AA4D01"/>
    <w:rsid w:val="51D33699"/>
    <w:rsid w:val="51E5225F"/>
    <w:rsid w:val="528374C6"/>
    <w:rsid w:val="5311494E"/>
    <w:rsid w:val="535B7AFB"/>
    <w:rsid w:val="535E4951"/>
    <w:rsid w:val="538C455A"/>
    <w:rsid w:val="53D73C82"/>
    <w:rsid w:val="54024CD1"/>
    <w:rsid w:val="542F176F"/>
    <w:rsid w:val="54452506"/>
    <w:rsid w:val="545175D7"/>
    <w:rsid w:val="54BD7E20"/>
    <w:rsid w:val="557617BB"/>
    <w:rsid w:val="56222B52"/>
    <w:rsid w:val="56280290"/>
    <w:rsid w:val="56B63CA8"/>
    <w:rsid w:val="56E64E04"/>
    <w:rsid w:val="572A016C"/>
    <w:rsid w:val="574E30B9"/>
    <w:rsid w:val="57981DED"/>
    <w:rsid w:val="57F54B4B"/>
    <w:rsid w:val="58B902DE"/>
    <w:rsid w:val="58C64475"/>
    <w:rsid w:val="58C71ED5"/>
    <w:rsid w:val="58C757BE"/>
    <w:rsid w:val="591F15CA"/>
    <w:rsid w:val="59263727"/>
    <w:rsid w:val="599146BF"/>
    <w:rsid w:val="599B3347"/>
    <w:rsid w:val="59D6215C"/>
    <w:rsid w:val="5A87572E"/>
    <w:rsid w:val="5AC977E5"/>
    <w:rsid w:val="5B1A64ED"/>
    <w:rsid w:val="5B2F7834"/>
    <w:rsid w:val="5B392E17"/>
    <w:rsid w:val="5BEA5EBF"/>
    <w:rsid w:val="5C0764FF"/>
    <w:rsid w:val="5C265FCA"/>
    <w:rsid w:val="5D0E3587"/>
    <w:rsid w:val="5D2D075A"/>
    <w:rsid w:val="5DE160D7"/>
    <w:rsid w:val="5DEC4CBC"/>
    <w:rsid w:val="5E3D31F9"/>
    <w:rsid w:val="5E46263A"/>
    <w:rsid w:val="5E4C077F"/>
    <w:rsid w:val="5EA93E10"/>
    <w:rsid w:val="5EC16571"/>
    <w:rsid w:val="5EF53AEB"/>
    <w:rsid w:val="5F2F41A3"/>
    <w:rsid w:val="5F3C2ED6"/>
    <w:rsid w:val="5F531FCE"/>
    <w:rsid w:val="5FB137C1"/>
    <w:rsid w:val="601D3A65"/>
    <w:rsid w:val="603F7682"/>
    <w:rsid w:val="61285E6A"/>
    <w:rsid w:val="61801651"/>
    <w:rsid w:val="61E036BC"/>
    <w:rsid w:val="627942FA"/>
    <w:rsid w:val="62837F31"/>
    <w:rsid w:val="63367C3C"/>
    <w:rsid w:val="633C6F17"/>
    <w:rsid w:val="633D0FCB"/>
    <w:rsid w:val="636B719F"/>
    <w:rsid w:val="63AB2BB6"/>
    <w:rsid w:val="64087C2C"/>
    <w:rsid w:val="6418785F"/>
    <w:rsid w:val="644054FD"/>
    <w:rsid w:val="64623C90"/>
    <w:rsid w:val="64A82F7C"/>
    <w:rsid w:val="64B022D5"/>
    <w:rsid w:val="656176C1"/>
    <w:rsid w:val="669D6E2A"/>
    <w:rsid w:val="66DA591C"/>
    <w:rsid w:val="66DC6D4D"/>
    <w:rsid w:val="67655FA1"/>
    <w:rsid w:val="6784541A"/>
    <w:rsid w:val="67FA392E"/>
    <w:rsid w:val="68313008"/>
    <w:rsid w:val="68327B74"/>
    <w:rsid w:val="685A617B"/>
    <w:rsid w:val="69272F9B"/>
    <w:rsid w:val="692769A5"/>
    <w:rsid w:val="69C60119"/>
    <w:rsid w:val="69F36887"/>
    <w:rsid w:val="6A353C8F"/>
    <w:rsid w:val="6A5821F7"/>
    <w:rsid w:val="6C1140F0"/>
    <w:rsid w:val="6C141559"/>
    <w:rsid w:val="6C520E5F"/>
    <w:rsid w:val="6C9A748E"/>
    <w:rsid w:val="6CDB65B5"/>
    <w:rsid w:val="6D502723"/>
    <w:rsid w:val="6D64659C"/>
    <w:rsid w:val="6D864296"/>
    <w:rsid w:val="6D8835E8"/>
    <w:rsid w:val="6DD8201C"/>
    <w:rsid w:val="6E002D54"/>
    <w:rsid w:val="6EB2342B"/>
    <w:rsid w:val="6EBD6E0F"/>
    <w:rsid w:val="6F6E713D"/>
    <w:rsid w:val="6F96506E"/>
    <w:rsid w:val="6FE27182"/>
    <w:rsid w:val="6FE80510"/>
    <w:rsid w:val="702F613F"/>
    <w:rsid w:val="707A25EE"/>
    <w:rsid w:val="707F70C6"/>
    <w:rsid w:val="713015EC"/>
    <w:rsid w:val="716963F3"/>
    <w:rsid w:val="71C31235"/>
    <w:rsid w:val="724024F8"/>
    <w:rsid w:val="730F5DE4"/>
    <w:rsid w:val="732D7B8D"/>
    <w:rsid w:val="735C43AB"/>
    <w:rsid w:val="736662F6"/>
    <w:rsid w:val="73A3438C"/>
    <w:rsid w:val="73B41C44"/>
    <w:rsid w:val="73BC79C6"/>
    <w:rsid w:val="73DF642C"/>
    <w:rsid w:val="73E728BD"/>
    <w:rsid w:val="74646E06"/>
    <w:rsid w:val="74993F61"/>
    <w:rsid w:val="74AA19B3"/>
    <w:rsid w:val="74E6194D"/>
    <w:rsid w:val="75137B94"/>
    <w:rsid w:val="75575F1C"/>
    <w:rsid w:val="7561323F"/>
    <w:rsid w:val="75C04355"/>
    <w:rsid w:val="75C22688"/>
    <w:rsid w:val="75D46429"/>
    <w:rsid w:val="75EE3CF6"/>
    <w:rsid w:val="75FD5483"/>
    <w:rsid w:val="75FE45EA"/>
    <w:rsid w:val="764220F6"/>
    <w:rsid w:val="76944BF2"/>
    <w:rsid w:val="769907B6"/>
    <w:rsid w:val="76C23A00"/>
    <w:rsid w:val="77B42785"/>
    <w:rsid w:val="77E05652"/>
    <w:rsid w:val="77E06CE0"/>
    <w:rsid w:val="77E22C15"/>
    <w:rsid w:val="77F36EBE"/>
    <w:rsid w:val="78000AED"/>
    <w:rsid w:val="78104AA8"/>
    <w:rsid w:val="788C0453"/>
    <w:rsid w:val="78AC273E"/>
    <w:rsid w:val="78C135A7"/>
    <w:rsid w:val="78E0447A"/>
    <w:rsid w:val="79206CA4"/>
    <w:rsid w:val="79BA116F"/>
    <w:rsid w:val="7A477914"/>
    <w:rsid w:val="7AC613A2"/>
    <w:rsid w:val="7AD10C8A"/>
    <w:rsid w:val="7B1D0F1C"/>
    <w:rsid w:val="7BFC15CB"/>
    <w:rsid w:val="7C37539F"/>
    <w:rsid w:val="7C5B4ED2"/>
    <w:rsid w:val="7C8A307B"/>
    <w:rsid w:val="7C8E36D7"/>
    <w:rsid w:val="7C9C6356"/>
    <w:rsid w:val="7CCA17F2"/>
    <w:rsid w:val="7CCA3121"/>
    <w:rsid w:val="7CCB09C7"/>
    <w:rsid w:val="7D0746CC"/>
    <w:rsid w:val="7D2A1854"/>
    <w:rsid w:val="7D372865"/>
    <w:rsid w:val="7D660BEC"/>
    <w:rsid w:val="7D746E87"/>
    <w:rsid w:val="7D782228"/>
    <w:rsid w:val="7DF77898"/>
    <w:rsid w:val="7E2529F7"/>
    <w:rsid w:val="7E6672C6"/>
    <w:rsid w:val="7E8A1D6F"/>
    <w:rsid w:val="7F373061"/>
    <w:rsid w:val="7F8F791E"/>
    <w:rsid w:val="7F9E6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ind w:firstLine="0" w:firstLineChars="0"/>
      <w:outlineLvl w:val="1"/>
    </w:pPr>
    <w:rPr>
      <w:b/>
      <w:sz w:val="3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unhideWhenUsed/>
    <w:qFormat/>
    <w:uiPriority w:val="99"/>
    <w:pPr>
      <w:ind w:firstLine="420" w:firstLineChars="200"/>
    </w:pPr>
  </w:style>
  <w:style w:type="paragraph" w:styleId="5">
    <w:name w:val="Body Text First Indent 2"/>
    <w:basedOn w:val="6"/>
    <w:next w:val="1"/>
    <w:link w:val="29"/>
    <w:unhideWhenUsed/>
    <w:qFormat/>
    <w:uiPriority w:val="99"/>
    <w:pPr>
      <w:ind w:firstLine="420" w:firstLineChars="200"/>
    </w:pPr>
  </w:style>
  <w:style w:type="paragraph" w:styleId="6">
    <w:name w:val="Body Text Indent"/>
    <w:basedOn w:val="1"/>
    <w:next w:val="1"/>
    <w:link w:val="28"/>
    <w:semiHidden/>
    <w:unhideWhenUsed/>
    <w:qFormat/>
    <w:uiPriority w:val="99"/>
    <w:pPr>
      <w:spacing w:after="120"/>
      <w:ind w:left="420" w:leftChars="200"/>
    </w:pPr>
  </w:style>
  <w:style w:type="paragraph" w:styleId="7">
    <w:name w:val="caption"/>
    <w:basedOn w:val="1"/>
    <w:next w:val="1"/>
    <w:unhideWhenUsed/>
    <w:qFormat/>
    <w:uiPriority w:val="35"/>
    <w:rPr>
      <w:rFonts w:eastAsia="黑体" w:asciiTheme="majorHAnsi" w:hAnsiTheme="majorHAnsi" w:cstheme="majorBidi"/>
      <w:sz w:val="20"/>
      <w:szCs w:val="20"/>
    </w:rPr>
  </w:style>
  <w:style w:type="paragraph" w:styleId="8">
    <w:name w:val="annotation text"/>
    <w:basedOn w:val="1"/>
    <w:link w:val="33"/>
    <w:semiHidden/>
    <w:unhideWhenUsed/>
    <w:qFormat/>
    <w:uiPriority w:val="99"/>
    <w:pPr>
      <w:jc w:val="left"/>
    </w:pPr>
  </w:style>
  <w:style w:type="paragraph" w:styleId="9">
    <w:name w:val="Body Text"/>
    <w:basedOn w:val="1"/>
    <w:next w:val="10"/>
    <w:qFormat/>
    <w:uiPriority w:val="0"/>
    <w:rPr>
      <w:rFonts w:ascii="宋体" w:hAnsi="宋体" w:eastAsia="宋体" w:cs="宋体"/>
      <w:sz w:val="24"/>
      <w:szCs w:val="24"/>
      <w:lang w:val="zh-CN" w:eastAsia="zh-CN" w:bidi="zh-CN"/>
    </w:rPr>
  </w:style>
  <w:style w:type="paragraph" w:styleId="10">
    <w:name w:val="List Bullet 5"/>
    <w:basedOn w:val="1"/>
    <w:semiHidden/>
    <w:unhideWhenUsed/>
    <w:qFormat/>
    <w:uiPriority w:val="99"/>
    <w:pPr>
      <w:numPr>
        <w:ilvl w:val="0"/>
        <w:numId w:val="1"/>
      </w:numPr>
    </w:pPr>
  </w:style>
  <w:style w:type="paragraph" w:styleId="11">
    <w:name w:val="Plain Text"/>
    <w:basedOn w:val="1"/>
    <w:qFormat/>
    <w:uiPriority w:val="0"/>
    <w:rPr>
      <w:rFonts w:ascii="宋体" w:hAnsi="Courier New" w:cs="Courier New"/>
      <w:sz w:val="32"/>
      <w:szCs w:val="21"/>
    </w:rPr>
  </w:style>
  <w:style w:type="paragraph" w:styleId="12">
    <w:name w:val="endnote text"/>
    <w:basedOn w:val="1"/>
    <w:qFormat/>
    <w:uiPriority w:val="0"/>
    <w:pPr>
      <w:snapToGrid w:val="0"/>
      <w:jc w:val="left"/>
    </w:pPr>
  </w:style>
  <w:style w:type="paragraph" w:styleId="13">
    <w:name w:val="Balloon Text"/>
    <w:basedOn w:val="1"/>
    <w:link w:val="32"/>
    <w:semiHidden/>
    <w:unhideWhenUsed/>
    <w:qFormat/>
    <w:uiPriority w:val="99"/>
    <w:rPr>
      <w:sz w:val="18"/>
      <w:szCs w:val="18"/>
    </w:rPr>
  </w:style>
  <w:style w:type="paragraph" w:styleId="14">
    <w:name w:val="footer"/>
    <w:basedOn w:val="1"/>
    <w:link w:val="36"/>
    <w:unhideWhenUsed/>
    <w:qFormat/>
    <w:uiPriority w:val="99"/>
    <w:pPr>
      <w:tabs>
        <w:tab w:val="center" w:pos="4153"/>
        <w:tab w:val="right" w:pos="8306"/>
      </w:tabs>
      <w:snapToGrid w:val="0"/>
      <w:jc w:val="left"/>
    </w:pPr>
    <w:rPr>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List"/>
    <w:basedOn w:val="1"/>
    <w:unhideWhenUsed/>
    <w:qFormat/>
    <w:uiPriority w:val="99"/>
    <w:pPr>
      <w:ind w:left="200" w:hanging="200" w:hangingChars="200"/>
    </w:pPr>
    <w:rPr>
      <w:szCs w:val="21"/>
    </w:rPr>
  </w:style>
  <w:style w:type="paragraph" w:styleId="17">
    <w:name w:val="toc 2"/>
    <w:basedOn w:val="1"/>
    <w:next w:val="1"/>
    <w:semiHidden/>
    <w:qFormat/>
    <w:uiPriority w:val="0"/>
    <w:pPr>
      <w:tabs>
        <w:tab w:val="right" w:leader="dot" w:pos="8303"/>
      </w:tabs>
      <w:adjustRightInd w:val="0"/>
      <w:ind w:left="278" w:firstLine="0" w:firstLineChars="0"/>
      <w:jc w:val="left"/>
      <w:textAlignment w:val="baseline"/>
    </w:pPr>
    <w:rPr>
      <w:rFonts w:ascii="Times New Roman"/>
      <w:bCs/>
      <w:kern w:val="0"/>
      <w:sz w:val="21"/>
      <w:szCs w:val="26"/>
    </w:rPr>
  </w:style>
  <w:style w:type="paragraph" w:styleId="18">
    <w:name w:val="Normal (Web)"/>
    <w:basedOn w:val="1"/>
    <w:link w:val="30"/>
    <w:qFormat/>
    <w:uiPriority w:val="0"/>
    <w:pPr>
      <w:widowControl/>
      <w:spacing w:before="100" w:beforeAutospacing="1" w:after="100" w:afterAutospacing="1"/>
      <w:jc w:val="left"/>
    </w:pPr>
    <w:rPr>
      <w:rFonts w:ascii="宋体" w:hAnsi="宋体" w:cstheme="minorBidi"/>
      <w:sz w:val="24"/>
      <w:szCs w:val="22"/>
    </w:rPr>
  </w:style>
  <w:style w:type="paragraph" w:styleId="19">
    <w:name w:val="annotation subject"/>
    <w:basedOn w:val="8"/>
    <w:next w:val="8"/>
    <w:link w:val="34"/>
    <w:semiHidden/>
    <w:unhideWhenUsed/>
    <w:qFormat/>
    <w:uiPriority w:val="99"/>
    <w:rPr>
      <w:b/>
      <w:bCs/>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annotation reference"/>
    <w:basedOn w:val="22"/>
    <w:semiHidden/>
    <w:unhideWhenUsed/>
    <w:qFormat/>
    <w:uiPriority w:val="99"/>
    <w:rPr>
      <w:sz w:val="21"/>
      <w:szCs w:val="21"/>
    </w:rPr>
  </w:style>
  <w:style w:type="paragraph" w:customStyle="1" w:styleId="25">
    <w:name w:val="样式 正文缩进正文缩进2正文缩进 Char Char正文缩进 Char Char Char Char正文缩进 Char ..."/>
    <w:basedOn w:val="4"/>
    <w:qFormat/>
    <w:uiPriority w:val="0"/>
    <w:pPr>
      <w:spacing w:line="360" w:lineRule="auto"/>
      <w:ind w:firstLine="200"/>
    </w:pPr>
    <w:rPr>
      <w:rFonts w:cs="宋体"/>
      <w:sz w:val="24"/>
    </w:rPr>
  </w:style>
  <w:style w:type="character" w:customStyle="1" w:styleId="26">
    <w:name w:val="正文文本首行缩进 2 字符"/>
    <w:link w:val="27"/>
    <w:qFormat/>
    <w:uiPriority w:val="0"/>
    <w:rPr>
      <w:rFonts w:ascii="Times New Roman" w:hAnsi="Times New Roman" w:eastAsia="宋体"/>
      <w:kern w:val="2"/>
      <w:sz w:val="21"/>
      <w:szCs w:val="24"/>
    </w:rPr>
  </w:style>
  <w:style w:type="paragraph" w:customStyle="1" w:styleId="27">
    <w:name w:val="_Style 4"/>
    <w:basedOn w:val="6"/>
    <w:next w:val="5"/>
    <w:link w:val="26"/>
    <w:unhideWhenUsed/>
    <w:qFormat/>
    <w:uiPriority w:val="0"/>
    <w:pPr>
      <w:ind w:firstLine="420" w:firstLineChars="200"/>
    </w:pPr>
    <w:rPr>
      <w:rFonts w:cstheme="minorBidi"/>
    </w:rPr>
  </w:style>
  <w:style w:type="character" w:customStyle="1" w:styleId="28">
    <w:name w:val="正文文本缩进 字符"/>
    <w:basedOn w:val="22"/>
    <w:link w:val="6"/>
    <w:semiHidden/>
    <w:qFormat/>
    <w:uiPriority w:val="99"/>
    <w:rPr>
      <w:rFonts w:ascii="Times New Roman" w:hAnsi="Times New Roman" w:eastAsia="宋体" w:cs="Times New Roman"/>
      <w:szCs w:val="24"/>
    </w:rPr>
  </w:style>
  <w:style w:type="character" w:customStyle="1" w:styleId="29">
    <w:name w:val="正文首行缩进 2 字符"/>
    <w:basedOn w:val="28"/>
    <w:link w:val="5"/>
    <w:qFormat/>
    <w:uiPriority w:val="99"/>
    <w:rPr>
      <w:rFonts w:ascii="Times New Roman" w:hAnsi="Times New Roman" w:eastAsia="宋体" w:cs="Times New Roman"/>
      <w:szCs w:val="24"/>
    </w:rPr>
  </w:style>
  <w:style w:type="character" w:customStyle="1" w:styleId="30">
    <w:name w:val="普通(网站) 字符"/>
    <w:link w:val="18"/>
    <w:qFormat/>
    <w:locked/>
    <w:uiPriority w:val="0"/>
    <w:rPr>
      <w:rFonts w:ascii="宋体" w:hAnsi="宋体" w:eastAsia="宋体"/>
      <w:sz w:val="24"/>
    </w:rPr>
  </w:style>
  <w:style w:type="paragraph" w:styleId="31">
    <w:name w:val="List Paragraph"/>
    <w:basedOn w:val="1"/>
    <w:qFormat/>
    <w:uiPriority w:val="34"/>
    <w:pPr>
      <w:ind w:firstLine="420" w:firstLineChars="200"/>
    </w:pPr>
  </w:style>
  <w:style w:type="character" w:customStyle="1" w:styleId="32">
    <w:name w:val="批注框文本 字符"/>
    <w:basedOn w:val="22"/>
    <w:link w:val="13"/>
    <w:semiHidden/>
    <w:qFormat/>
    <w:uiPriority w:val="99"/>
    <w:rPr>
      <w:rFonts w:ascii="Times New Roman" w:hAnsi="Times New Roman" w:eastAsia="宋体" w:cs="Times New Roman"/>
      <w:sz w:val="18"/>
      <w:szCs w:val="18"/>
    </w:rPr>
  </w:style>
  <w:style w:type="character" w:customStyle="1" w:styleId="33">
    <w:name w:val="批注文字 字符"/>
    <w:basedOn w:val="22"/>
    <w:link w:val="8"/>
    <w:semiHidden/>
    <w:qFormat/>
    <w:uiPriority w:val="99"/>
    <w:rPr>
      <w:rFonts w:ascii="Times New Roman" w:hAnsi="Times New Roman" w:eastAsia="宋体" w:cs="Times New Roman"/>
      <w:szCs w:val="24"/>
    </w:rPr>
  </w:style>
  <w:style w:type="character" w:customStyle="1" w:styleId="34">
    <w:name w:val="批注主题 字符"/>
    <w:basedOn w:val="33"/>
    <w:link w:val="19"/>
    <w:semiHidden/>
    <w:qFormat/>
    <w:uiPriority w:val="99"/>
    <w:rPr>
      <w:rFonts w:ascii="Times New Roman" w:hAnsi="Times New Roman" w:eastAsia="宋体" w:cs="Times New Roman"/>
      <w:b/>
      <w:bCs/>
      <w:szCs w:val="24"/>
    </w:rPr>
  </w:style>
  <w:style w:type="character" w:customStyle="1" w:styleId="35">
    <w:name w:val="页眉 字符"/>
    <w:basedOn w:val="22"/>
    <w:link w:val="15"/>
    <w:qFormat/>
    <w:uiPriority w:val="99"/>
    <w:rPr>
      <w:rFonts w:ascii="Times New Roman" w:hAnsi="Times New Roman" w:eastAsia="宋体" w:cs="Times New Roman"/>
      <w:sz w:val="18"/>
      <w:szCs w:val="18"/>
    </w:rPr>
  </w:style>
  <w:style w:type="character" w:customStyle="1" w:styleId="36">
    <w:name w:val="页脚 字符"/>
    <w:basedOn w:val="22"/>
    <w:link w:val="14"/>
    <w:qFormat/>
    <w:uiPriority w:val="99"/>
    <w:rPr>
      <w:rFonts w:ascii="Times New Roman" w:hAnsi="Times New Roman" w:eastAsia="宋体" w:cs="Times New Roman"/>
      <w:sz w:val="18"/>
      <w:szCs w:val="18"/>
    </w:rPr>
  </w:style>
  <w:style w:type="paragraph" w:customStyle="1" w:styleId="37">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paragraph" w:customStyle="1" w:styleId="38">
    <w:name w:val="Table Paragraph"/>
    <w:basedOn w:val="1"/>
    <w:qFormat/>
    <w:uiPriority w:val="1"/>
    <w:rPr>
      <w:rFonts w:ascii="宋体" w:hAnsi="宋体" w:eastAsia="宋体" w:cs="宋体"/>
      <w:lang w:val="zh-CN" w:eastAsia="zh-CN" w:bidi="zh-CN"/>
    </w:rPr>
  </w:style>
  <w:style w:type="paragraph" w:customStyle="1" w:styleId="39">
    <w:name w:val="样式 正文1 + 首行缩进:  2 字符"/>
    <w:basedOn w:val="40"/>
    <w:qFormat/>
    <w:uiPriority w:val="0"/>
    <w:rPr>
      <w:szCs w:val="20"/>
    </w:rPr>
  </w:style>
  <w:style w:type="paragraph" w:customStyle="1" w:styleId="40">
    <w:name w:val="正文1"/>
    <w:basedOn w:val="1"/>
    <w:qFormat/>
    <w:uiPriority w:val="0"/>
    <w:pPr>
      <w:keepNext/>
      <w:spacing w:line="360" w:lineRule="auto"/>
      <w:ind w:firstLine="200" w:firstLineChars="200"/>
    </w:pPr>
    <w:rPr>
      <w:rFonts w:cs="宋体"/>
      <w:sz w:val="24"/>
    </w:rPr>
  </w:style>
  <w:style w:type="paragraph" w:customStyle="1" w:styleId="41">
    <w:name w:val="表格"/>
    <w:basedOn w:val="1"/>
    <w:next w:val="1"/>
    <w:qFormat/>
    <w:uiPriority w:val="99"/>
    <w:pPr>
      <w:spacing w:line="360" w:lineRule="exact"/>
      <w:jc w:val="center"/>
    </w:pPr>
    <w:rPr>
      <w:rFonts w:ascii="宋体" w:hAnsi="宋体"/>
      <w:szCs w:val="21"/>
    </w:rPr>
  </w:style>
  <w:style w:type="paragraph" w:customStyle="1" w:styleId="42">
    <w:name w:val="表中"/>
    <w:qFormat/>
    <w:uiPriority w:val="0"/>
    <w:pPr>
      <w:spacing w:line="260" w:lineRule="exact"/>
      <w:jc w:val="center"/>
    </w:pPr>
    <w:rPr>
      <w:rFonts w:ascii="Times New Roman" w:hAnsi="Times New Roman" w:eastAsia="宋体" w:cs="Times New Roman"/>
      <w:kern w:val="44"/>
      <w:sz w:val="21"/>
      <w:szCs w:val="21"/>
      <w:lang w:val="en-US" w:eastAsia="zh-CN" w:bidi="ar-SA"/>
    </w:rPr>
  </w:style>
  <w:style w:type="paragraph" w:styleId="43">
    <w:name w:val="No Spacing"/>
    <w:basedOn w:val="1"/>
    <w:qFormat/>
    <w:uiPriority w:val="1"/>
    <w:pPr>
      <w:spacing w:line="240" w:lineRule="auto"/>
    </w:pPr>
  </w:style>
  <w:style w:type="paragraph" w:customStyle="1" w:styleId="44">
    <w:name w:val="图表标题"/>
    <w:basedOn w:val="45"/>
    <w:qFormat/>
    <w:uiPriority w:val="0"/>
    <w:pPr>
      <w:spacing w:beforeLines="50" w:line="360" w:lineRule="auto"/>
    </w:pPr>
    <w:rPr>
      <w:rFonts w:hint="eastAsia"/>
      <w:color w:val="auto"/>
      <w:kern w:val="0"/>
      <w:sz w:val="22"/>
      <w:szCs w:val="20"/>
    </w:rPr>
  </w:style>
  <w:style w:type="paragraph" w:customStyle="1" w:styleId="45">
    <w:name w:val="小标题"/>
    <w:basedOn w:val="2"/>
    <w:qFormat/>
    <w:uiPriority w:val="0"/>
    <w:pPr>
      <w:outlineLvl w:val="1"/>
    </w:pPr>
  </w:style>
  <w:style w:type="paragraph" w:customStyle="1" w:styleId="46">
    <w:name w:val="图表内容"/>
    <w:basedOn w:val="47"/>
    <w:qFormat/>
    <w:uiPriority w:val="0"/>
    <w:pPr>
      <w:spacing w:beforeLines="50" w:afterLines="50" w:line="240" w:lineRule="auto"/>
      <w:ind w:right="0" w:firstLine="0" w:firstLineChars="0"/>
      <w:jc w:val="center"/>
    </w:pPr>
    <w:rPr>
      <w:sz w:val="22"/>
    </w:rPr>
  </w:style>
  <w:style w:type="paragraph" w:customStyle="1" w:styleId="47">
    <w:name w:val="张正文"/>
    <w:basedOn w:val="9"/>
    <w:qFormat/>
    <w:uiPriority w:val="0"/>
    <w:pPr>
      <w:spacing w:after="0" w:line="480" w:lineRule="exact"/>
      <w:ind w:firstLine="1246"/>
    </w:pPr>
    <w:rPr>
      <w:sz w:val="21"/>
    </w:rPr>
  </w:style>
  <w:style w:type="paragraph" w:customStyle="1" w:styleId="48">
    <w:name w:val="报告表正文"/>
    <w:basedOn w:val="1"/>
    <w:semiHidden/>
    <w:qFormat/>
    <w:uiPriority w:val="0"/>
    <w:pPr>
      <w:adjustRightInd w:val="0"/>
      <w:spacing w:line="312" w:lineRule="auto"/>
      <w:ind w:left="113" w:right="113" w:firstLine="482" w:firstLineChars="200"/>
    </w:pPr>
    <w:rPr>
      <w:rFonts w:ascii="Calibri" w:hAnsi="Calibri"/>
      <w:sz w:val="24"/>
      <w:szCs w:val="20"/>
    </w:rPr>
  </w:style>
  <w:style w:type="paragraph" w:customStyle="1" w:styleId="49">
    <w:name w:val="[1]正文"/>
    <w:basedOn w:val="1"/>
    <w:qFormat/>
    <w:uiPriority w:val="0"/>
    <w:pPr>
      <w:autoSpaceDE w:val="0"/>
      <w:autoSpaceDN w:val="0"/>
      <w:ind w:firstLine="200" w:firstLineChars="200"/>
    </w:pPr>
    <w:rPr>
      <w:rFonts w:eastAsia="Calibri"/>
      <w:color w:val="000000"/>
      <w:kern w:val="0"/>
      <w:lang w:val="zh-CN"/>
    </w:rPr>
  </w:style>
  <w:style w:type="paragraph" w:customStyle="1" w:styleId="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1">
    <w:name w:val="1表头"/>
    <w:basedOn w:val="1"/>
    <w:qFormat/>
    <w:uiPriority w:val="0"/>
    <w:pPr>
      <w:adjustRightInd w:val="0"/>
      <w:snapToGrid w:val="0"/>
      <w:spacing w:line="240" w:lineRule="auto"/>
      <w:ind w:firstLine="482"/>
    </w:pPr>
    <w:rPr>
      <w:b/>
      <w:bCs/>
    </w:rPr>
  </w:style>
  <w:style w:type="paragraph" w:customStyle="1" w:styleId="52">
    <w:name w:val="1表内容"/>
    <w:basedOn w:val="1"/>
    <w:qFormat/>
    <w:uiPriority w:val="0"/>
    <w:pPr>
      <w:autoSpaceDE w:val="0"/>
      <w:autoSpaceDN w:val="0"/>
      <w:spacing w:line="240" w:lineRule="auto"/>
      <w:ind w:firstLine="0" w:firstLineChars="0"/>
      <w:jc w:val="center"/>
    </w:pPr>
    <w:rPr>
      <w:color w:val="0070C0"/>
      <w:sz w:val="21"/>
      <w:szCs w:val="21"/>
    </w:rPr>
  </w:style>
  <w:style w:type="paragraph" w:customStyle="1" w:styleId="53">
    <w:name w:val="Table Text"/>
    <w:basedOn w:val="1"/>
    <w:semiHidden/>
    <w:qFormat/>
    <w:uiPriority w:val="0"/>
    <w:rPr>
      <w:rFonts w:ascii="宋体" w:hAnsi="宋体" w:eastAsia="宋体" w:cs="宋体"/>
      <w:sz w:val="24"/>
      <w:szCs w:val="24"/>
      <w:lang w:val="en-US" w:eastAsia="en-US" w:bidi="ar-SA"/>
    </w:rPr>
  </w:style>
  <w:style w:type="table" w:customStyle="1" w:styleId="54">
    <w:name w:val="Table Normal"/>
    <w:semiHidden/>
    <w:unhideWhenUsed/>
    <w:qFormat/>
    <w:uiPriority w:val="0"/>
    <w:tblPr>
      <w:tblCellMar>
        <w:top w:w="0" w:type="dxa"/>
        <w:left w:w="0" w:type="dxa"/>
        <w:bottom w:w="0" w:type="dxa"/>
        <w:right w:w="0" w:type="dxa"/>
      </w:tblCellMar>
    </w:tblPr>
  </w:style>
  <w:style w:type="character" w:customStyle="1" w:styleId="55">
    <w:name w:val="font21"/>
    <w:basedOn w:val="22"/>
    <w:qFormat/>
    <w:uiPriority w:val="0"/>
    <w:rPr>
      <w:rFonts w:ascii="宋体" w:hAnsi="宋体" w:eastAsia="宋体" w:cs="宋体"/>
      <w:color w:val="000000"/>
      <w:sz w:val="24"/>
      <w:szCs w:val="24"/>
      <w:u w:val="none"/>
    </w:rPr>
  </w:style>
  <w:style w:type="paragraph" w:customStyle="1" w:styleId="56">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57">
    <w:name w:val="表头"/>
    <w:basedOn w:val="16"/>
    <w:next w:val="1"/>
    <w:link w:val="58"/>
    <w:qFormat/>
    <w:uiPriority w:val="0"/>
    <w:pPr>
      <w:spacing w:before="50" w:beforeLines="50"/>
      <w:ind w:left="0" w:firstLine="0" w:firstLineChars="0"/>
      <w:jc w:val="center"/>
    </w:pPr>
    <w:rPr>
      <w:rFonts w:cs="宋体"/>
      <w:b/>
      <w:szCs w:val="24"/>
    </w:rPr>
  </w:style>
  <w:style w:type="character" w:customStyle="1" w:styleId="58">
    <w:name w:val="表头 Char"/>
    <w:link w:val="57"/>
    <w:qFormat/>
    <w:uiPriority w:val="0"/>
    <w:rPr>
      <w:rFonts w:cs="宋体"/>
      <w:b/>
      <w:szCs w:val="24"/>
    </w:rPr>
  </w:style>
  <w:style w:type="character" w:customStyle="1" w:styleId="59">
    <w:name w:val="font01"/>
    <w:basedOn w:val="22"/>
    <w:qFormat/>
    <w:uiPriority w:val="0"/>
    <w:rPr>
      <w:rFonts w:hint="eastAsia" w:ascii="宋体" w:hAnsi="宋体" w:eastAsia="宋体" w:cs="宋体"/>
      <w:color w:val="333333"/>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036d84fa-2c78-47ed-a95f-f4f5d64a6070</errorID>
      <errorWord>-</errorWord>
      <group>L1_Format</group>
      <groupName>格式问题</groupName>
      <ability>L2_HalfPunc</ability>
      <abilityName>全半角检查</abilityName>
      <candidateList>
        <item>－</item>
      </candidateList>
      <explain>文本全半角错误。</explain>
      <paraID>3200DEA9</paraID>
      <start>36</start>
      <end>37</end>
      <status>unmodified</status>
      <modifiedWord/>
      <trackRevisions>false</trackRevisions>
    </reviewItem>
    <reviewItem>
      <errorID>8791b8f0-cb9f-4acc-bb2d-1a6d28627f37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425DAAC4</paraID>
      <start>0</start>
      <end>2</end>
      <status>unmodified</status>
      <modifiedWord/>
      <trackRevisions>false</trackRevisions>
    </reviewItem>
    <reviewItem>
      <errorID>9ef2ebf7-e9ed-4e1a-b5e5-4e267882c52f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18956A38</paraID>
      <start>0</start>
      <end>2</end>
      <status>unmodified</status>
      <modifiedWord/>
      <trackRevisions>false</trackRevisions>
    </reviewItem>
    <reviewItem>
      <errorID>a9567785-50bf-46da-8fdd-7f6a02806e23</errorID>
      <errorWord>项目</errorWord>
      <group>L1_AI</group>
      <groupName>深度校对</groupName>
      <ability>L2_AI_Word</ability>
      <abilityName>字词纠错</abilityName>
      <candidateList>
        <item>矿区</item>
      </candidateList>
      <explain/>
      <paraID>18074272</paraID>
      <start>15</start>
      <end>17</end>
      <status>modified</status>
      <modifiedWord>矿区</modifiedWord>
      <trackRevisions>false</trackRevisions>
    </reviewItem>
    <reviewItem>
      <errorID>99163cff-0f3d-4e19-895d-90ea202ebe86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3B632BFF</paraID>
      <start>50</start>
      <end>51</end>
      <status>unmodified</status>
      <modifiedWord/>
      <trackRevisions>false</trackRevisions>
    </reviewItem>
    <reviewItem>
      <errorID>89e21b30-33c3-4089-8965-51823102fd60</errorID>
      <errorWord>波及到</errorWord>
      <group>L1_Word</group>
      <groupName>字词问题</groupName>
      <ability>L2_Typo</ability>
      <abilityName>字词错误</abilityName>
      <candidateList>
        <item>波及</item>
      </candidateList>
      <explain/>
      <paraID>6E8FF1EB</paraID>
      <start>120</start>
      <end>122</end>
      <status>modified</status>
      <modifiedWord>波及</modifiedWord>
      <trackRevisions>false</trackRevisions>
    </reviewItem>
    <reviewItem>
      <errorID>34e505d5-e6ff-4258-ab14-e4545dbe7684</errorID>
      <errorWord>~</errorWord>
      <group>L1_Format</group>
      <groupName>格式问题</groupName>
      <ability>L2_HalfPunc</ability>
      <abilityName>全半角检查</abilityName>
      <candidateList>
        <item>～</item>
      </candidateList>
      <explain>文本全半角错误。</explain>
      <paraID>6E8FF1EB</paraID>
      <start>225</start>
      <end>226</end>
      <status>unmodified</status>
      <modifiedWord/>
      <trackRevisions>false</trackRevisions>
    </reviewItem>
    <reviewItem>
      <errorID>87e844b0-6760-4940-80d9-50459a2b51ae</errorID>
      <errorWord>~</errorWord>
      <group>L1_Format</group>
      <groupName>格式问题</groupName>
      <ability>L2_HalfPunc</ability>
      <abilityName>全半角检查</abilityName>
      <candidateList>
        <item>～</item>
      </candidateList>
      <explain>文本全半角错误。</explain>
      <paraID>6E8FF1EB</paraID>
      <start>292</start>
      <end>293</end>
      <status>unmodified</status>
      <modifiedWord/>
      <trackRevisions>false</trackRevisions>
    </reviewItem>
    <reviewItem>
      <errorID>ddecd824-91f2-4d8e-a892-556eed82e7e4</errorID>
      <errorWord>~</errorWord>
      <group>L1_Format</group>
      <groupName>格式问题</groupName>
      <ability>L2_HalfPunc</ability>
      <abilityName>全半角检查</abilityName>
      <candidateList>
        <item>～</item>
      </candidateList>
      <explain>文本全半角错误。</explain>
      <paraID>6E8FF1EB</paraID>
      <start>334</start>
      <end>335</end>
      <status>unmodified</status>
      <modifiedWord/>
      <trackRevisions>false</trackRevisions>
    </reviewItem>
    <reviewItem>
      <errorID>693c1842-9b69-4a4b-8639-a29b42f7f3db</errorID>
      <errorWord>~</errorWord>
      <group>L1_Format</group>
      <groupName>格式问题</groupName>
      <ability>L2_HalfPunc</ability>
      <abilityName>全半角检查</abilityName>
      <candidateList>
        <item>～</item>
      </candidateList>
      <explain>文本全半角错误。</explain>
      <paraID>6E8FF1EB</paraID>
      <start>380</start>
      <end>381</end>
      <status>unmodified</status>
      <modifiedWord/>
      <trackRevisions>false</trackRevisions>
    </reviewItem>
    <reviewItem>
      <errorID>81e30daa-1960-4b5a-86be-6aabf87d2783</errorID>
      <errorWord>~</errorWord>
      <group>L1_Format</group>
      <groupName>格式问题</groupName>
      <ability>L2_HalfPunc</ability>
      <abilityName>全半角检查</abilityName>
      <candidateList>
        <item>～</item>
      </candidateList>
      <explain>文本全半角错误。</explain>
      <paraID>6E8FF1EB</paraID>
      <start>469</start>
      <end>470</end>
      <status>unmodified</status>
      <modifiedWord/>
      <trackRevisions>false</trackRevisions>
    </reviewItem>
    <reviewItem>
      <errorID>a298089d-8b70-4fa0-b007-e50e103bc71b</errorID>
      <errorWord>符合</errorWord>
      <group>L1_AI</group>
      <groupName>深度校对</groupName>
      <ability>L2_AI_Punc</ability>
      <abilityName>标点纠错</abilityName>
      <candidateList>
        <item>符合。</item>
      </candidateList>
      <explain/>
      <paraID>1BEEDA2E</paraID>
      <start>0</start>
      <end>2</end>
      <status>unmodified</status>
      <modifiedWord/>
      <trackRevisions>false</trackRevisions>
    </reviewItem>
    <reviewItem>
      <errorID>4b660f97-8020-4d87-b558-438d18f5744c</errorID>
      <errorWord>规划</errorWord>
      <group>L1_AI</group>
      <groupName>深度校对</groupName>
      <ability>L2_AI_Punc</ability>
      <abilityName>标点纠错</abilityName>
      <candidateList>
        <item>：规划</item>
      </candidateList>
      <explain/>
      <paraID> 855E507</paraID>
      <start>15</start>
      <end>18</end>
      <status>modified</status>
      <modifiedWord>：规划</modifiedWord>
      <trackRevisions>false</trackRevisions>
    </reviewItem>
    <reviewItem>
      <errorID>5af75230-ef22-4e27-a644-0971a9f891a6</errorID>
      <errorWord>本</errorWord>
      <group>L1_AI</group>
      <groupName>深度校对</groupName>
      <ability>L2_AI_Punc</ability>
      <abilityName>标点纠错</abilityName>
      <candidateList>
        <item>：本</item>
      </candidateList>
      <explain/>
      <paraID>46C4CB7E</paraID>
      <start>20</start>
      <end>22</end>
      <status>modified</status>
      <modifiedWord>：本</modifiedWord>
      <trackRevisions>false</trackRevisions>
    </reviewItem>
    <reviewItem>
      <errorID>60febb7e-c4e3-43db-99d3-b83cb738d0c9</errorID>
      <errorWord>规划</errorWord>
      <group>L1_AI</group>
      <groupName>深度校对</groupName>
      <ability>L2_AI_Punc</ability>
      <abilityName>标点纠错</abilityName>
      <candidateList>
        <item>：规划</item>
      </candidateList>
      <explain/>
      <paraID>3C6376F8</paraID>
      <start>15</start>
      <end>18</end>
      <status>modified</status>
      <modifiedWord>：规划</modifiedWord>
      <trackRevisions>false</trackRevisions>
    </reviewItem>
    <reviewItem>
      <errorID>9bb5989a-f2d5-4b15-9e58-be8a3f225ccc</errorID>
      <errorWord>矿区</errorWord>
      <group>L1_AI</group>
      <groupName>深度校对</groupName>
      <ability>L2_AI_Punc</ability>
      <abilityName>标点纠错</abilityName>
      <candidateList>
        <item>：矿区</item>
      </candidateList>
      <explain/>
      <paraID>3A352D7C</paraID>
      <start>15</start>
      <end>18</end>
      <status>modified</status>
      <modifiedWord>：矿区</modifiedWord>
      <trackRevisions>false</trackRevisions>
    </reviewItem>
    <reviewItem>
      <errorID>4deea4a7-5828-4ea9-86c3-6e6e72b0da46</errorID>
      <errorWord>矿区</errorWord>
      <group>L1_AI</group>
      <groupName>深度校对</groupName>
      <ability>L2_AI_Punc</ability>
      <abilityName>标点纠错</abilityName>
      <candidateList>
        <item>：矿区</item>
      </candidateList>
      <explain/>
      <paraID>3F0CE3F5</paraID>
      <start>17</start>
      <end>20</end>
      <status>modified</status>
      <modifiedWord>：矿区</modifiedWord>
      <trackRevisions>false</trackRevisions>
    </reviewItem>
    <reviewItem>
      <errorID>73b9ba02-a35c-493c-97ac-cc20c5926184</errorID>
      <errorWord>几率</errorWord>
      <group>L1_Word</group>
      <groupName>字词问题</groupName>
      <ability>L2_Typo</ability>
      <abilityName>字词错误</abilityName>
      <candidateList>
        <item>概率</item>
      </candidateList>
      <explain/>
      <paraID>  920FCE</paraID>
      <start>72</start>
      <end>74</end>
      <status>modified</status>
      <modifiedWord>概率</modifiedWord>
      <trackRevisions>false</trackRevisions>
    </reviewItem>
    <reviewItem>
      <errorID>c2704998-225a-4bcd-a021-59df5eb75351</errorID>
      <errorWord>不至</errorWord>
      <group>L1_Word</group>
      <groupName>字词问题</groupName>
      <ability>L2_Typo</ability>
      <abilityName>字词错误</abilityName>
      <candidateList>
        <item>不致</item>
      </candidateList>
      <explain>存在发音相同字词的误用。</explain>
      <paraID>69212349</paraID>
      <start>10</start>
      <end>12</end>
      <status>modified</status>
      <modifiedWord>不致</modifiedWord>
      <trackRevisions>false</trackRevisions>
    </reviewItem>
    <reviewItem>
      <errorID>bef01367-167a-41ec-8291-ab9eab0bde4b</errorID>
      <errorWord>-</errorWord>
      <group>L1_Format</group>
      <groupName>格式问题</groupName>
      <ability>L2_HalfPunc</ability>
      <abilityName>全半角检查</abilityName>
      <candidateList>
        <item>－</item>
      </candidateList>
      <explain>文本全半角错误。</explain>
      <paraID>69212349</paraID>
      <start>322</start>
      <end>323</end>
      <status>unmodified</status>
      <modifiedWord/>
      <trackRevisions>false</trackRevisions>
    </reviewItem>
    <reviewItem>
      <errorID>926dee46-2652-4469-8eae-6d1b75908027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61B74157</paraID>
      <start>116</start>
      <end>117</end>
      <status>unmodified</status>
      <modifiedWord/>
      <trackRevisions>false</trackRevisions>
    </reviewItem>
    <reviewItem>
      <errorID>454b184b-696f-4e61-81bd-dd49745aecff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7D0ECF5F</paraID>
      <start>189</start>
      <end>190</end>
      <status>modified</status>
      <modifiedWord>地</modifiedWord>
      <trackRevisions>false</trackRevisions>
    </reviewItem>
    <reviewItem>
      <errorID>1c69e2d7-5fb0-437f-83b1-91b4bfb03323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485247B1</paraID>
      <start>0</start>
      <end>2</end>
      <status>unmodified</status>
      <modifiedWord/>
      <trackRevisions>false</trackRevisions>
    </reviewItem>
    <reviewItem>
      <errorID>15195b04-2a00-40bd-a302-9dd78b66b5e5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5AC0B9E2</paraID>
      <start>0</start>
      <end>2</end>
      <status>unmodified</status>
      <modifiedWord/>
      <trackRevisions>false</trackRevisions>
    </reviewItem>
    <reviewItem>
      <errorID>e1e2865d-6cac-490f-9f50-20bd3f9beb5f</errorID>
      <errorWord>少</errorWord>
      <group>L1_Word</group>
      <groupName>字词问题</groupName>
      <ability>L2_Typo</ability>
      <abilityName>字词错误</abilityName>
      <candidateList>
        <item>小</item>
      </candidateList>
      <explain>存在字形相近字词的误用。</explain>
      <paraID>2345B6EB</paraID>
      <start>65</start>
      <end>66</end>
      <status>modified</status>
      <modifiedWord>小</modifiedWord>
      <trackRevisions>false</trackRevisions>
    </reviewItem>
    <reviewItem>
      <errorID>a4bf261a-af19-4298-b168-1ea38fb13912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248982E2</paraID>
      <start>0</start>
      <end>2</end>
      <status>unmodified</status>
      <modifiedWord/>
      <trackRevisions>false</trackRevisions>
    </reviewItem>
    <reviewItem>
      <errorID>d6abc0b7-f287-4652-be87-ff040f600344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595506D6</paraID>
      <start>46</start>
      <end>49</end>
      <status>unmodified</status>
      <modifiedWord/>
      <trackRevisions>false</trackRevisions>
    </reviewItem>
    <reviewItem>
      <errorID>8deecb22-5a56-414f-89e8-71dc9ac9b3eb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5C5B5526</paraID>
      <start>124</start>
      <end>125</end>
      <status>unmodified</status>
      <modifiedWord/>
      <trackRevisions>false</trackRevisions>
    </reviewItem>
    <reviewItem>
      <errorID>04c6dd37-99ed-456c-ae51-56baa5d2d7fa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5C5B5526</paraID>
      <start>163</start>
      <end>164</end>
      <status>unmodified</status>
      <modifiedWord/>
      <trackRevisions>false</trackRevisions>
    </reviewItem>
    <reviewItem>
      <errorID>a2b19f7e-c89d-4744-ae63-30d689d6ace5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1C2F3431</paraID>
      <start>130</start>
      <end>131</end>
      <status>unmodified</status>
      <modifiedWord/>
      <trackRevisions>false</trackRevisions>
    </reviewItem>
    <reviewItem>
      <errorID>7b3257ed-116d-420c-81b2-b6bfa64cbab3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1C2F3431</paraID>
      <start>172</start>
      <end>173</end>
      <status>unmodified</status>
      <modifiedWord/>
      <trackRevisions>false</trackRevisions>
    </reviewItem>
    <reviewItem>
      <errorID>73174c31-15aa-4d0a-8f02-ac1927e6d9af</errorID>
      <errorWord>固态</errorWord>
      <group>L1_Word</group>
      <groupName>字词问题</groupName>
      <ability>L2_Typo</ability>
      <abilityName>字词错误</abilityName>
      <candidateList>
        <item>固体</item>
      </candidateList>
      <explain/>
      <paraID>5E27527C</paraID>
      <start>10</start>
      <end>12</end>
      <status>modified</status>
      <modifiedWord>固体</modifiedWord>
      <trackRevisions>false</trackRevisions>
    </reviewItem>
    <reviewItem>
      <errorID>ad874040-1d97-45bc-a5fe-593a1be6ed73</errorID>
      <errorWord>其它</errorWord>
      <group>L1_Word</group>
      <groupName>字词问题</groupName>
      <ability>L2_Alias</ability>
      <abilityName>也作/曾用词</abilityName>
      <candidateList>
        <item>其他</item>
      </candidateList>
      <explain>词汇[其它]为不规范表述或旧称，其规范书面表述为[其他]。</explain>
      <paraID>7E8662B2</paraID>
      <start>60</start>
      <end>62</end>
      <status>modified</status>
      <modifiedWord>其他</modifiedWord>
      <trackRevisions>false</trackRevisions>
    </reviewItem>
    <reviewItem>
      <errorID>c7fe00ff-e993-4273-92af-45af0aebb84b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7E46E5</paraID>
      <start>0</start>
      <end>3</end>
      <status>unmodified</status>
      <modifiedWord/>
      <trackRevisions>false</trackRevisions>
    </reviewItem>
    <reviewItem>
      <errorID>99f0c428-92e3-4df8-ba08-7e2262f1b96c</errorID>
      <errorWord>(</errorWord>
      <group>L1_Format</group>
      <groupName>格式问题</groupName>
      <ability>L2_HalfPunc</ability>
      <abilityName>全半角检查</abilityName>
      <candidateList>
        <item>（</item>
      </candidateList>
      <explain>文本全半角错误。</explain>
      <paraID>  7E46E5</paraID>
      <start>51</start>
      <end>52</end>
      <status>unmodified</status>
      <modifiedWord/>
      <trackRevisions>false</trackRevisions>
    </reviewItem>
    <reviewItem>
      <errorID>4437c3c9-28ae-4888-8977-ab0d524b885c</errorID>
      <errorWord>)</errorWord>
      <group>L1_Format</group>
      <groupName>格式问题</groupName>
      <ability>L2_HalfPunc</ability>
      <abilityName>全半角检查</abilityName>
      <candidateList>
        <item>）</item>
      </candidateList>
      <explain>文本全半角错误。</explain>
      <paraID>  7E46E5</paraID>
      <start>53</start>
      <end>54</end>
      <status>unmodified</status>
      <modifiedWord/>
      <trackRevisions>false</trackRevisions>
    </reviewItem>
    <reviewItem>
      <errorID>ac665ff4-8e25-4741-a4d6-4036713b8d63</errorID>
      <errorWord>(</errorWord>
      <group>L1_Format</group>
      <groupName>格式问题</groupName>
      <ability>L2_HalfPunc</ability>
      <abilityName>全半角检查</abilityName>
      <candidateList>
        <item>（</item>
      </candidateList>
      <explain>文本全半角错误。</explain>
      <paraID>  7E46E5</paraID>
      <start>80</start>
      <end>81</end>
      <status>unmodified</status>
      <modifiedWord/>
      <trackRevisions>false</trackRevisions>
    </reviewItem>
    <reviewItem>
      <errorID>1499f6fc-c4e8-4eba-beee-9fc8c415a120</errorID>
      <errorWord>)</errorWord>
      <group>L1_Format</group>
      <groupName>格式问题</groupName>
      <ability>L2_HalfPunc</ability>
      <abilityName>全半角检查</abilityName>
      <candidateList>
        <item>）</item>
      </candidateList>
      <explain>文本全半角错误。</explain>
      <paraID>  7E46E5</paraID>
      <start>82</start>
      <end>83</end>
      <status>unmodified</status>
      <modifiedWord/>
      <trackRevisions>false</trackRevisions>
    </reviewItem>
    <reviewItem>
      <errorID>bab1b03f-afa5-4a8c-a007-744ef525511a</errorID>
      <errorWord>)</errorWord>
      <group>L1_Format</group>
      <groupName>格式问题</groupName>
      <ability>L2_HalfPunc</ability>
      <abilityName>全半角检查</abilityName>
      <candidateList>
        <item>）</item>
      </candidateList>
      <explain>文本全半角错误。</explain>
      <paraID>  7E46E5</paraID>
      <start>121</start>
      <end>122</end>
      <status>unmodified</status>
      <modifiedWord/>
      <trackRevisions>false</trackRevisions>
    </reviewItem>
    <reviewItem>
      <errorID>bfdd3f3c-448a-4291-b7a2-0dea30773178</errorID>
      <errorWord>(</errorWord>
      <group>L1_Format</group>
      <groupName>格式问题</groupName>
      <ability>L2_HalfPunc</ability>
      <abilityName>全半角检查</abilityName>
      <candidateList>
        <item>（</item>
      </candidateList>
      <explain>文本全半角错误。</explain>
      <paraID>  7E46E5</paraID>
      <start>162</start>
      <end>163</end>
      <status>unmodified</status>
      <modifiedWord/>
      <trackRevisions>false</trackRevisions>
    </reviewItem>
    <reviewItem>
      <errorID>f08428ab-2296-4b78-9b59-85b49c0291e7</errorID>
      <errorWord>)</errorWord>
      <group>L1_Format</group>
      <groupName>格式问题</groupName>
      <ability>L2_HalfPunc</ability>
      <abilityName>全半角检查</abilityName>
      <candidateList>
        <item>）</item>
      </candidateList>
      <explain>文本全半角错误。</explain>
      <paraID>  7E46E5</paraID>
      <start>164</start>
      <end>165</end>
      <status>unmodified</status>
      <modifiedWord/>
      <trackRevisions>false</trackRevisions>
    </reviewItem>
    <reviewItem>
      <errorID>81d08a93-f2c2-408e-b273-0ec4754eab8f</errorID>
      <errorWord>(</errorWord>
      <group>L1_Format</group>
      <groupName>格式问题</groupName>
      <ability>L2_HalfPunc</ability>
      <abilityName>全半角检查</abilityName>
      <candidateList>
        <item>（</item>
      </candidateList>
      <explain>文本全半角错误。</explain>
      <paraID>  7E46E5</paraID>
      <start>196</start>
      <end>197</end>
      <status>unmodified</status>
      <modifiedWord/>
      <trackRevisions>false</trackRevisions>
    </reviewItem>
    <reviewItem>
      <errorID>4458148c-e8c5-4e00-8ecb-431d03a2c8c0</errorID>
      <errorWord>)</errorWord>
      <group>L1_Format</group>
      <groupName>格式问题</groupName>
      <ability>L2_HalfPunc</ability>
      <abilityName>全半角检查</abilityName>
      <candidateList>
        <item>）</item>
      </candidateList>
      <explain>文本全半角错误。</explain>
      <paraID>  7E46E5</paraID>
      <start>198</start>
      <end>199</end>
      <status>unmodified</status>
      <modifiedWord/>
      <trackRevisions>false</trackRevisions>
    </reviewItem>
    <reviewItem>
      <errorID>135e629f-b0c0-494e-9073-83aabb865df2</errorID>
      <errorWord>它</errorWord>
      <group>L1_Word</group>
      <groupName>字词问题</groupName>
      <ability>L2_Typo</ability>
      <abilityName>字词错误</abilityName>
      <candidateList>
        <item>他</item>
      </candidateList>
      <explain>存在发音相同字词的误用。</explain>
      <paraID>  7E46E5</paraID>
      <start>225</start>
      <end>226</end>
      <status>modified</status>
      <modifiedWord>他</modifiedWord>
      <trackRevisions>false</trackRevisions>
    </reviewItem>
    <reviewItem>
      <errorID>af29ae32-8e0b-468e-aa29-e4fca496f3f5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67FBE6AC</paraID>
      <start>0</start>
      <end>3</end>
      <status>unmodified</status>
      <modifiedWord/>
      <trackRevisions>false</trackRevisions>
    </reviewItem>
    <reviewItem>
      <errorID>d3ef911e-dc56-48dd-a8bd-46e8996786d1</errorID>
      <errorWord>)</errorWord>
      <group>L1_Format</group>
      <groupName>格式问题</groupName>
      <ability>L2_HalfPunc</ability>
      <abilityName>全半角检查</abilityName>
      <candidateList>
        <item>）</item>
      </candidateList>
      <explain>文本全半角错误。</explain>
      <paraID>67FBE6AC</paraID>
      <start>33</start>
      <end>34</end>
      <status>unmodified</status>
      <modifiedWord/>
      <trackRevisions>false</trackRevisions>
    </reviewItem>
    <reviewItem>
      <errorID>862424d0-7cee-45f7-8713-425c0b6114bb</errorID>
      <errorWord>(</errorWord>
      <group>L1_Format</group>
      <groupName>格式问题</groupName>
      <ability>L2_HalfPunc</ability>
      <abilityName>全半角检查</abilityName>
      <candidateList>
        <item>（</item>
      </candidateList>
      <explain>文本全半角错误。</explain>
      <paraID>67FBE6AC</paraID>
      <start>60</start>
      <end>61</end>
      <status>unmodified</status>
      <modifiedWord/>
      <trackRevisions>false</trackRevisions>
    </reviewItem>
    <reviewItem>
      <errorID>8c3580b0-b1b7-4be7-a34f-f25f806eca7f</errorID>
      <errorWord>)</errorWord>
      <group>L1_Format</group>
      <groupName>格式问题</groupName>
      <ability>L2_HalfPunc</ability>
      <abilityName>全半角检查</abilityName>
      <candidateList>
        <item>）</item>
      </candidateList>
      <explain>文本全半角错误。</explain>
      <paraID>67FBE6AC</paraID>
      <start>62</start>
      <end>63</end>
      <status>unmodified</status>
      <modifiedWord/>
      <trackRevisions>false</trackRevisions>
    </reviewItem>
    <reviewItem>
      <errorID>ce0e42d5-684b-4815-942d-1d2750f8bcd8</errorID>
      <errorWord>)</errorWord>
      <group>L1_Format</group>
      <groupName>格式问题</groupName>
      <ability>L2_HalfPunc</ability>
      <abilityName>全半角检查</abilityName>
      <candidateList>
        <item>）</item>
      </candidateList>
      <explain>文本全半角错误。</explain>
      <paraID>67FBE6AC</paraID>
      <start>97</start>
      <end>98</end>
      <status>unmodified</status>
      <modifiedWord/>
      <trackRevisions>false</trackRevisions>
    </reviewItem>
    <reviewItem>
      <errorID>41c1f111-5970-469c-9b37-b4a29a76a495</errorID>
      <errorWord>(</errorWord>
      <group>L1_Format</group>
      <groupName>格式问题</groupName>
      <ability>L2_HalfPunc</ability>
      <abilityName>全半角检查</abilityName>
      <candidateList>
        <item>（</item>
      </candidateList>
      <explain>文本全半角错误。</explain>
      <paraID>67FBE6AC</paraID>
      <start>114</start>
      <end>115</end>
      <status>unmodified</status>
      <modifiedWord/>
      <trackRevisions>false</trackRevisions>
    </reviewItem>
    <reviewItem>
      <errorID>01423d30-c45c-491d-abf1-b5cf522dbcbe</errorID>
      <errorWord>)</errorWord>
      <group>L1_Format</group>
      <groupName>格式问题</groupName>
      <ability>L2_HalfPunc</ability>
      <abilityName>全半角检查</abilityName>
      <candidateList>
        <item>）</item>
      </candidateList>
      <explain>文本全半角错误。</explain>
      <paraID>67FBE6AC</paraID>
      <start>116</start>
      <end>117</end>
      <status>unmodified</status>
      <modifiedWord/>
      <trackRevisions>false</trackRevisions>
    </reviewItem>
    <reviewItem>
      <errorID>048af274-23b1-4e3c-8ecc-4fef06aee180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2BB87AEB</paraID>
      <start>0</start>
      <end>3</end>
      <status>unmodified</status>
      <modifiedWord/>
      <trackRevisions>false</trackRevisions>
    </reviewItem>
    <reviewItem>
      <errorID>aaae72e8-efec-4c49-bf08-e58b5b0ad9dd</errorID>
      <errorWord>它</errorWord>
      <group>L1_Word</group>
      <groupName>字词问题</groupName>
      <ability>L2_Typo</ability>
      <abilityName>字词错误</abilityName>
      <candidateList>
        <item>他</item>
      </candidateList>
      <explain>存在发音相同字词的误用。</explain>
      <paraID>2BB87AEB</paraID>
      <start>29</start>
      <end>30</end>
      <status>modified</status>
      <modifiedWord>他</modifiedWord>
      <trackRevisions>false</trackRevisions>
    </reviewItem>
    <reviewItem>
      <errorID>c643c8e4-a5c4-4963-9468-45dc06b0681b</errorID>
      <errorWord>)</errorWord>
      <group>L1_Format</group>
      <groupName>格式问题</groupName>
      <ability>L2_HalfPunc</ability>
      <abilityName>全半角检查</abilityName>
      <candidateList>
        <item>）</item>
      </candidateList>
      <explain>文本全半角错误。</explain>
      <paraID>2D1ECF20</paraID>
      <start>17</start>
      <end>18</end>
      <status>unmodified</status>
      <modifiedWord/>
      <trackRevisions>false</trackRevisions>
    </reviewItem>
    <reviewItem>
      <errorID>5de8a257-08f8-4eed-ad57-b8d742220723</errorID>
      <errorWord>(</errorWord>
      <group>L1_Format</group>
      <groupName>格式问题</groupName>
      <ability>L2_HalfPunc</ability>
      <abilityName>全半角检查</abilityName>
      <candidateList>
        <item>（</item>
      </candidateList>
      <explain>文本全半角错误。</explain>
      <paraID>2D1ECF20</paraID>
      <start>57</start>
      <end>58</end>
      <status>unmodified</status>
      <modifiedWord/>
      <trackRevisions>false</trackRevisions>
    </reviewItem>
    <reviewItem>
      <errorID>d47c7572-797f-42d2-aa15-fc4e83c0de9e</errorID>
      <errorWord>)</errorWord>
      <group>L1_Format</group>
      <groupName>格式问题</groupName>
      <ability>L2_HalfPunc</ability>
      <abilityName>全半角检查</abilityName>
      <candidateList>
        <item>）</item>
      </candidateList>
      <explain>文本全半角错误。</explain>
      <paraID>2D1ECF20</paraID>
      <start>59</start>
      <end>60</end>
      <status>unmodified</status>
      <modifiedWord/>
      <trackRevisions>false</trackRevisions>
    </reviewItem>
    <reviewItem>
      <errorID>fa84af5d-9f3b-480c-80d3-c5ec45bb17a1</errorID>
      <errorWord>(</errorWord>
      <group>L1_Format</group>
      <groupName>格式问题</groupName>
      <ability>L2_HalfPunc</ability>
      <abilityName>全半角检查</abilityName>
      <candidateList>
        <item>（</item>
      </candidateList>
      <explain>文本全半角错误。</explain>
      <paraID>2D1ECF20</paraID>
      <start>108</start>
      <end>109</end>
      <status>unmodified</status>
      <modifiedWord/>
      <trackRevisions>false</trackRevisions>
    </reviewItem>
    <reviewItem>
      <errorID>62cbd3f9-169d-4731-8471-e6a9cecd7255</errorID>
      <errorWord>)</errorWord>
      <group>L1_Format</group>
      <groupName>格式问题</groupName>
      <ability>L2_HalfPunc</ability>
      <abilityName>全半角检查</abilityName>
      <candidateList>
        <item>）</item>
      </candidateList>
      <explain>文本全半角错误。</explain>
      <paraID>2D1ECF20</paraID>
      <start>110</start>
      <end>111</end>
      <status>unmodified</status>
      <modifiedWord/>
      <trackRevisions>false</trackRevisions>
    </reviewItem>
    <reviewItem>
      <errorID>f57a63fe-26a8-47f9-ba28-77dac91abfc4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6322A404</paraID>
      <start>1</start>
      <end>4</end>
      <status>unmodified</status>
      <modifiedWord/>
      <trackRevisions>false</trackRevisions>
    </reviewItem>
    <reviewItem>
      <errorID>5925eca5-4bc3-481a-bd02-d224832682c3</errorID>
      <errorWord>(</errorWord>
      <group>L1_Format</group>
      <groupName>格式问题</groupName>
      <ability>L2_HalfPunc</ability>
      <abilityName>全半角检查</abilityName>
      <candidateList>
        <item>（</item>
      </candidateList>
      <explain>文本全半角错误。</explain>
      <paraID>6322A404</paraID>
      <start>40</start>
      <end>41</end>
      <status>unmodified</status>
      <modifiedWord/>
      <trackRevisions>false</trackRevisions>
    </reviewItem>
    <reviewItem>
      <errorID>595000b0-51f3-43c3-9d4d-cb2a3dcc0251</errorID>
      <errorWord>)</errorWord>
      <group>L1_Format</group>
      <groupName>格式问题</groupName>
      <ability>L2_HalfPunc</ability>
      <abilityName>全半角检查</abilityName>
      <candidateList>
        <item>）</item>
      </candidateList>
      <explain>文本全半角错误。</explain>
      <paraID>6322A404</paraID>
      <start>42</start>
      <end>43</end>
      <status>unmodified</status>
      <modifiedWord/>
      <trackRevisions>false</trackRevisions>
    </reviewItem>
    <reviewItem>
      <errorID>66ad9bac-0bb8-461e-8ecd-81f83df62bf8</errorID>
      <errorWord>(</errorWord>
      <group>L1_Format</group>
      <groupName>格式问题</groupName>
      <ability>L2_HalfPunc</ability>
      <abilityName>全半角检查</abilityName>
      <candidateList>
        <item>（</item>
      </candidateList>
      <explain>文本全半角错误。</explain>
      <paraID>6322A404</paraID>
      <start>81</start>
      <end>82</end>
      <status>unmodified</status>
      <modifiedWord/>
      <trackRevisions>false</trackRevisions>
    </reviewItem>
    <reviewItem>
      <errorID>ce9af199-82df-4ab9-9b52-282372994fd0</errorID>
      <errorWord>)</errorWord>
      <group>L1_Format</group>
      <groupName>格式问题</groupName>
      <ability>L2_HalfPunc</ability>
      <abilityName>全半角检查</abilityName>
      <candidateList>
        <item>）</item>
      </candidateList>
      <explain>文本全半角错误。</explain>
      <paraID>6322A404</paraID>
      <start>83</start>
      <end>84</end>
      <status>unmodified</status>
      <modifiedWord/>
      <trackRevisions>false</trackRevisions>
    </reviewItem>
    <reviewItem>
      <errorID>167c5100-3e7f-42bf-8903-218f0142beda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15B48610</paraID>
      <start>33</start>
      <end>35</end>
      <status>modified</status>
      <modifiedWord>》《</modifiedWord>
      <trackRevisions>false</trackRevisions>
    </reviewItem>
    <reviewItem>
      <errorID>3275f43d-439d-43a5-bc3f-c7a0404421e6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2E6949BC</paraID>
      <start>0</start>
      <end>2</end>
      <status>unmodified</status>
      <modifiedWord/>
      <trackRevisions>false</trackRevisions>
    </reviewItem>
    <reviewItem>
      <errorID>8164592a-8cfc-4269-9dbd-2d645658436b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4FED2637</paraID>
      <start>0</start>
      <end>2</end>
      <status>unmodified</status>
      <modifiedWord/>
      <trackRevisions>false</trackRevisions>
    </reviewItem>
    <reviewItem>
      <errorID>04acfccb-d241-4ef0-bea1-00ee8d578009</errorID>
      <errorWord>大暂</errorWord>
      <group>L1_Word</group>
      <groupName>字词问题</groupName>
      <ability>L2_Typo</ability>
      <abilityName>字词错误</abilityName>
      <candidateList>
        <item>短暂</item>
      </candidateList>
      <explain/>
      <paraID> 5107E05</paraID>
      <start>1</start>
      <end>3</end>
      <status>unmodified</status>
      <modifiedWord/>
      <trackRevisions>false</trackRevisions>
    </reviewItem>
    <reviewItem>
      <errorID>35e5d564-f9c4-451b-9acb-fa08121fb0f6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17B69A4C</paraID>
      <start>0</start>
      <end>2</end>
      <status>unmodified</status>
      <modifiedWord/>
      <trackRevisions>false</trackRevisions>
    </reviewItem>
    <reviewItem>
      <errorID>c0f0e191-3953-4b00-9700-651469a8952b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323E1A2F</paraID>
      <start>0</start>
      <end>2</end>
      <status>unmodified</status>
      <modifiedWord/>
      <trackRevisions>false</trackRevisions>
    </reviewItem>
    <reviewItem>
      <errorID>85a31dba-32ce-4826-b331-55845d246f02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7A976084</paraID>
      <start>0</start>
      <end>2</end>
      <status>unmodified</status>
      <modifiedWord/>
      <trackRevisions>false</trackRevisions>
    </reviewItem>
    <reviewItem>
      <errorID>a66ccccf-2e84-4097-8d73-36807d5c3ffa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1EEF087B</paraID>
      <start>0</start>
      <end>2</end>
      <status>unmodified</status>
      <modifiedWord/>
      <trackRevisions>false</trackRevisions>
    </reviewItem>
    <reviewItem>
      <errorID>a663df2b-2a62-471a-a730-e8545c13ea1d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52A6E421</paraID>
      <start>0</start>
      <end>2</end>
      <status>unmodified</status>
      <modifiedWord/>
      <trackRevisions>false</trackRevisions>
    </reviewItem>
    <reviewItem>
      <errorID>093bfaa5-3ce1-4e8e-9b4d-fb0c73588d2f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27370FDD</paraID>
      <start>0</start>
      <end>2</end>
      <status>unmodified</status>
      <modifiedWord/>
      <trackRevisions>false</trackRevisions>
    </reviewItem>
    <reviewItem>
      <errorID>bf1de3f0-82ea-4ec0-b552-b06c0068d15b</errorID>
      <errorWord>消防沙</errorWord>
      <group>L1_Word</group>
      <groupName>字词问题</groupName>
      <ability>L2_Typo</ability>
      <abilityName>字词错误</abilityName>
      <candidateList>
        <item>消防砂</item>
      </candidateList>
      <explain/>
      <paraID>127A1FAD</paraID>
      <start>20</start>
      <end>23</end>
      <status>modified</status>
      <modifiedWord>消防砂</modifiedWord>
      <trackRevisions>false</trackRevisions>
    </reviewItem>
    <reviewItem>
      <errorID>3dc7104c-837c-4445-94d3-850529f53536</errorID>
      <errorWord>，</errorWord>
      <group>L1_Format</group>
      <groupName>格式问题</groupName>
      <ability>L2_HalfPunc</ability>
      <abilityName>全半角检查</abilityName>
      <candidateList>
        <item>, </item>
      </candidateList>
      <explain>文本全半角错误。</explain>
      <paraID>1FA30B88</paraID>
      <start>2</start>
      <end>3</end>
      <status>unmodified</status>
      <modifiedWord/>
      <trackRevisions>false</trackRevisions>
    </reviewItem>
    <reviewItem>
      <errorID>bc16ee94-f8b1-4a7e-847c-f09e1d107604</errorID>
      <errorWord>，</errorWord>
      <group>L1_Format</group>
      <groupName>格式问题</groupName>
      <ability>L2_HalfPunc</ability>
      <abilityName>全半角检查</abilityName>
      <candidateList>
        <item>, </item>
      </candidateList>
      <explain>文本全半角错误。</explain>
      <paraID>204953E5</paraID>
      <start>2</start>
      <end>3</end>
      <status>unmodified</status>
      <modifiedWord/>
      <trackRevisions>false</trackRevisions>
    </reviewItem>
    <reviewItem>
      <errorID>845a8ac5-4866-4811-bb88-16c26f29be20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763CD4B4</paraID>
      <start>0</start>
      <end>2</end>
      <status>unmodified</status>
      <modifiedWord/>
      <trackRevisions>false</trackRevisions>
    </reviewItem>
    <reviewItem>
      <errorID>c15f7da7-e2b4-4f81-9f12-4a006ff830a8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2811D03B</paraID>
      <start>457</start>
      <end>458</end>
      <status>unmodified</status>
      <modifiedWord/>
      <trackRevisions>false</trackRevisions>
    </reviewItem>
    <reviewItem>
      <errorID>720004d1-289d-4d95-89ab-8c70e919e3c6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46A7E21C</paraID>
      <start>0</start>
      <end>2</end>
      <status>unmodified</status>
      <modifiedWord/>
      <trackRevisions>false</trackRevisions>
    </reviewItem>
    <reviewItem>
      <errorID>1ee1fac3-6a6b-48ee-9d47-13bb0c2c4a42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2771DC54</paraID>
      <start>0</start>
      <end>2</end>
      <status>unmodified</status>
      <modifiedWord/>
      <trackRevisions>false</trackRevisions>
    </reviewItem>
    <reviewItem>
      <errorID>672f3af0-d568-493f-bdcc-56c823d28ca8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64CA2B6</paraID>
      <start>0</start>
      <end>2</end>
      <status>unmodified</status>
      <modifiedWord/>
      <trackRevisions>false</trackRevisions>
    </reviewItem>
    <reviewItem>
      <errorID>e22b880a-98d7-41d5-be8a-1ce8f0ae9b26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5C583FE1</paraID>
      <start>0</start>
      <end>2</end>
      <status>unmodified</status>
      <modifiedWord/>
      <trackRevisions>false</trackRevisions>
    </reviewItem>
    <reviewItem>
      <errorID>adc1d7f1-b1d5-4399-9007-58d7fb425731</errorID>
      <errorWord>工</errorWord>
      <group>L1_Word</group>
      <groupName>字词问题</groupName>
      <ability>L2_Typo</ability>
      <abilityName>字词错误</abilityName>
      <candidateList>
        <item>工中</item>
      </candidateList>
      <explain/>
      <paraID>49851C3D</paraID>
      <start>14</start>
      <end>16</end>
      <status>modified</status>
      <modifiedWord>工中</modifiedWord>
      <trackRevisions>false</trackRevisions>
    </reviewItem>
    <reviewItem>
      <errorID>3d2d7ad3-e379-4e2b-9b2d-cff59140436f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4D10FC9C</paraID>
      <start>36</start>
      <end>37</end>
      <status>unmodified</status>
      <modifiedWord/>
      <trackRevisions>false</trackRevisions>
    </reviewItem>
    <reviewItem>
      <errorID>ef041a84-3e16-4f77-a060-5c704291f829</errorID>
      <errorWord>环境空气检测</errorWord>
      <group>L1_Knowledge</group>
      <groupName>知识性问题</groupName>
      <ability>L2_Term</ability>
      <abilityName>专业术语</abilityName>
      <candidateList>
        <item>环境空气监测</item>
      </candidateList>
      <explain/>
      <paraID>31624C97</paraID>
      <start>6</start>
      <end>12</end>
      <status>unmodified</status>
      <modifiedWord/>
      <trackRevisions>false</trackRevisions>
    </reviewItem>
    <reviewItem>
      <errorID>ab5d1537-106f-4095-9da3-06fd93382d1b</errorID>
      <errorWord>检测点</errorWord>
      <group>L1_Word</group>
      <groupName>字词问题</groupName>
      <ability>L2_Typo</ability>
      <abilityName>字词错误</abilityName>
      <candidateList>
        <item>监测点</item>
      </candidateList>
      <explain/>
      <paraID>493E6728</paraID>
      <start>0</start>
      <end>3</end>
      <status>unmodified</status>
      <modifiedWord/>
      <trackRevisions>false</trackRevisions>
    </reviewItem>
    <reviewItem>
      <errorID>e1132dc4-9eca-418a-9c1e-10f3395357e0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42809A04</paraID>
      <start>16</start>
      <end>17</end>
      <status>unmodified</status>
      <modifiedWord/>
      <trackRevisions>false</trackRevisions>
    </reviewItem>
    <reviewItem>
      <errorID>5657c831-1a54-42b1-95be-6d39c331ffb7</errorID>
      <errorWord>。</errorWord>
      <group>L1_Format</group>
      <groupName>格式问题</groupName>
      <ability>L2_HalfPunc</ability>
      <abilityName>全半角检查</abilityName>
      <candidateList>
        <item>.</item>
      </candidateList>
      <explain>文本全半角错误。</explain>
      <paraID> 62336F3</paraID>
      <start>34</start>
      <end>35</end>
      <status>unmodified</status>
      <modifiedWord/>
      <trackRevisions>false</trackRevisions>
    </reviewItem>
    <reviewItem>
      <errorID>8400052e-b2de-4baa-80a5-a981ed85a574</errorID>
      <errorWord>检测点位</errorWord>
      <group>L1_Knowledge</group>
      <groupName>知识性问题</groupName>
      <ability>L2_Term</ability>
      <abilityName>专业术语</abilityName>
      <candidateList>
        <item>监测点位</item>
      </candidateList>
      <explain/>
      <paraID> F83986E</paraID>
      <start>8</start>
      <end>12</end>
      <status>unmodified</status>
      <modifiedWord/>
      <trackRevisions>false</trackRevisions>
    </reviewItem>
    <reviewItem>
      <errorID>3f5baa16-d507-4506-9cc6-31a44c3ede8b</errorID>
      <errorWord>(</errorWord>
      <group>L1_Format</group>
      <groupName>格式问题</groupName>
      <ability>L2_HalfPunc</ability>
      <abilityName>全半角检查</abilityName>
      <candidateList>
        <item>（</item>
      </candidateList>
      <explain>文本全半角错误。</explain>
      <paraID>6F5886D7</paraID>
      <start>76</start>
      <end>77</end>
      <status>unmodified</status>
      <modifiedWord/>
      <trackRevisions>false</trackRevisions>
    </reviewItem>
    <reviewItem>
      <errorID>193c594d-5e75-4e91-8861-22cd8914809c</errorID>
      <errorWord>)</errorWord>
      <group>L1_Format</group>
      <groupName>格式问题</groupName>
      <ability>L2_HalfPunc</ability>
      <abilityName>全半角检查</abilityName>
      <candidateList>
        <item>）</item>
      </candidateList>
      <explain>文本全半角错误。</explain>
      <paraID>6F5886D7</paraID>
      <start>80</start>
      <end>81</end>
      <status>unmodified</status>
      <modifiedWord/>
      <trackRevisions>false</trackRevisions>
    </reviewItem>
    <reviewItem>
      <errorID>68fc0a87-e456-44bb-8cd9-7aa20740aa50</errorID>
      <errorWord>(</errorWord>
      <group>L1_Format</group>
      <groupName>格式问题</groupName>
      <ability>L2_HalfPunc</ability>
      <abilityName>全半角检查</abilityName>
      <candidateList>
        <item>（</item>
      </candidateList>
      <explain>文本全半角错误。</explain>
      <paraID>6F5886D7</paraID>
      <start>84</start>
      <end>85</end>
      <status>unmodified</status>
      <modifiedWord/>
      <trackRevisions>false</trackRevisions>
    </reviewItem>
    <reviewItem>
      <errorID>9d620958-88e0-4b47-9807-5e6f335f4000</errorID>
      <errorWord>重碳酸盐</errorWord>
      <group>L1_Knowledge</group>
      <groupName>知识性问题</groupName>
      <ability>L2_Term</ability>
      <abilityName>专业术语</abilityName>
      <candidateList>
        <item>碳酸氢盐</item>
      </candidateList>
      <explain>医学名词[重碳酸盐]为不规范表述或旧称，其规范书面表述为[碳酸氢盐]。</explain>
      <paraID>6F5886D7</paraID>
      <start>85</start>
      <end>89</end>
      <status>modified</status>
      <modifiedWord>碳酸氢盐</modifiedWord>
      <trackRevisions>false</trackRevisions>
    </reviewItem>
    <reviewItem>
      <errorID>068d8d08-e2d1-48fe-9eaa-9224e75f69ea</errorID>
      <errorWord>)</errorWord>
      <group>L1_Format</group>
      <groupName>格式问题</groupName>
      <ability>L2_HalfPunc</ability>
      <abilityName>全半角检查</abilityName>
      <candidateList>
        <item>）</item>
      </candidateList>
      <explain>文本全半角错误。</explain>
      <paraID>6F5886D7</paraID>
      <start>89</start>
      <end>90</end>
      <status>unmodified</status>
      <modifiedWord/>
      <trackRevisions>false</trackRevisions>
    </reviewItem>
    <reviewItem>
      <errorID>1a9cabf7-170e-4d36-8be8-ec75bd385e32</errorID>
      <errorWord>；</errorWord>
      <group>L1_Format</group>
      <groupName>格式问题</groupName>
      <ability>L2_HalfPunc</ability>
      <abilityName>全半角检查</abilityName>
      <candidateList>
        <item>;</item>
      </candidateList>
      <explain>文本全半角错误。</explain>
      <paraID>24ECAA96</paraID>
      <start>14</start>
      <end>15</end>
      <status>unmodified</status>
      <modifiedWord/>
      <trackRevisions>false</trackRevisions>
    </reviewItem>
    <reviewItem>
      <errorID>a6a537ea-2edd-48a2-8edb-4d3a198986a7</errorID>
      <errorWord>；</errorWord>
      <group>L1_Format</group>
      <groupName>格式问题</groupName>
      <ability>L2_HalfPunc</ability>
      <abilityName>全半角检查</abilityName>
      <candidateList>
        <item>;</item>
      </candidateList>
      <explain>文本全半角错误。</explain>
      <paraID>5CCD1245</paraID>
      <start>14</start>
      <end>15</end>
      <status>unmodified</status>
      <modifiedWord/>
      <trackRevisions>false</trackRevisions>
    </reviewItem>
    <reviewItem>
      <errorID>7ea723cc-02f3-4c7a-9227-bdbde036638c</errorID>
      <errorWord>；</errorWord>
      <group>L1_Format</group>
      <groupName>格式问题</groupName>
      <ability>L2_HalfPunc</ability>
      <abilityName>全半角检查</abilityName>
      <candidateList>
        <item>;</item>
      </candidateList>
      <explain>文本全半角错误。</explain>
      <paraID>107F284D</paraID>
      <start>14</start>
      <end>15</end>
      <status>unmodified</status>
      <modifiedWord/>
      <trackRevisions>false</trackRevisions>
    </reviewItem>
    <reviewItem>
      <errorID>f5fd4292-39b2-4998-8985-fcebe18f4443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7F49B78F</paraID>
      <start>0</start>
      <end>2</end>
      <status>unmodified</status>
      <modifiedWord/>
      <trackRevisions>false</trackRevisions>
    </reviewItem>
    <reviewItem>
      <errorID>b1f08dbe-7bc3-41c5-9152-e676322458e1</errorID>
      <errorWord>检测</errorWord>
      <group>L1_Word</group>
      <groupName>字词问题</groupName>
      <ability>L2_Typo</ability>
      <abilityName>字词错误</abilityName>
      <candidateList>
        <item>监测</item>
      </candidateList>
      <explain/>
      <paraID>277FE809</paraID>
      <start>168</start>
      <end>170</end>
      <status>unmodified</status>
      <modifiedWord/>
      <trackRevisions>false</trackRevisions>
    </reviewItem>
    <reviewItem>
      <errorID>fb6fd112-421c-47d6-b51d-6dce5f9df240</errorID>
      <errorWord>土壤检测</errorWord>
      <group>L1_Word</group>
      <groupName>字词问题</groupName>
      <ability>L2_Typo</ability>
      <abilityName>字词错误</abilityName>
      <candidateList>
        <item>土壤监测</item>
      </candidateList>
      <explain/>
      <paraID> E25170C</paraID>
      <start>27</start>
      <end>31</end>
      <status>unmodified</status>
      <modifiedWord/>
      <trackRevisions>false</trackRevisions>
    </reviewItem>
    <reviewItem>
      <errorID>c3a3e226-d0d5-4a08-b029-cc08a4fb3b5b</errorID>
      <errorWord>土样</errorWord>
      <group>L1_Word</group>
      <groupName>字词问题</groupName>
      <ability>L2_Typo</ability>
      <abilityName>字词错误</abilityName>
      <candidateList>
        <item>土壤</item>
      </candidateList>
      <explain/>
      <paraID>7894115E</paraID>
      <start>0</start>
      <end>2</end>
      <status>modified</status>
      <modifiedWord>土壤</modifiedWord>
      <trackRevisions>false</trackRevisions>
    </reviewItem>
    <reviewItem>
      <errorID>19b5370f-5fa4-4009-bb2f-5d930ffcb05a</errorID>
      <errorWord>土壤检测</errorWord>
      <group>L1_Word</group>
      <groupName>字词问题</groupName>
      <ability>L2_Typo</ability>
      <abilityName>字词错误</abilityName>
      <candidateList>
        <item>土壤监测</item>
      </candidateList>
      <explain/>
      <paraID>7E6B1C4D</paraID>
      <start>5</start>
      <end>9</end>
      <status>unmodified</status>
      <modifiedWord/>
      <trackRevisions>false</trackRevisions>
    </reviewItem>
    <reviewItem>
      <errorID>ee5bf0d2-ad0c-4eb8-adef-64f732971ef1</errorID>
      <errorWord>(</errorWord>
      <group>L1_Format</group>
      <groupName>格式问题</groupName>
      <ability>L2_HalfPunc</ability>
      <abilityName>全半角检查</abilityName>
      <candidateList>
        <item>（</item>
      </candidateList>
      <explain>文本全半角错误。</explain>
      <paraID>1A8F5B53</paraID>
      <start>3</start>
      <end>4</end>
      <status>unmodified</status>
      <modifiedWord/>
      <trackRevisions>false</trackRevisions>
    </reviewItem>
    <reviewItem>
      <errorID>8ef5a776-ceea-4d18-b52a-8fe6c151ff26</errorID>
      <errorWord>)</errorWord>
      <group>L1_Format</group>
      <groupName>格式问题</groupName>
      <ability>L2_HalfPunc</ability>
      <abilityName>全半角检查</abilityName>
      <candidateList>
        <item>）</item>
      </candidateList>
      <explain>文本全半角错误。</explain>
      <paraID>1A8F5B53</paraID>
      <start>9</start>
      <end>10</end>
      <status>unmodified</status>
      <modifiedWord/>
      <trackRevisions>false</trackRevisions>
    </reviewItem>
    <reviewItem>
      <errorID>49e9b7aa-6286-44fe-948f-866b4b03ce86</errorID>
      <errorWord>:</errorWord>
      <group>L1_Format</group>
      <groupName>格式问题</groupName>
      <ability>L2_HalfPunc</ability>
      <abilityName>全半角检查</abilityName>
      <candidateList>
        <item>：</item>
      </candidateList>
      <explain>文本全半角错误。</explain>
      <paraID>54331C9A</paraID>
      <start>27</start>
      <end>28</end>
      <status>unmodified</status>
      <modifiedWord/>
      <trackRevisions>false</trackRevisions>
    </reviewItem>
    <reviewItem>
      <errorID>2dbb45aa-2e1e-4b7f-a6d5-1c40d3e9daaa</errorID>
      <errorWord>（</errorWord>
      <group>L1_Format</group>
      <groupName>格式问题</groupName>
      <ability>L2_HalfPunc</ability>
      <abilityName>全半角检查</abilityName>
      <candidateList>
        <item>(</item>
      </candidateList>
      <explain>文本全半角错误。</explain>
      <paraID> 3DC8177</paraID>
      <start>0</start>
      <end>1</end>
      <status>unmodified</status>
      <modifiedWord/>
      <trackRevisions>false</trackRevisions>
    </reviewItem>
    <reviewItem>
      <errorID>4a4a7575-8c47-49ff-a0f0-eb7fbd983296</errorID>
      <errorWord>）</errorWord>
      <group>L1_Format</group>
      <groupName>格式问题</groupName>
      <ability>L2_HalfPunc</ability>
      <abilityName>全半角检查</abilityName>
      <candidateList>
        <item>)</item>
      </candidateList>
      <explain>文本全半角错误。</explain>
      <paraID> 3DC8177</paraID>
      <start>13</start>
      <end>14</end>
      <status>unmodified</status>
      <modifiedWord/>
      <trackRevisions>false</trackRevisions>
    </reviewItem>
    <reviewItem>
      <errorID>8879628f-dd43-4d3c-bdb9-4cd63569918d</errorID>
      <errorWord>（</errorWord>
      <group>L1_Format</group>
      <groupName>格式问题</groupName>
      <ability>L2_HalfPunc</ability>
      <abilityName>全半角检查</abilityName>
      <candidateList>
        <item>(</item>
      </candidateList>
      <explain>文本全半角错误。</explain>
      <paraID>2B271909</paraID>
      <start>0</start>
      <end>1</end>
      <status>unmodified</status>
      <modifiedWord/>
      <trackRevisions>false</trackRevisions>
    </reviewItem>
    <reviewItem>
      <errorID>9415a725-216c-4f54-8912-00c74ae11fbb</errorID>
      <errorWord>）</errorWord>
      <group>L1_Format</group>
      <groupName>格式问题</groupName>
      <ability>L2_HalfPunc</ability>
      <abilityName>全半角检查</abilityName>
      <candidateList>
        <item>)</item>
      </candidateList>
      <explain>文本全半角错误。</explain>
      <paraID>2B271909</paraID>
      <start>12</start>
      <end>13</end>
      <status>unmodified</status>
      <modifiedWord/>
      <trackRevisions>false</trackRevisions>
    </reviewItem>
    <reviewItem>
      <errorID>a5349686-8dc8-46c3-a66a-dc29ab696679</errorID>
      <errorWord>（</errorWord>
      <group>L1_Format</group>
      <groupName>格式问题</groupName>
      <ability>L2_HalfPunc</ability>
      <abilityName>全半角检查</abilityName>
      <candidateList>
        <item>(</item>
      </candidateList>
      <explain>文本全半角错误。</explain>
      <paraID>48D9236B</paraID>
      <start>0</start>
      <end>1</end>
      <status>unmodified</status>
      <modifiedWord/>
      <trackRevisions>false</trackRevisions>
    </reviewItem>
    <reviewItem>
      <errorID>ad154488-95be-4e17-902b-c3abb573629d</errorID>
      <errorWord>）</errorWord>
      <group>L1_Format</group>
      <groupName>格式问题</groupName>
      <ability>L2_HalfPunc</ability>
      <abilityName>全半角检查</abilityName>
      <candidateList>
        <item>)</item>
      </candidateList>
      <explain>文本全半角错误。</explain>
      <paraID>48D9236B</paraID>
      <start>12</start>
      <end>13</end>
      <status>unmodified</status>
      <modifiedWord/>
      <trackRevisions>false</trackRevisions>
    </reviewItem>
    <reviewItem>
      <errorID>3373a597-7f54-4c39-9344-b7abb3c9080d</errorID>
      <errorWord>（</errorWord>
      <group>L1_Format</group>
      <groupName>格式问题</groupName>
      <ability>L2_HalfPunc</ability>
      <abilityName>全半角检查</abilityName>
      <candidateList>
        <item>(</item>
      </candidateList>
      <explain>文本全半角错误。</explain>
      <paraID>2E4C609F</paraID>
      <start>0</start>
      <end>1</end>
      <status>unmodified</status>
      <modifiedWord/>
      <trackRevisions>false</trackRevisions>
    </reviewItem>
    <reviewItem>
      <errorID>c385f26c-89a7-45a5-9134-c820b7dc97c3</errorID>
      <errorWord>）</errorWord>
      <group>L1_Format</group>
      <groupName>格式问题</groupName>
      <ability>L2_HalfPunc</ability>
      <abilityName>全半角检查</abilityName>
      <candidateList>
        <item>)</item>
      </candidateList>
      <explain>文本全半角错误。</explain>
      <paraID>2E4C609F</paraID>
      <start>12</start>
      <end>13</end>
      <status>unmodified</status>
      <modifiedWord/>
      <trackRevisions>false</trackRevisions>
    </reviewItem>
    <reviewItem>
      <errorID>5782a5a8-4635-44f8-9c7b-85769a5e1b28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1FC8B47D</paraID>
      <start>0</start>
      <end>2</end>
      <status>unmodified</status>
      <modifiedWord/>
      <trackRevisions>false</trackRevisions>
    </reviewItem>
    <reviewItem>
      <errorID>0399e8ae-218f-4c36-9a4a-08ef607e207e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21F1CB48</paraID>
      <start>0</start>
      <end>2</end>
      <status>unmodified</status>
      <modifiedWord/>
      <trackRevisions>false</trackRevisions>
    </reviewItem>
    <reviewItem>
      <errorID>099d875b-ba03-4ed2-962e-9ca255742686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4143695F</paraID>
      <start>0</start>
      <end>2</end>
      <status>unmodified</status>
      <modifiedWord/>
      <trackRevisions>false</trackRevisions>
    </reviewItem>
    <reviewItem>
      <errorID>dac3e91b-f1e3-4c38-8434-38e80500a1ad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5A11075B</paraID>
      <start>0</start>
      <end>2</end>
      <status>unmodified</status>
      <modifiedWord/>
      <trackRevisions>false</trackRevisions>
    </reviewItem>
    <reviewItem>
      <errorID>84693037-1303-4d84-b1d3-fe81fb9f2a70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3C2EA642</paraID>
      <start>0</start>
      <end>2</end>
      <status>unmodified</status>
      <modifiedWord/>
      <trackRevisions>false</trackRevisions>
    </reviewItem>
    <reviewItem>
      <errorID>5512a59a-35ae-4752-ae40-eaf3a4d4f7b3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7A493E59</paraID>
      <start>0</start>
      <end>2</end>
      <status>unmodified</status>
      <modifiedWord/>
      <trackRevisions>false</trackRevisions>
    </reviewItem>
    <reviewItem>
      <errorID>de666d36-dcaa-42c5-a0ac-af2edafd0c3b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2DE22893</paraID>
      <start>0</start>
      <end>2</end>
      <status>unmodified</status>
      <modifiedWord/>
      <trackRevisions>false</trackRevisions>
    </reviewItem>
    <reviewItem>
      <errorID>efcc8e9b-4df6-4ae2-a996-d7da2b579e9a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451396B0</paraID>
      <start>0</start>
      <end>2</end>
      <status>unmodified</status>
      <modifiedWord/>
      <trackRevisions>false</trackRevisions>
    </reviewItem>
    <reviewItem>
      <errorID>823683a3-b774-4246-8cc1-554b47e6eee6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CA8FA5F</paraID>
      <start>0</start>
      <end>2</end>
      <status>unmodified</status>
      <modifiedWord/>
      <trackRevisions>false</trackRevisions>
    </reviewItem>
    <reviewItem>
      <errorID>92e96b5f-6aba-42c6-8628-982102da979d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6F8F6782</paraID>
      <start>0</start>
      <end>2</end>
      <status>unmodified</status>
      <modifiedWord/>
      <trackRevisions>false</trackRevisions>
    </reviewItem>
    <reviewItem>
      <errorID>e30eae3e-de0e-49b0-95aa-2a6bcd0db235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76597382</paraID>
      <start>0</start>
      <end>2</end>
      <status>unmodified</status>
      <modifiedWord/>
      <trackRevisions>false</trackRevisions>
    </reviewItem>
    <reviewItem>
      <errorID>ae526462-24fd-41ba-a45b-56d14eaa248d</errorID>
      <errorWord>（</errorWord>
      <group>L1_Format</group>
      <groupName>格式问题</groupName>
      <ability>L2_HalfPunc</ability>
      <abilityName>全半角检查</abilityName>
      <candidateList>
        <item>(</item>
      </candidateList>
      <explain>文本全半角错误。</explain>
      <paraID>1ABEC748</paraID>
      <start>0</start>
      <end>1</end>
      <status>unmodified</status>
      <modifiedWord/>
      <trackRevisions>false</trackRevisions>
    </reviewItem>
    <reviewItem>
      <errorID>4ae55ee7-f853-4779-ad0f-f7d54f507d7b</errorID>
      <errorWord>）</errorWord>
      <group>L1_Format</group>
      <groupName>格式问题</groupName>
      <ability>L2_HalfPunc</ability>
      <abilityName>全半角检查</abilityName>
      <candidateList>
        <item>)</item>
      </candidateList>
      <explain>文本全半角错误。</explain>
      <paraID>1ABEC748</paraID>
      <start>8</start>
      <end>9</end>
      <status>unmodified</status>
      <modifiedWord/>
      <trackRevisions>false</trackRevisions>
    </reviewItem>
    <reviewItem>
      <errorID>3a00ab35-1508-4df7-9dd3-8526a68347ee</errorID>
      <errorWord>检测</errorWord>
      <group>L1_Word</group>
      <groupName>字词问题</groupName>
      <ability>L2_Typo</ability>
      <abilityName>字词错误</abilityName>
      <candidateList>
        <item>监测</item>
      </candidateList>
      <explain/>
      <paraID>7097A17B</paraID>
      <start>6</start>
      <end>8</end>
      <status>unmodified</status>
      <modifiedWord/>
      <trackRevisions>false</trackRevisions>
    </reviewItem>
    <reviewItem>
      <errorID>3f43f28b-0302-4736-ac09-6334b765c587</errorID>
      <errorWord>土壤检测</errorWord>
      <group>L1_Word</group>
      <groupName>字词问题</groupName>
      <ability>L2_Typo</ability>
      <abilityName>字词错误</abilityName>
      <candidateList>
        <item>土壤监测</item>
      </candidateList>
      <explain/>
      <paraID>76DF1FC4</paraID>
      <start>0</start>
      <end>4</end>
      <status>unmodified</status>
      <modifiedWord/>
      <trackRevisions>false</trackRevisions>
    </reviewItem>
    <reviewItem>
      <errorID>e8c2af0d-5ea5-48f6-8361-6b702c6d4085</errorID>
      <errorWord>检测</errorWord>
      <group>L1_Word</group>
      <groupName>字词问题</groupName>
      <ability>L2_Typo</ability>
      <abilityName>字词错误</abilityName>
      <candidateList>
        <item>监测</item>
      </candidateList>
      <explain/>
      <paraID>51B32C9A</paraID>
      <start>13</start>
      <end>15</end>
      <status>unmodified</status>
      <modifiedWord/>
      <trackRevisions>false</trackRevisions>
    </reviewItem>
    <reviewItem>
      <errorID>b187c717-9626-466d-beab-4d4fa0da2a6d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5E27B5DD</paraID>
      <start>11</start>
      <end>12</end>
      <status>unmodified</status>
      <modifiedWord/>
      <trackRevisions>false</trackRevisions>
    </reviewItem>
    <reviewItem>
      <errorID>21906c75-9846-4385-a4f4-e88b12d66ca4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3B53672E</paraID>
      <start>0</start>
      <end>2</end>
      <status>unmodified</status>
      <modifiedWord/>
      <trackRevisions>false</trackRevisions>
    </reviewItem>
    <reviewItem>
      <errorID>000e6b70-3a23-43a0-bdd0-a960fe71aad4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59DD9BEA</paraID>
      <start>0</start>
      <end>2</end>
      <status>unmodified</status>
      <modifiedWord/>
      <trackRevisions>false</trackRevisions>
    </reviewItem>
    <reviewItem>
      <errorID>8a77a067-97f5-4499-8a13-7e5301d4471b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56504C54</paraID>
      <start>0</start>
      <end>2</end>
      <status>unmodified</status>
      <modifiedWord/>
      <trackRevisions>false</trackRevisions>
    </reviewItem>
    <reviewItem>
      <errorID>e98a2bb3-6877-45d0-b99b-3f49ffb9d794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4618B3D0</paraID>
      <start>0</start>
      <end>2</end>
      <status>unmodified</status>
      <modifiedWord/>
      <trackRevisions>false</trackRevisions>
    </reviewItem>
    <reviewItem>
      <errorID>972554de-a461-4814-85a3-ae631e96516b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23B04540</paraID>
      <start>0</start>
      <end>2</end>
      <status>unmodified</status>
      <modifiedWord/>
      <trackRevisions>false</trackRevisions>
    </reviewItem>
    <reviewItem>
      <errorID>f7ec7801-e59c-4352-9055-a68c95dd2a75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BC2BAA0</paraID>
      <start>0</start>
      <end>2</end>
      <status>unmodified</status>
      <modifiedWord/>
      <trackRevisions>false</trackRevisions>
    </reviewItem>
    <reviewItem>
      <errorID>2d6394b3-c8be-4d5b-8bae-72172bc1ded2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4985018B</paraID>
      <start>0</start>
      <end>2</end>
      <status>unmodified</status>
      <modifiedWord/>
      <trackRevisions>false</trackRevisions>
    </reviewItem>
    <reviewItem>
      <errorID>2ae44d5f-1233-489e-b6bd-eba8b2f97e74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3AFAB453</paraID>
      <start>0</start>
      <end>2</end>
      <status>unmodified</status>
      <modifiedWord/>
      <trackRevisions>false</trackRevisions>
    </reviewItem>
    <reviewItem>
      <errorID>e9b6a307-5c32-4939-8963-79f398efd712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1265A0A9</paraID>
      <start>0</start>
      <end>2</end>
      <status>unmodified</status>
      <modifiedWord/>
      <trackRevisions>false</trackRevisions>
    </reviewItem>
    <reviewItem>
      <errorID>75d6968e-a305-45c1-bf52-17f08adf68f9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67BD0A50</paraID>
      <start>0</start>
      <end>2</end>
      <status>unmodified</status>
      <modifiedWord/>
      <trackRevisions>false</trackRevisions>
    </reviewItem>
    <reviewItem>
      <errorID>c40df652-8e96-488d-adc5-58b9d88c8f44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E982128</paraID>
      <start>0</start>
      <end>2</end>
      <status>unmodified</status>
      <modifiedWord/>
      <trackRevisions>false</trackRevisions>
    </reviewItem>
    <reviewItem>
      <errorID>632d6df3-8e43-41db-8db4-edea7f9b1de6</errorID>
      <errorWord>..</errorWord>
      <group>L1_Punc</group>
      <groupName>标点问题</groupName>
      <ability>L2_Punc</ability>
      <abilityName>标点符号检查</abilityName>
      <candidateList>
        <item>.</item>
      </candidateList>
      <explain/>
      <paraID>12D5FA39</paraID>
      <start>1</start>
      <end>3</end>
      <status>unmodified</status>
      <modifiedWord/>
      <trackRevisions>false</trackRevisions>
    </reviewItem>
    <reviewItem>
      <errorID>db224f34-3303-43cb-9b73-be918c983001</errorID>
      <errorWord>《土壤环境质量 建设用地土壤污染风险管控标准》（试行）</errorWord>
      <group>L1_Knowledge</group>
      <groupName>知识性问题</groupName>
      <ability>L2_Knowledge</ability>
      <abilityName>其他知识</abilityName>
      <candidateList>
        <item>《土壤环境质量 建设用地土壤污染风险管控标准（试行）》</item>
      </candidateList>
      <explain>疑似政策文件、法律法规名称等书写不规范，请注意检查。</explain>
      <paraID>12D5FA39</paraID>
      <start>21</start>
      <end>48</end>
      <status>modified</status>
      <modifiedWord>《土壤环境质量 建设用地土壤污染风险管控标准（试行）》</modifiedWord>
      <trackRevisions>false</trackRevisions>
    </reviewItem>
    <reviewItem>
      <errorID>3569db10-fc9a-4a61-aeaf-0efe54988d59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F376A53</paraID>
      <start>0</start>
      <end>2</end>
      <status>unmodified</status>
      <modifiedWord/>
      <trackRevisions>false</trackRevisions>
    </reviewItem>
    <reviewItem>
      <errorID>9d616785-2a41-4e42-b6ab-2a58208d0953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3DE458FE</paraID>
      <start>35</start>
      <end>36</end>
      <status>unmodified</status>
      <modifiedWord/>
      <trackRevisions>false</trackRevisions>
    </reviewItem>
    <reviewItem>
      <errorID>39befdf2-51e9-4d80-a1df-f66abdc558bc</errorID>
      <errorWord>检测</errorWord>
      <group>L1_Word</group>
      <groupName>字词问题</groupName>
      <ability>L2_Typo</ability>
      <abilityName>字词错误</abilityName>
      <candidateList>
        <item>监测</item>
      </candidateList>
      <explain/>
      <paraID>3DE458FE</paraID>
      <start>65</start>
      <end>67</end>
      <status>unmodified</status>
      <modifiedWord/>
      <trackRevisions>false</trackRevisions>
    </reviewItem>
    <reviewItem>
      <errorID>11552e45-4778-40d5-92a2-d327e50505c0</errorID>
      <errorWord>检测点位</errorWord>
      <group>L1_Knowledge</group>
      <groupName>知识性问题</groupName>
      <ability>L2_Term</ability>
      <abilityName>专业术语</abilityName>
      <candidateList>
        <item>监测点位</item>
      </candidateList>
      <explain/>
      <paraID>155FC18C</paraID>
      <start>0</start>
      <end>4</end>
      <status>unmodified</status>
      <modifiedWord/>
      <trackRevisions>false</trackRevisions>
    </reviewItem>
    <reviewItem>
      <errorID>fb165a05-c5fb-4854-9b4b-8c7c5499fd9c</errorID>
      <errorWord>)</errorWord>
      <group>L1_Format</group>
      <groupName>格式问题</groupName>
      <ability>L2_HalfPunc</ability>
      <abilityName>全半角检查</abilityName>
      <candidateList>
        <item>）</item>
      </candidateList>
      <explain>文本全半角错误。</explain>
      <paraID>6AAC8D34</paraID>
      <start>70</start>
      <end>71</end>
      <status>unmodified</status>
      <modifiedWord/>
      <trackRevisions>false</trackRevisions>
    </reviewItem>
    <reviewItem>
      <errorID>398e905a-5833-4fcf-a38e-77cc387131f6</errorID>
      <errorWord>)</errorWord>
      <group>L1_Format</group>
      <groupName>格式问题</groupName>
      <ability>L2_HalfPunc</ability>
      <abilityName>全半角检查</abilityName>
      <candidateList>
        <item>）</item>
      </candidateList>
      <explain>文本全半角错误。</explain>
      <paraID>6AAC8D34</paraID>
      <start>80</start>
      <end>81</end>
      <status>unmodified</status>
      <modifiedWord/>
      <trackRevisions>false</trackRevisions>
    </reviewItem>
    <reviewItem>
      <errorID>151180d5-fa4e-4117-91e1-b20eb38ffe5a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50A5F269</paraID>
      <start>0</start>
      <end>2</end>
      <status>unmodified</status>
      <modifiedWord/>
      <trackRevisions>false</trackRevisions>
    </reviewItem>
    <reviewItem>
      <errorID>aa608143-0674-4244-8e6d-92f724998b82</errorID>
      <errorWord>》（试行）</errorWord>
      <group>L1_Word</group>
      <groupName>字词问题</groupName>
      <ability>L2_Typo</ability>
      <abilityName>字词错误</abilityName>
      <candidateList>
        <item>（试行）》</item>
      </candidateList>
      <explain/>
      <paraID>505396FE</paraID>
      <start>27</start>
      <end>32</end>
      <status>modified</status>
      <modifiedWord>（试行）》</modifiedWord>
      <trackRevisions>false</trackRevisions>
    </reviewItem>
    <reviewItem>
      <errorID>39a41eea-2c72-4806-9aed-cbe3f2a69244</errorID>
      <errorWord>(</errorWord>
      <group>L1_Format</group>
      <groupName>格式问题</groupName>
      <ability>L2_HalfPunc</ability>
      <abilityName>全半角检查</abilityName>
      <candidateList>
        <item>（</item>
      </candidateList>
      <explain>文本全半角错误。</explain>
      <paraID>1E60D38E</paraID>
      <start>9</start>
      <end>10</end>
      <status>unmodified</status>
      <modifiedWord/>
      <trackRevisions>false</trackRevisions>
    </reviewItem>
    <reviewItem>
      <errorID>03b590ed-a92a-44a7-94d0-1dae3193c3c4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7F9F3A4B</paraID>
      <start>0</start>
      <end>2</end>
      <status>unmodified</status>
      <modifiedWord/>
      <trackRevisions>false</trackRevisions>
    </reviewItem>
    <reviewItem>
      <errorID>c1522c7f-d608-404b-afb6-c93283d3d044</errorID>
      <errorWord>（</errorWord>
      <group>L1_Format</group>
      <groupName>格式问题</groupName>
      <ability>L2_HalfPunc</ability>
      <abilityName>全半角检查</abilityName>
      <candidateList>
        <item>(</item>
      </candidateList>
      <explain>文本全半角错误。</explain>
      <paraID>66905C90</paraID>
      <start>0</start>
      <end>1</end>
      <status>unmodified</status>
      <modifiedWord/>
      <trackRevisions>false</trackRevisions>
    </reviewItem>
    <reviewItem>
      <errorID>b4aa0062-1407-4c64-a175-6bea4ad3aebb</errorID>
      <errorWord>）</errorWord>
      <group>L1_Format</group>
      <groupName>格式问题</groupName>
      <ability>L2_HalfPunc</ability>
      <abilityName>全半角检查</abilityName>
      <candidateList>
        <item>)</item>
      </candidateList>
      <explain>文本全半角错误。</explain>
      <paraID>66905C90</paraID>
      <start>6</start>
      <end>7</end>
      <status>unmodified</status>
      <modifiedWord/>
      <trackRevisions>false</trackRevisions>
    </reviewItem>
    <reviewItem>
      <errorID>6679ba75-fa22-4dc1-ad0a-2ed7356cb159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DE11ECE</paraID>
      <start>0</start>
      <end>2</end>
      <status>unmodified</status>
      <modifiedWord/>
      <trackRevisions>false</trackRevisions>
    </reviewItem>
    <reviewItem>
      <errorID>fa2c7eac-d8c0-4f29-95b4-cd1e40a476d2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77DAF618</paraID>
      <start>0</start>
      <end>2</end>
      <status>unmodified</status>
      <modifiedWord/>
      <trackRevisions>false</trackRevisions>
    </reviewItem>
    <reviewItem>
      <errorID>26b315b0-8b1e-42f7-b5f0-c9e489a1228e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3D1018BD</paraID>
      <start>0</start>
      <end>2</end>
      <status>unmodified</status>
      <modifiedWord/>
      <trackRevisions>false</trackRevisions>
    </reviewItem>
    <reviewItem>
      <errorID>f29d01b8-4909-497e-9c4a-631d9ea04a62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2C07BDC</paraID>
      <start>0</start>
      <end>2</end>
      <status>unmodified</status>
      <modifiedWord/>
      <trackRevisions>false</trackRevisions>
    </reviewItem>
    <reviewItem>
      <errorID>d5aafb58-f718-419c-8e05-ec30eb6652e9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3821AB66</paraID>
      <start>0</start>
      <end>2</end>
      <status>unmodified</status>
      <modifiedWord/>
      <trackRevisions>false</trackRevisions>
    </reviewItem>
    <reviewItem>
      <errorID>1acf33f7-b264-41e9-87d5-5252f579465b</errorID>
      <errorWord>程</errorWord>
      <group>L1_Word</group>
      <groupName>字词问题</groupName>
      <ability>L2_Typo</ability>
      <abilityName>字词错误</abilityName>
      <candidateList>
        <item>程中</item>
      </candidateList>
      <explain/>
      <paraID>40505F23</paraID>
      <start>11</start>
      <end>13</end>
      <status>modified</status>
      <modifiedWord>程中</modifiedWord>
      <trackRevisions>false</trackRevisions>
    </reviewItem>
    <reviewItem>
      <errorID>f4c8bff9-bc3d-41f4-bf95-1697ed3edac8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4A1A808B</paraID>
      <start>0</start>
      <end>2</end>
      <status>unmodified</status>
      <modifiedWord/>
      <trackRevisions>false</trackRevisions>
    </reviewItem>
    <reviewItem>
      <errorID>a1c7bcb4-2ee9-4b41-9f69-873f5b99561f</errorID>
      <errorWord>：</errorWord>
      <group>L1_Format</group>
      <groupName>格式问题</groupName>
      <ability>L2_HalfPunc</ability>
      <abilityName>全半角检查</abilityName>
      <candidateList>
        <item>:</item>
      </candidateList>
      <explain>文本全半角错误。</explain>
      <paraID>55FD45F7</paraID>
      <start>36</start>
      <end>37</end>
      <status>unmodified</status>
      <modifiedWord/>
      <trackRevisions>false</trackRevisions>
    </reviewItem>
    <reviewItem>
      <errorID>4690abbf-2459-42ba-b249-5acd0bf71a20</errorID>
      <errorWord>：</errorWord>
      <group>L1_Format</group>
      <groupName>格式问题</groupName>
      <ability>L2_HalfPunc</ability>
      <abilityName>全半角检查</abilityName>
      <candidateList>
        <item>:</item>
      </candidateList>
      <explain>文本全半角错误。</explain>
      <paraID>55FD45F7</paraID>
      <start>41</start>
      <end>42</end>
      <status>unmodified</status>
      <modifiedWord/>
      <trackRevisions>false</trackRevisions>
    </reviewItem>
    <reviewItem>
      <errorID>bc71a40c-1356-48b9-98dc-721b2902d3ef</errorID>
      <errorWord>：</errorWord>
      <group>L1_Format</group>
      <groupName>格式问题</groupName>
      <ability>L2_HalfPunc</ability>
      <abilityName>全半角检查</abilityName>
      <candidateList>
        <item>:</item>
      </candidateList>
      <explain>文本全半角错误。</explain>
      <paraID>55FD45F7</paraID>
      <start>65</start>
      <end>66</end>
      <status>unmodified</status>
      <modifiedWord/>
      <trackRevisions>false</trackRevisions>
    </reviewItem>
    <reviewItem>
      <errorID>3faa0c6a-43ed-4c0d-b2d3-307f814b05e2</errorID>
      <errorWord>：</errorWord>
      <group>L1_Format</group>
      <groupName>格式问题</groupName>
      <ability>L2_HalfPunc</ability>
      <abilityName>全半角检查</abilityName>
      <candidateList>
        <item>:</item>
      </candidateList>
      <explain>文本全半角错误。</explain>
      <paraID>55FD45F7</paraID>
      <start>71</start>
      <end>72</end>
      <status>unmodified</status>
      <modifiedWord/>
      <trackRevisions>false</trackRevisions>
    </reviewItem>
    <reviewItem>
      <errorID>ce154f75-b7f3-4036-82cd-456ede894529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7364CC0F</paraID>
      <start>0</start>
      <end>2</end>
      <status>unmodified</status>
      <modifiedWord/>
      <trackRevisions>false</trackRevisions>
    </reviewItem>
    <reviewItem>
      <errorID>f1b5e00e-bede-4d62-8489-272bd1952c8e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3C4788D1</paraID>
      <start>0</start>
      <end>2</end>
      <status>unmodified</status>
      <modifiedWord/>
      <trackRevisions>false</trackRevisions>
    </reviewItem>
    <reviewItem>
      <errorID>772461e3-cdb9-49c6-b1fd-b1204d41158b</errorID>
      <errorWord>不</errorWord>
      <group>L1_Word</group>
      <groupName>字词问题</groupName>
      <ability>L2_Typo</ability>
      <abilityName>字词错误</abilityName>
      <candidateList>
        <item>不会</item>
      </candidateList>
      <explain/>
      <paraID>36A43887</paraID>
      <start>35</start>
      <end>37</end>
      <status>modified</status>
      <modifiedWord>不会</modifiedWord>
      <trackRevisions>false</trackRevisions>
    </reviewItem>
    <reviewItem>
      <errorID>61502024-6e34-4c0e-89c3-84b7d35e25f1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1FE43A6B</paraID>
      <start>0</start>
      <end>2</end>
      <status>unmodified</status>
      <modifiedWord/>
      <trackRevisions>false</trackRevisions>
    </reviewItem>
    <reviewItem>
      <errorID>b5671983-7478-476c-98f9-47674b8191a1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30F274E6</paraID>
      <start>0</start>
      <end>2</end>
      <status>unmodified</status>
      <modifiedWord/>
      <trackRevisions>false</trackRevisions>
    </reviewItem>
    <reviewItem>
      <errorID>636cb09b-e350-4b8c-9465-6b1a09b7ebe8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3954A466</paraID>
      <start>107</start>
      <end>108</end>
      <status>unmodified</status>
      <modifiedWord/>
      <trackRevisions>false</trackRevisions>
    </reviewItem>
    <reviewItem>
      <errorID>e84f279c-b89c-404b-b567-92ed02fceead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4E055558</paraID>
      <start>127</start>
      <end>128</end>
      <status>unmodified</status>
      <modifiedWord/>
      <trackRevisions>false</trackRevisions>
    </reviewItem>
    <reviewItem>
      <errorID>05f44771-f2e7-4626-8366-3b940d433e67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14193297</paraID>
      <start>0</start>
      <end>2</end>
      <status>unmodified</status>
      <modifiedWord/>
      <trackRevisions>false</trackRevisions>
    </reviewItem>
    <reviewItem>
      <errorID>1f2d4171-6734-45a0-b37f-2ca6df7d8172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2B7B014D</paraID>
      <start>0</start>
      <end>2</end>
      <status>unmodified</status>
      <modifiedWord/>
      <trackRevisions>false</trackRevisions>
    </reviewItem>
    <reviewItem>
      <errorID>a844ab3f-b61e-4d50-90bf-7a7211d931c5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6631DA55</paraID>
      <start>0</start>
      <end>2</end>
      <status>unmodified</status>
      <modifiedWord/>
      <trackRevisions>false</trackRevisions>
    </reviewItem>
    <reviewItem>
      <errorID>aadf273b-3839-4b4f-a36d-f45ba6c4ebf5</errorID>
      <errorWord>，</errorWord>
      <group>L1_Format</group>
      <groupName>格式问题</groupName>
      <ability>L2_HalfPunc</ability>
      <abilityName>全半角检查</abilityName>
      <candidateList>
        <item>, </item>
      </candidateList>
      <explain>文本全半角错误。</explain>
      <paraID>154F7FC6</paraID>
      <start>1</start>
      <end>2</end>
      <status>unmodified</status>
      <modifiedWord/>
      <trackRevisions>false</trackRevisions>
    </reviewItem>
    <reviewItem>
      <errorID>7eda04f5-9d92-41f2-b4dc-4a84b6cd0eb2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C44E6D8</paraID>
      <start>0</start>
      <end>2</end>
      <status>unmodified</status>
      <modifiedWord/>
      <trackRevisions>false</trackRevisions>
    </reviewItem>
    <reviewItem>
      <errorID>9aaa9559-2dba-448c-b360-6fc5640de520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377339E</paraID>
      <start>0</start>
      <end>2</end>
      <status>unmodified</status>
      <modifiedWord/>
      <trackRevisions>false</trackRevisions>
    </reviewItem>
    <reviewItem>
      <errorID>e9fee8df-4922-4bf3-bafb-3c82c45b1f3c</errorID>
      <errorWord>侵蚀</errorWord>
      <group>L1_Word</group>
      <groupName>字词问题</groupName>
      <ability>L2_Typo</ability>
      <abilityName>字词错误</abilityName>
      <candidateList>
        <item>浸蚀</item>
      </candidateList>
      <explain/>
      <paraID>1EE67D43</paraID>
      <start>56</start>
      <end>58</end>
      <status>modified</status>
      <modifiedWord>浸蚀</modifiedWord>
      <trackRevisions>false</trackRevisions>
    </reviewItem>
    <reviewItem>
      <errorID>ac6f8389-6230-4158-bb4d-5dbb0e93d585</errorID>
      <errorWord>其它</errorWord>
      <group>L1_Word</group>
      <groupName>字词问题</groupName>
      <ability>L2_Alias</ability>
      <abilityName>也作/曾用词</abilityName>
      <candidateList>
        <item>其他</item>
      </candidateList>
      <explain>词汇[其它]为不规范表述或旧称，其规范书面表述为[其他]。</explain>
      <paraID>1CD73611</paraID>
      <start>0</start>
      <end>2</end>
      <status>modified</status>
      <modifiedWord>其他</modifiedWord>
      <trackRevisions>false</trackRevisions>
    </reviewItem>
    <reviewItem>
      <errorID>bb7113fd-2275-4f38-be8a-68930ca47c1d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4650198</paraID>
      <start>0</start>
      <end>2</end>
      <status>unmodified</status>
      <modifiedWord/>
      <trackRevisions>false</trackRevisions>
    </reviewItem>
    <reviewItem>
      <errorID>9378b145-00b9-4d70-a186-ae9c1432e10a</errorID>
      <errorWord>。</errorWord>
      <group>L1_Format</group>
      <groupName>格式问题</groupName>
      <ability>L2_HalfPunc</ability>
      <abilityName>全半角检查</abilityName>
      <candidateList>
        <item>.</item>
      </candidateList>
      <explain>文本全半角错误。</explain>
      <paraID>4523DC6F</paraID>
      <start>8</start>
      <end>9</end>
      <status>unmodified</status>
      <modifiedWord/>
      <trackRevisions>false</trackRevisions>
    </reviewItem>
    <reviewItem>
      <errorID>30ebeadc-e910-473c-8c32-89050a1b8173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2E00D03A</paraID>
      <start>0</start>
      <end>2</end>
      <status>unmodified</status>
      <modifiedWord/>
      <trackRevisions>false</trackRevisions>
    </reviewItem>
    <reviewItem>
      <errorID>53b980cd-5886-4375-8afa-a678aeb6178c</errorID>
      <errorWord>~</errorWord>
      <group>L1_Format</group>
      <groupName>格式问题</groupName>
      <ability>L2_HalfPunc</ability>
      <abilityName>全半角检查</abilityName>
      <candidateList>
        <item>～</item>
      </candidateList>
      <explain>文本全半角错误。</explain>
      <paraID> 2810751</paraID>
      <start>77</start>
      <end>78</end>
      <status>unmodified</status>
      <modifiedWord/>
      <trackRevisions>false</trackRevisions>
    </reviewItem>
    <reviewItem>
      <errorID>4226fd6b-59e7-4e24-a73d-df1639c77c03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764178A8</paraID>
      <start>129</start>
      <end>130</end>
      <status>unmodified</status>
      <modifiedWord/>
      <trackRevisions>false</trackRevisions>
    </reviewItem>
    <reviewItem>
      <errorID>4e007c4b-8c35-464a-961c-9b4bf23840c4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2C4911B3</paraID>
      <start>0</start>
      <end>2</end>
      <status>unmodified</status>
      <modifiedWord/>
      <trackRevisions>false</trackRevisions>
    </reviewItem>
    <reviewItem>
      <errorID>e576dce7-7988-4834-99d9-10d31f537fd1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18D6F960</paraID>
      <start>23</start>
      <end>24</end>
      <status>unmodified</status>
      <modifiedWord/>
      <trackRevisions>false</trackRevisions>
    </reviewItem>
    <reviewItem>
      <errorID>a87661fc-9127-43e4-b99e-82e6a8efa2b4</errorID>
      <errorWord>，</errorWord>
      <group>L1_Word</group>
      <groupName>字词问题</groupName>
      <ability>L2_Typo</ability>
      <abilityName>字词错误</abilityName>
      <candidateList>
        <item>，必</item>
      </candidateList>
      <explain/>
      <paraID> 983F032</paraID>
      <start>54</start>
      <end>56</end>
      <status>modified</status>
      <modifiedWord>，必</modifiedWord>
      <trackRevisions>false</trackRevisions>
    </reviewItem>
    <reviewItem>
      <errorID>b948d769-db75-4419-9e50-91ab35733773</errorID>
      <errorWord>制</errorWord>
      <group>L1_Word</group>
      <groupName>字词问题</groupName>
      <ability>L2_Typo</ability>
      <abilityName>字词错误</abilityName>
      <candidateList>
        <item>制和</item>
      </candidateList>
      <explain/>
      <paraID>62DE7265</paraID>
      <start>18</start>
      <end>20</end>
      <status>modified</status>
      <modifiedWord>制和</modifiedWord>
      <trackRevisions>false</trackRevisions>
    </reviewItem>
    <reviewItem>
      <errorID>e0caaac9-dc0e-4a2f-be85-5630c2ef790a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7F4CE25D</paraID>
      <start>129</start>
      <end>130</end>
      <status>unmodified</status>
      <modifiedWord/>
      <trackRevisions>false</trackRevisions>
    </reviewItem>
    <reviewItem>
      <errorID>ad8f4250-e099-4e82-aee1-4910e0242940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435E2671</paraID>
      <start>16</start>
      <end>17</end>
      <status>unmodified</status>
      <modifiedWord/>
      <trackRevisions>false</trackRevisions>
    </reviewItem>
    <reviewItem>
      <errorID>2eac3c47-beca-49fa-8264-68e0db9a9b55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650B4CDB</paraID>
      <start>0</start>
      <end>2</end>
      <status>unmodified</status>
      <modifiedWord/>
      <trackRevisions>false</trackRevisions>
    </reviewItem>
    <reviewItem>
      <errorID>dd94eb43-b824-4bb1-a898-97cbb18871f3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5A6DA452</paraID>
      <start>135</start>
      <end>136</end>
      <status>unmodified</status>
      <modifiedWord/>
      <trackRevisions>false</trackRevisions>
    </reviewItem>
    <reviewItem>
      <errorID>e7562c8f-212e-420d-ab68-7b8ff7dfb782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49FA3827</paraID>
      <start>49</start>
      <end>51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71bc8c-c25a-4a5f-a0cf-e0f7f1f4bb0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15026</Words>
  <Characters>15754</Characters>
  <Lines>166</Lines>
  <Paragraphs>46</Paragraphs>
  <TotalTime>33</TotalTime>
  <ScaleCrop>false</ScaleCrop>
  <LinksUpToDate>false</LinksUpToDate>
  <CharactersWithSpaces>15856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2022-03-02T07:23:00Z</dcterms:created>
  <dc:creator>MM</dc:creator>
  <cp:lastModifiedBy>初心す</cp:lastModifiedBy>
  <cp:lastPrinted>2024-12-16T10:36:00Z</cp:lastPrinted>
  <dcterms:modified xsi:type="dcterms:W3CDTF">2026-01-12T06:21:05Z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8094CBD5AA754EC79FA40E2F83F50711_13</vt:lpwstr>
  </property>
  <property fmtid="{D5CDD505-2E9C-101B-9397-08002B2CF9AE}" pid="4" name="KSOTemplateDocerSaveRecord">
    <vt:lpwstr>eyJoZGlkIjoiM2EyOWVkMDQ1ZDJiMmU2YTY0Y2RjZjk2MTY4MmNjZTAiLCJ1c2VySWQiOiIzMTQyNjY5OTIifQ==</vt:lpwstr>
  </property>
</Properties>
</file>