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71CE5">
      <w:pPr>
        <w:rPr>
          <w:rFonts w:hint="default" w:ascii="Times New Roman" w:hAnsi="Times New Roman" w:eastAsia="仿宋_GB2312" w:cs="Times New Roman"/>
          <w:sz w:val="36"/>
          <w:szCs w:val="36"/>
        </w:rPr>
      </w:pPr>
    </w:p>
    <w:p w14:paraId="48D6641E">
      <w:pPr>
        <w:rPr>
          <w:rFonts w:hint="default" w:ascii="Times New Roman" w:hAnsi="Times New Roman" w:eastAsia="仿宋_GB2312" w:cs="Times New Roman"/>
          <w:sz w:val="36"/>
          <w:szCs w:val="36"/>
        </w:rPr>
      </w:pPr>
    </w:p>
    <w:p w14:paraId="44353532">
      <w:pPr>
        <w:rPr>
          <w:rFonts w:hint="default" w:ascii="Times New Roman" w:hAnsi="Times New Roman" w:eastAsia="仿宋_GB2312" w:cs="Times New Roman"/>
          <w:sz w:val="36"/>
          <w:szCs w:val="36"/>
        </w:rPr>
      </w:pPr>
    </w:p>
    <w:p w14:paraId="620B4DAD">
      <w:pPr>
        <w:rPr>
          <w:rFonts w:hint="default" w:ascii="Times New Roman" w:hAnsi="Times New Roman" w:eastAsia="仿宋_GB2312" w:cs="Times New Roman"/>
          <w:sz w:val="36"/>
          <w:szCs w:val="36"/>
        </w:rPr>
      </w:pPr>
    </w:p>
    <w:p w14:paraId="78C2B715">
      <w:pPr>
        <w:rPr>
          <w:rFonts w:hint="default" w:ascii="Times New Roman" w:hAnsi="Times New Roman" w:eastAsia="仿宋_GB2312" w:cs="Times New Roman"/>
          <w:sz w:val="36"/>
          <w:szCs w:val="36"/>
        </w:rPr>
      </w:pPr>
    </w:p>
    <w:p w14:paraId="2464C973">
      <w:pPr>
        <w:adjustRightInd w:val="0"/>
        <w:snapToGrid w:val="0"/>
        <w:ind w:left="0" w:leftChars="0" w:firstLine="0" w:firstLineChars="0"/>
        <w:jc w:val="center"/>
        <w:outlineLvl w:val="0"/>
        <w:rPr>
          <w:rFonts w:hint="default" w:ascii="Times New Roman" w:hAnsi="Times New Roman" w:eastAsia="方正小标宋_GBK" w:cs="Times New Roman"/>
          <w:bCs/>
          <w:sz w:val="72"/>
          <w:szCs w:val="72"/>
        </w:rPr>
      </w:pPr>
      <w:r>
        <w:rPr>
          <w:rFonts w:hint="default" w:ascii="Times New Roman" w:hAnsi="Times New Roman" w:eastAsia="方正小标宋_GBK" w:cs="Times New Roman"/>
          <w:bCs/>
          <w:sz w:val="72"/>
          <w:szCs w:val="72"/>
        </w:rPr>
        <w:t>建设项目环境影响报告表</w:t>
      </w:r>
    </w:p>
    <w:p w14:paraId="671D36EA">
      <w:pPr>
        <w:adjustRightInd w:val="0"/>
        <w:snapToGrid w:val="0"/>
        <w:spacing w:before="192" w:beforeLines="80"/>
        <w:ind w:left="0" w:leftChars="0" w:firstLine="0" w:firstLineChars="0"/>
        <w:jc w:val="center"/>
        <w:rPr>
          <w:rFonts w:hint="default" w:ascii="Times New Roman" w:hAnsi="Times New Roman" w:eastAsia="楷体_GB2312" w:cs="Times New Roman"/>
          <w:bCs/>
          <w:sz w:val="48"/>
          <w:szCs w:val="48"/>
        </w:rPr>
      </w:pPr>
      <w:r>
        <w:rPr>
          <w:rFonts w:hint="default" w:ascii="Times New Roman" w:hAnsi="Times New Roman" w:eastAsia="楷体_GB2312" w:cs="Times New Roman"/>
          <w:bCs/>
          <w:sz w:val="48"/>
          <w:szCs w:val="48"/>
        </w:rPr>
        <w:t>（污染影响类）</w:t>
      </w:r>
    </w:p>
    <w:p w14:paraId="3F8CDEE8">
      <w:pPr>
        <w:adjustRightInd w:val="0"/>
        <w:snapToGrid w:val="0"/>
        <w:spacing w:line="288" w:lineRule="auto"/>
        <w:jc w:val="center"/>
        <w:outlineLvl w:val="0"/>
        <w:rPr>
          <w:rFonts w:hint="default" w:ascii="Times New Roman" w:hAnsi="Times New Roman" w:eastAsia="华文仿宋" w:cs="Times New Roman"/>
          <w:color w:val="000000"/>
          <w:kern w:val="44"/>
          <w:sz w:val="44"/>
          <w:szCs w:val="44"/>
        </w:rPr>
      </w:pPr>
    </w:p>
    <w:p w14:paraId="39372C74">
      <w:pPr>
        <w:jc w:val="center"/>
        <w:rPr>
          <w:rFonts w:hint="default" w:ascii="Times New Roman" w:hAnsi="Times New Roman" w:eastAsia="仿宋" w:cs="Times New Roman"/>
          <w:sz w:val="52"/>
          <w:szCs w:val="52"/>
        </w:rPr>
      </w:pPr>
    </w:p>
    <w:p w14:paraId="62558F1B">
      <w:pPr>
        <w:ind w:firstLine="1040"/>
        <w:rPr>
          <w:rFonts w:hint="default" w:ascii="Times New Roman" w:hAnsi="Times New Roman" w:eastAsia="仿宋" w:cs="Times New Roman"/>
          <w:sz w:val="44"/>
          <w:szCs w:val="44"/>
        </w:rPr>
      </w:pPr>
    </w:p>
    <w:p w14:paraId="40D3A1DA">
      <w:pPr>
        <w:ind w:left="0" w:leftChars="0" w:firstLine="0" w:firstLineChars="0"/>
        <w:rPr>
          <w:rFonts w:hint="default" w:ascii="Times New Roman" w:hAnsi="Times New Roman" w:eastAsia="仿宋" w:cs="Times New Roman"/>
          <w:sz w:val="44"/>
          <w:szCs w:val="44"/>
        </w:rPr>
      </w:pPr>
    </w:p>
    <w:p w14:paraId="6DD769CD">
      <w:pPr>
        <w:adjustRightInd w:val="0"/>
        <w:snapToGrid w:val="0"/>
        <w:spacing w:line="288" w:lineRule="auto"/>
        <w:ind w:left="0" w:leftChars="0" w:firstLine="0" w:firstLineChars="0"/>
        <w:jc w:val="center"/>
        <w:rPr>
          <w:rFonts w:hint="default" w:ascii="Times New Roman" w:hAnsi="Times New Roman" w:eastAsia="仿宋_GB2312" w:cs="Times New Roman"/>
          <w:b/>
          <w:bCs/>
          <w:sz w:val="32"/>
          <w:szCs w:val="32"/>
          <w:u w:val="single"/>
        </w:rPr>
      </w:pPr>
      <w:r>
        <w:rPr>
          <w:rFonts w:hint="default" w:ascii="Times New Roman" w:hAnsi="Times New Roman" w:eastAsia="仿宋_GB2312" w:cs="Times New Roman"/>
          <w:b/>
          <w:bCs/>
          <w:sz w:val="32"/>
          <w:szCs w:val="32"/>
        </w:rPr>
        <w:t>项目名称：</w:t>
      </w:r>
      <w:r>
        <w:rPr>
          <w:rFonts w:hint="default" w:ascii="Times New Roman" w:hAnsi="Times New Roman" w:eastAsia="仿宋_GB2312" w:cs="Times New Roman"/>
          <w:b/>
          <w:bCs/>
          <w:sz w:val="32"/>
          <w:szCs w:val="32"/>
          <w:u w:val="single"/>
          <w:lang w:val="en-US" w:eastAsia="zh-CN"/>
        </w:rPr>
        <w:t>蒙苏经济开发区零碳产业园鄂苏市政拌合站项目</w:t>
      </w:r>
    </w:p>
    <w:p w14:paraId="6B46BCB9">
      <w:pPr>
        <w:adjustRightInd w:val="0"/>
        <w:snapToGrid w:val="0"/>
        <w:spacing w:line="288" w:lineRule="auto"/>
        <w:ind w:left="0" w:leftChars="0" w:firstLine="0" w:firstLineChars="0"/>
        <w:jc w:val="center"/>
        <w:rPr>
          <w:rFonts w:hint="default" w:ascii="Times New Roman" w:hAnsi="Times New Roman" w:eastAsia="仿宋_GB2312" w:cs="Times New Roman"/>
          <w:b/>
          <w:bCs/>
          <w:sz w:val="36"/>
          <w:szCs w:val="36"/>
          <w:u w:val="single"/>
          <w:lang w:val="en-US" w:eastAsia="zh-CN"/>
        </w:rPr>
      </w:pPr>
      <w:r>
        <w:rPr>
          <w:rFonts w:hint="default" w:ascii="Times New Roman" w:hAnsi="Times New Roman" w:eastAsia="仿宋_GB2312" w:cs="Times New Roman"/>
          <w:b/>
          <w:bCs/>
          <w:sz w:val="36"/>
          <w:szCs w:val="36"/>
        </w:rPr>
        <w:t>建设单位（盖章）：</w:t>
      </w:r>
      <w:r>
        <w:rPr>
          <w:rFonts w:hint="default" w:ascii="Times New Roman" w:hAnsi="Times New Roman" w:eastAsia="仿宋_GB2312" w:cs="Times New Roman"/>
          <w:b/>
          <w:bCs/>
          <w:sz w:val="36"/>
          <w:szCs w:val="36"/>
          <w:u w:val="single"/>
          <w:lang w:val="en-US" w:eastAsia="zh-CN"/>
        </w:rPr>
        <w:t>鄂尔多斯市鄂苏工业园区市政</w:t>
      </w:r>
    </w:p>
    <w:p w14:paraId="194FC343">
      <w:pPr>
        <w:adjustRightInd w:val="0"/>
        <w:snapToGrid w:val="0"/>
        <w:spacing w:line="288" w:lineRule="auto"/>
        <w:jc w:val="center"/>
        <w:rPr>
          <w:rFonts w:hint="default" w:ascii="Times New Roman" w:hAnsi="Times New Roman" w:eastAsia="仿宋_GB2312" w:cs="Times New Roman"/>
          <w:b/>
          <w:bCs/>
          <w:sz w:val="36"/>
          <w:szCs w:val="36"/>
          <w:u w:val="single"/>
        </w:rPr>
      </w:pPr>
      <w:r>
        <w:rPr>
          <w:rFonts w:hint="default" w:ascii="Times New Roman" w:hAnsi="Times New Roman" w:eastAsia="仿宋_GB2312" w:cs="Times New Roman"/>
          <w:b/>
          <w:bCs/>
          <w:sz w:val="36"/>
          <w:szCs w:val="36"/>
          <w:u w:val="single"/>
          <w:lang w:val="en-US" w:eastAsia="zh-CN"/>
        </w:rPr>
        <w:t>工程建设有限责任公司</w:t>
      </w:r>
    </w:p>
    <w:p w14:paraId="46399A1F">
      <w:pPr>
        <w:adjustRightInd w:val="0"/>
        <w:snapToGrid w:val="0"/>
        <w:spacing w:line="288" w:lineRule="auto"/>
        <w:jc w:val="center"/>
        <w:rPr>
          <w:rFonts w:hint="default" w:ascii="Times New Roman" w:hAnsi="Times New Roman" w:eastAsia="仿宋_GB2312" w:cs="Times New Roman"/>
          <w:b/>
          <w:bCs/>
          <w:sz w:val="36"/>
          <w:szCs w:val="36"/>
        </w:rPr>
      </w:pPr>
    </w:p>
    <w:p w14:paraId="3F77A7B2">
      <w:pPr>
        <w:adjustRightInd w:val="0"/>
        <w:snapToGrid w:val="0"/>
        <w:spacing w:line="288" w:lineRule="auto"/>
        <w:ind w:left="0" w:leftChars="0" w:firstLine="0" w:firstLineChars="0"/>
        <w:jc w:val="center"/>
        <w:rPr>
          <w:rFonts w:hint="default" w:ascii="Times New Roman" w:hAnsi="Times New Roman" w:eastAsia="仿宋_GB2312" w:cs="Times New Roman"/>
          <w:b/>
          <w:bCs/>
          <w:sz w:val="36"/>
          <w:szCs w:val="36"/>
          <w:u w:val="single"/>
        </w:rPr>
      </w:pPr>
      <w:r>
        <w:rPr>
          <w:rFonts w:hint="default" w:ascii="Times New Roman" w:hAnsi="Times New Roman" w:eastAsia="仿宋_GB2312" w:cs="Times New Roman"/>
          <w:b/>
          <w:bCs/>
          <w:sz w:val="36"/>
          <w:szCs w:val="36"/>
        </w:rPr>
        <w:t>编制日期：</w:t>
      </w:r>
      <w:r>
        <w:rPr>
          <w:rFonts w:hint="default" w:ascii="Times New Roman" w:hAnsi="Times New Roman" w:eastAsia="仿宋_GB2312" w:cs="Times New Roman"/>
          <w:b/>
          <w:bCs/>
          <w:sz w:val="36"/>
          <w:szCs w:val="36"/>
          <w:u w:val="single"/>
          <w:lang w:val="en-US" w:eastAsia="zh-CN"/>
        </w:rPr>
        <w:t>2025年</w:t>
      </w:r>
      <w:r>
        <w:rPr>
          <w:rFonts w:hint="eastAsia" w:eastAsia="仿宋_GB2312" w:cs="Times New Roman"/>
          <w:b/>
          <w:bCs/>
          <w:sz w:val="36"/>
          <w:szCs w:val="36"/>
          <w:u w:val="single"/>
          <w:lang w:val="en-US" w:eastAsia="zh-CN"/>
        </w:rPr>
        <w:t>12</w:t>
      </w:r>
      <w:r>
        <w:rPr>
          <w:rFonts w:hint="default" w:ascii="Times New Roman" w:hAnsi="Times New Roman" w:eastAsia="仿宋_GB2312" w:cs="Times New Roman"/>
          <w:b/>
          <w:bCs/>
          <w:sz w:val="36"/>
          <w:szCs w:val="36"/>
          <w:u w:val="single"/>
          <w:lang w:val="en-US" w:eastAsia="zh-CN"/>
        </w:rPr>
        <w:t>月</w:t>
      </w:r>
    </w:p>
    <w:p w14:paraId="0839A86A">
      <w:pPr>
        <w:adjustRightInd w:val="0"/>
        <w:snapToGrid w:val="0"/>
        <w:spacing w:line="288" w:lineRule="auto"/>
        <w:ind w:firstLine="1040"/>
        <w:rPr>
          <w:rFonts w:hint="default" w:ascii="Times New Roman" w:hAnsi="Times New Roman" w:eastAsia="仿宋_GB2312" w:cs="Times New Roman"/>
          <w:sz w:val="36"/>
          <w:szCs w:val="36"/>
          <w:u w:val="single"/>
        </w:rPr>
      </w:pPr>
      <w:bookmarkStart w:id="0" w:name="_Hlk57884087"/>
    </w:p>
    <w:p w14:paraId="3A5071D4">
      <w:pPr>
        <w:adjustRightInd w:val="0"/>
        <w:snapToGrid w:val="0"/>
        <w:spacing w:line="288" w:lineRule="auto"/>
        <w:ind w:firstLine="1040"/>
        <w:rPr>
          <w:rFonts w:hint="default" w:ascii="Times New Roman" w:hAnsi="Times New Roman" w:eastAsia="仿宋_GB2312" w:cs="Times New Roman"/>
          <w:sz w:val="36"/>
          <w:szCs w:val="36"/>
        </w:rPr>
      </w:pPr>
    </w:p>
    <w:bookmarkEnd w:id="0"/>
    <w:p w14:paraId="6E6ACAB0">
      <w:pPr>
        <w:adjustRightInd w:val="0"/>
        <w:snapToGrid w:val="0"/>
        <w:spacing w:line="288" w:lineRule="auto"/>
        <w:jc w:val="center"/>
        <w:rPr>
          <w:rFonts w:hint="default" w:ascii="Times New Roman" w:hAnsi="Times New Roman" w:eastAsia="楷体_GB2312" w:cs="Times New Roman"/>
          <w:sz w:val="36"/>
          <w:szCs w:val="36"/>
        </w:rPr>
      </w:pPr>
      <w:r>
        <w:rPr>
          <w:rFonts w:hint="default" w:ascii="Times New Roman" w:hAnsi="Times New Roman" w:eastAsia="楷体_GB2312" w:cs="Times New Roman"/>
          <w:sz w:val="36"/>
          <w:szCs w:val="36"/>
        </w:rPr>
        <w:t>中华人民共和国生态环境部制</w:t>
      </w:r>
    </w:p>
    <w:p w14:paraId="51EAA118">
      <w:pPr>
        <w:adjustRightInd w:val="0"/>
        <w:snapToGrid w:val="0"/>
        <w:spacing w:line="288" w:lineRule="auto"/>
        <w:ind w:firstLine="1040"/>
        <w:rPr>
          <w:rFonts w:hint="default" w:ascii="Times New Roman" w:hAnsi="Times New Roman" w:eastAsia="仿宋_GB2312" w:cs="Times New Roman"/>
          <w:sz w:val="36"/>
          <w:szCs w:val="36"/>
        </w:rPr>
      </w:pPr>
    </w:p>
    <w:p w14:paraId="0C451323">
      <w:pPr>
        <w:adjustRightInd w:val="0"/>
        <w:snapToGrid w:val="0"/>
        <w:spacing w:line="288" w:lineRule="auto"/>
        <w:ind w:firstLine="1040"/>
        <w:rPr>
          <w:rFonts w:hint="default" w:ascii="Times New Roman" w:hAnsi="Times New Roman" w:eastAsia="仿宋_GB2312" w:cs="Times New Roman"/>
          <w:sz w:val="36"/>
          <w:szCs w:val="36"/>
        </w:rPr>
      </w:pPr>
    </w:p>
    <w:p w14:paraId="078A89E5">
      <w:pPr>
        <w:adjustRightInd w:val="0"/>
        <w:snapToGrid w:val="0"/>
        <w:spacing w:line="288" w:lineRule="auto"/>
        <w:ind w:firstLine="1040"/>
        <w:rPr>
          <w:rFonts w:hint="default" w:ascii="Times New Roman" w:hAnsi="Times New Roman" w:eastAsia="仿宋_GB2312" w:cs="Times New Roman"/>
          <w:sz w:val="36"/>
          <w:szCs w:val="36"/>
        </w:rPr>
        <w:sectPr>
          <w:headerReference r:id="rId5" w:type="default"/>
          <w:footerReference r:id="rId6" w:type="default"/>
          <w:footerReference r:id="rId7" w:type="even"/>
          <w:pgSz w:w="11906" w:h="16838"/>
          <w:pgMar w:top="1440" w:right="1800" w:bottom="1440" w:left="1800" w:header="851" w:footer="1077" w:gutter="0"/>
          <w:pgBorders>
            <w:top w:val="none" w:sz="0" w:space="0"/>
            <w:left w:val="none" w:sz="0" w:space="0"/>
            <w:bottom w:val="none" w:sz="0" w:space="0"/>
            <w:right w:val="none" w:sz="0" w:space="0"/>
          </w:pgBorders>
          <w:pgNumType w:start="3"/>
          <w:cols w:space="720" w:num="1"/>
          <w:docGrid w:linePitch="312" w:charSpace="0"/>
        </w:sectPr>
      </w:pPr>
    </w:p>
    <w:p w14:paraId="55066F58">
      <w:pPr>
        <w:pStyle w:val="13"/>
        <w:jc w:val="center"/>
        <w:outlineLvl w:val="0"/>
        <w:rPr>
          <w:rFonts w:hint="default" w:ascii="Times New Roman" w:hAnsi="Times New Roman" w:eastAsia="黑体" w:cs="Times New Roman"/>
          <w:snapToGrid w:val="0"/>
          <w:sz w:val="30"/>
          <w:szCs w:val="30"/>
        </w:rPr>
      </w:pPr>
      <w:r>
        <w:rPr>
          <w:rFonts w:hint="default" w:ascii="Times New Roman" w:hAnsi="Times New Roman" w:eastAsia="黑体" w:cs="Times New Roman"/>
          <w:snapToGrid w:val="0"/>
          <w:sz w:val="30"/>
          <w:szCs w:val="30"/>
        </w:rPr>
        <w:t>一、建设项目基本情况</w:t>
      </w:r>
    </w:p>
    <w:tbl>
      <w:tblPr>
        <w:tblStyle w:val="17"/>
        <w:tblW w:w="811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279"/>
        <w:gridCol w:w="748"/>
        <w:gridCol w:w="1792"/>
        <w:gridCol w:w="1791"/>
        <w:gridCol w:w="2509"/>
      </w:tblGrid>
      <w:tr w14:paraId="3B5489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03" w:hRule="atLeast"/>
          <w:jc w:val="center"/>
        </w:trPr>
        <w:tc>
          <w:tcPr>
            <w:tcW w:w="2027" w:type="dxa"/>
            <w:gridSpan w:val="2"/>
            <w:noWrap w:val="0"/>
            <w:tcMar>
              <w:top w:w="16" w:type="dxa"/>
              <w:left w:w="16" w:type="dxa"/>
              <w:right w:w="16" w:type="dxa"/>
            </w:tcMar>
            <w:vAlign w:val="center"/>
          </w:tcPr>
          <w:p w14:paraId="43B594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建设项目名称</w:t>
            </w:r>
          </w:p>
        </w:tc>
        <w:tc>
          <w:tcPr>
            <w:tcW w:w="6092" w:type="dxa"/>
            <w:gridSpan w:val="3"/>
            <w:noWrap w:val="0"/>
            <w:vAlign w:val="center"/>
          </w:tcPr>
          <w:p w14:paraId="5B7946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蒙苏经济开发区零碳产业园鄂苏市政拌合站项目</w:t>
            </w:r>
          </w:p>
        </w:tc>
      </w:tr>
      <w:tr w14:paraId="2AFC39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74" w:hRule="atLeast"/>
          <w:jc w:val="center"/>
        </w:trPr>
        <w:tc>
          <w:tcPr>
            <w:tcW w:w="2027" w:type="dxa"/>
            <w:gridSpan w:val="2"/>
            <w:noWrap w:val="0"/>
            <w:tcMar>
              <w:top w:w="16" w:type="dxa"/>
              <w:left w:w="16" w:type="dxa"/>
              <w:right w:w="16" w:type="dxa"/>
            </w:tcMar>
            <w:vAlign w:val="center"/>
          </w:tcPr>
          <w:p w14:paraId="11C999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项目代码</w:t>
            </w:r>
          </w:p>
        </w:tc>
        <w:tc>
          <w:tcPr>
            <w:tcW w:w="6092" w:type="dxa"/>
            <w:gridSpan w:val="3"/>
            <w:noWrap w:val="0"/>
            <w:vAlign w:val="center"/>
          </w:tcPr>
          <w:p w14:paraId="23EF48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2508-150627-04-01-428529</w:t>
            </w:r>
          </w:p>
        </w:tc>
      </w:tr>
      <w:tr w14:paraId="7F0EC5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74" w:hRule="atLeast"/>
          <w:jc w:val="center"/>
        </w:trPr>
        <w:tc>
          <w:tcPr>
            <w:tcW w:w="2027" w:type="dxa"/>
            <w:gridSpan w:val="2"/>
            <w:noWrap w:val="0"/>
            <w:tcMar>
              <w:top w:w="16" w:type="dxa"/>
              <w:left w:w="16" w:type="dxa"/>
              <w:right w:w="16" w:type="dxa"/>
            </w:tcMar>
            <w:vAlign w:val="center"/>
          </w:tcPr>
          <w:p w14:paraId="19585D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建设单位联系人</w:t>
            </w:r>
          </w:p>
        </w:tc>
        <w:tc>
          <w:tcPr>
            <w:tcW w:w="1792" w:type="dxa"/>
            <w:noWrap w:val="0"/>
            <w:vAlign w:val="center"/>
          </w:tcPr>
          <w:p w14:paraId="44997B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郭驰岳</w:t>
            </w:r>
          </w:p>
        </w:tc>
        <w:tc>
          <w:tcPr>
            <w:tcW w:w="1791" w:type="dxa"/>
            <w:noWrap w:val="0"/>
            <w:vAlign w:val="center"/>
          </w:tcPr>
          <w:p w14:paraId="4B7A7C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联系方式</w:t>
            </w:r>
          </w:p>
        </w:tc>
        <w:tc>
          <w:tcPr>
            <w:tcW w:w="2509" w:type="dxa"/>
            <w:noWrap w:val="0"/>
            <w:vAlign w:val="center"/>
          </w:tcPr>
          <w:p w14:paraId="41A684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15134827766</w:t>
            </w:r>
          </w:p>
        </w:tc>
      </w:tr>
      <w:tr w14:paraId="529227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98" w:hRule="atLeast"/>
          <w:jc w:val="center"/>
        </w:trPr>
        <w:tc>
          <w:tcPr>
            <w:tcW w:w="2027" w:type="dxa"/>
            <w:gridSpan w:val="2"/>
            <w:noWrap w:val="0"/>
            <w:tcMar>
              <w:top w:w="16" w:type="dxa"/>
              <w:left w:w="16" w:type="dxa"/>
              <w:right w:w="16" w:type="dxa"/>
            </w:tcMar>
            <w:vAlign w:val="center"/>
          </w:tcPr>
          <w:p w14:paraId="55BDC1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建设地点</w:t>
            </w:r>
          </w:p>
        </w:tc>
        <w:tc>
          <w:tcPr>
            <w:tcW w:w="6092" w:type="dxa"/>
            <w:gridSpan w:val="3"/>
            <w:noWrap w:val="0"/>
            <w:vAlign w:val="center"/>
          </w:tcPr>
          <w:p w14:paraId="7254C1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内蒙古自治区鄂尔多斯市伊金霍洛旗蒙苏经济开发区零碳产业园，</w:t>
            </w:r>
            <w:r>
              <w:rPr>
                <w:rFonts w:hint="eastAsia" w:ascii="Times New Roman" w:hAnsi="Times New Roman" w:cs="Times New Roman"/>
                <w:sz w:val="24"/>
                <w:szCs w:val="24"/>
                <w:lang w:val="en-US" w:eastAsia="zh-CN"/>
              </w:rPr>
              <w:t>标准地及南部</w:t>
            </w:r>
            <w:r>
              <w:rPr>
                <w:rFonts w:hint="default" w:ascii="Times New Roman" w:hAnsi="Times New Roman" w:cs="Times New Roman"/>
                <w:sz w:val="24"/>
                <w:szCs w:val="24"/>
                <w:lang w:val="en-US" w:eastAsia="zh-CN"/>
              </w:rPr>
              <w:t>拓展区R-01-03地块</w:t>
            </w:r>
          </w:p>
        </w:tc>
      </w:tr>
      <w:tr w14:paraId="6FA0E2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74" w:hRule="atLeast"/>
          <w:jc w:val="center"/>
        </w:trPr>
        <w:tc>
          <w:tcPr>
            <w:tcW w:w="2027" w:type="dxa"/>
            <w:gridSpan w:val="2"/>
            <w:noWrap w:val="0"/>
            <w:tcMar>
              <w:top w:w="16" w:type="dxa"/>
              <w:left w:w="16" w:type="dxa"/>
              <w:right w:w="16" w:type="dxa"/>
            </w:tcMar>
            <w:vAlign w:val="center"/>
          </w:tcPr>
          <w:p w14:paraId="6D8F50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地理坐标</w:t>
            </w:r>
          </w:p>
        </w:tc>
        <w:tc>
          <w:tcPr>
            <w:tcW w:w="6092" w:type="dxa"/>
            <w:gridSpan w:val="3"/>
            <w:noWrap w:val="0"/>
            <w:vAlign w:val="center"/>
          </w:tcPr>
          <w:p w14:paraId="03F0C99E">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u w:val="single"/>
                <w:lang w:val="en-US" w:eastAsia="zh-CN"/>
              </w:rPr>
              <w:t>109</w:t>
            </w:r>
            <w:r>
              <w:rPr>
                <w:rFonts w:hint="default" w:ascii="Times New Roman" w:hAnsi="Times New Roman" w:cs="Times New Roman"/>
                <w:sz w:val="24"/>
                <w:szCs w:val="24"/>
              </w:rPr>
              <w:t>度</w:t>
            </w:r>
            <w:r>
              <w:rPr>
                <w:rFonts w:hint="default" w:ascii="Times New Roman" w:hAnsi="Times New Roman" w:cs="Times New Roman"/>
                <w:sz w:val="24"/>
                <w:szCs w:val="24"/>
                <w:u w:val="single"/>
                <w:lang w:val="en-US" w:eastAsia="zh-CN"/>
              </w:rPr>
              <w:t>33</w:t>
            </w:r>
            <w:r>
              <w:rPr>
                <w:rFonts w:hint="default" w:ascii="Times New Roman" w:hAnsi="Times New Roman" w:cs="Times New Roman"/>
                <w:sz w:val="24"/>
                <w:szCs w:val="24"/>
              </w:rPr>
              <w:t>分</w:t>
            </w:r>
            <w:r>
              <w:rPr>
                <w:rFonts w:hint="default" w:ascii="Times New Roman" w:hAnsi="Times New Roman" w:cs="Times New Roman"/>
                <w:sz w:val="24"/>
                <w:szCs w:val="24"/>
                <w:u w:val="single"/>
                <w:lang w:val="en-US" w:eastAsia="zh-CN"/>
              </w:rPr>
              <w:t>55.344</w:t>
            </w:r>
            <w:r>
              <w:rPr>
                <w:rFonts w:hint="default" w:ascii="Times New Roman" w:hAnsi="Times New Roman" w:cs="Times New Roman"/>
                <w:sz w:val="24"/>
                <w:szCs w:val="24"/>
              </w:rPr>
              <w:t>秒，</w:t>
            </w:r>
            <w:r>
              <w:rPr>
                <w:rFonts w:hint="default" w:ascii="Times New Roman" w:hAnsi="Times New Roman" w:cs="Times New Roman"/>
                <w:sz w:val="24"/>
                <w:szCs w:val="24"/>
                <w:u w:val="single"/>
                <w:lang w:val="en-US" w:eastAsia="zh-CN"/>
              </w:rPr>
              <w:t>39</w:t>
            </w:r>
            <w:r>
              <w:rPr>
                <w:rFonts w:hint="default" w:ascii="Times New Roman" w:hAnsi="Times New Roman" w:cs="Times New Roman"/>
                <w:sz w:val="24"/>
                <w:szCs w:val="24"/>
              </w:rPr>
              <w:t>度</w:t>
            </w:r>
            <w:r>
              <w:rPr>
                <w:rFonts w:hint="default" w:ascii="Times New Roman" w:hAnsi="Times New Roman" w:cs="Times New Roman"/>
                <w:sz w:val="24"/>
                <w:szCs w:val="24"/>
                <w:u w:val="single"/>
                <w:lang w:val="en-US" w:eastAsia="zh-CN"/>
              </w:rPr>
              <w:t>32</w:t>
            </w:r>
            <w:r>
              <w:rPr>
                <w:rFonts w:hint="default" w:ascii="Times New Roman" w:hAnsi="Times New Roman" w:cs="Times New Roman"/>
                <w:sz w:val="24"/>
                <w:szCs w:val="24"/>
              </w:rPr>
              <w:t>分</w:t>
            </w:r>
            <w:r>
              <w:rPr>
                <w:rFonts w:hint="default" w:ascii="Times New Roman" w:hAnsi="Times New Roman" w:cs="Times New Roman"/>
                <w:sz w:val="24"/>
                <w:szCs w:val="24"/>
                <w:u w:val="single"/>
                <w:lang w:val="en-US" w:eastAsia="zh-CN"/>
              </w:rPr>
              <w:t>33.876</w:t>
            </w:r>
            <w:r>
              <w:rPr>
                <w:rFonts w:hint="default" w:ascii="Times New Roman" w:hAnsi="Times New Roman" w:cs="Times New Roman"/>
                <w:sz w:val="24"/>
                <w:szCs w:val="24"/>
              </w:rPr>
              <w:t>秒）</w:t>
            </w:r>
          </w:p>
        </w:tc>
      </w:tr>
      <w:tr w14:paraId="1B4D79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627" w:hRule="atLeast"/>
          <w:jc w:val="center"/>
        </w:trPr>
        <w:tc>
          <w:tcPr>
            <w:tcW w:w="2027" w:type="dxa"/>
            <w:gridSpan w:val="2"/>
            <w:noWrap w:val="0"/>
            <w:tcMar>
              <w:top w:w="16" w:type="dxa"/>
              <w:left w:w="16" w:type="dxa"/>
              <w:right w:w="16" w:type="dxa"/>
            </w:tcMar>
            <w:vAlign w:val="center"/>
          </w:tcPr>
          <w:p w14:paraId="2A677D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国民经济</w:t>
            </w:r>
          </w:p>
          <w:p w14:paraId="02E2E5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行业类别</w:t>
            </w:r>
          </w:p>
        </w:tc>
        <w:tc>
          <w:tcPr>
            <w:tcW w:w="1792" w:type="dxa"/>
            <w:noWrap w:val="0"/>
            <w:vAlign w:val="center"/>
          </w:tcPr>
          <w:p w14:paraId="5EF330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C3021水泥制品制造</w:t>
            </w:r>
          </w:p>
        </w:tc>
        <w:tc>
          <w:tcPr>
            <w:tcW w:w="1791" w:type="dxa"/>
            <w:noWrap w:val="0"/>
            <w:vAlign w:val="center"/>
          </w:tcPr>
          <w:p w14:paraId="4E6819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bookmarkStart w:id="1" w:name="_Hlk49843745"/>
            <w:r>
              <w:rPr>
                <w:rFonts w:hint="default" w:ascii="Times New Roman" w:hAnsi="Times New Roman" w:cs="Times New Roman"/>
                <w:sz w:val="24"/>
                <w:szCs w:val="24"/>
              </w:rPr>
              <w:t>建设项目</w:t>
            </w:r>
          </w:p>
          <w:p w14:paraId="118902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行业类别</w:t>
            </w:r>
            <w:bookmarkEnd w:id="1"/>
          </w:p>
        </w:tc>
        <w:tc>
          <w:tcPr>
            <w:tcW w:w="2509" w:type="dxa"/>
            <w:noWrap w:val="0"/>
            <w:vAlign w:val="center"/>
          </w:tcPr>
          <w:p w14:paraId="642B36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二十七、非金属矿物制品业55石膏、水泥制品及类似制品制造302商品混凝土；砼结构构件制造；水泥制品制造</w:t>
            </w:r>
          </w:p>
        </w:tc>
      </w:tr>
      <w:tr w14:paraId="53E3C5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915" w:hRule="atLeast"/>
          <w:jc w:val="center"/>
        </w:trPr>
        <w:tc>
          <w:tcPr>
            <w:tcW w:w="2027" w:type="dxa"/>
            <w:gridSpan w:val="2"/>
            <w:noWrap w:val="0"/>
            <w:tcMar>
              <w:top w:w="16" w:type="dxa"/>
              <w:left w:w="16" w:type="dxa"/>
              <w:right w:w="16" w:type="dxa"/>
            </w:tcMar>
            <w:vAlign w:val="center"/>
          </w:tcPr>
          <w:p w14:paraId="291FC0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建设性质</w:t>
            </w:r>
          </w:p>
        </w:tc>
        <w:tc>
          <w:tcPr>
            <w:tcW w:w="1792" w:type="dxa"/>
            <w:noWrap w:val="0"/>
            <w:vAlign w:val="center"/>
          </w:tcPr>
          <w:p w14:paraId="4FAAE905">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新建（迁建）</w:t>
            </w:r>
          </w:p>
          <w:p w14:paraId="3D5F9EEC">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default" w:ascii="Times New Roman" w:hAnsi="Times New Roman" w:cs="Times New Roman"/>
                <w:sz w:val="24"/>
                <w:szCs w:val="24"/>
              </w:rPr>
            </w:pPr>
            <w:r>
              <w:rPr>
                <w:rFonts w:hint="eastAsia" w:ascii="Times New Roman" w:hAnsi="Times New Roman" w:cs="Times New Roman"/>
                <w:sz w:val="24"/>
                <w:szCs w:val="24"/>
                <w:lang w:eastAsia="zh-CN"/>
              </w:rPr>
              <w:t>□</w:t>
            </w:r>
            <w:r>
              <w:rPr>
                <w:rFonts w:hint="default" w:ascii="Times New Roman" w:hAnsi="Times New Roman" w:cs="Times New Roman"/>
                <w:sz w:val="24"/>
                <w:szCs w:val="24"/>
              </w:rPr>
              <w:t>改建</w:t>
            </w:r>
          </w:p>
          <w:p w14:paraId="6C1A27D8">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default" w:ascii="Times New Roman" w:hAnsi="Times New Roman" w:cs="Times New Roman"/>
                <w:sz w:val="24"/>
                <w:szCs w:val="24"/>
              </w:rPr>
            </w:pPr>
            <w:r>
              <w:rPr>
                <w:rFonts w:hint="eastAsia" w:ascii="Times New Roman" w:hAnsi="Times New Roman" w:cs="Times New Roman"/>
                <w:sz w:val="24"/>
                <w:szCs w:val="24"/>
                <w:lang w:eastAsia="zh-CN"/>
              </w:rPr>
              <w:t>□</w:t>
            </w:r>
            <w:r>
              <w:rPr>
                <w:rFonts w:hint="default" w:ascii="Times New Roman" w:hAnsi="Times New Roman" w:cs="Times New Roman"/>
                <w:sz w:val="24"/>
                <w:szCs w:val="24"/>
              </w:rPr>
              <w:t>扩建</w:t>
            </w:r>
          </w:p>
          <w:p w14:paraId="61B33A93">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default" w:ascii="Times New Roman" w:hAnsi="Times New Roman" w:cs="Times New Roman"/>
                <w:sz w:val="24"/>
                <w:szCs w:val="24"/>
              </w:rPr>
            </w:pPr>
            <w:r>
              <w:rPr>
                <w:rFonts w:hint="eastAsia" w:ascii="Times New Roman" w:hAnsi="Times New Roman" w:cs="Times New Roman"/>
                <w:sz w:val="24"/>
                <w:szCs w:val="24"/>
                <w:lang w:eastAsia="zh-CN"/>
              </w:rPr>
              <w:t>□</w:t>
            </w:r>
            <w:r>
              <w:rPr>
                <w:rFonts w:hint="default" w:ascii="Times New Roman" w:hAnsi="Times New Roman" w:cs="Times New Roman"/>
                <w:sz w:val="24"/>
                <w:szCs w:val="24"/>
              </w:rPr>
              <w:t>技术改造</w:t>
            </w:r>
          </w:p>
        </w:tc>
        <w:tc>
          <w:tcPr>
            <w:tcW w:w="1791" w:type="dxa"/>
            <w:noWrap w:val="0"/>
            <w:vAlign w:val="center"/>
          </w:tcPr>
          <w:p w14:paraId="5E57ED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建设项目</w:t>
            </w:r>
          </w:p>
          <w:p w14:paraId="6F8B93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申报情形</w:t>
            </w:r>
          </w:p>
        </w:tc>
        <w:tc>
          <w:tcPr>
            <w:tcW w:w="2509" w:type="dxa"/>
            <w:noWrap w:val="0"/>
            <w:vAlign w:val="center"/>
          </w:tcPr>
          <w:p w14:paraId="0BBEF626">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eastAsia" w:ascii="Times New Roman" w:hAnsi="Times New Roman" w:eastAsia="宋体" w:cs="Times New Roman"/>
                <w:sz w:val="24"/>
                <w:szCs w:val="24"/>
                <w:lang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首次申报项目</w:t>
            </w:r>
          </w:p>
          <w:p w14:paraId="500C26E4">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default" w:ascii="Times New Roman" w:hAnsi="Times New Roman" w:cs="Times New Roman"/>
                <w:sz w:val="24"/>
                <w:szCs w:val="24"/>
              </w:rPr>
            </w:pPr>
            <w:r>
              <w:rPr>
                <w:rFonts w:hint="eastAsia" w:ascii="Times New Roman" w:hAnsi="Times New Roman" w:cs="Times New Roman"/>
                <w:sz w:val="24"/>
                <w:szCs w:val="24"/>
                <w:lang w:eastAsia="zh-CN"/>
              </w:rPr>
              <w:t>□</w:t>
            </w:r>
            <w:r>
              <w:rPr>
                <w:rFonts w:hint="default" w:ascii="Times New Roman" w:hAnsi="Times New Roman" w:cs="Times New Roman"/>
                <w:sz w:val="24"/>
                <w:szCs w:val="24"/>
              </w:rPr>
              <w:t>不予批准后再次申报项目</w:t>
            </w:r>
          </w:p>
          <w:p w14:paraId="210C0139">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eastAsia" w:ascii="Times New Roman" w:hAnsi="Times New Roman" w:eastAsia="宋体" w:cs="Times New Roman"/>
                <w:sz w:val="24"/>
                <w:szCs w:val="24"/>
                <w:lang w:eastAsia="zh-CN"/>
              </w:rPr>
            </w:pPr>
            <w:r>
              <w:rPr>
                <w:rFonts w:hint="default" w:ascii="Times New Roman" w:hAnsi="Times New Roman" w:cs="Times New Roman"/>
                <w:sz w:val="24"/>
                <w:szCs w:val="24"/>
              </w:rPr>
              <w:sym w:font="Wingdings 2" w:char="00A3"/>
            </w:r>
            <w:r>
              <w:rPr>
                <w:rFonts w:hint="default" w:ascii="Times New Roman" w:hAnsi="Times New Roman" w:cs="Times New Roman"/>
                <w:sz w:val="24"/>
                <w:szCs w:val="24"/>
              </w:rPr>
              <w:t>超五年重新审核项目</w:t>
            </w:r>
          </w:p>
          <w:p w14:paraId="23B65979">
            <w:pPr>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default" w:ascii="Times New Roman" w:hAnsi="Times New Roman" w:cs="Times New Roman"/>
                <w:sz w:val="24"/>
                <w:szCs w:val="24"/>
              </w:rPr>
            </w:pPr>
            <w:r>
              <w:rPr>
                <w:rFonts w:hint="eastAsia" w:ascii="Times New Roman" w:hAnsi="Times New Roman" w:cs="Times New Roman"/>
                <w:sz w:val="24"/>
                <w:szCs w:val="24"/>
                <w:lang w:eastAsia="zh-CN"/>
              </w:rPr>
              <w:t>□</w:t>
            </w:r>
            <w:r>
              <w:rPr>
                <w:rFonts w:hint="default" w:ascii="Times New Roman" w:hAnsi="Times New Roman" w:cs="Times New Roman"/>
                <w:sz w:val="24"/>
                <w:szCs w:val="24"/>
              </w:rPr>
              <w:t>重大变动重新报批项目</w:t>
            </w:r>
          </w:p>
        </w:tc>
      </w:tr>
      <w:tr w14:paraId="0D2CAB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84" w:hRule="atLeast"/>
          <w:jc w:val="center"/>
        </w:trPr>
        <w:tc>
          <w:tcPr>
            <w:tcW w:w="2027" w:type="dxa"/>
            <w:gridSpan w:val="2"/>
            <w:noWrap w:val="0"/>
            <w:tcMar>
              <w:top w:w="16" w:type="dxa"/>
              <w:left w:w="16" w:type="dxa"/>
              <w:right w:w="16" w:type="dxa"/>
            </w:tcMar>
            <w:vAlign w:val="center"/>
          </w:tcPr>
          <w:p w14:paraId="635A00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项目审批（核准/备案）部门（选填）</w:t>
            </w:r>
          </w:p>
        </w:tc>
        <w:tc>
          <w:tcPr>
            <w:tcW w:w="1792" w:type="dxa"/>
            <w:noWrap w:val="0"/>
            <w:vAlign w:val="center"/>
          </w:tcPr>
          <w:p w14:paraId="273CED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伊金霍洛旗发展改革和科学技术局</w:t>
            </w:r>
          </w:p>
        </w:tc>
        <w:tc>
          <w:tcPr>
            <w:tcW w:w="1791" w:type="dxa"/>
            <w:noWrap w:val="0"/>
            <w:vAlign w:val="center"/>
          </w:tcPr>
          <w:p w14:paraId="277FD9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项目审批（核准/备案）文号（选填）</w:t>
            </w:r>
          </w:p>
        </w:tc>
        <w:tc>
          <w:tcPr>
            <w:tcW w:w="2509" w:type="dxa"/>
            <w:noWrap w:val="0"/>
            <w:vAlign w:val="center"/>
          </w:tcPr>
          <w:p w14:paraId="42AF56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2508-150627-04-01-428529</w:t>
            </w:r>
          </w:p>
        </w:tc>
      </w:tr>
      <w:tr w14:paraId="366D36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2027" w:type="dxa"/>
            <w:gridSpan w:val="2"/>
            <w:noWrap w:val="0"/>
            <w:tcMar>
              <w:top w:w="16" w:type="dxa"/>
              <w:left w:w="16" w:type="dxa"/>
              <w:right w:w="16" w:type="dxa"/>
            </w:tcMar>
            <w:vAlign w:val="center"/>
          </w:tcPr>
          <w:p w14:paraId="26D860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总投资（万元）</w:t>
            </w:r>
          </w:p>
        </w:tc>
        <w:tc>
          <w:tcPr>
            <w:tcW w:w="1792" w:type="dxa"/>
            <w:noWrap w:val="0"/>
            <w:vAlign w:val="center"/>
          </w:tcPr>
          <w:p w14:paraId="086E25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1000</w:t>
            </w:r>
          </w:p>
        </w:tc>
        <w:tc>
          <w:tcPr>
            <w:tcW w:w="1791" w:type="dxa"/>
            <w:noWrap w:val="0"/>
            <w:tcMar>
              <w:top w:w="16" w:type="dxa"/>
              <w:left w:w="16" w:type="dxa"/>
              <w:right w:w="16" w:type="dxa"/>
            </w:tcMar>
            <w:vAlign w:val="center"/>
          </w:tcPr>
          <w:p w14:paraId="6DCA53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环</w:t>
            </w:r>
            <w:r>
              <w:rPr>
                <w:rFonts w:hint="default" w:ascii="Times New Roman" w:hAnsi="Times New Roman" w:cs="Times New Roman"/>
                <w:sz w:val="24"/>
                <w:szCs w:val="24"/>
                <w:highlight w:val="none"/>
              </w:rPr>
              <w:t>保投资（万元）</w:t>
            </w:r>
          </w:p>
        </w:tc>
        <w:tc>
          <w:tcPr>
            <w:tcW w:w="2509" w:type="dxa"/>
            <w:noWrap w:val="0"/>
            <w:vAlign w:val="center"/>
          </w:tcPr>
          <w:p w14:paraId="472B68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eastAsia" w:cs="Times New Roman"/>
                <w:sz w:val="24"/>
                <w:szCs w:val="24"/>
                <w:lang w:val="en-US" w:eastAsia="zh-CN"/>
              </w:rPr>
              <w:t>298</w:t>
            </w:r>
          </w:p>
        </w:tc>
      </w:tr>
      <w:tr w14:paraId="37FD5C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2027" w:type="dxa"/>
            <w:gridSpan w:val="2"/>
            <w:noWrap w:val="0"/>
            <w:tcMar>
              <w:top w:w="16" w:type="dxa"/>
              <w:left w:w="16" w:type="dxa"/>
              <w:right w:w="16" w:type="dxa"/>
            </w:tcMar>
            <w:vAlign w:val="center"/>
          </w:tcPr>
          <w:p w14:paraId="42DFD5D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环保</w:t>
            </w:r>
            <w:r>
              <w:rPr>
                <w:rFonts w:hint="default" w:ascii="Times New Roman" w:hAnsi="Times New Roman" w:cs="Times New Roman"/>
                <w:sz w:val="24"/>
                <w:szCs w:val="24"/>
                <w:highlight w:val="none"/>
              </w:rPr>
              <w:t>投资占</w:t>
            </w:r>
            <w:r>
              <w:rPr>
                <w:rFonts w:hint="default" w:ascii="Times New Roman" w:hAnsi="Times New Roman" w:cs="Times New Roman"/>
                <w:sz w:val="24"/>
                <w:szCs w:val="24"/>
              </w:rPr>
              <w:t>比（%）</w:t>
            </w:r>
          </w:p>
        </w:tc>
        <w:tc>
          <w:tcPr>
            <w:tcW w:w="1792" w:type="dxa"/>
            <w:noWrap w:val="0"/>
            <w:vAlign w:val="center"/>
          </w:tcPr>
          <w:p w14:paraId="20DCB8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eastAsia" w:cs="Times New Roman"/>
                <w:sz w:val="24"/>
                <w:szCs w:val="24"/>
                <w:lang w:val="en-US" w:eastAsia="zh-CN"/>
              </w:rPr>
              <w:t>29.8</w:t>
            </w:r>
          </w:p>
        </w:tc>
        <w:tc>
          <w:tcPr>
            <w:tcW w:w="1791" w:type="dxa"/>
            <w:noWrap w:val="0"/>
            <w:tcMar>
              <w:top w:w="16" w:type="dxa"/>
              <w:left w:w="16" w:type="dxa"/>
              <w:right w:w="16" w:type="dxa"/>
            </w:tcMar>
            <w:vAlign w:val="center"/>
          </w:tcPr>
          <w:p w14:paraId="56BFC6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施工工期</w:t>
            </w:r>
          </w:p>
        </w:tc>
        <w:tc>
          <w:tcPr>
            <w:tcW w:w="2509" w:type="dxa"/>
            <w:noWrap w:val="0"/>
            <w:vAlign w:val="center"/>
          </w:tcPr>
          <w:p w14:paraId="4C7805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24个月</w:t>
            </w:r>
          </w:p>
        </w:tc>
      </w:tr>
      <w:tr w14:paraId="788AEF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98" w:hRule="atLeast"/>
          <w:jc w:val="center"/>
        </w:trPr>
        <w:tc>
          <w:tcPr>
            <w:tcW w:w="2027" w:type="dxa"/>
            <w:gridSpan w:val="2"/>
            <w:noWrap w:val="0"/>
            <w:tcMar>
              <w:top w:w="16" w:type="dxa"/>
              <w:left w:w="16" w:type="dxa"/>
              <w:right w:w="16" w:type="dxa"/>
            </w:tcMar>
            <w:vAlign w:val="center"/>
          </w:tcPr>
          <w:p w14:paraId="586D9B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是否开工建设</w:t>
            </w:r>
          </w:p>
        </w:tc>
        <w:tc>
          <w:tcPr>
            <w:tcW w:w="1792" w:type="dxa"/>
            <w:noWrap w:val="0"/>
            <w:vAlign w:val="center"/>
          </w:tcPr>
          <w:p w14:paraId="06F8D5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t>否</w:t>
            </w:r>
          </w:p>
          <w:p w14:paraId="62D46F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eastAsia="zh-CN"/>
              </w:rPr>
              <w:t>□</w:t>
            </w:r>
            <w:r>
              <w:rPr>
                <w:rFonts w:hint="default" w:ascii="Times New Roman" w:hAnsi="Times New Roman" w:cs="Times New Roman"/>
                <w:sz w:val="24"/>
                <w:szCs w:val="24"/>
              </w:rPr>
              <w:t>是：</w:t>
            </w:r>
          </w:p>
        </w:tc>
        <w:tc>
          <w:tcPr>
            <w:tcW w:w="1791" w:type="dxa"/>
            <w:noWrap w:val="0"/>
            <w:tcMar>
              <w:top w:w="16" w:type="dxa"/>
              <w:left w:w="16" w:type="dxa"/>
              <w:right w:w="16" w:type="dxa"/>
            </w:tcMar>
            <w:vAlign w:val="center"/>
          </w:tcPr>
          <w:p w14:paraId="4650BA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pacing w:val="-6"/>
                <w:sz w:val="24"/>
                <w:szCs w:val="24"/>
              </w:rPr>
              <w:t>用地面积（</w:t>
            </w:r>
            <w:r>
              <w:rPr>
                <w:rFonts w:hint="eastAsia" w:cs="Times New Roman"/>
                <w:spacing w:val="-6"/>
                <w:sz w:val="24"/>
                <w:szCs w:val="24"/>
                <w:lang w:eastAsia="zh-CN"/>
              </w:rPr>
              <w:t>㎡</w:t>
            </w:r>
            <w:r>
              <w:rPr>
                <w:rFonts w:hint="default" w:ascii="Times New Roman" w:hAnsi="Times New Roman" w:cs="Times New Roman"/>
                <w:spacing w:val="-6"/>
                <w:sz w:val="24"/>
                <w:szCs w:val="24"/>
              </w:rPr>
              <w:t>）</w:t>
            </w:r>
          </w:p>
        </w:tc>
        <w:tc>
          <w:tcPr>
            <w:tcW w:w="2509" w:type="dxa"/>
            <w:noWrap w:val="0"/>
            <w:vAlign w:val="center"/>
          </w:tcPr>
          <w:p w14:paraId="4E8E0F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33294.88</w:t>
            </w:r>
          </w:p>
        </w:tc>
      </w:tr>
      <w:tr w14:paraId="176BDD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14" w:hRule="atLeast"/>
          <w:jc w:val="center"/>
        </w:trPr>
        <w:tc>
          <w:tcPr>
            <w:tcW w:w="1279" w:type="dxa"/>
            <w:noWrap w:val="0"/>
            <w:vAlign w:val="center"/>
          </w:tcPr>
          <w:p w14:paraId="77901F0F">
            <w:pPr>
              <w:autoSpaceDE w:val="0"/>
              <w:autoSpaceDN w:val="0"/>
              <w:adjustRightInd w:val="0"/>
              <w:snapToGrid w:val="0"/>
              <w:ind w:left="0" w:leftChars="0" w:firstLine="0" w:firstLineChars="0"/>
              <w:jc w:val="both"/>
              <w:rPr>
                <w:rFonts w:hint="default" w:ascii="Times New Roman" w:hAnsi="Times New Roman" w:cs="Times New Roman"/>
                <w:kern w:val="0"/>
                <w:sz w:val="24"/>
                <w:szCs w:val="24"/>
              </w:rPr>
            </w:pPr>
            <w:r>
              <w:rPr>
                <w:rFonts w:hint="default" w:ascii="Times New Roman" w:hAnsi="Times New Roman" w:cs="Times New Roman"/>
                <w:kern w:val="0"/>
                <w:sz w:val="24"/>
                <w:szCs w:val="24"/>
              </w:rPr>
              <w:t>专项评价设置情况</w:t>
            </w:r>
          </w:p>
        </w:tc>
        <w:tc>
          <w:tcPr>
            <w:tcW w:w="6840" w:type="dxa"/>
            <w:gridSpan w:val="4"/>
            <w:noWrap w:val="0"/>
            <w:vAlign w:val="center"/>
          </w:tcPr>
          <w:p w14:paraId="6332E634">
            <w:pPr>
              <w:bidi w:val="0"/>
              <w:rPr>
                <w:rFonts w:hint="default" w:ascii="Times New Roman" w:hAnsi="Times New Roman" w:cs="Times New Roman"/>
                <w:lang w:val="en-US" w:eastAsia="zh-CN"/>
              </w:rPr>
            </w:pPr>
            <w:r>
              <w:rPr>
                <w:rFonts w:hint="default" w:ascii="Times New Roman" w:hAnsi="Times New Roman" w:cs="Times New Roman"/>
                <w:lang w:val="en-US" w:eastAsia="zh-CN"/>
              </w:rPr>
              <w:t>根据建设项目环境影响报告表编制技术指南（污染影响类），本项目不开展专项评价。</w:t>
            </w:r>
          </w:p>
          <w:p w14:paraId="64111DED">
            <w:pPr>
              <w:bidi w:val="0"/>
              <w:ind w:left="0" w:leftChars="0" w:firstLine="0" w:firstLineChars="0"/>
              <w:jc w:val="center"/>
              <w:rPr>
                <w:rFonts w:hint="default" w:ascii="Times New Roman" w:hAnsi="Times New Roman" w:cs="Times New Roman"/>
                <w:b/>
                <w:bCs/>
                <w:lang w:val="en-US" w:eastAsia="zh-CN"/>
              </w:rPr>
            </w:pPr>
            <w:r>
              <w:rPr>
                <w:rFonts w:hint="default" w:ascii="Times New Roman" w:hAnsi="Times New Roman" w:cs="Times New Roman"/>
                <w:b/>
                <w:bCs/>
                <w:lang w:val="en-US" w:eastAsia="zh-CN"/>
              </w:rPr>
              <w:t>表1-1项目专项评价设置情况判定表</w:t>
            </w:r>
          </w:p>
          <w:tbl>
            <w:tblPr>
              <w:tblStyle w:val="44"/>
              <w:tblW w:w="6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69"/>
              <w:gridCol w:w="2749"/>
              <w:gridCol w:w="2125"/>
              <w:gridCol w:w="675"/>
            </w:tblGrid>
            <w:tr w14:paraId="42719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9" w:hRule="atLeast"/>
                <w:jc w:val="center"/>
              </w:trPr>
              <w:tc>
                <w:tcPr>
                  <w:tcW w:w="870" w:type="pct"/>
                  <w:noWrap w:val="0"/>
                  <w:vAlign w:val="center"/>
                </w:tcPr>
                <w:p w14:paraId="5A7973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专项评价的类别</w:t>
                  </w:r>
                </w:p>
              </w:tc>
              <w:tc>
                <w:tcPr>
                  <w:tcW w:w="2045" w:type="pct"/>
                  <w:noWrap w:val="0"/>
                  <w:vAlign w:val="center"/>
                </w:tcPr>
                <w:p w14:paraId="11D02E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设置原则</w:t>
                  </w:r>
                </w:p>
              </w:tc>
              <w:tc>
                <w:tcPr>
                  <w:tcW w:w="1581" w:type="pct"/>
                  <w:noWrap w:val="0"/>
                  <w:vAlign w:val="center"/>
                </w:tcPr>
                <w:p w14:paraId="2813E9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本项目情况</w:t>
                  </w:r>
                </w:p>
              </w:tc>
              <w:tc>
                <w:tcPr>
                  <w:tcW w:w="502" w:type="pct"/>
                  <w:noWrap w:val="0"/>
                  <w:vAlign w:val="center"/>
                </w:tcPr>
                <w:p w14:paraId="2913E9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判定结果</w:t>
                  </w:r>
                </w:p>
              </w:tc>
            </w:tr>
            <w:tr w14:paraId="3DC39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2" w:hRule="atLeast"/>
                <w:jc w:val="center"/>
              </w:trPr>
              <w:tc>
                <w:tcPr>
                  <w:tcW w:w="870" w:type="pct"/>
                  <w:noWrap w:val="0"/>
                  <w:vAlign w:val="center"/>
                </w:tcPr>
                <w:p w14:paraId="6C810E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大气</w:t>
                  </w:r>
                </w:p>
              </w:tc>
              <w:tc>
                <w:tcPr>
                  <w:tcW w:w="2045" w:type="pct"/>
                  <w:noWrap w:val="0"/>
                  <w:vAlign w:val="center"/>
                </w:tcPr>
                <w:p w14:paraId="3A8F42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排放废气含有毒有害污染物</w:t>
                  </w:r>
                  <w:r>
                    <w:rPr>
                      <w:rFonts w:hint="default" w:ascii="Times New Roman" w:hAnsi="Times New Roman" w:cs="Times New Roman"/>
                      <w:vertAlign w:val="superscript"/>
                    </w:rPr>
                    <w:t>1</w:t>
                  </w:r>
                  <w:r>
                    <w:rPr>
                      <w:rFonts w:hint="default" w:ascii="Times New Roman" w:hAnsi="Times New Roman" w:cs="Times New Roman"/>
                    </w:rPr>
                    <w:t>、二噁英、苯并</w:t>
                  </w:r>
                  <w:r>
                    <w:rPr>
                      <w:rFonts w:hint="default" w:ascii="Times New Roman" w:hAnsi="Times New Roman" w:eastAsia="Times New Roman" w:cs="Times New Roman"/>
                      <w:spacing w:val="7"/>
                      <w:sz w:val="20"/>
                      <w:szCs w:val="20"/>
                    </w:rPr>
                    <w:t>[</w:t>
                  </w:r>
                  <w:r>
                    <w:rPr>
                      <w:rFonts w:hint="default" w:ascii="Times New Roman" w:hAnsi="Times New Roman" w:eastAsia="Times New Roman" w:cs="Times New Roman"/>
                      <w:i/>
                      <w:iCs/>
                      <w:spacing w:val="7"/>
                      <w:sz w:val="20"/>
                      <w:szCs w:val="20"/>
                    </w:rPr>
                    <w:t>a</w:t>
                  </w:r>
                  <w:r>
                    <w:rPr>
                      <w:rFonts w:hint="default" w:ascii="Times New Roman" w:hAnsi="Times New Roman" w:eastAsia="Times New Roman" w:cs="Times New Roman"/>
                      <w:spacing w:val="7"/>
                      <w:sz w:val="20"/>
                      <w:szCs w:val="20"/>
                    </w:rPr>
                    <w:t>]</w:t>
                  </w:r>
                  <w:r>
                    <w:rPr>
                      <w:rFonts w:hint="default" w:ascii="Times New Roman" w:hAnsi="Times New Roman" w:cs="Times New Roman"/>
                    </w:rPr>
                    <w:t>芘、氰化物、氯气且厂界外500米范围内有环境空气保护目标</w:t>
                  </w:r>
                  <w:r>
                    <w:rPr>
                      <w:rFonts w:hint="default" w:ascii="Times New Roman" w:hAnsi="Times New Roman" w:cs="Times New Roman"/>
                      <w:vertAlign w:val="superscript"/>
                    </w:rPr>
                    <w:t>2</w:t>
                  </w:r>
                  <w:r>
                    <w:rPr>
                      <w:rFonts w:hint="default" w:ascii="Times New Roman" w:hAnsi="Times New Roman" w:cs="Times New Roman"/>
                    </w:rPr>
                    <w:t>的建设项目</w:t>
                  </w:r>
                </w:p>
              </w:tc>
              <w:tc>
                <w:tcPr>
                  <w:tcW w:w="1581" w:type="pct"/>
                  <w:noWrap w:val="0"/>
                  <w:vAlign w:val="center"/>
                </w:tcPr>
                <w:p w14:paraId="2490356E">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cs="Times New Roman"/>
                    </w:rPr>
                  </w:pPr>
                  <w:r>
                    <w:rPr>
                      <w:rFonts w:hint="default" w:ascii="Times New Roman" w:hAnsi="Times New Roman" w:cs="Times New Roman"/>
                    </w:rPr>
                    <w:t>本项目排放的大气污染物不涉及技术指南规定的有毒有害废气污染物</w:t>
                  </w:r>
                </w:p>
              </w:tc>
              <w:tc>
                <w:tcPr>
                  <w:tcW w:w="502" w:type="pct"/>
                  <w:noWrap w:val="0"/>
                  <w:vAlign w:val="center"/>
                </w:tcPr>
                <w:p w14:paraId="6FD31B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eastAsia" w:cs="Times New Roman"/>
                      <w:lang w:eastAsia="zh-CN"/>
                    </w:rPr>
                    <w:t>无须设置</w:t>
                  </w:r>
                </w:p>
              </w:tc>
            </w:tr>
            <w:tr w14:paraId="77812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2" w:hRule="atLeast"/>
                <w:jc w:val="center"/>
              </w:trPr>
              <w:tc>
                <w:tcPr>
                  <w:tcW w:w="870" w:type="pct"/>
                  <w:noWrap w:val="0"/>
                  <w:vAlign w:val="center"/>
                </w:tcPr>
                <w:p w14:paraId="3AA4E5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地表水</w:t>
                  </w:r>
                </w:p>
              </w:tc>
              <w:tc>
                <w:tcPr>
                  <w:tcW w:w="2045" w:type="pct"/>
                  <w:noWrap w:val="0"/>
                  <w:vAlign w:val="center"/>
                </w:tcPr>
                <w:p w14:paraId="26DFC4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新增工业废水直排建设项目（槽罐车外送污水处理厂的除外）；新增废水直排的污水集中处理厂</w:t>
                  </w:r>
                </w:p>
              </w:tc>
              <w:tc>
                <w:tcPr>
                  <w:tcW w:w="1581" w:type="pct"/>
                  <w:noWrap w:val="0"/>
                  <w:vAlign w:val="center"/>
                </w:tcPr>
                <w:p w14:paraId="1D19828A">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lang w:eastAsia="zh-CN"/>
                    </w:rPr>
                  </w:pPr>
                  <w:r>
                    <w:rPr>
                      <w:rFonts w:hint="default" w:ascii="Times New Roman" w:hAnsi="Times New Roman" w:cs="Times New Roman"/>
                    </w:rPr>
                    <w:t>本项目不属于工业废水直排项目；且不</w:t>
                  </w:r>
                  <w:r>
                    <w:rPr>
                      <w:rFonts w:hint="eastAsia" w:cs="Times New Roman"/>
                      <w:lang w:eastAsia="zh-CN"/>
                    </w:rPr>
                    <w:t>属于</w:t>
                  </w:r>
                  <w:r>
                    <w:rPr>
                      <w:rFonts w:hint="default" w:ascii="Times New Roman" w:hAnsi="Times New Roman" w:cs="Times New Roman"/>
                    </w:rPr>
                    <w:t>废水直排的污水集中处理厂类项目</w:t>
                  </w:r>
                  <w:r>
                    <w:rPr>
                      <w:rFonts w:hint="eastAsia" w:ascii="Times New Roman" w:hAnsi="Times New Roman" w:cs="Times New Roman"/>
                      <w:lang w:eastAsia="zh-CN"/>
                    </w:rPr>
                    <w:t>。</w:t>
                  </w:r>
                </w:p>
              </w:tc>
              <w:tc>
                <w:tcPr>
                  <w:tcW w:w="502" w:type="pct"/>
                  <w:noWrap w:val="0"/>
                  <w:vAlign w:val="center"/>
                </w:tcPr>
                <w:p w14:paraId="78CCC9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eastAsia" w:cs="Times New Roman"/>
                      <w:lang w:eastAsia="zh-CN"/>
                    </w:rPr>
                    <w:t>无须设置</w:t>
                  </w:r>
                </w:p>
              </w:tc>
            </w:tr>
            <w:tr w14:paraId="4C95F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3" w:hRule="atLeast"/>
                <w:jc w:val="center"/>
              </w:trPr>
              <w:tc>
                <w:tcPr>
                  <w:tcW w:w="870" w:type="pct"/>
                  <w:noWrap w:val="0"/>
                  <w:vAlign w:val="center"/>
                </w:tcPr>
                <w:p w14:paraId="27EF9B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环境风险</w:t>
                  </w:r>
                </w:p>
              </w:tc>
              <w:tc>
                <w:tcPr>
                  <w:tcW w:w="2045" w:type="pct"/>
                  <w:noWrap w:val="0"/>
                  <w:vAlign w:val="center"/>
                </w:tcPr>
                <w:p w14:paraId="373D88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有毒有害和易燃易爆危险物质存储量超过临界量</w:t>
                  </w:r>
                  <w:r>
                    <w:rPr>
                      <w:rFonts w:hint="default" w:ascii="Times New Roman" w:hAnsi="Times New Roman" w:cs="Times New Roman"/>
                      <w:vertAlign w:val="superscript"/>
                    </w:rPr>
                    <w:t>3</w:t>
                  </w:r>
                  <w:r>
                    <w:rPr>
                      <w:rFonts w:hint="default" w:ascii="Times New Roman" w:hAnsi="Times New Roman" w:cs="Times New Roman"/>
                    </w:rPr>
                    <w:t>的建设项目</w:t>
                  </w:r>
                </w:p>
              </w:tc>
              <w:tc>
                <w:tcPr>
                  <w:tcW w:w="1581" w:type="pct"/>
                  <w:noWrap w:val="0"/>
                  <w:vAlign w:val="center"/>
                </w:tcPr>
                <w:p w14:paraId="5D9407CE">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lang w:val="en-US" w:eastAsia="zh-CN"/>
                    </w:rPr>
                  </w:pPr>
                  <w:r>
                    <w:rPr>
                      <w:rFonts w:hint="eastAsia" w:cs="Times New Roman"/>
                      <w:highlight w:val="none"/>
                      <w:lang w:eastAsia="zh-CN"/>
                    </w:rPr>
                    <w:t>本项目</w:t>
                  </w:r>
                  <w:r>
                    <w:rPr>
                      <w:rFonts w:hint="eastAsia" w:cs="Times New Roman"/>
                      <w:highlight w:val="none"/>
                      <w:lang w:val="en-US" w:eastAsia="zh-CN"/>
                    </w:rPr>
                    <w:t>不属于涉及有毒有害和易燃易爆危险物质存储量超过临界量的建设项目</w:t>
                  </w:r>
                </w:p>
              </w:tc>
              <w:tc>
                <w:tcPr>
                  <w:tcW w:w="502" w:type="pct"/>
                  <w:noWrap w:val="0"/>
                  <w:vAlign w:val="center"/>
                </w:tcPr>
                <w:p w14:paraId="079A6A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eastAsia" w:cs="Times New Roman"/>
                      <w:lang w:eastAsia="zh-CN"/>
                    </w:rPr>
                    <w:t>无须设置</w:t>
                  </w:r>
                </w:p>
              </w:tc>
            </w:tr>
            <w:tr w14:paraId="6EC9A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2" w:hRule="atLeast"/>
                <w:jc w:val="center"/>
              </w:trPr>
              <w:tc>
                <w:tcPr>
                  <w:tcW w:w="870" w:type="pct"/>
                  <w:noWrap w:val="0"/>
                  <w:vAlign w:val="center"/>
                </w:tcPr>
                <w:p w14:paraId="328874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生态</w:t>
                  </w:r>
                </w:p>
              </w:tc>
              <w:tc>
                <w:tcPr>
                  <w:tcW w:w="2045" w:type="pct"/>
                  <w:noWrap w:val="0"/>
                  <w:vAlign w:val="center"/>
                </w:tcPr>
                <w:p w14:paraId="2E4E5F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取水口下游500米范围内有重要水生生物的自然产卵场、索饵场、越冬场和洄游通道的新增河道取水的污染类建设项目</w:t>
                  </w:r>
                </w:p>
              </w:tc>
              <w:tc>
                <w:tcPr>
                  <w:tcW w:w="1581" w:type="pct"/>
                  <w:noWrap w:val="0"/>
                  <w:vAlign w:val="center"/>
                </w:tcPr>
                <w:p w14:paraId="4C97B3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本项目不涉及直接从河道取水</w:t>
                  </w:r>
                </w:p>
              </w:tc>
              <w:tc>
                <w:tcPr>
                  <w:tcW w:w="502" w:type="pct"/>
                  <w:noWrap w:val="0"/>
                  <w:vAlign w:val="center"/>
                </w:tcPr>
                <w:p w14:paraId="784005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eastAsia" w:cs="Times New Roman"/>
                      <w:lang w:eastAsia="zh-CN"/>
                    </w:rPr>
                    <w:t>无须设置</w:t>
                  </w:r>
                </w:p>
              </w:tc>
            </w:tr>
            <w:tr w14:paraId="1C279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6" w:hRule="atLeast"/>
                <w:jc w:val="center"/>
              </w:trPr>
              <w:tc>
                <w:tcPr>
                  <w:tcW w:w="870" w:type="pct"/>
                  <w:noWrap w:val="0"/>
                  <w:vAlign w:val="center"/>
                </w:tcPr>
                <w:p w14:paraId="583577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海洋</w:t>
                  </w:r>
                </w:p>
              </w:tc>
              <w:tc>
                <w:tcPr>
                  <w:tcW w:w="2045" w:type="pct"/>
                  <w:noWrap w:val="0"/>
                  <w:vAlign w:val="center"/>
                </w:tcPr>
                <w:p w14:paraId="28385A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直接向海排放污染物的海洋工程建设项目</w:t>
                  </w:r>
                </w:p>
              </w:tc>
              <w:tc>
                <w:tcPr>
                  <w:tcW w:w="1581" w:type="pct"/>
                  <w:noWrap w:val="0"/>
                  <w:vAlign w:val="center"/>
                </w:tcPr>
                <w:p w14:paraId="3C747B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本项目不属于海洋工程建设项目</w:t>
                  </w:r>
                </w:p>
              </w:tc>
              <w:tc>
                <w:tcPr>
                  <w:tcW w:w="502" w:type="pct"/>
                  <w:noWrap w:val="0"/>
                  <w:vAlign w:val="center"/>
                </w:tcPr>
                <w:p w14:paraId="3DD3F4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eastAsia" w:cs="Times New Roman"/>
                      <w:lang w:eastAsia="zh-CN"/>
                    </w:rPr>
                    <w:t>无须设置</w:t>
                  </w:r>
                </w:p>
              </w:tc>
            </w:tr>
            <w:tr w14:paraId="3E55C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atLeast"/>
                <w:jc w:val="center"/>
              </w:trPr>
              <w:tc>
                <w:tcPr>
                  <w:tcW w:w="5000" w:type="pct"/>
                  <w:gridSpan w:val="4"/>
                  <w:noWrap w:val="0"/>
                  <w:vAlign w:val="center"/>
                </w:tcPr>
                <w:p w14:paraId="08A37E68">
                  <w:pPr>
                    <w:pStyle w:val="4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both"/>
                    <w:textAlignment w:val="auto"/>
                    <w:rPr>
                      <w:rFonts w:hint="default" w:ascii="Times New Roman" w:hAnsi="Times New Roman" w:cs="Times New Roman"/>
                      <w:spacing w:val="-1"/>
                      <w:sz w:val="18"/>
                      <w:szCs w:val="18"/>
                    </w:rPr>
                  </w:pPr>
                  <w:r>
                    <w:rPr>
                      <w:rFonts w:hint="default" w:ascii="Times New Roman" w:hAnsi="Times New Roman" w:cs="Times New Roman"/>
                      <w:spacing w:val="4"/>
                      <w:sz w:val="18"/>
                      <w:szCs w:val="18"/>
                    </w:rPr>
                    <w:t>注：</w:t>
                  </w:r>
                  <w:r>
                    <w:rPr>
                      <w:rFonts w:hint="default" w:ascii="Times New Roman" w:hAnsi="Times New Roman" w:eastAsia="Times New Roman" w:cs="Times New Roman"/>
                      <w:spacing w:val="4"/>
                      <w:sz w:val="18"/>
                      <w:szCs w:val="18"/>
                    </w:rPr>
                    <w:t>1.</w:t>
                  </w:r>
                  <w:r>
                    <w:rPr>
                      <w:rFonts w:hint="default" w:ascii="Times New Roman" w:hAnsi="Times New Roman" w:cs="Times New Roman"/>
                      <w:spacing w:val="4"/>
                      <w:sz w:val="18"/>
                      <w:szCs w:val="18"/>
                    </w:rPr>
                    <w:t>废气中有毒有害污染物指纳入《有毒有害大气污染</w:t>
                  </w:r>
                  <w:r>
                    <w:rPr>
                      <w:rFonts w:hint="default" w:ascii="Times New Roman" w:hAnsi="Times New Roman" w:cs="Times New Roman"/>
                      <w:spacing w:val="3"/>
                      <w:sz w:val="18"/>
                      <w:szCs w:val="18"/>
                    </w:rPr>
                    <w:t>物名录》的污染物（不包括</w:t>
                  </w:r>
                  <w:r>
                    <w:rPr>
                      <w:rFonts w:hint="default" w:ascii="Times New Roman" w:hAnsi="Times New Roman" w:cs="Times New Roman"/>
                      <w:spacing w:val="-1"/>
                      <w:sz w:val="18"/>
                      <w:szCs w:val="18"/>
                    </w:rPr>
                    <w:t>无排放标准的污染物）。</w:t>
                  </w:r>
                </w:p>
                <w:p w14:paraId="61A6EA3A">
                  <w:pPr>
                    <w:pStyle w:val="43"/>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both"/>
                    <w:textAlignment w:val="auto"/>
                    <w:rPr>
                      <w:rFonts w:hint="default" w:ascii="Times New Roman" w:hAnsi="Times New Roman" w:cs="Times New Roman"/>
                      <w:sz w:val="18"/>
                      <w:szCs w:val="18"/>
                    </w:rPr>
                  </w:pPr>
                  <w:r>
                    <w:rPr>
                      <w:rFonts w:hint="default" w:ascii="Times New Roman" w:hAnsi="Times New Roman" w:eastAsia="Times New Roman" w:cs="Times New Roman"/>
                      <w:spacing w:val="4"/>
                      <w:sz w:val="18"/>
                      <w:szCs w:val="18"/>
                    </w:rPr>
                    <w:t>2.</w:t>
                  </w:r>
                  <w:r>
                    <w:rPr>
                      <w:rFonts w:hint="default" w:ascii="Times New Roman" w:hAnsi="Times New Roman" w:cs="Times New Roman"/>
                      <w:spacing w:val="4"/>
                      <w:sz w:val="18"/>
                      <w:szCs w:val="18"/>
                    </w:rPr>
                    <w:t>环境空气保护目标指自然保护区、风景名胜区、居住区、文化</w:t>
                  </w:r>
                  <w:r>
                    <w:rPr>
                      <w:rFonts w:hint="default" w:ascii="Times New Roman" w:hAnsi="Times New Roman" w:cs="Times New Roman"/>
                      <w:spacing w:val="3"/>
                      <w:sz w:val="18"/>
                      <w:szCs w:val="18"/>
                    </w:rPr>
                    <w:t>区和农村地区中人群</w:t>
                  </w:r>
                  <w:r>
                    <w:rPr>
                      <w:rFonts w:hint="default" w:ascii="Times New Roman" w:hAnsi="Times New Roman" w:cs="Times New Roman"/>
                      <w:spacing w:val="-2"/>
                      <w:sz w:val="18"/>
                      <w:szCs w:val="18"/>
                    </w:rPr>
                    <w:t>较集中的区域。</w:t>
                  </w:r>
                </w:p>
                <w:p w14:paraId="109C9D1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Times New Roman" w:cs="Times New Roman"/>
                      <w:sz w:val="18"/>
                      <w:szCs w:val="18"/>
                    </w:rPr>
                    <w:t>3.</w:t>
                  </w:r>
                  <w:r>
                    <w:rPr>
                      <w:rFonts w:hint="default" w:ascii="Times New Roman" w:hAnsi="Times New Roman" w:cs="Times New Roman"/>
                      <w:sz w:val="18"/>
                      <w:szCs w:val="18"/>
                    </w:rPr>
                    <w:t>临界量及其计算方法可参考《建设项目环境风险评价技术导则》（</w:t>
                  </w:r>
                  <w:r>
                    <w:rPr>
                      <w:rFonts w:hint="default" w:ascii="Times New Roman" w:hAnsi="Times New Roman" w:eastAsia="Times New Roman" w:cs="Times New Roman"/>
                      <w:sz w:val="18"/>
                      <w:szCs w:val="18"/>
                    </w:rPr>
                    <w:t>HJ169</w:t>
                  </w:r>
                  <w:r>
                    <w:rPr>
                      <w:rFonts w:hint="default" w:ascii="Times New Roman" w:hAnsi="Times New Roman" w:cs="Times New Roman"/>
                      <w:sz w:val="18"/>
                      <w:szCs w:val="18"/>
                    </w:rPr>
                    <w:t>）附录</w:t>
                  </w:r>
                  <w:r>
                    <w:rPr>
                      <w:rFonts w:hint="default" w:ascii="Times New Roman" w:hAnsi="Times New Roman" w:eastAsia="Times New Roman" w:cs="Times New Roman"/>
                      <w:sz w:val="18"/>
                      <w:szCs w:val="18"/>
                    </w:rPr>
                    <w:t>B</w:t>
                  </w:r>
                  <w:r>
                    <w:rPr>
                      <w:rFonts w:hint="default" w:ascii="Times New Roman" w:hAnsi="Times New Roman" w:cs="Times New Roman"/>
                      <w:sz w:val="18"/>
                      <w:szCs w:val="18"/>
                    </w:rPr>
                    <w:t>、</w:t>
                  </w:r>
                  <w:r>
                    <w:rPr>
                      <w:rFonts w:hint="default" w:ascii="Times New Roman" w:hAnsi="Times New Roman" w:cs="Times New Roman"/>
                      <w:spacing w:val="-7"/>
                      <w:sz w:val="18"/>
                      <w:szCs w:val="18"/>
                    </w:rPr>
                    <w:t>附录</w:t>
                  </w:r>
                  <w:r>
                    <w:rPr>
                      <w:rFonts w:hint="default" w:ascii="Times New Roman" w:hAnsi="Times New Roman" w:eastAsia="Times New Roman" w:cs="Times New Roman"/>
                      <w:spacing w:val="-7"/>
                      <w:sz w:val="18"/>
                      <w:szCs w:val="18"/>
                    </w:rPr>
                    <w:t>C</w:t>
                  </w:r>
                  <w:r>
                    <w:rPr>
                      <w:rFonts w:hint="default" w:ascii="Times New Roman" w:hAnsi="Times New Roman" w:cs="Times New Roman"/>
                      <w:spacing w:val="-7"/>
                      <w:sz w:val="18"/>
                      <w:szCs w:val="18"/>
                    </w:rPr>
                    <w:t>。</w:t>
                  </w:r>
                </w:p>
              </w:tc>
            </w:tr>
          </w:tbl>
          <w:p w14:paraId="17FC50FE">
            <w:pPr>
              <w:bidi w:val="0"/>
              <w:rPr>
                <w:rFonts w:hint="default" w:ascii="Times New Roman" w:hAnsi="Times New Roman" w:cs="Times New Roman"/>
              </w:rPr>
            </w:pPr>
            <w:r>
              <w:rPr>
                <w:rFonts w:hint="default" w:ascii="Times New Roman" w:hAnsi="Times New Roman" w:cs="Times New Roman"/>
              </w:rPr>
              <w:t>综上所述，本项目不需要开展专项评价工作。</w:t>
            </w:r>
          </w:p>
        </w:tc>
      </w:tr>
      <w:tr w14:paraId="019438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83" w:hRule="atLeast"/>
          <w:jc w:val="center"/>
        </w:trPr>
        <w:tc>
          <w:tcPr>
            <w:tcW w:w="1279" w:type="dxa"/>
            <w:noWrap w:val="0"/>
            <w:vAlign w:val="center"/>
          </w:tcPr>
          <w:p w14:paraId="57AD60D3">
            <w:pPr>
              <w:autoSpaceDE w:val="0"/>
              <w:autoSpaceDN w:val="0"/>
              <w:adjustRightInd w:val="0"/>
              <w:snapToGrid w:val="0"/>
              <w:ind w:left="0" w:leftChars="0" w:firstLine="0" w:firstLineChars="0"/>
              <w:jc w:val="center"/>
              <w:rPr>
                <w:rFonts w:hint="default" w:ascii="Times New Roman" w:hAnsi="Times New Roman" w:cs="Times New Roman"/>
                <w:kern w:val="0"/>
                <w:sz w:val="24"/>
                <w:szCs w:val="24"/>
              </w:rPr>
            </w:pPr>
            <w:r>
              <w:rPr>
                <w:rFonts w:hint="default" w:ascii="Times New Roman" w:hAnsi="Times New Roman" w:cs="Times New Roman"/>
                <w:sz w:val="24"/>
                <w:szCs w:val="24"/>
              </w:rPr>
              <w:t>规划情况</w:t>
            </w:r>
          </w:p>
        </w:tc>
        <w:tc>
          <w:tcPr>
            <w:tcW w:w="6840" w:type="dxa"/>
            <w:gridSpan w:val="4"/>
            <w:noWrap w:val="0"/>
            <w:vAlign w:val="center"/>
          </w:tcPr>
          <w:p w14:paraId="4D409937">
            <w:pPr>
              <w:bidi w:val="0"/>
              <w:rPr>
                <w:rFonts w:hint="default" w:ascii="Times New Roman" w:hAnsi="Times New Roman" w:cs="Times New Roman"/>
                <w:lang w:eastAsia="zh-CN"/>
              </w:rPr>
            </w:pPr>
            <w:r>
              <w:rPr>
                <w:rFonts w:hint="default" w:ascii="Times New Roman" w:hAnsi="Times New Roman" w:cs="Times New Roman"/>
                <w:lang w:eastAsia="zh-CN"/>
              </w:rPr>
              <w:t>2022年12月，鄂尔多斯蒙苏经济开发区管委会委托苏州中资工程咨询有限公司编制了《内蒙古鄂尔多斯蒙苏经济开发区产业发展规划（2023-2035年）》。</w:t>
            </w:r>
          </w:p>
          <w:p w14:paraId="59B617E6">
            <w:pPr>
              <w:bidi w:val="0"/>
              <w:rPr>
                <w:rFonts w:hint="default" w:ascii="Times New Roman" w:hAnsi="Times New Roman" w:cs="Times New Roman"/>
                <w:lang w:eastAsia="zh-CN"/>
              </w:rPr>
            </w:pPr>
            <w:r>
              <w:rPr>
                <w:rFonts w:hint="default" w:ascii="Times New Roman" w:hAnsi="Times New Roman" w:cs="Times New Roman"/>
                <w:lang w:val="en-US" w:eastAsia="zh-CN"/>
              </w:rPr>
              <w:t>2024年6月18日，鄂尔多斯蒙苏经济开发区获</w:t>
            </w:r>
            <w:r>
              <w:rPr>
                <w:rFonts w:hint="default" w:ascii="Times New Roman" w:hAnsi="Times New Roman" w:eastAsia="宋体" w:cs="Times New Roman"/>
                <w:lang w:val="en-US" w:eastAsia="zh-CN"/>
              </w:rPr>
              <w:t>得《鄂尔多斯市人民政府关于蒙苏经济开发区产业发展规划（2023-2035年）的批复》（鄂府发〔2024〕43号）：鄂</w:t>
            </w:r>
            <w:r>
              <w:rPr>
                <w:rFonts w:hint="default" w:ascii="Times New Roman" w:hAnsi="Times New Roman" w:cs="Times New Roman"/>
                <w:lang w:val="en-US" w:eastAsia="zh-CN"/>
              </w:rPr>
              <w:t>尔多斯蒙苏经济开发区主导产业为能源化工、装备制造、物流及相关延伸产业。</w:t>
            </w:r>
          </w:p>
          <w:p w14:paraId="6C1BF413">
            <w:pPr>
              <w:bidi w:val="0"/>
              <w:rPr>
                <w:rFonts w:hint="default" w:ascii="Times New Roman" w:hAnsi="Times New Roman" w:cs="Times New Roman"/>
                <w:lang w:eastAsia="zh-CN"/>
              </w:rPr>
            </w:pPr>
            <w:r>
              <w:rPr>
                <w:rFonts w:hint="default" w:ascii="Times New Roman" w:hAnsi="Times New Roman" w:cs="Times New Roman"/>
                <w:lang w:eastAsia="zh-CN"/>
              </w:rPr>
              <w:t>2023年4月，鄂尔多斯蒙苏经济开发区管委会委托城市科学规划设计研究院有限公司编制《鄂尔多斯蒙苏经济开发区国土空间总体规划（2021-2035年）》。</w:t>
            </w:r>
          </w:p>
          <w:p w14:paraId="2B261C7C">
            <w:pPr>
              <w:bidi w:val="0"/>
              <w:rPr>
                <w:rFonts w:hint="default" w:ascii="Times New Roman" w:hAnsi="Times New Roman" w:cs="Times New Roman"/>
                <w:kern w:val="0"/>
                <w:szCs w:val="24"/>
              </w:rPr>
            </w:pPr>
            <w:r>
              <w:rPr>
                <w:rFonts w:hint="default" w:ascii="Times New Roman" w:hAnsi="Times New Roman" w:cs="Times New Roman"/>
                <w:lang w:val="en-US" w:eastAsia="zh-CN"/>
              </w:rPr>
              <w:t>2024年3月1日，内蒙古自治区工业和信息化厅发布《关于印发实施内蒙古自治区工业园区审核公告目录的通知》（内工信发〔2024〕87号），鄂尔多斯蒙苏经济开发区园区级别为一类，分为鄂尔多斯零碳产业园、圣圆煤化工产业园、伊金霍洛物流园三个区块。鄂尔多斯零碳产业园主导产业为装备制造。</w:t>
            </w:r>
          </w:p>
        </w:tc>
      </w:tr>
      <w:tr w14:paraId="12D372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18" w:hRule="atLeast"/>
          <w:jc w:val="center"/>
        </w:trPr>
        <w:tc>
          <w:tcPr>
            <w:tcW w:w="1279" w:type="dxa"/>
            <w:noWrap w:val="0"/>
            <w:vAlign w:val="center"/>
          </w:tcPr>
          <w:p w14:paraId="1C77A96C">
            <w:pPr>
              <w:adjustRightInd w:val="0"/>
              <w:snapToGrid w:val="0"/>
              <w:ind w:left="0" w:leftChars="0" w:firstLine="0" w:firstLineChars="0"/>
              <w:jc w:val="center"/>
              <w:rPr>
                <w:rFonts w:hint="default" w:ascii="Times New Roman" w:hAnsi="Times New Roman" w:cs="Times New Roman"/>
                <w:kern w:val="0"/>
                <w:sz w:val="24"/>
                <w:szCs w:val="24"/>
              </w:rPr>
            </w:pPr>
            <w:r>
              <w:rPr>
                <w:rFonts w:hint="default" w:ascii="Times New Roman" w:hAnsi="Times New Roman" w:cs="Times New Roman"/>
                <w:sz w:val="24"/>
                <w:szCs w:val="24"/>
              </w:rPr>
              <w:t>规划环境影响评价情况</w:t>
            </w:r>
          </w:p>
        </w:tc>
        <w:tc>
          <w:tcPr>
            <w:tcW w:w="6840" w:type="dxa"/>
            <w:gridSpan w:val="4"/>
            <w:noWrap w:val="0"/>
            <w:vAlign w:val="center"/>
          </w:tcPr>
          <w:p w14:paraId="3166DBDD">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文件名称：《鄂尔多斯蒙苏经济开发区国土空间总体规划（2021-2035年）鄂尔多斯零碳产业园环境影响报告书》</w:t>
            </w:r>
          </w:p>
          <w:p w14:paraId="7D70FADC">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审查机关：内蒙古自治区生态环境厅</w:t>
            </w:r>
          </w:p>
          <w:p w14:paraId="20A63DCC">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审批文件名称：关于《鄂尔多斯蒙苏经济开发区国土空间总体规划（2021-2035年）鄂尔多斯零碳产业园环境影响报告书》的审查意见</w:t>
            </w:r>
          </w:p>
          <w:p w14:paraId="378E3C66">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lang w:val="en-US" w:eastAsia="zh-CN"/>
              </w:rPr>
              <w:t>审批文号：内环审〔2024〕83号</w:t>
            </w:r>
          </w:p>
        </w:tc>
      </w:tr>
      <w:tr w14:paraId="5CB83D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1279" w:type="dxa"/>
            <w:noWrap w:val="0"/>
            <w:vAlign w:val="center"/>
          </w:tcPr>
          <w:p w14:paraId="63BB53D6">
            <w:pPr>
              <w:autoSpaceDE w:val="0"/>
              <w:autoSpaceDN w:val="0"/>
              <w:adjustRightInd w:val="0"/>
              <w:snapToGrid w:val="0"/>
              <w:ind w:left="0" w:leftChars="0" w:firstLine="0" w:firstLineChars="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规划及规划环境影响评价符合性分析</w:t>
            </w:r>
          </w:p>
        </w:tc>
        <w:tc>
          <w:tcPr>
            <w:tcW w:w="6840" w:type="dxa"/>
            <w:gridSpan w:val="4"/>
            <w:noWrap w:val="0"/>
            <w:vAlign w:val="center"/>
          </w:tcPr>
          <w:p w14:paraId="16D38EC1">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根据《内蒙古鄂尔多斯蒙苏经济开发区产业发展规划（2023-2035年）》，鄂尔多斯蒙苏经济开发区按照“一区三园”模式进行一体化管理，包括鄂尔多斯零碳产业园、圣圆煤化工产业园、伊金霍洛物流园。</w:t>
            </w:r>
          </w:p>
          <w:p w14:paraId="1E9A81BE">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为响应碳达峰、碳中和</w:t>
            </w:r>
            <w:r>
              <w:rPr>
                <w:rFonts w:hint="eastAsia" w:cs="Times New Roman"/>
                <w:kern w:val="0"/>
                <w:sz w:val="24"/>
                <w:szCs w:val="24"/>
                <w:lang w:val="en-US" w:eastAsia="zh-CN"/>
              </w:rPr>
              <w:t>“双碳”目标</w:t>
            </w:r>
            <w:r>
              <w:rPr>
                <w:rFonts w:hint="default" w:ascii="Times New Roman" w:hAnsi="Times New Roman" w:cs="Times New Roman"/>
                <w:kern w:val="0"/>
                <w:sz w:val="24"/>
                <w:szCs w:val="24"/>
                <w:lang w:val="en-US" w:eastAsia="zh-CN"/>
              </w:rPr>
              <w:t>，破解产业结构中存在的“四多四少”问题（传统产业多、新兴产业少；低端产业多、高端产业少；资源型产业多、高附加值产业少；劳动密集型产业多、资本科技型产业少），推进资源依赖型城市的工业转型，充分应对“碳壁垒”，鄂尔多斯蒙苏经济开发区聚焦</w:t>
            </w:r>
            <w:r>
              <w:rPr>
                <w:rFonts w:hint="eastAsia" w:cs="Times New Roman"/>
                <w:kern w:val="0"/>
                <w:sz w:val="24"/>
                <w:szCs w:val="24"/>
                <w:lang w:val="en-US" w:eastAsia="zh-CN"/>
              </w:rPr>
              <w:t>“双碳”目标</w:t>
            </w:r>
            <w:r>
              <w:rPr>
                <w:rFonts w:hint="default" w:ascii="Times New Roman" w:hAnsi="Times New Roman" w:cs="Times New Roman"/>
                <w:kern w:val="0"/>
                <w:sz w:val="24"/>
                <w:szCs w:val="24"/>
                <w:lang w:val="en-US" w:eastAsia="zh-CN"/>
              </w:rPr>
              <w:t>擘画发展蓝图，致力于打造鄂尔多斯零碳产业园新名片。</w:t>
            </w:r>
          </w:p>
          <w:p w14:paraId="54AAF3B1">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零碳产业园指在一个产业园区内直接或间接产生的二氧化碳排放总量，在一定周期内，通过清洁技术支持、碳回收技术、能源存储交换等方式全部予以抵消，从而</w:t>
            </w:r>
            <w:r>
              <w:rPr>
                <w:rFonts w:hint="eastAsia" w:cs="Times New Roman"/>
                <w:kern w:val="0"/>
                <w:sz w:val="24"/>
                <w:szCs w:val="24"/>
                <w:lang w:val="en-US" w:eastAsia="zh-CN"/>
              </w:rPr>
              <w:t>全面实现</w:t>
            </w:r>
            <w:r>
              <w:rPr>
                <w:rFonts w:hint="default" w:ascii="Times New Roman" w:hAnsi="Times New Roman" w:cs="Times New Roman"/>
                <w:kern w:val="0"/>
                <w:sz w:val="24"/>
                <w:szCs w:val="24"/>
                <w:lang w:val="en-US" w:eastAsia="zh-CN"/>
              </w:rPr>
              <w:t>碳元素“零排放”、生产生态生活深度融合的新型现代化产业园区。</w:t>
            </w:r>
          </w:p>
          <w:p w14:paraId="6CDEAC6B">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着力通过构筑“1+2+5+8</w:t>
            </w:r>
            <w:r>
              <w:rPr>
                <w:rFonts w:hint="eastAsia" w:cs="Times New Roman"/>
                <w:kern w:val="0"/>
                <w:sz w:val="24"/>
                <w:szCs w:val="24"/>
                <w:lang w:val="en-US" w:eastAsia="zh-CN"/>
              </w:rPr>
              <w:t>”创新</w:t>
            </w:r>
            <w:r>
              <w:rPr>
                <w:rFonts w:hint="default" w:ascii="Times New Roman" w:hAnsi="Times New Roman" w:cs="Times New Roman"/>
                <w:kern w:val="0"/>
                <w:sz w:val="24"/>
                <w:szCs w:val="24"/>
                <w:lang w:val="en-US" w:eastAsia="zh-CN"/>
              </w:rPr>
              <w:t>示范体系（一个新型电力系统，一套国际标准和一个能碳管理平台，五大零碳产业链集群，八大创新示范）实现零碳构想。“1”即打造一个新型电力系统，加快建设包括风电、光伏和智慧储能在内的零碳供能系统，提高绿电直供比例，努力实现零碳供电，率先构建以新能源为主体的新型电力系统。“2”即发布一套国际标准和打造一个能碳管理平台，实现对新能源及负荷的精准监测和管理，动态、灵活实现能源供需匹配，削峰填谷，提高能源系统可靠性；可使风光资源高效充分利用于发电、储能或制氢，打通全能源产业链，显著优化基础设施投资成本。所有入园企业以及园区周边规上企业纳入平台，利用大数据实现碳排放智能分析、动态管理。力争推广应用“零碳绿码”，为开展国际“零碳贸易”打好基础。“5”即构建“风光氢储车”五大零碳产业链集群，依托已入园的远景动力集团、隆基股份、美锦国鸿、捷氢科技、上汽红岩等头部链主企业，带动“新能源电池“新能源装备”“新能源汽车”链上产业集群发展。“8”即最终形成全绿色电源供给、高比例新型综合储能系统、智能源荷互动微电网、智能物联能碳管理平台、国际零碳产业园标准、“风光氢储车”零碳产业链集群、绿色科技专家培育“硅谷”、零碳产业园全国全球推广样板的八大创新示范。</w:t>
            </w:r>
          </w:p>
          <w:p w14:paraId="717350E5">
            <w:pPr>
              <w:bidi w:val="0"/>
              <w:rPr>
                <w:rFonts w:hint="default"/>
                <w:lang w:val="en-US" w:eastAsia="zh-CN"/>
              </w:rPr>
            </w:pPr>
            <w:r>
              <w:rPr>
                <w:rFonts w:hint="default"/>
                <w:lang w:val="en-US" w:eastAsia="zh-CN"/>
              </w:rPr>
              <w:t>鄂尔多斯零碳产业园分为鄂尔多斯零碳产业园西片区、鄂尔多斯零碳产业园装备制造片区。鄂尔多斯零碳产业园西片区以新能源电池、新能源装备和新能源汽车为主导，打造零碳产业集群；鄂尔多斯零碳产业园装备制造片区重点发展矿用装备、煤化工装备相关制造装备、风光电装备。</w:t>
            </w:r>
          </w:p>
          <w:p w14:paraId="72A45CC4">
            <w:pPr>
              <w:bidi w:val="0"/>
              <w:rPr>
                <w:rFonts w:hint="default" w:ascii="Times New Roman" w:hAnsi="Times New Roman" w:cs="Times New Roman"/>
                <w:kern w:val="0"/>
                <w:sz w:val="24"/>
                <w:szCs w:val="24"/>
                <w:lang w:val="en-US" w:eastAsia="zh-CN"/>
              </w:rPr>
            </w:pPr>
            <w:r>
              <w:rPr>
                <w:rFonts w:hint="eastAsia"/>
                <w:color w:val="0000FF"/>
                <w:lang w:val="en-US" w:eastAsia="zh-CN"/>
              </w:rPr>
              <w:t>本项目为园区配套的拌合站项目，为园区服务类项目，</w:t>
            </w:r>
            <w:r>
              <w:rPr>
                <w:rFonts w:hint="default"/>
                <w:color w:val="0000FF"/>
                <w:lang w:val="en-US" w:eastAsia="zh-CN"/>
              </w:rPr>
              <w:t>建设符合《内蒙古鄂尔多斯蒙苏经济开发区产业发展规划（2023-2035年）》的要求。</w:t>
            </w:r>
            <w:r>
              <w:rPr>
                <w:rFonts w:hint="default" w:ascii="Times New Roman" w:hAnsi="Times New Roman" w:cs="Times New Roman"/>
                <w:color w:val="0000FF"/>
                <w:kern w:val="0"/>
                <w:sz w:val="24"/>
                <w:szCs w:val="24"/>
                <w:lang w:val="en-US" w:eastAsia="zh-CN"/>
              </w:rPr>
              <w:t>本项目与规</w:t>
            </w:r>
            <w:r>
              <w:rPr>
                <w:rFonts w:hint="default" w:ascii="Times New Roman" w:hAnsi="Times New Roman" w:cs="Times New Roman"/>
                <w:kern w:val="0"/>
                <w:sz w:val="24"/>
                <w:szCs w:val="24"/>
                <w:lang w:val="en-US" w:eastAsia="zh-CN"/>
              </w:rPr>
              <w:t>划环评审查意见符合性分析见下表：</w:t>
            </w:r>
          </w:p>
          <w:p w14:paraId="6FD5FC95">
            <w:pPr>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jc w:val="both"/>
              <w:textAlignment w:val="auto"/>
              <w:rPr>
                <w:rFonts w:hint="default" w:ascii="Times New Roman" w:hAnsi="Times New Roman" w:cs="Times New Roman"/>
                <w:b/>
                <w:bCs/>
                <w:kern w:val="0"/>
                <w:sz w:val="24"/>
                <w:szCs w:val="24"/>
                <w:lang w:val="en-US" w:eastAsia="zh-CN"/>
              </w:rPr>
            </w:pPr>
            <w:r>
              <w:rPr>
                <w:rFonts w:hint="default" w:ascii="Times New Roman" w:hAnsi="Times New Roman" w:cs="Times New Roman"/>
                <w:b/>
                <w:bCs/>
                <w:kern w:val="0"/>
                <w:sz w:val="24"/>
                <w:szCs w:val="24"/>
                <w:lang w:val="en-US" w:eastAsia="zh-CN"/>
              </w:rPr>
              <w:t>表1-2本项目与规划环评审查意见符合性分析表</w:t>
            </w:r>
          </w:p>
          <w:tbl>
            <w:tblPr>
              <w:tblStyle w:val="18"/>
              <w:tblW w:w="49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2"/>
              <w:gridCol w:w="2904"/>
              <w:gridCol w:w="2489"/>
              <w:gridCol w:w="691"/>
            </w:tblGrid>
            <w:tr w14:paraId="61ED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95" w:type="pct"/>
                  <w:tcBorders>
                    <w:tl2br w:val="nil"/>
                    <w:tr2bl w:val="nil"/>
                  </w:tcBorders>
                  <w:noWrap w:val="0"/>
                  <w:vAlign w:val="center"/>
                </w:tcPr>
                <w:p w14:paraId="67AE22A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序号</w:t>
                  </w:r>
                </w:p>
              </w:tc>
              <w:tc>
                <w:tcPr>
                  <w:tcW w:w="2198" w:type="pct"/>
                  <w:tcBorders>
                    <w:tl2br w:val="nil"/>
                    <w:tr2bl w:val="nil"/>
                  </w:tcBorders>
                  <w:noWrap w:val="0"/>
                  <w:vAlign w:val="center"/>
                </w:tcPr>
                <w:p w14:paraId="337F813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规划环评审查意见情况</w:t>
                  </w:r>
                </w:p>
              </w:tc>
              <w:tc>
                <w:tcPr>
                  <w:tcW w:w="1883" w:type="pct"/>
                  <w:tcBorders>
                    <w:tl2br w:val="nil"/>
                    <w:tr2bl w:val="nil"/>
                  </w:tcBorders>
                  <w:noWrap w:val="0"/>
                  <w:vAlign w:val="center"/>
                </w:tcPr>
                <w:p w14:paraId="3F30F32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本项目情况</w:t>
                  </w:r>
                </w:p>
              </w:tc>
              <w:tc>
                <w:tcPr>
                  <w:tcW w:w="523" w:type="pct"/>
                  <w:tcBorders>
                    <w:tl2br w:val="nil"/>
                    <w:tr2bl w:val="nil"/>
                  </w:tcBorders>
                  <w:noWrap w:val="0"/>
                  <w:vAlign w:val="center"/>
                </w:tcPr>
                <w:p w14:paraId="4DAF358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符合性</w:t>
                  </w:r>
                </w:p>
              </w:tc>
            </w:tr>
            <w:tr w14:paraId="4383C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95" w:type="pct"/>
                  <w:tcBorders>
                    <w:tl2br w:val="nil"/>
                    <w:tr2bl w:val="nil"/>
                  </w:tcBorders>
                  <w:noWrap w:val="0"/>
                  <w:vAlign w:val="center"/>
                </w:tcPr>
                <w:p w14:paraId="2E83DC4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1</w:t>
                  </w:r>
                </w:p>
              </w:tc>
              <w:tc>
                <w:tcPr>
                  <w:tcW w:w="2198" w:type="pct"/>
                  <w:tcBorders>
                    <w:tl2br w:val="nil"/>
                    <w:tr2bl w:val="nil"/>
                  </w:tcBorders>
                  <w:noWrap w:val="0"/>
                  <w:vAlign w:val="center"/>
                </w:tcPr>
                <w:p w14:paraId="7AB4E5A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坚持生态优先、绿色发展理念，加强规划引领。园区总体规划应做好与自治区、鄂尔多斯市国土空间总体规划及生态环境分区管控的协调衔接，</w:t>
                  </w:r>
                  <w:r>
                    <w:rPr>
                      <w:rFonts w:hint="eastAsia" w:cs="Times New Roman"/>
                      <w:kern w:val="0"/>
                      <w:sz w:val="24"/>
                      <w:szCs w:val="24"/>
                      <w:lang w:val="en-US" w:eastAsia="zh-CN"/>
                    </w:rPr>
                    <w:t>并</w:t>
                  </w:r>
                  <w:r>
                    <w:rPr>
                      <w:rFonts w:hint="default" w:ascii="Times New Roman" w:hAnsi="Times New Roman" w:cs="Times New Roman"/>
                      <w:kern w:val="0"/>
                      <w:sz w:val="24"/>
                      <w:szCs w:val="24"/>
                      <w:lang w:val="en-US" w:eastAsia="zh-CN"/>
                    </w:rPr>
                    <w:t>与</w:t>
                  </w:r>
                  <w:r>
                    <w:rPr>
                      <w:rFonts w:hint="eastAsia" w:cs="Times New Roman"/>
                      <w:kern w:val="0"/>
                      <w:sz w:val="24"/>
                      <w:szCs w:val="24"/>
                      <w:lang w:val="en-US" w:eastAsia="zh-CN"/>
                    </w:rPr>
                    <w:t>当地其他</w:t>
                  </w:r>
                  <w:r>
                    <w:rPr>
                      <w:rFonts w:hint="default" w:ascii="Times New Roman" w:hAnsi="Times New Roman" w:cs="Times New Roman"/>
                      <w:kern w:val="0"/>
                      <w:sz w:val="24"/>
                      <w:szCs w:val="24"/>
                      <w:lang w:val="en-US" w:eastAsia="zh-CN"/>
                    </w:rPr>
                    <w:t>专项规划相协调。按照《内蒙古自治区人民政府关于促进工业园区高质量发展的若干意见》(内政发〔2019〕21号)《内蒙古自治区人民政府办公厅关于进一步加强全区自治区级及以上工业园区环境保护工作的通知》(内政办发〔2018〕88号)及自治区、鄂尔多斯市国民经济和社会发展第十四个五年规划以及2035年远景目标纲要等要求，指导园区建设。</w:t>
                  </w:r>
                </w:p>
              </w:tc>
              <w:tc>
                <w:tcPr>
                  <w:tcW w:w="1883" w:type="pct"/>
                  <w:tcBorders>
                    <w:tl2br w:val="nil"/>
                    <w:tr2bl w:val="nil"/>
                  </w:tcBorders>
                  <w:noWrap w:val="0"/>
                  <w:vAlign w:val="center"/>
                </w:tcPr>
                <w:p w14:paraId="7E2BF39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color w:val="0000FF"/>
                      <w:kern w:val="0"/>
                      <w:sz w:val="24"/>
                      <w:szCs w:val="24"/>
                      <w:lang w:val="en-US" w:eastAsia="zh-CN"/>
                    </w:rPr>
                  </w:pPr>
                  <w:r>
                    <w:rPr>
                      <w:rFonts w:hint="default" w:ascii="Times New Roman" w:hAnsi="Times New Roman" w:eastAsia="宋体" w:cs="Times New Roman"/>
                      <w:kern w:val="0"/>
                      <w:sz w:val="24"/>
                      <w:szCs w:val="24"/>
                      <w:lang w:val="en-US" w:eastAsia="zh-CN"/>
                    </w:rPr>
                    <w:t>本项目为水泥制品制造，位于内蒙古自治区鄂尔多斯市伊金霍洛旗蒙苏经济开发区零碳产业园，标准地及南部拓展区R-01-03地块，项目建设符合《内蒙古鄂尔多斯蒙苏经济开发区产业发展规划（2023-2035年）》及《鄂尔多斯蒙苏经济开发区国土空间总体规划（2021-2035年）》。</w:t>
                  </w:r>
                </w:p>
              </w:tc>
              <w:tc>
                <w:tcPr>
                  <w:tcW w:w="523" w:type="pct"/>
                  <w:tcBorders>
                    <w:tl2br w:val="nil"/>
                    <w:tr2bl w:val="nil"/>
                  </w:tcBorders>
                  <w:noWrap w:val="0"/>
                  <w:vAlign w:val="center"/>
                </w:tcPr>
                <w:p w14:paraId="7AA399F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符合</w:t>
                  </w:r>
                </w:p>
              </w:tc>
            </w:tr>
            <w:tr w14:paraId="5C808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9" w:hRule="atLeast"/>
              </w:trPr>
              <w:tc>
                <w:tcPr>
                  <w:tcW w:w="395" w:type="pct"/>
                  <w:tcBorders>
                    <w:tl2br w:val="nil"/>
                    <w:tr2bl w:val="nil"/>
                  </w:tcBorders>
                  <w:noWrap w:val="0"/>
                  <w:vAlign w:val="center"/>
                </w:tcPr>
                <w:p w14:paraId="081A27B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2</w:t>
                  </w:r>
                </w:p>
              </w:tc>
              <w:tc>
                <w:tcPr>
                  <w:tcW w:w="2198" w:type="pct"/>
                  <w:tcBorders>
                    <w:tl2br w:val="nil"/>
                    <w:tr2bl w:val="nil"/>
                  </w:tcBorders>
                  <w:noWrap w:val="0"/>
                  <w:vAlign w:val="center"/>
                </w:tcPr>
                <w:p w14:paraId="188D67F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严格生态环境准入，推动高质量发展，园区应结合区域资源禀赋、生态敏感特征、生态功能保护、自治区及鄂尔多斯市碳达峰目标约束等要求，坚持循环经济和能源高效利用理念，严格落实《内蒙古自治区工业园区审核公告目录》、产业政策生态环境准入清单等要求及《报告书》推荐产业发展方案，合理发展装备制造、零碳经济等产业，不得新引进煤化工、金属冶炼等污染物排放量大、环境风险高的非主导产业项目，统筹做好产业发展和生态环境保护工作。落实“四水四定”要求，推动园区再生水资源全部合理利用，实现绿色发展、循环发展、低碳发展。</w:t>
                  </w:r>
                </w:p>
              </w:tc>
              <w:tc>
                <w:tcPr>
                  <w:tcW w:w="1883" w:type="pct"/>
                  <w:tcBorders>
                    <w:tl2br w:val="nil"/>
                    <w:tr2bl w:val="nil"/>
                  </w:tcBorders>
                  <w:noWrap w:val="0"/>
                  <w:vAlign w:val="center"/>
                </w:tcPr>
                <w:p w14:paraId="4C28927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color w:val="0000FF"/>
                      <w:kern w:val="0"/>
                      <w:sz w:val="24"/>
                      <w:szCs w:val="24"/>
                      <w:lang w:val="en-US" w:eastAsia="zh-CN"/>
                    </w:rPr>
                  </w:pPr>
                  <w:r>
                    <w:rPr>
                      <w:rFonts w:hint="default" w:ascii="Times New Roman" w:hAnsi="Times New Roman" w:eastAsia="宋体" w:cs="Times New Roman"/>
                      <w:kern w:val="0"/>
                      <w:sz w:val="24"/>
                      <w:szCs w:val="24"/>
                      <w:lang w:val="en-US" w:eastAsia="zh-CN"/>
                    </w:rPr>
                    <w:t>本项目为</w:t>
                  </w:r>
                  <w:r>
                    <w:rPr>
                      <w:rFonts w:hint="eastAsia" w:ascii="Times New Roman" w:hAnsi="Times New Roman" w:eastAsia="宋体" w:cs="Times New Roman"/>
                      <w:kern w:val="0"/>
                      <w:sz w:val="24"/>
                      <w:szCs w:val="24"/>
                      <w:lang w:val="en-US" w:eastAsia="zh-CN"/>
                    </w:rPr>
                    <w:t>水泥制品制造</w:t>
                  </w:r>
                  <w:r>
                    <w:rPr>
                      <w:rFonts w:hint="default" w:ascii="Times New Roman" w:hAnsi="Times New Roman" w:eastAsia="宋体" w:cs="Times New Roman"/>
                      <w:kern w:val="0"/>
                      <w:sz w:val="24"/>
                      <w:szCs w:val="24"/>
                      <w:lang w:val="en-US" w:eastAsia="zh-CN"/>
                    </w:rPr>
                    <w:t>，位于</w:t>
                  </w:r>
                  <w:r>
                    <w:rPr>
                      <w:rFonts w:hint="eastAsia" w:ascii="Times New Roman" w:hAnsi="Times New Roman" w:eastAsia="宋体" w:cs="Times New Roman"/>
                      <w:kern w:val="0"/>
                      <w:sz w:val="24"/>
                      <w:szCs w:val="24"/>
                      <w:lang w:val="en-US" w:eastAsia="zh-CN"/>
                    </w:rPr>
                    <w:t>内蒙古自治区鄂尔多斯市伊金霍洛旗蒙苏经济开发区零碳产业园，标准地及南部拓展区R-01-03地块</w:t>
                  </w:r>
                  <w:r>
                    <w:rPr>
                      <w:rFonts w:hint="default" w:ascii="Times New Roman" w:hAnsi="Times New Roman" w:eastAsia="宋体" w:cs="Times New Roman"/>
                      <w:kern w:val="0"/>
                      <w:sz w:val="24"/>
                      <w:szCs w:val="24"/>
                      <w:lang w:val="en-US" w:eastAsia="zh-CN"/>
                    </w:rPr>
                    <w:t>，项目不属于煤化工、金属冶炼等污染物排放量大、环境风险高的非主导产业项目。</w:t>
                  </w:r>
                </w:p>
              </w:tc>
              <w:tc>
                <w:tcPr>
                  <w:tcW w:w="523" w:type="pct"/>
                  <w:tcBorders>
                    <w:tl2br w:val="nil"/>
                    <w:tr2bl w:val="nil"/>
                  </w:tcBorders>
                  <w:noWrap w:val="0"/>
                  <w:vAlign w:val="center"/>
                </w:tcPr>
                <w:p w14:paraId="4DB51B3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符合</w:t>
                  </w:r>
                </w:p>
              </w:tc>
            </w:tr>
            <w:tr w14:paraId="2D737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95" w:type="pct"/>
                  <w:tcBorders>
                    <w:tl2br w:val="nil"/>
                    <w:tr2bl w:val="nil"/>
                  </w:tcBorders>
                  <w:noWrap w:val="0"/>
                  <w:vAlign w:val="center"/>
                </w:tcPr>
                <w:p w14:paraId="152FF53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3</w:t>
                  </w:r>
                </w:p>
              </w:tc>
              <w:tc>
                <w:tcPr>
                  <w:tcW w:w="2198" w:type="pct"/>
                  <w:tcBorders>
                    <w:tl2br w:val="nil"/>
                    <w:tr2bl w:val="nil"/>
                  </w:tcBorders>
                  <w:noWrap w:val="0"/>
                  <w:vAlign w:val="center"/>
                </w:tcPr>
                <w:p w14:paraId="6EE6242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kern w:val="0"/>
                      <w:sz w:val="24"/>
                      <w:szCs w:val="24"/>
                      <w:lang w:val="en-US" w:eastAsia="zh-CN"/>
                    </w:rPr>
                  </w:pPr>
                  <w:r>
                    <w:rPr>
                      <w:rFonts w:hint="default" w:ascii="Times New Roman" w:hAnsi="Times New Roman" w:eastAsia="宋体" w:cs="Times New Roman"/>
                      <w:kern w:val="0"/>
                      <w:sz w:val="24"/>
                      <w:szCs w:val="24"/>
                      <w:lang w:val="en-US" w:eastAsia="zh-CN"/>
                    </w:rPr>
                    <w:t>严格空间管控，优化产业布局。按照相关要求做好规划控制和防护带建设，园区与居民区、地表水体等环境敏感区之间应设置足够距离的隔离带</w:t>
                  </w:r>
                  <w:r>
                    <w:rPr>
                      <w:rFonts w:hint="eastAsia" w:cs="Times New Roman"/>
                      <w:kern w:val="0"/>
                      <w:sz w:val="24"/>
                      <w:szCs w:val="24"/>
                      <w:lang w:val="en-US" w:eastAsia="zh-CN"/>
                    </w:rPr>
                    <w:t>，并</w:t>
                  </w:r>
                  <w:r>
                    <w:rPr>
                      <w:rFonts w:hint="default" w:ascii="Times New Roman" w:hAnsi="Times New Roman" w:eastAsia="宋体" w:cs="Times New Roman"/>
                      <w:kern w:val="0"/>
                      <w:sz w:val="24"/>
                      <w:szCs w:val="24"/>
                      <w:lang w:val="en-US" w:eastAsia="zh-CN"/>
                    </w:rPr>
                    <w:t>合理优化邻近区域产业布局，确保园区产业发展与生态环境、人居环境相协调。配合伊金霍洛旗人民政府及有关部门做好园区及周边区域的国土空间规划和优化调整，发现不符合管控要求的行为，应及时向伊金霍洛旗人民政府报告。加强土壤污染重点企业监管，开展腾退企业遗留场地的土壤环境调查和风险评估，合理确定土地利用方式。</w:t>
                  </w:r>
                </w:p>
              </w:tc>
              <w:tc>
                <w:tcPr>
                  <w:tcW w:w="1883" w:type="pct"/>
                  <w:tcBorders>
                    <w:tl2br w:val="nil"/>
                    <w:tr2bl w:val="nil"/>
                  </w:tcBorders>
                  <w:noWrap w:val="0"/>
                  <w:vAlign w:val="center"/>
                </w:tcPr>
                <w:p w14:paraId="140D310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kern w:val="0"/>
                      <w:sz w:val="24"/>
                      <w:szCs w:val="24"/>
                      <w:lang w:val="en-US" w:eastAsia="zh-CN"/>
                    </w:rPr>
                  </w:pPr>
                  <w:r>
                    <w:rPr>
                      <w:rFonts w:hint="default" w:ascii="Times New Roman" w:hAnsi="Times New Roman" w:eastAsia="宋体" w:cs="Times New Roman"/>
                      <w:kern w:val="0"/>
                      <w:sz w:val="24"/>
                      <w:szCs w:val="24"/>
                      <w:lang w:val="en-US" w:eastAsia="zh-CN"/>
                    </w:rPr>
                    <w:t>项目位于园区内，附近没有常住居民居住，且本项目符合园区产业布局。</w:t>
                  </w:r>
                </w:p>
              </w:tc>
              <w:tc>
                <w:tcPr>
                  <w:tcW w:w="523" w:type="pct"/>
                  <w:tcBorders>
                    <w:tl2br w:val="nil"/>
                    <w:tr2bl w:val="nil"/>
                  </w:tcBorders>
                  <w:noWrap w:val="0"/>
                  <w:vAlign w:val="center"/>
                </w:tcPr>
                <w:p w14:paraId="5E78F9B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符合</w:t>
                  </w:r>
                </w:p>
              </w:tc>
            </w:tr>
            <w:tr w14:paraId="0B854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95" w:type="pct"/>
                  <w:tcBorders>
                    <w:tl2br w:val="nil"/>
                    <w:tr2bl w:val="nil"/>
                  </w:tcBorders>
                  <w:noWrap w:val="0"/>
                  <w:vAlign w:val="center"/>
                </w:tcPr>
                <w:p w14:paraId="37468E6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4</w:t>
                  </w:r>
                </w:p>
              </w:tc>
              <w:tc>
                <w:tcPr>
                  <w:tcW w:w="2198" w:type="pct"/>
                  <w:tcBorders>
                    <w:tl2br w:val="nil"/>
                    <w:tr2bl w:val="nil"/>
                  </w:tcBorders>
                  <w:noWrap w:val="0"/>
                  <w:vAlign w:val="center"/>
                </w:tcPr>
                <w:p w14:paraId="1332517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严守环境质量底线，强化污染物排放总量管控。根据国家、自治区和鄂尔多斯市关于大气、水、土壤、挥发性有机物污染防治相关要求，落实与区域环境空气质量改善目标相匹配的区域削减措施，强化主要污染物总量管控，推动重点行业实施大气污染物治理措施升级改造，持续减少主要污染物、挥发性有机物等有组织和无组织排放量，保障区域环境质量改善。</w:t>
                  </w:r>
                </w:p>
              </w:tc>
              <w:tc>
                <w:tcPr>
                  <w:tcW w:w="1883" w:type="pct"/>
                  <w:tcBorders>
                    <w:tl2br w:val="nil"/>
                    <w:tr2bl w:val="nil"/>
                  </w:tcBorders>
                  <w:noWrap w:val="0"/>
                  <w:vAlign w:val="center"/>
                </w:tcPr>
                <w:p w14:paraId="1D85A83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kern w:val="0"/>
                      <w:sz w:val="24"/>
                      <w:szCs w:val="24"/>
                      <w:lang w:val="en-US" w:eastAsia="zh-CN"/>
                    </w:rPr>
                  </w:pPr>
                  <w:r>
                    <w:rPr>
                      <w:rFonts w:hint="default" w:ascii="Times New Roman" w:hAnsi="Times New Roman" w:eastAsia="宋体" w:cs="Times New Roman"/>
                      <w:kern w:val="0"/>
                      <w:sz w:val="24"/>
                      <w:szCs w:val="24"/>
                      <w:lang w:val="en-US" w:eastAsia="zh-CN"/>
                    </w:rPr>
                    <w:t>本项目砂子、石子采用全封闭原料堆场储存，堆存区上方设置喷淋设施，装卸过</w:t>
                  </w:r>
                  <w:r>
                    <w:rPr>
                      <w:rFonts w:hint="eastAsia" w:cs="Times New Roman"/>
                      <w:kern w:val="0"/>
                      <w:sz w:val="24"/>
                      <w:szCs w:val="24"/>
                      <w:lang w:val="en-US" w:eastAsia="zh-CN"/>
                    </w:rPr>
                    <w:t>程中</w:t>
                  </w:r>
                  <w:r>
                    <w:rPr>
                      <w:rFonts w:hint="default" w:ascii="Times New Roman" w:hAnsi="Times New Roman" w:eastAsia="宋体" w:cs="Times New Roman"/>
                      <w:kern w:val="0"/>
                      <w:sz w:val="24"/>
                      <w:szCs w:val="24"/>
                      <w:lang w:val="en-US" w:eastAsia="zh-CN"/>
                    </w:rPr>
                    <w:t>尽量减小卸料落差，输料采用全封闭输送带；原料堆场地面硬化</w:t>
                  </w:r>
                  <w:r>
                    <w:rPr>
                      <w:rFonts w:hint="eastAsia" w:ascii="Times New Roman" w:hAnsi="Times New Roman" w:eastAsia="宋体" w:cs="Times New Roman"/>
                      <w:kern w:val="0"/>
                      <w:sz w:val="24"/>
                      <w:szCs w:val="24"/>
                      <w:lang w:val="en-US" w:eastAsia="zh-CN"/>
                    </w:rPr>
                    <w:t>。水泥、粉煤灰贮存筒仓为全封闭，仓顶均配有袋式除尘器（共2套），处理后经各自仓顶排气孔排放。搅拌设备为全封闭，2台搅拌机各配有一套脉冲式布袋除尘器直接安装在缓存斗盖上，缓存斗盖与搅拌机为封闭状态，各自经15m高排气筒（DA001、DA002）排放。厂区道路、停车场及其他地面硬化绿化，定时洒水；降低车辆运输速度；并配备高压水枪设备对驶出车辆进行冲洗清洁；厂区保洁人员及时对散落的物料进行清扫收集。</w:t>
                  </w:r>
                </w:p>
                <w:p w14:paraId="092F8FA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color w:val="0000FF"/>
                      <w:kern w:val="0"/>
                      <w:sz w:val="24"/>
                      <w:szCs w:val="24"/>
                      <w:lang w:val="en-US" w:eastAsia="zh-CN"/>
                    </w:rPr>
                  </w:pPr>
                  <w:r>
                    <w:rPr>
                      <w:rFonts w:hint="eastAsia" w:ascii="Times New Roman" w:hAnsi="Times New Roman" w:eastAsia="宋体" w:cs="Times New Roman"/>
                      <w:kern w:val="0"/>
                      <w:sz w:val="24"/>
                      <w:szCs w:val="24"/>
                      <w:lang w:val="en-US" w:eastAsia="zh-CN"/>
                    </w:rPr>
                    <w:t>经上述处理措</w:t>
                  </w:r>
                  <w:r>
                    <w:rPr>
                      <w:rFonts w:hint="default" w:ascii="Times New Roman" w:hAnsi="Times New Roman" w:eastAsia="宋体" w:cs="Times New Roman"/>
                      <w:kern w:val="0"/>
                      <w:sz w:val="24"/>
                      <w:szCs w:val="24"/>
                      <w:lang w:val="en-US" w:eastAsia="zh-CN"/>
                    </w:rPr>
                    <w:t>施处理后</w:t>
                  </w:r>
                  <w:r>
                    <w:rPr>
                      <w:rFonts w:hint="eastAsia" w:ascii="Times New Roman" w:hAnsi="Times New Roman" w:eastAsia="宋体" w:cs="Times New Roman"/>
                      <w:kern w:val="0"/>
                      <w:sz w:val="24"/>
                      <w:szCs w:val="24"/>
                      <w:lang w:val="en-US" w:eastAsia="zh-CN"/>
                    </w:rPr>
                    <w:t>，</w:t>
                  </w:r>
                  <w:r>
                    <w:rPr>
                      <w:rFonts w:hint="default" w:ascii="Times New Roman" w:hAnsi="Times New Roman" w:eastAsia="宋体" w:cs="Times New Roman"/>
                      <w:kern w:val="0"/>
                      <w:sz w:val="24"/>
                      <w:szCs w:val="24"/>
                      <w:lang w:val="en-US" w:eastAsia="zh-CN"/>
                    </w:rPr>
                    <w:t>可有效减少污染物排放量。本项目产生的废气经上述处理措施后，产生的废气对周围环境影响较小。</w:t>
                  </w:r>
                </w:p>
              </w:tc>
              <w:tc>
                <w:tcPr>
                  <w:tcW w:w="523" w:type="pct"/>
                  <w:tcBorders>
                    <w:tl2br w:val="nil"/>
                    <w:tr2bl w:val="nil"/>
                  </w:tcBorders>
                  <w:noWrap w:val="0"/>
                  <w:vAlign w:val="center"/>
                </w:tcPr>
                <w:p w14:paraId="717040E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符合</w:t>
                  </w:r>
                </w:p>
              </w:tc>
            </w:tr>
            <w:tr w14:paraId="07AC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95" w:type="pct"/>
                  <w:tcBorders>
                    <w:tl2br w:val="nil"/>
                    <w:tr2bl w:val="nil"/>
                  </w:tcBorders>
                  <w:noWrap w:val="0"/>
                  <w:vAlign w:val="center"/>
                </w:tcPr>
                <w:p w14:paraId="49CE5EA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5</w:t>
                  </w:r>
                </w:p>
              </w:tc>
              <w:tc>
                <w:tcPr>
                  <w:tcW w:w="2198" w:type="pct"/>
                  <w:tcBorders>
                    <w:tl2br w:val="nil"/>
                    <w:tr2bl w:val="nil"/>
                  </w:tcBorders>
                  <w:noWrap w:val="0"/>
                  <w:vAlign w:val="center"/>
                </w:tcPr>
                <w:p w14:paraId="3C467A2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加强环境基础设施建设，推进污染集中治理。强化企业生产废水预处理，合理规划西片区污水集中处理设施及配套管网，组织开展装备制造片区生产废水依托城镇污水处理厂处理可行性评估，统筹制定园区废水处理和综合利用总体方案并做好落实。因地制宜利用集中供热或清洁能源实现供热、供汽，禁止新建各类燃煤锅炉。强化企业危险废物鉴别主体责任，对园区各类危废实施严格监管和严密监控，实现全过程安全妥善处置。园区内及周边中短途汽车运输推广使用清洁能源。</w:t>
                  </w:r>
                </w:p>
              </w:tc>
              <w:tc>
                <w:tcPr>
                  <w:tcW w:w="1883" w:type="pct"/>
                  <w:tcBorders>
                    <w:tl2br w:val="nil"/>
                    <w:tr2bl w:val="nil"/>
                  </w:tcBorders>
                  <w:noWrap w:val="0"/>
                  <w:vAlign w:val="center"/>
                </w:tcPr>
                <w:p w14:paraId="2630869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color w:val="0000FF"/>
                      <w:kern w:val="0"/>
                      <w:sz w:val="24"/>
                      <w:szCs w:val="24"/>
                      <w:lang w:val="en-US" w:eastAsia="zh-CN"/>
                    </w:rPr>
                  </w:pPr>
                  <w:r>
                    <w:rPr>
                      <w:rFonts w:hint="default" w:ascii="Times New Roman" w:hAnsi="Times New Roman" w:eastAsia="宋体" w:cs="Times New Roman"/>
                      <w:kern w:val="0"/>
                      <w:sz w:val="24"/>
                      <w:szCs w:val="24"/>
                      <w:lang w:val="en-US" w:eastAsia="zh-CN"/>
                    </w:rPr>
                    <w:t>本项目生活污水</w:t>
                  </w:r>
                  <w:r>
                    <w:rPr>
                      <w:rFonts w:hint="eastAsia" w:cs="Times New Roman"/>
                      <w:kern w:val="0"/>
                      <w:sz w:val="24"/>
                      <w:szCs w:val="24"/>
                      <w:lang w:val="en-US" w:eastAsia="zh-CN"/>
                    </w:rPr>
                    <w:t>由化粪池收集后，定期交由伊金霍洛旗澎源供水有限公司进行拉运处理。</w:t>
                  </w:r>
                  <w:r>
                    <w:rPr>
                      <w:rFonts w:hint="eastAsia" w:ascii="Times New Roman" w:hAnsi="Times New Roman" w:eastAsia="宋体" w:cs="Times New Roman"/>
                      <w:kern w:val="0"/>
                      <w:sz w:val="24"/>
                      <w:szCs w:val="24"/>
                      <w:lang w:val="en-US" w:eastAsia="zh-CN"/>
                    </w:rPr>
                    <w:t>生产废水全部回用，无外排生产废水</w:t>
                  </w:r>
                  <w:r>
                    <w:rPr>
                      <w:rFonts w:hint="default" w:ascii="Times New Roman" w:hAnsi="Times New Roman" w:eastAsia="宋体" w:cs="Times New Roman"/>
                      <w:kern w:val="0"/>
                      <w:sz w:val="24"/>
                      <w:szCs w:val="24"/>
                      <w:lang w:val="en-US" w:eastAsia="zh-CN"/>
                    </w:rPr>
                    <w:t>；本项目</w:t>
                  </w:r>
                  <w:r>
                    <w:rPr>
                      <w:rFonts w:hint="eastAsia" w:ascii="Times New Roman" w:hAnsi="Times New Roman" w:eastAsia="宋体" w:cs="Times New Roman"/>
                      <w:kern w:val="0"/>
                      <w:sz w:val="24"/>
                      <w:szCs w:val="24"/>
                      <w:lang w:val="en-US" w:eastAsia="zh-CN"/>
                    </w:rPr>
                    <w:t>冬季不生产</w:t>
                  </w:r>
                  <w:r>
                    <w:rPr>
                      <w:rFonts w:hint="default" w:ascii="Times New Roman" w:hAnsi="Times New Roman" w:eastAsia="宋体" w:cs="Times New Roman"/>
                      <w:kern w:val="0"/>
                      <w:sz w:val="24"/>
                      <w:szCs w:val="24"/>
                      <w:lang w:val="en-US" w:eastAsia="zh-CN"/>
                    </w:rPr>
                    <w:t>，</w:t>
                  </w:r>
                  <w:r>
                    <w:rPr>
                      <w:rFonts w:hint="eastAsia" w:ascii="Times New Roman" w:hAnsi="Times New Roman" w:eastAsia="宋体" w:cs="Times New Roman"/>
                      <w:kern w:val="0"/>
                      <w:sz w:val="24"/>
                      <w:szCs w:val="24"/>
                      <w:lang w:val="en-US" w:eastAsia="zh-CN"/>
                    </w:rPr>
                    <w:t>无需</w:t>
                  </w:r>
                  <w:r>
                    <w:rPr>
                      <w:rFonts w:hint="default" w:ascii="Times New Roman" w:hAnsi="Times New Roman" w:eastAsia="宋体" w:cs="Times New Roman"/>
                      <w:kern w:val="0"/>
                      <w:sz w:val="24"/>
                      <w:szCs w:val="24"/>
                      <w:lang w:val="en-US" w:eastAsia="zh-CN"/>
                    </w:rPr>
                    <w:t>供暖，无新建燃煤锅炉</w:t>
                  </w:r>
                  <w:r>
                    <w:rPr>
                      <w:rFonts w:hint="eastAsia" w:ascii="Times New Roman" w:hAnsi="Times New Roman" w:eastAsia="宋体" w:cs="Times New Roman"/>
                      <w:kern w:val="0"/>
                      <w:sz w:val="24"/>
                      <w:szCs w:val="24"/>
                      <w:lang w:val="en-US" w:eastAsia="zh-CN"/>
                    </w:rPr>
                    <w:t>；本项目产生的固废产品废渣、除尘灰、沉淀池底泥收集后返回生产系统回用，不外排，生活垃圾集中收集至厂区内的垃圾桶内，定期交由当地的环卫部门进行统一处理，本项目不在厂区内进行设备维修，不产生危险废物。项目原料及产品运输车辆燃料采用清洁能源。</w:t>
                  </w:r>
                </w:p>
              </w:tc>
              <w:tc>
                <w:tcPr>
                  <w:tcW w:w="523" w:type="pct"/>
                  <w:tcBorders>
                    <w:tl2br w:val="nil"/>
                    <w:tr2bl w:val="nil"/>
                  </w:tcBorders>
                  <w:noWrap w:val="0"/>
                  <w:vAlign w:val="center"/>
                </w:tcPr>
                <w:p w14:paraId="24899D8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符合</w:t>
                  </w:r>
                </w:p>
              </w:tc>
            </w:tr>
            <w:tr w14:paraId="047B7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395" w:type="pct"/>
                  <w:tcBorders>
                    <w:tl2br w:val="nil"/>
                    <w:tr2bl w:val="nil"/>
                  </w:tcBorders>
                  <w:noWrap w:val="0"/>
                  <w:vAlign w:val="center"/>
                </w:tcPr>
                <w:p w14:paraId="61D3C74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6</w:t>
                  </w:r>
                </w:p>
              </w:tc>
              <w:tc>
                <w:tcPr>
                  <w:tcW w:w="2198" w:type="pct"/>
                  <w:tcBorders>
                    <w:tl2br w:val="nil"/>
                    <w:tr2bl w:val="nil"/>
                  </w:tcBorders>
                  <w:noWrap w:val="0"/>
                  <w:vAlign w:val="center"/>
                </w:tcPr>
                <w:p w14:paraId="14778BB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强化源头防控，有效防范环境污染和事故风险。加强园区突发环境事件应急处置能力建设，建立完善的环境风险防控和应急监测体系，强化应急演练和应急物资储备，不断提升应急响应能力，保障区域环境安全。入园企业按要求设置事故水池，确保任何情况下事故废水不进入外环境。</w:t>
                  </w:r>
                </w:p>
              </w:tc>
              <w:tc>
                <w:tcPr>
                  <w:tcW w:w="1883" w:type="pct"/>
                  <w:tcBorders>
                    <w:tl2br w:val="nil"/>
                    <w:tr2bl w:val="nil"/>
                  </w:tcBorders>
                  <w:noWrap w:val="0"/>
                  <w:vAlign w:val="center"/>
                </w:tcPr>
                <w:p w14:paraId="05C6B11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color w:val="0000FF"/>
                      <w:kern w:val="0"/>
                      <w:sz w:val="24"/>
                      <w:szCs w:val="24"/>
                      <w:lang w:val="en-US" w:eastAsia="zh-CN"/>
                    </w:rPr>
                  </w:pPr>
                  <w:r>
                    <w:rPr>
                      <w:rFonts w:hint="default" w:ascii="Times New Roman" w:hAnsi="Times New Roman" w:eastAsia="宋体" w:cs="Times New Roman"/>
                      <w:kern w:val="0"/>
                      <w:sz w:val="24"/>
                      <w:szCs w:val="24"/>
                      <w:lang w:val="en-US" w:eastAsia="zh-CN"/>
                    </w:rPr>
                    <w:t>要求企业制定突发环境应急预案，强化源头防控，有效防范环境污染和事故风险。</w:t>
                  </w:r>
                </w:p>
              </w:tc>
              <w:tc>
                <w:tcPr>
                  <w:tcW w:w="523" w:type="pct"/>
                  <w:tcBorders>
                    <w:tl2br w:val="nil"/>
                    <w:tr2bl w:val="nil"/>
                  </w:tcBorders>
                  <w:noWrap w:val="0"/>
                  <w:vAlign w:val="center"/>
                </w:tcPr>
                <w:p w14:paraId="50327CB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符合</w:t>
                  </w:r>
                </w:p>
              </w:tc>
            </w:tr>
            <w:tr w14:paraId="723C2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395" w:type="pct"/>
                  <w:tcBorders>
                    <w:tl2br w:val="nil"/>
                    <w:tr2bl w:val="nil"/>
                  </w:tcBorders>
                  <w:noWrap w:val="0"/>
                  <w:vAlign w:val="center"/>
                </w:tcPr>
                <w:p w14:paraId="5C1D239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7</w:t>
                  </w:r>
                </w:p>
              </w:tc>
              <w:tc>
                <w:tcPr>
                  <w:tcW w:w="2198" w:type="pct"/>
                  <w:tcBorders>
                    <w:tl2br w:val="nil"/>
                    <w:tr2bl w:val="nil"/>
                  </w:tcBorders>
                  <w:noWrap w:val="0"/>
                  <w:vAlign w:val="center"/>
                </w:tcPr>
                <w:p w14:paraId="537C1AC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kern w:val="0"/>
                      <w:sz w:val="24"/>
                      <w:szCs w:val="24"/>
                      <w:lang w:val="en-US" w:eastAsia="zh-CN"/>
                    </w:rPr>
                  </w:pPr>
                  <w:r>
                    <w:rPr>
                      <w:rFonts w:hint="default" w:ascii="Times New Roman" w:hAnsi="Times New Roman" w:eastAsia="宋体" w:cs="Times New Roman"/>
                      <w:kern w:val="0"/>
                      <w:sz w:val="24"/>
                      <w:szCs w:val="24"/>
                      <w:lang w:val="en-US" w:eastAsia="zh-CN"/>
                    </w:rPr>
                    <w:t>加强环境监管及日常环境质量监测。园区应建立完善的环境监测计划，开展包括常规污染物、特征污染物、挥发性有机物等在内的环境空气、地下水、土壤、生态系统等环境质量监测工作，实现长期监测与有效监控。重点企业排污口要设置在线监测系统并与生态环境部门联网</w:t>
                  </w:r>
                </w:p>
              </w:tc>
              <w:tc>
                <w:tcPr>
                  <w:tcW w:w="1883" w:type="pct"/>
                  <w:tcBorders>
                    <w:tl2br w:val="nil"/>
                    <w:tr2bl w:val="nil"/>
                  </w:tcBorders>
                  <w:noWrap w:val="0"/>
                  <w:vAlign w:val="center"/>
                </w:tcPr>
                <w:p w14:paraId="0674077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kern w:val="0"/>
                      <w:sz w:val="24"/>
                      <w:szCs w:val="24"/>
                      <w:lang w:val="en-US" w:eastAsia="zh-CN"/>
                    </w:rPr>
                  </w:pPr>
                  <w:r>
                    <w:rPr>
                      <w:rFonts w:hint="default" w:ascii="Times New Roman" w:hAnsi="Times New Roman" w:eastAsia="宋体" w:cs="Times New Roman"/>
                      <w:kern w:val="0"/>
                      <w:sz w:val="24"/>
                      <w:szCs w:val="24"/>
                      <w:lang w:val="en-US" w:eastAsia="zh-CN"/>
                    </w:rPr>
                    <w:t>本项目按要求制定相关环境质量监测计划。</w:t>
                  </w:r>
                </w:p>
              </w:tc>
              <w:tc>
                <w:tcPr>
                  <w:tcW w:w="523" w:type="pct"/>
                  <w:tcBorders>
                    <w:tl2br w:val="nil"/>
                    <w:tr2bl w:val="nil"/>
                  </w:tcBorders>
                  <w:noWrap w:val="0"/>
                  <w:vAlign w:val="center"/>
                </w:tcPr>
                <w:p w14:paraId="3A582DE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符合</w:t>
                  </w:r>
                </w:p>
              </w:tc>
            </w:tr>
            <w:tr w14:paraId="14817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395" w:type="pct"/>
                  <w:tcBorders>
                    <w:tl2br w:val="nil"/>
                    <w:tr2bl w:val="nil"/>
                  </w:tcBorders>
                  <w:noWrap w:val="0"/>
                  <w:vAlign w:val="center"/>
                </w:tcPr>
                <w:p w14:paraId="71974DB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8</w:t>
                  </w:r>
                </w:p>
              </w:tc>
              <w:tc>
                <w:tcPr>
                  <w:tcW w:w="2198" w:type="pct"/>
                  <w:tcBorders>
                    <w:tl2br w:val="nil"/>
                    <w:tr2bl w:val="nil"/>
                  </w:tcBorders>
                  <w:noWrap w:val="0"/>
                  <w:vAlign w:val="center"/>
                </w:tcPr>
                <w:p w14:paraId="7792E2E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总体规划实施对环境产生重大影响时，应当及时组织环境影响的跟踪评价。对规划所包含的建设项目，在开展环境影响评价时，应重点分析污染防治措施和环境风险防控措施的可行性、可靠性，规划协调性分析、环境现状等工作内容可适当简化。</w:t>
                  </w:r>
                </w:p>
              </w:tc>
              <w:tc>
                <w:tcPr>
                  <w:tcW w:w="1883" w:type="pct"/>
                  <w:tcBorders>
                    <w:tl2br w:val="nil"/>
                    <w:tr2bl w:val="nil"/>
                  </w:tcBorders>
                  <w:noWrap w:val="0"/>
                  <w:vAlign w:val="center"/>
                </w:tcPr>
                <w:p w14:paraId="0F089F9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color w:val="0000FF"/>
                      <w:kern w:val="0"/>
                      <w:sz w:val="24"/>
                      <w:szCs w:val="24"/>
                      <w:lang w:val="en-US" w:eastAsia="zh-CN"/>
                    </w:rPr>
                  </w:pPr>
                  <w:r>
                    <w:rPr>
                      <w:rFonts w:hint="default" w:ascii="Times New Roman" w:hAnsi="Times New Roman" w:eastAsia="宋体" w:cs="Times New Roman"/>
                      <w:kern w:val="0"/>
                      <w:sz w:val="24"/>
                      <w:szCs w:val="24"/>
                      <w:lang w:val="en-US" w:eastAsia="zh-CN"/>
                    </w:rPr>
                    <w:t>本项目不涉及。</w:t>
                  </w:r>
                </w:p>
              </w:tc>
              <w:tc>
                <w:tcPr>
                  <w:tcW w:w="523" w:type="pct"/>
                  <w:tcBorders>
                    <w:tl2br w:val="nil"/>
                    <w:tr2bl w:val="nil"/>
                  </w:tcBorders>
                  <w:noWrap w:val="0"/>
                  <w:vAlign w:val="center"/>
                </w:tcPr>
                <w:p w14:paraId="0950CE3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符合</w:t>
                  </w:r>
                </w:p>
              </w:tc>
            </w:tr>
          </w:tbl>
          <w:p w14:paraId="010C19AA">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综上所述，本项目建设符合《鄂尔多斯蒙苏经济开发区国土空间总体规划（2021-2035年）鄂尔多斯零碳产业园环境影响报告书》的审查意见。</w:t>
            </w:r>
          </w:p>
          <w:p w14:paraId="3F972C81">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0" w:firstLineChars="0"/>
              <w:jc w:val="both"/>
              <w:textAlignment w:val="auto"/>
            </w:pPr>
            <w:r>
              <w:rPr>
                <w:sz w:val="24"/>
              </w:rPr>
              <mc:AlternateContent>
                <mc:Choice Requires="wps">
                  <w:drawing>
                    <wp:anchor distT="0" distB="0" distL="114300" distR="114300" simplePos="0" relativeHeight="251674624" behindDoc="0" locked="0" layoutInCell="1" allowOverlap="1">
                      <wp:simplePos x="0" y="0"/>
                      <wp:positionH relativeFrom="column">
                        <wp:posOffset>1492885</wp:posOffset>
                      </wp:positionH>
                      <wp:positionV relativeFrom="paragraph">
                        <wp:posOffset>1808480</wp:posOffset>
                      </wp:positionV>
                      <wp:extent cx="724535" cy="278130"/>
                      <wp:effectExtent l="12700" t="12700" r="348615" b="299720"/>
                      <wp:wrapNone/>
                      <wp:docPr id="4" name="矩形标注 4"/>
                      <wp:cNvGraphicFramePr/>
                      <a:graphic xmlns:a="http://schemas.openxmlformats.org/drawingml/2006/main">
                        <a:graphicData uri="http://schemas.microsoft.com/office/word/2010/wordprocessingShape">
                          <wps:wsp>
                            <wps:cNvSpPr/>
                            <wps:spPr>
                              <a:xfrm>
                                <a:off x="3366135" y="3773170"/>
                                <a:ext cx="724535" cy="278130"/>
                              </a:xfrm>
                              <a:prstGeom prst="wedgeRectCallout">
                                <a:avLst>
                                  <a:gd name="adj1" fmla="val 93809"/>
                                  <a:gd name="adj2" fmla="val 147488"/>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4BA11F26">
                                  <w:pPr>
                                    <w:keepNext w:val="0"/>
                                    <w:keepLines w:val="0"/>
                                    <w:pageBreakBefore w:val="0"/>
                                    <w:widowControl w:val="0"/>
                                    <w:kinsoku/>
                                    <w:wordWrap/>
                                    <w:overflowPunct/>
                                    <w:topLinePunct w:val="0"/>
                                    <w:bidi w:val="0"/>
                                    <w:adjustRightInd/>
                                    <w:snapToGrid/>
                                    <w:spacing w:line="240" w:lineRule="auto"/>
                                    <w:ind w:left="0" w:leftChars="0" w:firstLine="0" w:firstLineChars="0"/>
                                    <w:jc w:val="both"/>
                                    <w:textAlignment w:val="auto"/>
                                    <w:rPr>
                                      <w:rFonts w:hint="default" w:eastAsia="宋体"/>
                                      <w:sz w:val="18"/>
                                      <w:szCs w:val="18"/>
                                      <w:lang w:val="en-US" w:eastAsia="zh-CN"/>
                                    </w:rPr>
                                  </w:pPr>
                                  <w:r>
                                    <w:rPr>
                                      <w:rFonts w:hint="eastAsia"/>
                                      <w:sz w:val="18"/>
                                      <w:szCs w:val="18"/>
                                      <w:lang w:val="en-US" w:eastAsia="zh-CN"/>
                                    </w:rPr>
                                    <w:t>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17.55pt;margin-top:142.4pt;height:21.9pt;width:57.05pt;z-index:251674624;v-text-anchor:middle;mso-width-relative:page;mso-height-relative:page;" fillcolor="#4F81BD [3204]" filled="t" stroked="t" coordsize="21600,21600" o:gfxdata="UEsDBAoAAAAAAIdO4kAAAAAAAAAAAAAAAAAEAAAAZHJzL1BLAwQUAAAACACHTuJAR1jqOdoAAAAL&#10;AQAADwAAAGRycy9kb3ducmV2LnhtbE2PzU7DMBCE70i8g7VI3KgTt1QhxOmBqkhIUImECzc3XuLQ&#10;2A62+8Pbs5zgNqsdzXxTrc52ZEcMcfBOQj7LgKHrvB5cL+Gt3dwUwGJSTqvRO5TwjRFW9eVFpUrt&#10;T+4Vj03qGYW4WCoJJqWp5Dx2Bq2KMz+ho9+HD1YlOkPPdVAnCrcjF1m25FYNjhqMmvDBYLdvDpZ6&#10;m82X2Zvn7VPbvuiwXX++P4q1lNdXeXYPLOE5/ZnhF5/QoSamnT84HdkoQcxvc7KSKBa0gRzzxZ0A&#10;tiMhiiXwuuL/N9Q/UEsDBBQAAAAIAIdO4kAo3uqCwQIAAHkFAAAOAAAAZHJzL2Uyb0RvYy54bWyt&#10;VM1uEzEQviPxDpbvdHeTTTaJuqlCoiCkQisK4ux4vdlF/sN2uikvwGOAOMGZM49DeQ3GXrdNCwcO&#10;XDYzmfE3833j8fHJXnB0yYxtlSxxdpRixCRVVSu3JX7zev1kgpF1RFaEK8lKfMUsPpk/fnTc6Rkb&#10;qEbxihkEINLOOl3ixjk9SxJLGyaIPVKaSQjWygjiwDXbpDKkA3TBk0GajpNOmUobRZm18O+qD+KI&#10;aP4FUNV1S9lK0Z1g0vWohnHigJJtWm3xPHRb14y6s7q2zCFeYmDqwheKgL3x32R+TGZbQ3TT0tgC&#10;+ZcWHnASpJVQ9BZqRRxBO9P+ASVaapRVtTuiSiQ9kaAIsMjSB9pcNESzwAWktvpWdPv/YOnLy3OD&#10;2qrEOUaSCBj4r0/ffv74cv354/X3ryj3CnXaziDxQp+b6FkwPd19bYT/BSJoX+LhcDzOhiOMrsAu&#10;imFWRIXZ3iEKCcUgH/k4hYRBMcmGIZ7cAWlj3TOmBPJGiTtWbdkrmOKScK52LmhMLk+tC2JXsWVS&#10;vcswqgWH2V0SjqbDSTqNsz3IGRzmZHmRTyY+CcpHSLBuGvD4VvG2WrecB8dsN0tuEOCDWOtJ9nQV&#10;D99L4xJ1wG2Up3DFKIEFqeFigik0iGzlFiPCt7B51JnA5t5pe1hkWIzT6SAk8Z14oaq+djFKAbvv&#10;O+YHDveAPI0VsU1/JITiES4h20+0n6G33H6zj4PdqOoKLoRR/aZYTdctQJ0S686JAXmBFTwe7gw+&#10;NVdAVUULo0aZD3/73+fDjYUoRh2sGsjwfkcMw4g/l3CXp1me+90MTj4qBuCYw8jmMCJ3YqlgBDBw&#10;6C6YPt/xG7M2SryFN2bhq0KISAq1e8Gjs3T9EwCvFGWLRUiDfdTEncoLTT24H7lUi51Tdeu82F6o&#10;Xp3owEYG3ePr4Vf+0A9Zdy/m/D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0BQAAW0NvbnRlbnRfVHlwZXNdLnhtbFBLAQIUAAoAAAAAAIdO4kAA&#10;AAAAAAAAAAAAAAAGAAAAAAAAAAAAEAAAABYEAABfcmVscy9QSwECFAAUAAAACACHTuJAihRmPNEA&#10;AACUAQAACwAAAAAAAAABACAAAAA6BAAAX3JlbHMvLnJlbHNQSwECFAAKAAAAAACHTuJAAAAAAAAA&#10;AAAAAAAABAAAAAAAAAAAABAAAAAAAAAAZHJzL1BLAQIUABQAAAAIAIdO4kBHWOo52gAAAAsBAAAP&#10;AAAAAAAAAAEAIAAAACIAAABkcnMvZG93bnJldi54bWxQSwECFAAUAAAACACHTuJAKN7qgsECAAB5&#10;BQAADgAAAAAAAAABACAAAAApAQAAZHJzL2Uyb0RvYy54bWxQSwUGAAAAAAYABgBZAQAAXAYAAAAA&#10;" adj="31063,42657">
                      <v:fill on="t" focussize="0,0"/>
                      <v:stroke weight="2pt" color="#376092 [2404]" joinstyle="round"/>
                      <v:imagedata o:title=""/>
                      <o:lock v:ext="edit" aspectratio="f"/>
                      <v:textbox>
                        <w:txbxContent>
                          <w:p w14:paraId="4BA11F26">
                            <w:pPr>
                              <w:keepNext w:val="0"/>
                              <w:keepLines w:val="0"/>
                              <w:pageBreakBefore w:val="0"/>
                              <w:widowControl w:val="0"/>
                              <w:kinsoku/>
                              <w:wordWrap/>
                              <w:overflowPunct/>
                              <w:topLinePunct w:val="0"/>
                              <w:bidi w:val="0"/>
                              <w:adjustRightInd/>
                              <w:snapToGrid/>
                              <w:spacing w:line="240" w:lineRule="auto"/>
                              <w:ind w:left="0" w:leftChars="0" w:firstLine="0" w:firstLineChars="0"/>
                              <w:jc w:val="both"/>
                              <w:textAlignment w:val="auto"/>
                              <w:rPr>
                                <w:rFonts w:hint="default" w:eastAsia="宋体"/>
                                <w:sz w:val="18"/>
                                <w:szCs w:val="18"/>
                                <w:lang w:val="en-US" w:eastAsia="zh-CN"/>
                              </w:rPr>
                            </w:pPr>
                            <w:r>
                              <w:rPr>
                                <w:rFonts w:hint="eastAsia"/>
                                <w:sz w:val="18"/>
                                <w:szCs w:val="18"/>
                                <w:lang w:val="en-US" w:eastAsia="zh-CN"/>
                              </w:rPr>
                              <w:t>项目位置</w:t>
                            </w:r>
                          </w:p>
                        </w:txbxContent>
                      </v:textbox>
                    </v:shape>
                  </w:pict>
                </mc:Fallback>
              </mc:AlternateContent>
            </w:r>
            <w:r>
              <w:drawing>
                <wp:inline distT="0" distB="0" distL="114300" distR="114300">
                  <wp:extent cx="4205605" cy="2981325"/>
                  <wp:effectExtent l="0" t="0" r="444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5"/>
                          <a:stretch>
                            <a:fillRect/>
                          </a:stretch>
                        </pic:blipFill>
                        <pic:spPr>
                          <a:xfrm>
                            <a:off x="0" y="0"/>
                            <a:ext cx="4205605" cy="2981325"/>
                          </a:xfrm>
                          <a:prstGeom prst="rect">
                            <a:avLst/>
                          </a:prstGeom>
                          <a:noFill/>
                          <a:ln>
                            <a:noFill/>
                          </a:ln>
                        </pic:spPr>
                      </pic:pic>
                    </a:graphicData>
                  </a:graphic>
                </wp:inline>
              </w:drawing>
            </w:r>
          </w:p>
          <w:p w14:paraId="4D76F5B4">
            <w:pPr>
              <w:bidi w:val="0"/>
              <w:ind w:left="0" w:leftChars="0" w:firstLine="0" w:firstLineChars="0"/>
              <w:jc w:val="center"/>
              <w:rPr>
                <w:rFonts w:hint="default" w:eastAsia="宋体"/>
                <w:lang w:val="en-US" w:eastAsia="zh-CN"/>
              </w:rPr>
            </w:pPr>
            <w:r>
              <w:rPr>
                <w:rFonts w:hint="eastAsia"/>
                <w:b/>
                <w:bCs/>
                <w:lang w:val="en-US" w:eastAsia="zh-CN"/>
              </w:rPr>
              <w:t>图2-1零碳产业园西片区土地使用规划图</w:t>
            </w:r>
          </w:p>
        </w:tc>
      </w:tr>
      <w:tr w14:paraId="11B803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279" w:type="dxa"/>
            <w:noWrap w:val="0"/>
            <w:vAlign w:val="center"/>
          </w:tcPr>
          <w:p w14:paraId="04D43058">
            <w:pPr>
              <w:autoSpaceDE w:val="0"/>
              <w:autoSpaceDN w:val="0"/>
              <w:adjustRightInd w:val="0"/>
              <w:snapToGrid w:val="0"/>
              <w:ind w:left="0" w:leftChars="0" w:firstLine="0" w:firstLineChars="0"/>
              <w:jc w:val="center"/>
              <w:rPr>
                <w:rFonts w:hint="default" w:ascii="Times New Roman" w:hAnsi="Times New Roman" w:cs="Times New Roman"/>
                <w:kern w:val="0"/>
                <w:sz w:val="24"/>
                <w:szCs w:val="24"/>
              </w:rPr>
            </w:pPr>
            <w:r>
              <w:rPr>
                <w:rFonts w:hint="default" w:ascii="Times New Roman" w:hAnsi="Times New Roman" w:cs="Times New Roman"/>
                <w:kern w:val="0"/>
                <w:sz w:val="24"/>
                <w:szCs w:val="24"/>
              </w:rPr>
              <w:t>其他符合性分析</w:t>
            </w:r>
          </w:p>
        </w:tc>
        <w:tc>
          <w:tcPr>
            <w:tcW w:w="6840" w:type="dxa"/>
            <w:gridSpan w:val="4"/>
            <w:noWrap w:val="0"/>
            <w:vAlign w:val="center"/>
          </w:tcPr>
          <w:p w14:paraId="2C5F42B8">
            <w:pPr>
              <w:bidi w:val="0"/>
              <w:rPr>
                <w:rFonts w:hint="default" w:ascii="Times New Roman" w:hAnsi="Times New Roman" w:cs="Times New Roman"/>
                <w:b/>
                <w:bCs/>
              </w:rPr>
            </w:pPr>
            <w:r>
              <w:rPr>
                <w:rFonts w:hint="default" w:ascii="Times New Roman" w:hAnsi="Times New Roman" w:cs="Times New Roman"/>
                <w:b/>
                <w:bCs/>
              </w:rPr>
              <w:t>一、产业政策符合性分析</w:t>
            </w:r>
          </w:p>
          <w:p w14:paraId="25FB564F">
            <w:pPr>
              <w:bidi w:val="0"/>
              <w:rPr>
                <w:rFonts w:hint="default" w:ascii="Times New Roman" w:hAnsi="Times New Roman" w:cs="Times New Roman"/>
                <w:lang w:val="en-US" w:eastAsia="zh-CN"/>
              </w:rPr>
            </w:pPr>
            <w:r>
              <w:rPr>
                <w:rFonts w:hint="default" w:ascii="Times New Roman" w:hAnsi="Times New Roman" w:cs="Times New Roman"/>
                <w:spacing w:val="6"/>
              </w:rPr>
              <w:t>根据《产业结构调整指导目录（</w:t>
            </w:r>
            <w:r>
              <w:rPr>
                <w:rFonts w:hint="default" w:ascii="Times New Roman" w:hAnsi="Times New Roman" w:eastAsia="Times New Roman" w:cs="Times New Roman"/>
                <w:spacing w:val="6"/>
              </w:rPr>
              <w:t>2024</w:t>
            </w:r>
            <w:r>
              <w:rPr>
                <w:rFonts w:hint="default" w:ascii="Times New Roman" w:hAnsi="Times New Roman" w:cs="Times New Roman"/>
                <w:spacing w:val="6"/>
              </w:rPr>
              <w:t>年本）》该项目不属于</w:t>
            </w:r>
            <w:r>
              <w:rPr>
                <w:rFonts w:hint="default" w:ascii="Times New Roman" w:hAnsi="Times New Roman" w:cs="Times New Roman"/>
              </w:rPr>
              <w:t>鼓励类、限制类和淘汰类，属于允许类项目，同时根据《促进产业结构调整暂行规定》的决定（国发</w:t>
            </w:r>
            <w:r>
              <w:rPr>
                <w:rFonts w:hint="default" w:ascii="Times New Roman" w:hAnsi="Times New Roman" w:cs="Times New Roman"/>
                <w:kern w:val="0"/>
                <w:sz w:val="24"/>
                <w:szCs w:val="24"/>
                <w:lang w:val="en-US" w:eastAsia="zh-CN"/>
              </w:rPr>
              <w:t>〔2005〕</w:t>
            </w:r>
            <w:r>
              <w:rPr>
                <w:rFonts w:hint="default" w:ascii="Times New Roman" w:hAnsi="Times New Roman" w:cs="Times New Roman"/>
              </w:rPr>
              <w:t>40号）第十三条：“不属于鼓励类、限制类和淘汰类，且符合国家有关</w:t>
            </w:r>
            <w:r>
              <w:rPr>
                <w:rFonts w:hint="eastAsia" w:cs="Times New Roman"/>
                <w:lang w:eastAsia="zh-CN"/>
              </w:rPr>
              <w:t>法律法规</w:t>
            </w:r>
            <w:r>
              <w:rPr>
                <w:rFonts w:hint="default" w:ascii="Times New Roman" w:hAnsi="Times New Roman" w:cs="Times New Roman"/>
              </w:rPr>
              <w:t>和政策规定的为允许类”的规定，本项目属于允许类，</w:t>
            </w:r>
            <w:r>
              <w:rPr>
                <w:rFonts w:hint="default" w:ascii="Times New Roman" w:hAnsi="Times New Roman" w:cs="Times New Roman"/>
                <w:lang w:val="en-US" w:eastAsia="zh-CN"/>
              </w:rPr>
              <w:t>且本项目于2025年8月26日</w:t>
            </w:r>
            <w:r>
              <w:rPr>
                <w:rFonts w:hint="eastAsia" w:ascii="Times New Roman" w:hAnsi="Times New Roman" w:cs="Times New Roman"/>
                <w:lang w:val="en-US" w:eastAsia="zh-CN"/>
              </w:rPr>
              <w:t>，</w:t>
            </w:r>
            <w:r>
              <w:rPr>
                <w:rFonts w:hint="default" w:ascii="Times New Roman" w:hAnsi="Times New Roman" w:cs="Times New Roman"/>
                <w:lang w:val="en-US" w:eastAsia="zh-CN"/>
              </w:rPr>
              <w:t>由</w:t>
            </w:r>
            <w:r>
              <w:rPr>
                <w:rFonts w:hint="default" w:ascii="Times New Roman" w:hAnsi="Times New Roman" w:eastAsia="宋体" w:cs="Times New Roman"/>
                <w:sz w:val="24"/>
                <w:szCs w:val="24"/>
                <w:lang w:val="en-US" w:eastAsia="zh-CN"/>
              </w:rPr>
              <w:t>伊金霍洛旗发展改革和科学技术局</w:t>
            </w:r>
            <w:r>
              <w:rPr>
                <w:rFonts w:hint="default" w:ascii="Times New Roman" w:hAnsi="Times New Roman" w:cs="Times New Roman"/>
                <w:lang w:val="en-US" w:eastAsia="zh-CN"/>
              </w:rPr>
              <w:t>对该项目予以备案，备案项目代码为</w:t>
            </w:r>
            <w:r>
              <w:rPr>
                <w:rFonts w:hint="default" w:ascii="Times New Roman" w:hAnsi="Times New Roman" w:cs="Times New Roman"/>
                <w:sz w:val="24"/>
                <w:szCs w:val="24"/>
                <w:lang w:val="en-US" w:eastAsia="zh-CN"/>
              </w:rPr>
              <w:t>2508-150627-04-01-428529</w:t>
            </w:r>
            <w:r>
              <w:rPr>
                <w:rFonts w:hint="default" w:ascii="Times New Roman" w:hAnsi="Times New Roman" w:cs="Times New Roman"/>
                <w:lang w:val="en-US" w:eastAsia="zh-CN"/>
              </w:rPr>
              <w:t>，故本项目的建设符合国家及地方现行产业政策。</w:t>
            </w:r>
          </w:p>
          <w:p w14:paraId="6BC59376">
            <w:pPr>
              <w:spacing w:beforeLines="0" w:afterLines="0"/>
              <w:ind w:firstLine="482"/>
              <w:rPr>
                <w:rFonts w:hint="default" w:ascii="Times New Roman" w:hAnsi="Times New Roman" w:cs="Times New Roman"/>
                <w:b/>
                <w:sz w:val="24"/>
                <w:szCs w:val="24"/>
              </w:rPr>
            </w:pPr>
            <w:r>
              <w:rPr>
                <w:rFonts w:hint="default" w:ascii="Times New Roman" w:hAnsi="Times New Roman" w:cs="Times New Roman"/>
                <w:lang w:val="en-US" w:eastAsia="zh-CN"/>
              </w:rPr>
              <w:t>二、</w:t>
            </w:r>
            <w:r>
              <w:rPr>
                <w:rFonts w:hint="default" w:ascii="Times New Roman" w:hAnsi="Times New Roman" w:eastAsia="宋体" w:cs="Times New Roman"/>
                <w:b/>
                <w:sz w:val="24"/>
                <w:szCs w:val="24"/>
              </w:rPr>
              <w:t>本项目与生态环境分区管控符合性分析</w:t>
            </w:r>
          </w:p>
          <w:p w14:paraId="4C8BC6B5">
            <w:pPr>
              <w:spacing w:beforeLines="0" w:afterLines="0"/>
              <w:ind w:firstLine="482"/>
              <w:rPr>
                <w:rFonts w:hint="default" w:ascii="Times New Roman" w:hAnsi="Times New Roman" w:cs="Times New Roman"/>
                <w:b/>
                <w:sz w:val="24"/>
                <w:szCs w:val="24"/>
              </w:rPr>
            </w:pPr>
            <w:r>
              <w:rPr>
                <w:rFonts w:hint="eastAsia" w:cs="Times New Roman"/>
                <w:b/>
                <w:sz w:val="24"/>
                <w:szCs w:val="24"/>
                <w:lang w:eastAsia="zh-CN"/>
              </w:rPr>
              <w:t>1.</w:t>
            </w:r>
            <w:r>
              <w:rPr>
                <w:rFonts w:hint="default" w:ascii="Times New Roman" w:hAnsi="Times New Roman" w:eastAsia="宋体" w:cs="Times New Roman"/>
                <w:b/>
                <w:sz w:val="24"/>
                <w:szCs w:val="24"/>
              </w:rPr>
              <w:t>生态保护红线</w:t>
            </w:r>
          </w:p>
          <w:p w14:paraId="52C809B8">
            <w:pPr>
              <w:spacing w:beforeLines="0" w:afterLines="0"/>
              <w:ind w:firstLine="480"/>
              <w:rPr>
                <w:rFonts w:hint="default" w:ascii="Times New Roman" w:hAnsi="Times New Roman" w:cs="Times New Roman"/>
                <w:sz w:val="24"/>
                <w:szCs w:val="24"/>
              </w:rPr>
            </w:pPr>
            <w:r>
              <w:rPr>
                <w:rFonts w:hint="default" w:ascii="Times New Roman" w:hAnsi="Times New Roman" w:eastAsia="宋体" w:cs="Times New Roman"/>
                <w:sz w:val="24"/>
                <w:szCs w:val="24"/>
              </w:rPr>
              <w:t>根据鄂尔多斯市生态环境局关于印发《鄂尔多斯市生态环境分区管控动态更新成果（2023年版）》的通知（2024年8月6日），全市按优先保护、重点管控、一般管控三大类划分为171个环境管控单元。其中，优先保护单元76个，面积占比64.35%；重点管控单元86个，面积占比28.10%；一般管控单元9个，面积占比7.56%。生态环境准入清单保持一定的延续性，维持“市级总体管控要求</w:t>
            </w:r>
            <w:r>
              <w:rPr>
                <w:rFonts w:hint="default" w:ascii="Times New Roman" w:hAnsi="Times New Roman" w:cs="Times New Roman"/>
                <w:sz w:val="24"/>
                <w:szCs w:val="24"/>
              </w:rPr>
              <w:t>-</w:t>
            </w:r>
            <w:r>
              <w:rPr>
                <w:rFonts w:hint="default" w:ascii="Times New Roman" w:hAnsi="Times New Roman" w:eastAsia="宋体" w:cs="Times New Roman"/>
                <w:sz w:val="24"/>
                <w:szCs w:val="24"/>
              </w:rPr>
              <w:t>单元管控要求</w:t>
            </w:r>
            <w:r>
              <w:rPr>
                <w:rFonts w:hint="eastAsia" w:cs="Times New Roman"/>
                <w:sz w:val="24"/>
                <w:szCs w:val="24"/>
                <w:lang w:eastAsia="zh-CN"/>
              </w:rPr>
              <w:t>”两个</w:t>
            </w:r>
            <w:r>
              <w:rPr>
                <w:rFonts w:hint="default" w:ascii="Times New Roman" w:hAnsi="Times New Roman" w:eastAsia="宋体" w:cs="Times New Roman"/>
                <w:sz w:val="24"/>
                <w:szCs w:val="24"/>
              </w:rPr>
              <w:t>层级框架（即1个鄂尔多斯市总体准入清单、171个环境管控单元准入清单），坚持目标和问题导向，以区域生态环境质量改善目标为核心，实施差异化管理。</w:t>
            </w:r>
          </w:p>
          <w:p w14:paraId="23815DF8">
            <w:pPr>
              <w:spacing w:beforeLines="0" w:afterLines="0"/>
              <w:ind w:firstLine="480"/>
              <w:rPr>
                <w:rFonts w:hint="default" w:ascii="Times New Roman" w:hAnsi="Times New Roman" w:cs="Times New Roman"/>
                <w:sz w:val="24"/>
                <w:szCs w:val="24"/>
              </w:rPr>
            </w:pPr>
            <w:r>
              <w:rPr>
                <w:rFonts w:hint="default" w:ascii="Times New Roman" w:hAnsi="Times New Roman" w:eastAsia="宋体" w:cs="Times New Roman"/>
                <w:sz w:val="24"/>
                <w:szCs w:val="24"/>
              </w:rPr>
              <w:t>优先保护单元主要包括我市生态保护红线、自然保护地、集中式饮用水水源保护区等生态功能重要区和生态环境敏感区。该区域以生态环境保护优先为原则，依法禁止或限制大规模、高强度的工业开发和城镇建设，确保生态环境功能不降低。</w:t>
            </w:r>
          </w:p>
          <w:p w14:paraId="616E373D">
            <w:pPr>
              <w:spacing w:beforeLines="0" w:afterLines="0"/>
              <w:ind w:firstLine="480"/>
              <w:rPr>
                <w:rFonts w:hint="default" w:ascii="Times New Roman" w:hAnsi="Times New Roman" w:cs="Times New Roman"/>
                <w:sz w:val="24"/>
                <w:szCs w:val="24"/>
              </w:rPr>
            </w:pPr>
            <w:r>
              <w:rPr>
                <w:rFonts w:hint="default" w:ascii="Times New Roman" w:hAnsi="Times New Roman" w:eastAsia="宋体" w:cs="Times New Roman"/>
                <w:sz w:val="24"/>
                <w:szCs w:val="24"/>
              </w:rPr>
              <w:t>重点管控单元主要包括工业园区、城市、矿区等开发强度高、污染排放量大、环境问题相对集中的区域，以及生态需水补给区等。该区域应不断提升资源利用效率，有针对性地加强污染物排放控制和环境风险防控，解决生态环境质量不达标、生态环境风险高等问题。</w:t>
            </w:r>
          </w:p>
          <w:p w14:paraId="60C438B8">
            <w:pPr>
              <w:spacing w:beforeLines="0" w:afterLines="0"/>
              <w:ind w:firstLine="480"/>
              <w:rPr>
                <w:rFonts w:hint="default" w:ascii="Times New Roman" w:hAnsi="Times New Roman" w:cs="Times New Roman"/>
                <w:sz w:val="24"/>
                <w:szCs w:val="24"/>
              </w:rPr>
            </w:pPr>
            <w:r>
              <w:rPr>
                <w:rFonts w:hint="default" w:ascii="Times New Roman" w:hAnsi="Times New Roman" w:eastAsia="宋体" w:cs="Times New Roman"/>
                <w:sz w:val="24"/>
                <w:szCs w:val="24"/>
              </w:rPr>
              <w:t>一般管控单元主要落实生态环境保护基本要求。</w:t>
            </w:r>
          </w:p>
          <w:p w14:paraId="505B5D70">
            <w:pPr>
              <w:spacing w:beforeLines="0" w:afterLines="0"/>
              <w:ind w:firstLine="480"/>
              <w:rPr>
                <w:rFonts w:hint="default" w:ascii="Times New Roman" w:hAnsi="Times New Roman" w:cs="Times New Roman"/>
                <w:sz w:val="24"/>
                <w:szCs w:val="24"/>
              </w:rPr>
            </w:pPr>
            <w:r>
              <w:rPr>
                <w:rFonts w:hint="default" w:ascii="Times New Roman" w:hAnsi="Times New Roman" w:eastAsia="宋体" w:cs="Times New Roman"/>
                <w:sz w:val="24"/>
                <w:szCs w:val="24"/>
              </w:rPr>
              <w:t>本项目位于</w:t>
            </w:r>
            <w:r>
              <w:rPr>
                <w:rFonts w:hint="eastAsia" w:ascii="Times New Roman" w:hAnsi="Times New Roman" w:eastAsia="宋体" w:cs="Times New Roman"/>
                <w:sz w:val="24"/>
                <w:szCs w:val="24"/>
                <w:lang w:eastAsia="zh-CN"/>
              </w:rPr>
              <w:t>内蒙古自治区鄂尔多斯市伊金霍洛旗蒙苏经济开发区零碳产业园，标准地及南部拓展区R-01-03地块</w:t>
            </w:r>
            <w:r>
              <w:rPr>
                <w:rFonts w:hint="eastAsia" w:ascii="Times New Roman" w:hAnsi="Times New Roman" w:eastAsia="宋体" w:cs="Times New Roman"/>
                <w:sz w:val="24"/>
                <w:szCs w:val="24"/>
                <w:lang w:val="en-US" w:eastAsia="zh-CN"/>
              </w:rPr>
              <w:t>建设</w:t>
            </w:r>
            <w:r>
              <w:rPr>
                <w:rFonts w:hint="default" w:ascii="Times New Roman" w:hAnsi="Times New Roman" w:eastAsia="宋体" w:cs="Times New Roman"/>
                <w:sz w:val="24"/>
                <w:szCs w:val="24"/>
              </w:rPr>
              <w:t>，本项目</w:t>
            </w:r>
            <w:r>
              <w:rPr>
                <w:rFonts w:hint="eastAsia" w:ascii="Times New Roman" w:hAnsi="Times New Roman" w:eastAsia="宋体" w:cs="Times New Roman"/>
                <w:sz w:val="24"/>
                <w:szCs w:val="24"/>
                <w:lang w:val="en-US" w:eastAsia="zh-CN"/>
              </w:rPr>
              <w:t>运营期产生的废气、废水、噪声、固废等污染物</w:t>
            </w:r>
            <w:r>
              <w:rPr>
                <w:rFonts w:hint="default" w:ascii="Times New Roman" w:hAnsi="Times New Roman" w:eastAsia="宋体" w:cs="Times New Roman"/>
                <w:sz w:val="24"/>
                <w:szCs w:val="24"/>
              </w:rPr>
              <w:t>均采取了妥善合理的处置措施，污染物均</w:t>
            </w:r>
            <w:r>
              <w:rPr>
                <w:rFonts w:hint="eastAsia" w:ascii="Times New Roman" w:hAnsi="Times New Roman" w:eastAsia="宋体" w:cs="Times New Roman"/>
                <w:sz w:val="24"/>
                <w:szCs w:val="24"/>
                <w:lang w:val="en-US" w:eastAsia="zh-CN"/>
              </w:rPr>
              <w:t>可</w:t>
            </w:r>
            <w:r>
              <w:rPr>
                <w:rFonts w:hint="default" w:ascii="Times New Roman" w:hAnsi="Times New Roman" w:eastAsia="宋体" w:cs="Times New Roman"/>
                <w:sz w:val="24"/>
                <w:szCs w:val="24"/>
              </w:rPr>
              <w:t>达标排放，同时经调查评价范围内无饮用水水源地、自然保护区、风景名胜区等特殊环境敏感区，不涉及重要生态功能区、生态敏感脆弱区、禁止开发区域以及其他各类保护地，</w:t>
            </w:r>
            <w:r>
              <w:rPr>
                <w:rFonts w:hint="eastAsia" w:ascii="Times New Roman" w:hAnsi="Times New Roman" w:eastAsia="宋体" w:cs="Times New Roman"/>
                <w:sz w:val="24"/>
                <w:szCs w:val="24"/>
                <w:lang w:val="en-US" w:eastAsia="zh-CN"/>
              </w:rPr>
              <w:t>本项目所在地为伊金霍洛旗重点管控单元，</w:t>
            </w:r>
            <w:r>
              <w:rPr>
                <w:rFonts w:hint="default" w:ascii="Times New Roman" w:hAnsi="Times New Roman" w:eastAsia="宋体" w:cs="Times New Roman"/>
                <w:sz w:val="24"/>
                <w:szCs w:val="24"/>
              </w:rPr>
              <w:t>根据生态红线的主要划定依据，本项目不在生态保护红线范围内。综上所述，本项目符合生态保护红线的要求。</w:t>
            </w:r>
          </w:p>
          <w:p w14:paraId="0FA23EAB">
            <w:pPr>
              <w:spacing w:beforeLines="0" w:afterLines="0"/>
              <w:ind w:firstLine="482"/>
              <w:rPr>
                <w:rFonts w:hint="default" w:ascii="Times New Roman" w:hAnsi="Times New Roman" w:cs="Times New Roman"/>
                <w:b/>
                <w:sz w:val="24"/>
                <w:szCs w:val="24"/>
              </w:rPr>
            </w:pPr>
            <w:r>
              <w:rPr>
                <w:rFonts w:hint="eastAsia" w:cs="Times New Roman"/>
                <w:b/>
                <w:sz w:val="24"/>
                <w:szCs w:val="24"/>
                <w:lang w:eastAsia="zh-CN"/>
              </w:rPr>
              <w:t>2.</w:t>
            </w:r>
            <w:r>
              <w:rPr>
                <w:rFonts w:hint="default" w:ascii="Times New Roman" w:hAnsi="Times New Roman" w:eastAsia="宋体" w:cs="Times New Roman"/>
                <w:b/>
                <w:sz w:val="24"/>
                <w:szCs w:val="24"/>
              </w:rPr>
              <w:t>环境质量底线</w:t>
            </w:r>
          </w:p>
          <w:p w14:paraId="015D26D4">
            <w:pPr>
              <w:spacing w:beforeLines="0" w:afterLines="0"/>
              <w:ind w:firstLine="480"/>
              <w:rPr>
                <w:rFonts w:hint="default" w:ascii="Times New Roman" w:hAnsi="Times New Roman" w:cs="Times New Roman"/>
                <w:sz w:val="24"/>
                <w:szCs w:val="24"/>
              </w:rPr>
            </w:pPr>
            <w:r>
              <w:rPr>
                <w:rFonts w:hint="default" w:ascii="Times New Roman" w:hAnsi="Times New Roman" w:eastAsia="宋体" w:cs="Times New Roman"/>
                <w:sz w:val="24"/>
                <w:szCs w:val="24"/>
              </w:rPr>
              <w:t>根据内蒙古自治区生态环境保护厅于2025年5月29日发布的《2024年内蒙古自治区生态环境状况公报》，2024年，全区环境空气六项污染物年均浓度均达标。全区环境空气质量平均优良天数比例为89.6%，同比上升2.4个百分点；扣除异常沙尘天气等影响后，全区环境空气质量优良天数比例为90.7%，同比上升0.5个百分点，重污染天数比例为0.2%，同比持平。</w:t>
            </w:r>
          </w:p>
          <w:p w14:paraId="0F39214B">
            <w:pPr>
              <w:bidi w:val="0"/>
              <w:rPr>
                <w:rFonts w:hint="default"/>
                <w:lang w:val="en-US" w:eastAsia="zh-CN"/>
              </w:rPr>
            </w:pPr>
            <w:r>
              <w:rPr>
                <w:rFonts w:hint="default"/>
              </w:rPr>
              <w:t>本项目的特征污染物为</w:t>
            </w:r>
            <w:r>
              <w:rPr>
                <w:rFonts w:hint="default"/>
                <w:lang w:val="en-US" w:eastAsia="zh-CN"/>
              </w:rPr>
              <w:t>TSP</w:t>
            </w:r>
            <w:r>
              <w:rPr>
                <w:rFonts w:hint="default"/>
              </w:rPr>
              <w:t>，</w:t>
            </w:r>
            <w:r>
              <w:rPr>
                <w:rFonts w:hint="default"/>
                <w:lang w:val="en-US" w:eastAsia="zh-CN"/>
              </w:rPr>
              <w:t>本项目</w:t>
            </w:r>
            <w:r>
              <w:rPr>
                <w:rFonts w:hint="eastAsia"/>
                <w:lang w:val="en-US" w:eastAsia="zh-CN"/>
              </w:rPr>
              <w:t>引用</w:t>
            </w:r>
            <w:r>
              <w:rPr>
                <w:rFonts w:hint="default"/>
                <w:lang w:val="en-US" w:eastAsia="zh-CN"/>
              </w:rPr>
              <w:t>《内蒙古禅德光热科技有限公司太阳能聚光反射镜生产基地项目环境影响报告书》中监测数据，</w:t>
            </w:r>
            <w:r>
              <w:rPr>
                <w:rFonts w:hint="eastAsia"/>
                <w:lang w:val="en-US" w:eastAsia="zh-CN"/>
              </w:rPr>
              <w:t>检测数据显示</w:t>
            </w:r>
            <w:r>
              <w:rPr>
                <w:rFonts w:hint="default"/>
                <w:lang w:val="en-US" w:eastAsia="zh-CN"/>
              </w:rPr>
              <w:t>TSP日均值现状检测结果均符合《环境空气质量标准》（GB3095-2012）二级标准要求，项目区域大气环境质量良好。</w:t>
            </w:r>
          </w:p>
          <w:p w14:paraId="6D4064C2">
            <w:pPr>
              <w:bidi w:val="0"/>
              <w:rPr>
                <w:rFonts w:hint="default"/>
              </w:rPr>
            </w:pPr>
            <w:r>
              <w:rPr>
                <w:rFonts w:hint="default"/>
              </w:rPr>
              <w:t>本项目运营后会产生一定的污染物，但在采取相应的污染防治措施后可以达标排放，各类污染物的排放对周边环境的影响处于可接受水平，不会改变区域环境功能质量，能维持环境功能区的质量现状，满足环境质量底线要求。</w:t>
            </w:r>
          </w:p>
          <w:p w14:paraId="52BE39EC">
            <w:pPr>
              <w:spacing w:beforeLines="0" w:afterLines="0"/>
              <w:ind w:firstLine="482"/>
              <w:rPr>
                <w:rFonts w:hint="default" w:ascii="Times New Roman" w:hAnsi="Times New Roman" w:cs="Times New Roman"/>
                <w:b/>
                <w:sz w:val="24"/>
                <w:szCs w:val="24"/>
              </w:rPr>
            </w:pPr>
            <w:r>
              <w:rPr>
                <w:rFonts w:hint="eastAsia" w:cs="Times New Roman"/>
                <w:b/>
                <w:sz w:val="24"/>
                <w:szCs w:val="24"/>
                <w:lang w:eastAsia="zh-CN"/>
              </w:rPr>
              <w:t>3.</w:t>
            </w:r>
            <w:r>
              <w:rPr>
                <w:rFonts w:hint="default" w:ascii="Times New Roman" w:hAnsi="Times New Roman" w:eastAsia="宋体" w:cs="Times New Roman"/>
                <w:b/>
                <w:sz w:val="24"/>
                <w:szCs w:val="24"/>
              </w:rPr>
              <w:t>资源利用上线</w:t>
            </w:r>
          </w:p>
          <w:p w14:paraId="02ABFFB9">
            <w:pPr>
              <w:bidi w:val="0"/>
              <w:rPr>
                <w:rFonts w:hint="default" w:ascii="Times New Roman" w:hAnsi="Times New Roman" w:cs="Times New Roman"/>
              </w:rPr>
            </w:pPr>
            <w:r>
              <w:rPr>
                <w:rFonts w:hint="default" w:ascii="Times New Roman" w:hAnsi="Times New Roman" w:cs="Times New Roman"/>
              </w:rPr>
              <w:t>资源是环境的载体，“资源利用上线”地区能源、水、土地等资源消耗不得突破的“天花板”。相关规划环评应依据有关资源利用上线，对规划实施以及规划内项目的资源开发利用，区分不同行业，从能源资源开发等量或减量替代、为审批决策提供重要依据。</w:t>
            </w:r>
          </w:p>
          <w:p w14:paraId="556742C9">
            <w:pPr>
              <w:bidi w:val="0"/>
              <w:rPr>
                <w:rFonts w:hint="default" w:ascii="Times New Roman" w:hAnsi="Times New Roman" w:cs="Times New Roman"/>
              </w:rPr>
            </w:pPr>
            <w:r>
              <w:rPr>
                <w:rFonts w:hint="default" w:ascii="Times New Roman" w:hAnsi="Times New Roman" w:cs="Times New Roman"/>
              </w:rPr>
              <w:t>项目</w:t>
            </w:r>
            <w:r>
              <w:rPr>
                <w:rFonts w:hint="eastAsia" w:cs="Times New Roman"/>
                <w:lang w:eastAsia="zh-CN"/>
              </w:rPr>
              <w:t>运营</w:t>
            </w:r>
            <w:r>
              <w:rPr>
                <w:rFonts w:hint="default" w:ascii="Times New Roman" w:hAnsi="Times New Roman" w:cs="Times New Roman"/>
              </w:rPr>
              <w:t>过程中会消耗一定的电资源</w:t>
            </w:r>
            <w:r>
              <w:rPr>
                <w:rFonts w:hint="default" w:ascii="Times New Roman" w:hAnsi="Times New Roman" w:cs="Times New Roman"/>
                <w:lang w:eastAsia="zh-CN"/>
              </w:rPr>
              <w:t>、</w:t>
            </w:r>
            <w:r>
              <w:rPr>
                <w:rFonts w:hint="default" w:ascii="Times New Roman" w:hAnsi="Times New Roman" w:cs="Times New Roman"/>
                <w:lang w:val="en-US" w:eastAsia="zh-CN"/>
              </w:rPr>
              <w:t>水资源</w:t>
            </w:r>
            <w:r>
              <w:rPr>
                <w:rFonts w:hint="default" w:ascii="Times New Roman" w:hAnsi="Times New Roman" w:cs="Times New Roman"/>
              </w:rPr>
              <w:t>，项目资源消耗量相对区域资源利用总量较少，且消耗量满足相关部门要求，项目建设满足区域资源利用上线。</w:t>
            </w:r>
          </w:p>
          <w:p w14:paraId="4DC29412">
            <w:pPr>
              <w:spacing w:beforeLines="0" w:afterLines="0"/>
              <w:ind w:firstLine="482"/>
              <w:rPr>
                <w:rFonts w:hint="default" w:ascii="Times New Roman" w:hAnsi="Times New Roman" w:cs="Times New Roman"/>
                <w:b/>
                <w:sz w:val="24"/>
                <w:szCs w:val="24"/>
              </w:rPr>
            </w:pPr>
            <w:r>
              <w:rPr>
                <w:rFonts w:hint="eastAsia" w:cs="Times New Roman"/>
                <w:b/>
                <w:sz w:val="24"/>
                <w:szCs w:val="24"/>
                <w:lang w:eastAsia="zh-CN"/>
              </w:rPr>
              <w:t>4.</w:t>
            </w:r>
            <w:r>
              <w:rPr>
                <w:rFonts w:hint="default" w:ascii="Times New Roman" w:hAnsi="Times New Roman" w:eastAsia="宋体" w:cs="Times New Roman"/>
                <w:b/>
                <w:sz w:val="24"/>
                <w:szCs w:val="24"/>
              </w:rPr>
              <w:t>生态环境准入清单</w:t>
            </w:r>
          </w:p>
          <w:p w14:paraId="68460694">
            <w:pPr>
              <w:spacing w:beforeLines="0" w:afterLines="0" w:line="480" w:lineRule="exact"/>
              <w:ind w:firstLine="480"/>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根据《</w:t>
            </w:r>
            <w:bookmarkStart w:id="2" w:name="_Toc143185517"/>
            <w:bookmarkStart w:id="3" w:name="_Toc144984188"/>
            <w:r>
              <w:rPr>
                <w:rFonts w:hint="default" w:ascii="Times New Roman" w:hAnsi="Times New Roman" w:eastAsia="宋体" w:cs="Times New Roman"/>
                <w:sz w:val="24"/>
                <w:szCs w:val="24"/>
                <w:lang w:val="en-US" w:eastAsia="zh-CN"/>
              </w:rPr>
              <w:t>鄂尔多斯市生态环境管控准入清单</w:t>
            </w:r>
            <w:bookmarkEnd w:id="2"/>
            <w:bookmarkEnd w:id="3"/>
            <w:r>
              <w:rPr>
                <w:rFonts w:hint="default" w:ascii="Times New Roman" w:hAnsi="Times New Roman" w:eastAsia="宋体" w:cs="Times New Roman"/>
                <w:sz w:val="24"/>
                <w:szCs w:val="24"/>
                <w:lang w:val="en-US" w:eastAsia="zh-CN"/>
              </w:rPr>
              <w:t>》（2023年）</w:t>
            </w:r>
            <w:r>
              <w:rPr>
                <w:rFonts w:hint="default" w:ascii="Times New Roman" w:hAnsi="Times New Roman" w:eastAsia="宋体" w:cs="Times New Roman"/>
                <w:sz w:val="24"/>
                <w:szCs w:val="24"/>
              </w:rPr>
              <w:t>，本项目位于</w:t>
            </w:r>
            <w:r>
              <w:rPr>
                <w:rFonts w:hint="default" w:ascii="Times New Roman" w:hAnsi="Times New Roman" w:eastAsia="宋体" w:cs="Times New Roman"/>
                <w:sz w:val="24"/>
                <w:szCs w:val="24"/>
                <w:lang w:val="en-US" w:eastAsia="zh-CN"/>
              </w:rPr>
              <w:t>内蒙古自治区鄂尔多斯市伊金霍洛旗蒙苏经济开发区零碳产业园，</w:t>
            </w:r>
            <w:r>
              <w:rPr>
                <w:rFonts w:hint="eastAsia" w:ascii="Times New Roman" w:hAnsi="Times New Roman" w:eastAsia="宋体" w:cs="Times New Roman"/>
                <w:sz w:val="24"/>
                <w:szCs w:val="24"/>
                <w:lang w:val="en-US" w:eastAsia="zh-CN"/>
              </w:rPr>
              <w:t>标准地及南部</w:t>
            </w:r>
            <w:r>
              <w:rPr>
                <w:rFonts w:hint="default" w:ascii="Times New Roman" w:hAnsi="Times New Roman" w:eastAsia="宋体" w:cs="Times New Roman"/>
                <w:sz w:val="24"/>
                <w:szCs w:val="24"/>
                <w:lang w:val="en-US" w:eastAsia="zh-CN"/>
              </w:rPr>
              <w:t>拓展区R-01-03地块</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本项目拟建场址属于重点管控单元-蒙苏经济开发区-环境管控单元编码ZH15062720001，管控单元</w:t>
            </w:r>
            <w:r>
              <w:rPr>
                <w:rFonts w:hint="default" w:ascii="Times New Roman" w:hAnsi="Times New Roman" w:eastAsia="宋体" w:cs="Times New Roman"/>
                <w:sz w:val="24"/>
                <w:szCs w:val="24"/>
              </w:rPr>
              <w:t>相关符合性分析见表</w:t>
            </w:r>
            <w:r>
              <w:rPr>
                <w:rFonts w:hint="default" w:ascii="Times New Roman" w:hAnsi="Times New Roman" w:eastAsia="宋体" w:cs="Times New Roman"/>
                <w:sz w:val="24"/>
                <w:szCs w:val="24"/>
                <w:lang w:val="en-US" w:eastAsia="zh-CN"/>
              </w:rPr>
              <w:t>1-3</w:t>
            </w:r>
            <w:r>
              <w:rPr>
                <w:rFonts w:hint="default" w:ascii="Times New Roman" w:hAnsi="Times New Roman" w:eastAsia="宋体" w:cs="Times New Roman"/>
                <w:sz w:val="24"/>
                <w:szCs w:val="24"/>
              </w:rPr>
              <w:t>，本项目与鄂尔多斯市管控单</w:t>
            </w:r>
            <w:r>
              <w:rPr>
                <w:rFonts w:hint="default" w:ascii="Times New Roman" w:hAnsi="Times New Roman" w:eastAsia="宋体" w:cs="Times New Roman"/>
                <w:sz w:val="24"/>
                <w:szCs w:val="24"/>
                <w:lang w:val="en-US" w:eastAsia="zh-CN"/>
              </w:rPr>
              <w:t>元位置关系图见附图2。</w:t>
            </w:r>
          </w:p>
          <w:p w14:paraId="3E8E41C7">
            <w:pPr>
              <w:bidi w:val="0"/>
              <w:ind w:left="0" w:leftChars="0" w:firstLine="0" w:firstLineChars="0"/>
              <w:jc w:val="center"/>
              <w:rPr>
                <w:rFonts w:hint="default" w:ascii="Times New Roman" w:hAnsi="Times New Roman" w:cs="Times New Roman"/>
                <w:b/>
                <w:bCs/>
                <w:sz w:val="22"/>
                <w:szCs w:val="22"/>
              </w:rPr>
            </w:pPr>
            <w:r>
              <w:rPr>
                <w:rFonts w:hint="default" w:ascii="Times New Roman" w:hAnsi="Times New Roman" w:cs="Times New Roman"/>
                <w:b/>
                <w:bCs/>
                <w:sz w:val="22"/>
                <w:szCs w:val="22"/>
              </w:rPr>
              <w:t>表1-3与蒙苏经济开发区</w:t>
            </w:r>
            <w:r>
              <w:rPr>
                <w:rFonts w:hint="default" w:ascii="Times New Roman" w:hAnsi="Times New Roman" w:cs="Times New Roman"/>
                <w:b/>
                <w:bCs/>
                <w:sz w:val="22"/>
                <w:szCs w:val="22"/>
                <w:lang w:val="en-US" w:eastAsia="zh-CN"/>
              </w:rPr>
              <w:t>管控单元管控要求的</w:t>
            </w:r>
            <w:r>
              <w:rPr>
                <w:rFonts w:hint="default" w:ascii="Times New Roman" w:hAnsi="Times New Roman" w:cs="Times New Roman"/>
                <w:b/>
                <w:bCs/>
                <w:sz w:val="22"/>
                <w:szCs w:val="22"/>
              </w:rPr>
              <w:t>符合性分析</w:t>
            </w:r>
          </w:p>
          <w:tbl>
            <w:tblPr>
              <w:tblStyle w:val="47"/>
              <w:tblW w:w="4982"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573"/>
              <w:gridCol w:w="3142"/>
              <w:gridCol w:w="2379"/>
              <w:gridCol w:w="486"/>
            </w:tblGrid>
            <w:tr w14:paraId="194772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2822" w:type="pct"/>
                  <w:gridSpan w:val="2"/>
                  <w:tcBorders>
                    <w:tl2br w:val="nil"/>
                    <w:tr2bl w:val="nil"/>
                  </w:tcBorders>
                  <w:vAlign w:val="center"/>
                </w:tcPr>
                <w:p w14:paraId="1CEC93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rPr>
                  </w:pPr>
                  <w:r>
                    <w:rPr>
                      <w:rFonts w:hint="default" w:ascii="Times New Roman" w:hAnsi="Times New Roman" w:eastAsia="宋体" w:cs="Times New Roman"/>
                    </w:rPr>
                    <w:t>管控要求</w:t>
                  </w:r>
                </w:p>
              </w:tc>
              <w:tc>
                <w:tcPr>
                  <w:tcW w:w="1807" w:type="pct"/>
                  <w:tcBorders>
                    <w:tl2br w:val="nil"/>
                    <w:tr2bl w:val="nil"/>
                  </w:tcBorders>
                  <w:vAlign w:val="center"/>
                </w:tcPr>
                <w:p w14:paraId="405C3D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rPr>
                  </w:pPr>
                  <w:r>
                    <w:rPr>
                      <w:rFonts w:hint="default" w:ascii="Times New Roman" w:hAnsi="Times New Roman" w:eastAsia="宋体" w:cs="Times New Roman"/>
                    </w:rPr>
                    <w:t>本项目</w:t>
                  </w:r>
                </w:p>
              </w:tc>
              <w:tc>
                <w:tcPr>
                  <w:tcW w:w="369" w:type="pct"/>
                  <w:tcBorders>
                    <w:tl2br w:val="nil"/>
                    <w:tr2bl w:val="nil"/>
                  </w:tcBorders>
                  <w:vAlign w:val="center"/>
                </w:tcPr>
                <w:p w14:paraId="3B8FE3B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备注</w:t>
                  </w:r>
                </w:p>
              </w:tc>
            </w:tr>
            <w:tr w14:paraId="5F045A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435" w:type="pct"/>
                  <w:tcBorders>
                    <w:tl2br w:val="nil"/>
                    <w:tr2bl w:val="nil"/>
                  </w:tcBorders>
                  <w:vAlign w:val="center"/>
                </w:tcPr>
                <w:p w14:paraId="03B5C2F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空间布局约束</w:t>
                  </w:r>
                </w:p>
              </w:tc>
              <w:tc>
                <w:tcPr>
                  <w:tcW w:w="2387" w:type="pct"/>
                  <w:tcBorders>
                    <w:tl2br w:val="nil"/>
                    <w:tr2bl w:val="nil"/>
                  </w:tcBorders>
                  <w:vAlign w:val="center"/>
                </w:tcPr>
                <w:p w14:paraId="5700629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1.禁止不符合园区产业定位及规划环评等要求的项目入园；国家明令淘汰的落后产能和不符合国家产业政策的项目，禁止向工业园区转移。</w:t>
                  </w:r>
                </w:p>
                <w:p w14:paraId="1633FED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鄂尔多斯</w:t>
                  </w:r>
                  <w:r>
                    <w:rPr>
                      <w:rFonts w:hint="eastAsia" w:ascii="Times New Roman" w:hAnsi="Times New Roman" w:cs="Times New Roman"/>
                      <w:lang w:val="en-US" w:eastAsia="zh-CN"/>
                    </w:rPr>
                    <w:t>江苏工业园区</w:t>
                  </w:r>
                  <w:r>
                    <w:rPr>
                      <w:rFonts w:hint="default" w:ascii="Times New Roman" w:hAnsi="Times New Roman" w:cs="Times New Roman"/>
                      <w:lang w:val="en-US" w:eastAsia="zh-CN"/>
                    </w:rPr>
                    <w:t>：</w:t>
                  </w:r>
                </w:p>
                <w:p w14:paraId="395CA89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①重点培育发展高端装备制造、高新技术和战略性新兴产业，禁止发展生物发酵类、印染类等高污染产业。</w:t>
                  </w:r>
                </w:p>
                <w:p w14:paraId="41EDDA1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②园区产业生产工艺达到国内先进水平（二级以上）。</w:t>
                  </w:r>
                </w:p>
                <w:p w14:paraId="02CCFEA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③居住用地周边严控布局潜在污染扰民和环境风险突出的建设项目。</w:t>
                  </w:r>
                </w:p>
                <w:p w14:paraId="73159B9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乌兰木工业项目区：</w:t>
                  </w:r>
                </w:p>
                <w:p w14:paraId="4B33770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①禁止引进硫化氢、苯并芘排放较大的企业入园。</w:t>
                  </w:r>
                </w:p>
                <w:p w14:paraId="0BC9D36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②居住用地周边严控布局潜在污染扰民和环境风险突出的建设项目。</w:t>
                  </w:r>
                </w:p>
                <w:p w14:paraId="1CE5167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汇能工业项目区：</w:t>
                  </w:r>
                </w:p>
                <w:p w14:paraId="666B50B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①禁止建设涉及铅、求、路、锡、碑五种重点控制的重金属产生和排放的项目。</w:t>
                  </w:r>
                </w:p>
                <w:p w14:paraId="03D19BF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②马进达到清洁生产一级水平或国内国际先进水平、资源利用效率达到国内先进水平、污染排放少的项目。落实各类废渣和工业副产品的循环综合利用。</w:t>
                  </w:r>
                </w:p>
                <w:p w14:paraId="1C71960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③园区与居民、地表水体、文物保护等环境敏感区之间应设置合理的防护隔离区，工业区和居住区间绿化隔离带不小于500米。</w:t>
                  </w:r>
                </w:p>
              </w:tc>
              <w:tc>
                <w:tcPr>
                  <w:tcW w:w="1807" w:type="pct"/>
                  <w:tcBorders>
                    <w:tl2br w:val="nil"/>
                    <w:tr2bl w:val="nil"/>
                  </w:tcBorders>
                  <w:vAlign w:val="center"/>
                </w:tcPr>
                <w:p w14:paraId="5137111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w:t>
                  </w:r>
                  <w:r>
                    <w:rPr>
                      <w:rFonts w:hint="eastAsia" w:ascii="Times New Roman" w:hAnsi="Times New Roman" w:eastAsia="宋体" w:cs="Times New Roman"/>
                      <w:lang w:val="en-US" w:eastAsia="zh-CN"/>
                    </w:rPr>
                    <w:t>经过上述项目区规划分析，本项目符合园区产业定位及规划环评要求，本项目不属于国家明令淘汰的落后产能项目，</w:t>
                  </w:r>
                  <w:r>
                    <w:rPr>
                      <w:rFonts w:hint="default" w:ascii="Times New Roman" w:hAnsi="Times New Roman" w:cs="Times New Roman"/>
                      <w:spacing w:val="6"/>
                    </w:rPr>
                    <w:t>根据《产业结构调整指导目录（</w:t>
                  </w:r>
                  <w:r>
                    <w:rPr>
                      <w:rFonts w:hint="default" w:ascii="Times New Roman" w:hAnsi="Times New Roman" w:eastAsia="Times New Roman" w:cs="Times New Roman"/>
                      <w:spacing w:val="6"/>
                    </w:rPr>
                    <w:t>2024</w:t>
                  </w:r>
                  <w:r>
                    <w:rPr>
                      <w:rFonts w:hint="default" w:ascii="Times New Roman" w:hAnsi="Times New Roman" w:cs="Times New Roman"/>
                      <w:spacing w:val="6"/>
                    </w:rPr>
                    <w:t>年本）》该项目不属于</w:t>
                  </w:r>
                  <w:r>
                    <w:rPr>
                      <w:rFonts w:hint="default" w:ascii="Times New Roman" w:hAnsi="Times New Roman" w:cs="Times New Roman"/>
                    </w:rPr>
                    <w:t>鼓励类、限制类和淘汰类，属于允许类项目</w:t>
                  </w:r>
                  <w:r>
                    <w:rPr>
                      <w:rFonts w:hint="default" w:ascii="Times New Roman" w:hAnsi="Times New Roman" w:eastAsia="宋体" w:cs="Times New Roman"/>
                      <w:lang w:val="en-US" w:eastAsia="zh-CN"/>
                    </w:rPr>
                    <w:t>。</w:t>
                  </w:r>
                  <w:r>
                    <w:rPr>
                      <w:rFonts w:hint="eastAsia" w:ascii="Times New Roman" w:hAnsi="Times New Roman" w:eastAsia="宋体" w:cs="Times New Roman"/>
                      <w:lang w:val="en-US" w:eastAsia="zh-CN"/>
                    </w:rPr>
                    <w:t>本项目不属于高污染产业</w:t>
                  </w:r>
                </w:p>
                <w:p w14:paraId="76653F6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0000FF"/>
                      <w:lang w:val="en-US"/>
                    </w:rPr>
                  </w:pPr>
                  <w:r>
                    <w:rPr>
                      <w:rFonts w:hint="default" w:ascii="Times New Roman" w:hAnsi="Times New Roman" w:eastAsia="宋体" w:cs="Times New Roman"/>
                      <w:lang w:val="en-US" w:eastAsia="zh-CN"/>
                    </w:rPr>
                    <w:t>本项目不属于潜在污染扰民和环境风险突出的建设项目</w:t>
                  </w:r>
                  <w:r>
                    <w:rPr>
                      <w:rFonts w:hint="eastAsia" w:ascii="Times New Roman" w:hAnsi="Times New Roman" w:eastAsia="宋体" w:cs="Times New Roman"/>
                      <w:lang w:val="en-US" w:eastAsia="zh-CN"/>
                    </w:rPr>
                    <w:t>。</w:t>
                  </w:r>
                </w:p>
              </w:tc>
              <w:tc>
                <w:tcPr>
                  <w:tcW w:w="369" w:type="pct"/>
                  <w:tcBorders>
                    <w:tl2br w:val="nil"/>
                    <w:tr2bl w:val="nil"/>
                  </w:tcBorders>
                  <w:vAlign w:val="center"/>
                </w:tcPr>
                <w:p w14:paraId="27E7CA6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符合</w:t>
                  </w:r>
                </w:p>
              </w:tc>
            </w:tr>
            <w:tr w14:paraId="47D329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435" w:type="pct"/>
                  <w:tcBorders>
                    <w:tl2br w:val="nil"/>
                    <w:tr2bl w:val="nil"/>
                  </w:tcBorders>
                  <w:vAlign w:val="center"/>
                </w:tcPr>
                <w:p w14:paraId="36FAAA1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污染物排放管控</w:t>
                  </w:r>
                </w:p>
              </w:tc>
              <w:tc>
                <w:tcPr>
                  <w:tcW w:w="2387" w:type="pct"/>
                  <w:tcBorders>
                    <w:tl2br w:val="nil"/>
                    <w:tr2bl w:val="nil"/>
                  </w:tcBorders>
                  <w:vAlign w:val="center"/>
                </w:tcPr>
                <w:p w14:paraId="4F93C99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1.按“清污分流”、“雨污分流”、“污污分流”原则，污水应收尽收，全部回用或作为景观用水不外排。</w:t>
                  </w:r>
                </w:p>
                <w:p w14:paraId="77F4580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2.推进高含盐水“零排放”，稳定运行高盐水深度处理和分盐结晶设施，完善配套设施、优化工艺技术，确保高盐水全部结晶处理，严禁排入晾晒池。加快现有晾晒池取缔或转变功能，禁止新建晾晒池、蒸发塘。</w:t>
                  </w:r>
                </w:p>
                <w:p w14:paraId="4654CFA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3.涉VOCs项目应使用低</w:t>
                  </w:r>
                  <w:r>
                    <w:rPr>
                      <w:rFonts w:hint="eastAsia" w:ascii="Times New Roman" w:hAnsi="Times New Roman" w:cs="Times New Roman"/>
                      <w:lang w:val="en-US" w:eastAsia="zh-CN"/>
                    </w:rPr>
                    <w:t>（</w:t>
                  </w:r>
                  <w:r>
                    <w:rPr>
                      <w:rFonts w:hint="default" w:ascii="Times New Roman" w:hAnsi="Times New Roman" w:cs="Times New Roman"/>
                      <w:lang w:val="en-US" w:eastAsia="zh-CN"/>
                    </w:rPr>
                    <w:t>无</w:t>
                  </w:r>
                  <w:r>
                    <w:rPr>
                      <w:rFonts w:hint="eastAsia" w:ascii="Times New Roman" w:hAnsi="Times New Roman" w:cs="Times New Roman"/>
                      <w:lang w:val="en-US" w:eastAsia="zh-CN"/>
                    </w:rPr>
                    <w:t>）</w:t>
                  </w:r>
                  <w:r>
                    <w:rPr>
                      <w:rFonts w:hint="default" w:ascii="Times New Roman" w:hAnsi="Times New Roman" w:cs="Times New Roman"/>
                      <w:lang w:val="en-US" w:eastAsia="zh-CN"/>
                    </w:rPr>
                    <w:t>VOCs含量的原辅材料，安装废气收集、高效治理设施。</w:t>
                  </w:r>
                </w:p>
                <w:p w14:paraId="69E300B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4.园区实施集中供热，禁止企业自建燃煤锅炉，燃煤发电机组执行大气污染物超低排放限值。</w:t>
                  </w:r>
                </w:p>
              </w:tc>
              <w:tc>
                <w:tcPr>
                  <w:tcW w:w="1807" w:type="pct"/>
                  <w:tcBorders>
                    <w:tl2br w:val="nil"/>
                    <w:tr2bl w:val="nil"/>
                  </w:tcBorders>
                  <w:vAlign w:val="center"/>
                </w:tcPr>
                <w:p w14:paraId="47C9ECA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color w:val="0000FF"/>
                      <w:lang w:val="en-US" w:eastAsia="zh-CN"/>
                    </w:rPr>
                  </w:pPr>
                  <w:r>
                    <w:rPr>
                      <w:rFonts w:hint="default" w:ascii="Times New Roman" w:hAnsi="Times New Roman" w:eastAsia="宋体" w:cs="Times New Roman"/>
                      <w:lang w:val="en-US" w:eastAsia="zh-CN"/>
                    </w:rPr>
                    <w:t>1.本项目采取雨污分流的排水方式。项目产生的生产废水，</w:t>
                  </w:r>
                  <w:r>
                    <w:rPr>
                      <w:rFonts w:hint="eastAsia" w:ascii="Times New Roman" w:hAnsi="Times New Roman" w:eastAsia="宋体" w:cs="Times New Roman"/>
                      <w:lang w:val="en-US" w:eastAsia="zh-CN"/>
                    </w:rPr>
                    <w:t>全部回用，不外排，</w:t>
                  </w:r>
                  <w:r>
                    <w:rPr>
                      <w:rFonts w:hint="eastAsia" w:ascii="Times New Roman" w:hAnsi="Times New Roman" w:eastAsia="宋体" w:cs="Times New Roman"/>
                      <w:color w:val="0000FF"/>
                      <w:lang w:val="en-US" w:eastAsia="zh-CN"/>
                    </w:rPr>
                    <w:t>生活污水经厂区内化粪池收集后，</w:t>
                  </w:r>
                  <w:r>
                    <w:rPr>
                      <w:rFonts w:hint="eastAsia" w:cs="Times New Roman"/>
                      <w:color w:val="0000FF"/>
                      <w:lang w:val="en-US" w:eastAsia="zh-CN"/>
                    </w:rPr>
                    <w:t>定期交由伊金霍洛旗澎源供水有限公司进行拉运处理。</w:t>
                  </w:r>
                </w:p>
                <w:p w14:paraId="210B74C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2.不涉及。</w:t>
                  </w:r>
                </w:p>
                <w:p w14:paraId="32A0E51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3.不涉及。</w:t>
                  </w:r>
                </w:p>
                <w:p w14:paraId="198D7EA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0000FF"/>
                      <w:lang w:eastAsia="zh-CN"/>
                    </w:rPr>
                  </w:pPr>
                  <w:r>
                    <w:rPr>
                      <w:rFonts w:hint="default" w:ascii="Times New Roman" w:hAnsi="Times New Roman" w:eastAsia="宋体" w:cs="Times New Roman"/>
                      <w:lang w:val="en-US" w:eastAsia="zh-CN"/>
                    </w:rPr>
                    <w:t>4.本项目</w:t>
                  </w:r>
                  <w:r>
                    <w:rPr>
                      <w:rFonts w:hint="eastAsia" w:ascii="Times New Roman" w:hAnsi="Times New Roman" w:eastAsia="宋体" w:cs="Times New Roman"/>
                      <w:lang w:val="en-US" w:eastAsia="zh-CN"/>
                    </w:rPr>
                    <w:t>冬季不生产，无需供热，不新建燃煤锅炉</w:t>
                  </w:r>
                  <w:r>
                    <w:rPr>
                      <w:rFonts w:hint="default" w:ascii="Times New Roman" w:hAnsi="Times New Roman" w:eastAsia="宋体" w:cs="Times New Roman"/>
                      <w:lang w:val="en-US" w:eastAsia="zh-CN"/>
                    </w:rPr>
                    <w:t>。</w:t>
                  </w:r>
                </w:p>
              </w:tc>
              <w:tc>
                <w:tcPr>
                  <w:tcW w:w="369" w:type="pct"/>
                  <w:tcBorders>
                    <w:tl2br w:val="nil"/>
                    <w:tr2bl w:val="nil"/>
                  </w:tcBorders>
                  <w:vAlign w:val="center"/>
                </w:tcPr>
                <w:p w14:paraId="72FA851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符合</w:t>
                  </w:r>
                </w:p>
              </w:tc>
            </w:tr>
            <w:tr w14:paraId="1D95A9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41" w:hRule="atLeast"/>
                <w:jc w:val="center"/>
              </w:trPr>
              <w:tc>
                <w:tcPr>
                  <w:tcW w:w="435" w:type="pct"/>
                  <w:tcBorders>
                    <w:tl2br w:val="nil"/>
                    <w:tr2bl w:val="nil"/>
                  </w:tcBorders>
                  <w:vAlign w:val="center"/>
                </w:tcPr>
                <w:p w14:paraId="723B502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资源利用效率</w:t>
                  </w:r>
                </w:p>
              </w:tc>
              <w:tc>
                <w:tcPr>
                  <w:tcW w:w="2387" w:type="pct"/>
                  <w:tcBorders>
                    <w:tl2br w:val="nil"/>
                    <w:tr2bl w:val="nil"/>
                  </w:tcBorders>
                  <w:vAlign w:val="center"/>
                </w:tcPr>
                <w:p w14:paraId="315CF0B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1.严格"以水定产业、以水定规模”，做好节水工作，按分质供水原则，合理进行水资源分配，优先使用疏干水、污水处理厂中水。</w:t>
                  </w:r>
                </w:p>
                <w:p w14:paraId="6D05380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2.严控地下水超采。新建、改建、扩建的高耗水工业项目，禁止擅自使用地下水。食品、制药等项目取用地下水，须经有管理权限的水行政主管部门批准。</w:t>
                  </w:r>
                </w:p>
                <w:p w14:paraId="160C7F3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3.实施园区可再生能源替代行动，推动园区企业采用新能源供能方式进行电能替代，打造低碳、零碳示范园区。</w:t>
                  </w:r>
                </w:p>
              </w:tc>
              <w:tc>
                <w:tcPr>
                  <w:tcW w:w="1807" w:type="pct"/>
                  <w:tcBorders>
                    <w:tl2br w:val="nil"/>
                    <w:tr2bl w:val="nil"/>
                  </w:tcBorders>
                  <w:vAlign w:val="center"/>
                </w:tcPr>
                <w:p w14:paraId="570986F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color w:val="0000FF"/>
                      <w:lang w:val="en-US"/>
                    </w:rPr>
                  </w:pPr>
                  <w:r>
                    <w:rPr>
                      <w:rFonts w:hint="default" w:ascii="Times New Roman" w:hAnsi="Times New Roman" w:eastAsia="宋体" w:cs="Times New Roman"/>
                      <w:color w:val="0000FF"/>
                      <w:lang w:val="en-US" w:eastAsia="zh-CN"/>
                    </w:rPr>
                    <w:t>本项</w:t>
                  </w:r>
                  <w:r>
                    <w:rPr>
                      <w:rFonts w:hint="default" w:ascii="Times New Roman" w:hAnsi="Times New Roman" w:eastAsia="宋体" w:cs="Times New Roman"/>
                      <w:color w:val="0000FF"/>
                      <w:highlight w:val="none"/>
                      <w:lang w:val="en-US" w:eastAsia="zh-CN"/>
                    </w:rPr>
                    <w:t>目用水不采用地下水，</w:t>
                  </w:r>
                  <w:r>
                    <w:rPr>
                      <w:rFonts w:hint="eastAsia" w:ascii="Times New Roman" w:hAnsi="Times New Roman" w:eastAsia="宋体" w:cs="Times New Roman"/>
                      <w:color w:val="0000FF"/>
                      <w:highlight w:val="none"/>
                      <w:lang w:val="en-US" w:eastAsia="zh-CN"/>
                    </w:rPr>
                    <w:t>本项目使用的</w:t>
                  </w:r>
                  <w:r>
                    <w:rPr>
                      <w:rFonts w:hint="default" w:ascii="Times New Roman" w:hAnsi="Times New Roman" w:eastAsia="宋体" w:cs="Times New Roman"/>
                      <w:color w:val="0000FF"/>
                      <w:highlight w:val="none"/>
                      <w:lang w:val="en-US" w:eastAsia="zh-CN"/>
                    </w:rPr>
                    <w:t>生活用水</w:t>
                  </w:r>
                  <w:r>
                    <w:rPr>
                      <w:rFonts w:hint="eastAsia" w:cs="Times New Roman"/>
                      <w:color w:val="0000FF"/>
                      <w:highlight w:val="none"/>
                      <w:lang w:val="en-US" w:eastAsia="zh-CN"/>
                    </w:rPr>
                    <w:t>为外购桶装水，生产用</w:t>
                  </w:r>
                  <w:r>
                    <w:rPr>
                      <w:rFonts w:hint="eastAsia" w:ascii="Times New Roman" w:hAnsi="Times New Roman" w:eastAsia="宋体" w:cs="Times New Roman"/>
                      <w:color w:val="0000FF"/>
                      <w:highlight w:val="none"/>
                      <w:lang w:val="en-US" w:eastAsia="zh-CN"/>
                    </w:rPr>
                    <w:t>水</w:t>
                  </w:r>
                  <w:r>
                    <w:rPr>
                      <w:rFonts w:hint="eastAsia" w:cs="Times New Roman"/>
                      <w:color w:val="0000FF"/>
                      <w:highlight w:val="none"/>
                      <w:lang w:val="en-US" w:eastAsia="zh-CN"/>
                    </w:rPr>
                    <w:t>外购伊金霍洛旗上善蒙苏园区供水有限责任公司提供，由水罐车定期拉运存储使用。</w:t>
                  </w:r>
                </w:p>
              </w:tc>
              <w:tc>
                <w:tcPr>
                  <w:tcW w:w="369" w:type="pct"/>
                  <w:tcBorders>
                    <w:tl2br w:val="nil"/>
                    <w:tr2bl w:val="nil"/>
                  </w:tcBorders>
                  <w:vAlign w:val="center"/>
                </w:tcPr>
                <w:p w14:paraId="019BE4F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符合</w:t>
                  </w:r>
                </w:p>
              </w:tc>
            </w:tr>
          </w:tbl>
          <w:p w14:paraId="653D5AC6">
            <w:pPr>
              <w:bidi w:val="0"/>
              <w:ind w:left="0" w:leftChars="0" w:firstLine="0" w:firstLineChars="0"/>
              <w:rPr>
                <w:rFonts w:hint="default" w:ascii="Times New Roman" w:hAnsi="Times New Roman" w:cs="Times New Roman"/>
                <w:b/>
                <w:bCs/>
                <w:lang w:val="en-US" w:eastAsia="zh-CN"/>
              </w:rPr>
            </w:pPr>
            <w:r>
              <w:drawing>
                <wp:inline distT="0" distB="0" distL="114300" distR="114300">
                  <wp:extent cx="4206240" cy="3089910"/>
                  <wp:effectExtent l="0" t="0" r="3810" b="15240"/>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16"/>
                          <a:stretch>
                            <a:fillRect/>
                          </a:stretch>
                        </pic:blipFill>
                        <pic:spPr>
                          <a:xfrm>
                            <a:off x="0" y="0"/>
                            <a:ext cx="4206240" cy="3089910"/>
                          </a:xfrm>
                          <a:prstGeom prst="rect">
                            <a:avLst/>
                          </a:prstGeom>
                          <a:noFill/>
                          <a:ln>
                            <a:noFill/>
                          </a:ln>
                        </pic:spPr>
                      </pic:pic>
                    </a:graphicData>
                  </a:graphic>
                </wp:inline>
              </w:drawing>
            </w:r>
          </w:p>
          <w:p w14:paraId="252FFE94">
            <w:pPr>
              <w:bidi w:val="0"/>
              <w:ind w:left="0" w:leftChars="0" w:firstLine="0" w:firstLineChars="0"/>
              <w:jc w:val="center"/>
              <w:rPr>
                <w:rFonts w:hint="default" w:ascii="Times New Roman" w:hAnsi="Times New Roman" w:eastAsia="宋体" w:cs="Times New Roman"/>
                <w:b/>
                <w:bCs/>
                <w:lang w:val="en-US" w:eastAsia="zh-CN"/>
              </w:rPr>
            </w:pPr>
            <w:r>
              <w:drawing>
                <wp:inline distT="0" distB="0" distL="114300" distR="114300">
                  <wp:extent cx="4204335" cy="3102610"/>
                  <wp:effectExtent l="0" t="0" r="5715" b="254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17"/>
                          <a:stretch>
                            <a:fillRect/>
                          </a:stretch>
                        </pic:blipFill>
                        <pic:spPr>
                          <a:xfrm>
                            <a:off x="0" y="0"/>
                            <a:ext cx="4204335" cy="3102610"/>
                          </a:xfrm>
                          <a:prstGeom prst="rect">
                            <a:avLst/>
                          </a:prstGeom>
                          <a:noFill/>
                          <a:ln>
                            <a:noFill/>
                          </a:ln>
                        </pic:spPr>
                      </pic:pic>
                    </a:graphicData>
                  </a:graphic>
                </wp:inline>
              </w:drawing>
            </w:r>
            <w:r>
              <w:rPr>
                <w:rFonts w:hint="eastAsia"/>
                <w:b/>
                <w:bCs/>
                <w:lang w:val="en-US" w:eastAsia="zh-CN"/>
              </w:rPr>
              <w:t>图1-1环境管控单元查询结果</w:t>
            </w:r>
          </w:p>
          <w:p w14:paraId="2892FE77">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三、选址合理性分析</w:t>
            </w:r>
          </w:p>
          <w:p w14:paraId="6384859D">
            <w:pPr>
              <w:bidi w:val="0"/>
              <w:rPr>
                <w:rFonts w:hint="eastAsia" w:cs="Times New Roman"/>
                <w:lang w:val="en-US" w:eastAsia="zh-CN"/>
              </w:rPr>
            </w:pPr>
            <w:r>
              <w:rPr>
                <w:rFonts w:hint="default" w:ascii="Times New Roman" w:hAnsi="Times New Roman" w:cs="Times New Roman"/>
                <w:lang w:val="en-US" w:eastAsia="zh-CN"/>
              </w:rPr>
              <w:t>本项目位于内蒙古自治区鄂尔多斯市伊金霍洛旗蒙苏经济开发区零碳</w:t>
            </w:r>
            <w:r>
              <w:rPr>
                <w:rFonts w:hint="default" w:ascii="Times New Roman" w:hAnsi="Times New Roman" w:eastAsia="宋体" w:cs="Times New Roman"/>
                <w:lang w:val="en-US" w:eastAsia="zh-CN"/>
              </w:rPr>
              <w:t>产业园，</w:t>
            </w:r>
            <w:r>
              <w:rPr>
                <w:rFonts w:hint="eastAsia" w:ascii="Times New Roman" w:hAnsi="Times New Roman" w:eastAsia="宋体" w:cs="Times New Roman"/>
                <w:lang w:val="en-US" w:eastAsia="zh-CN"/>
              </w:rPr>
              <w:t>标准地及南部</w:t>
            </w:r>
            <w:r>
              <w:rPr>
                <w:rFonts w:hint="default" w:ascii="Times New Roman" w:hAnsi="Times New Roman" w:eastAsia="宋体" w:cs="Times New Roman"/>
                <w:lang w:val="en-US" w:eastAsia="zh-CN"/>
              </w:rPr>
              <w:t>拓展区R-01-03地块</w:t>
            </w:r>
            <w:r>
              <w:rPr>
                <w:rFonts w:hint="default" w:ascii="Times New Roman" w:hAnsi="Times New Roman" w:cs="Times New Roman"/>
                <w:lang w:val="en-US" w:eastAsia="zh-CN"/>
              </w:rPr>
              <w:t>，</w:t>
            </w:r>
            <w:r>
              <w:rPr>
                <w:rFonts w:hint="default" w:ascii="Times New Roman" w:hAnsi="Times New Roman" w:cs="Times New Roman"/>
              </w:rPr>
              <w:t>当地道路、供电、供水、电讯等基础设施条件良好，配套齐全，社会协作条件较优越；本项目所在地不属于自然保护区、世界</w:t>
            </w:r>
            <w:r>
              <w:rPr>
                <w:rFonts w:hint="eastAsia" w:cs="Times New Roman"/>
                <w:lang w:eastAsia="zh-CN"/>
              </w:rPr>
              <w:t>文化和自然遗产</w:t>
            </w:r>
            <w:r>
              <w:rPr>
                <w:rFonts w:hint="default" w:ascii="Times New Roman" w:hAnsi="Times New Roman" w:cs="Times New Roman"/>
              </w:rPr>
              <w:t>、风景名胜区、森林公园、地质公园，集中式饮用水水源保护地等，</w:t>
            </w:r>
            <w:r>
              <w:rPr>
                <w:rFonts w:hint="default" w:ascii="Times New Roman" w:hAnsi="Times New Roman" w:cs="Times New Roman"/>
                <w:lang w:val="en-US" w:eastAsia="zh-CN"/>
              </w:rPr>
              <w:t>项目选址不涉及生态保护红线，厂界外500m范围内无自然保护地、集中式饮用水水源保护区等生态功能重要区和生态环境敏感区</w:t>
            </w:r>
            <w:r>
              <w:rPr>
                <w:rFonts w:hint="eastAsia" w:cs="Times New Roman"/>
                <w:lang w:val="en-US" w:eastAsia="zh-CN"/>
              </w:rPr>
              <w:t>。</w:t>
            </w:r>
          </w:p>
          <w:p w14:paraId="727E70B3">
            <w:pPr>
              <w:bidi w:val="0"/>
              <w:rPr>
                <w:rFonts w:hint="default" w:cs="Times New Roman"/>
                <w:color w:val="0000FF"/>
                <w:lang w:val="en-US" w:eastAsia="zh-CN"/>
              </w:rPr>
            </w:pPr>
            <w:r>
              <w:rPr>
                <w:rFonts w:hint="eastAsia" w:cs="Times New Roman"/>
                <w:color w:val="0000FF"/>
                <w:lang w:val="en-US" w:eastAsia="zh-CN"/>
              </w:rPr>
              <w:t>经查询鄂尔多斯市招商投资集团有限责任公司是鄂尔多斯市鄂苏工业园区市政工程建设有限责任公司的唯一股东，持有其100%股权。企业关系说明文件附件7。</w:t>
            </w:r>
          </w:p>
          <w:p w14:paraId="0CC681CA">
            <w:pPr>
              <w:bidi w:val="0"/>
              <w:rPr>
                <w:rFonts w:hint="default" w:cs="Times New Roman"/>
                <w:b/>
                <w:bCs/>
                <w:color w:val="0000FF"/>
                <w:lang w:val="en-US" w:eastAsia="zh-CN"/>
              </w:rPr>
            </w:pPr>
            <w:r>
              <w:rPr>
                <w:rFonts w:hint="eastAsia" w:cs="Times New Roman"/>
                <w:color w:val="0000FF"/>
                <w:lang w:val="en-US" w:eastAsia="zh-CN"/>
              </w:rPr>
              <w:t>故本项目由控股公司鄂尔多斯市招商投资集团有限责任公司2023年12月8日向伊金霍洛旗自然资源局租赁项目用地。租赁面积为375400㎡。租赁厂界的拐点坐标见表1-4。</w:t>
            </w:r>
          </w:p>
          <w:p w14:paraId="2CE1C5DE">
            <w:pPr>
              <w:bidi w:val="0"/>
              <w:ind w:left="0" w:leftChars="0" w:firstLine="0" w:firstLineChars="0"/>
              <w:jc w:val="center"/>
              <w:rPr>
                <w:rFonts w:hint="default" w:ascii="Times New Roman" w:hAnsi="Times New Roman" w:cs="Times New Roman"/>
                <w:b/>
                <w:bCs/>
                <w:color w:val="auto"/>
                <w:vertAlign w:val="baseline"/>
                <w:lang w:val="en-US" w:eastAsia="zh-CN"/>
              </w:rPr>
            </w:pPr>
            <w:r>
              <w:rPr>
                <w:rFonts w:hint="eastAsia" w:cs="Times New Roman"/>
                <w:b/>
                <w:bCs/>
                <w:lang w:val="en-US" w:eastAsia="zh-CN"/>
              </w:rPr>
              <w:t>表1-4租赁用地的拐点坐标</w:t>
            </w:r>
          </w:p>
          <w:tbl>
            <w:tblPr>
              <w:tblStyle w:val="18"/>
              <w:tblW w:w="6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77"/>
              <w:gridCol w:w="3283"/>
            </w:tblGrid>
            <w:tr w14:paraId="0008E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6560" w:type="dxa"/>
                  <w:gridSpan w:val="2"/>
                  <w:vAlign w:val="center"/>
                </w:tcPr>
                <w:p w14:paraId="521FE9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大地2000坐标</w:t>
                  </w:r>
                </w:p>
              </w:tc>
            </w:tr>
            <w:tr w14:paraId="6B171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3277" w:type="dxa"/>
                  <w:vAlign w:val="center"/>
                </w:tcPr>
                <w:p w14:paraId="137361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X</w:t>
                  </w:r>
                </w:p>
              </w:tc>
              <w:tc>
                <w:tcPr>
                  <w:tcW w:w="3283" w:type="dxa"/>
                  <w:vAlign w:val="center"/>
                </w:tcPr>
                <w:p w14:paraId="6FE3B8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Y</w:t>
                  </w:r>
                </w:p>
              </w:tc>
            </w:tr>
            <w:tr w14:paraId="24FFF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3277" w:type="dxa"/>
                  <w:vAlign w:val="center"/>
                </w:tcPr>
                <w:p w14:paraId="1B2B81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4379822.261</w:t>
                  </w:r>
                </w:p>
              </w:tc>
              <w:tc>
                <w:tcPr>
                  <w:tcW w:w="3283" w:type="dxa"/>
                  <w:vAlign w:val="center"/>
                </w:tcPr>
                <w:p w14:paraId="6AE7D8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377017.859</w:t>
                  </w:r>
                </w:p>
              </w:tc>
            </w:tr>
            <w:tr w14:paraId="24519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3277" w:type="dxa"/>
                  <w:vAlign w:val="center"/>
                </w:tcPr>
                <w:p w14:paraId="21D4C0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4380405.660</w:t>
                  </w:r>
                </w:p>
              </w:tc>
              <w:tc>
                <w:tcPr>
                  <w:tcW w:w="3283" w:type="dxa"/>
                  <w:vAlign w:val="center"/>
                </w:tcPr>
                <w:p w14:paraId="1FB12E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377017.858</w:t>
                  </w:r>
                </w:p>
              </w:tc>
            </w:tr>
            <w:tr w14:paraId="34B38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3277" w:type="dxa"/>
                  <w:vAlign w:val="center"/>
                </w:tcPr>
                <w:p w14:paraId="154306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4380405.660</w:t>
                  </w:r>
                </w:p>
              </w:tc>
              <w:tc>
                <w:tcPr>
                  <w:tcW w:w="3283" w:type="dxa"/>
                  <w:vAlign w:val="center"/>
                </w:tcPr>
                <w:p w14:paraId="2C7B16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377284.945</w:t>
                  </w:r>
                </w:p>
              </w:tc>
            </w:tr>
            <w:tr w14:paraId="3AC8A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3277" w:type="dxa"/>
                  <w:vAlign w:val="center"/>
                </w:tcPr>
                <w:p w14:paraId="02010D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4379270.759</w:t>
                  </w:r>
                </w:p>
              </w:tc>
              <w:tc>
                <w:tcPr>
                  <w:tcW w:w="3283" w:type="dxa"/>
                  <w:vAlign w:val="center"/>
                </w:tcPr>
                <w:p w14:paraId="26E733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377284.946</w:t>
                  </w:r>
                </w:p>
              </w:tc>
            </w:tr>
            <w:tr w14:paraId="3E6D5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3277" w:type="dxa"/>
                  <w:vAlign w:val="center"/>
                </w:tcPr>
                <w:p w14:paraId="695333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4379270.759</w:t>
                  </w:r>
                </w:p>
              </w:tc>
              <w:tc>
                <w:tcPr>
                  <w:tcW w:w="3283" w:type="dxa"/>
                  <w:vAlign w:val="center"/>
                </w:tcPr>
                <w:p w14:paraId="5DC1C0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377017.859</w:t>
                  </w:r>
                </w:p>
              </w:tc>
            </w:tr>
            <w:tr w14:paraId="1FFB4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3277" w:type="dxa"/>
                  <w:vAlign w:val="center"/>
                </w:tcPr>
                <w:p w14:paraId="2BF28E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4379661.261</w:t>
                  </w:r>
                </w:p>
              </w:tc>
              <w:tc>
                <w:tcPr>
                  <w:tcW w:w="3283" w:type="dxa"/>
                  <w:vAlign w:val="center"/>
                </w:tcPr>
                <w:p w14:paraId="3F0AFC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377017.859</w:t>
                  </w:r>
                </w:p>
              </w:tc>
            </w:tr>
            <w:tr w14:paraId="72F37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3277" w:type="dxa"/>
                  <w:vAlign w:val="center"/>
                </w:tcPr>
                <w:p w14:paraId="02267A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4379661.261</w:t>
                  </w:r>
                </w:p>
              </w:tc>
              <w:tc>
                <w:tcPr>
                  <w:tcW w:w="3283" w:type="dxa"/>
                  <w:vAlign w:val="center"/>
                </w:tcPr>
                <w:p w14:paraId="171A4B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376568.878</w:t>
                  </w:r>
                </w:p>
              </w:tc>
            </w:tr>
            <w:tr w14:paraId="3ECA0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3277" w:type="dxa"/>
                  <w:shd w:val="clear" w:color="auto" w:fill="auto"/>
                  <w:vAlign w:val="center"/>
                </w:tcPr>
                <w:p w14:paraId="0DB956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4"/>
                      <w:szCs w:val="24"/>
                      <w:lang w:val="en-US" w:eastAsia="zh-CN" w:bidi="ar-SA"/>
                    </w:rPr>
                  </w:pPr>
                  <w:r>
                    <w:rPr>
                      <w:rFonts w:hint="eastAsia"/>
                      <w:lang w:val="en-US" w:eastAsia="zh-CN"/>
                    </w:rPr>
                    <w:t>4379822.261</w:t>
                  </w:r>
                </w:p>
              </w:tc>
              <w:tc>
                <w:tcPr>
                  <w:tcW w:w="3283" w:type="dxa"/>
                  <w:shd w:val="clear" w:color="auto" w:fill="auto"/>
                  <w:vAlign w:val="center"/>
                </w:tcPr>
                <w:p w14:paraId="7B5045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4"/>
                      <w:szCs w:val="24"/>
                      <w:lang w:val="en-US" w:eastAsia="zh-CN" w:bidi="ar-SA"/>
                    </w:rPr>
                  </w:pPr>
                  <w:r>
                    <w:rPr>
                      <w:rFonts w:hint="eastAsia"/>
                      <w:lang w:val="en-US" w:eastAsia="zh-CN"/>
                    </w:rPr>
                    <w:t>376568.878</w:t>
                  </w:r>
                </w:p>
              </w:tc>
            </w:tr>
            <w:tr w14:paraId="15C93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6560" w:type="dxa"/>
                  <w:gridSpan w:val="2"/>
                  <w:vAlign w:val="center"/>
                </w:tcPr>
                <w:p w14:paraId="281EFC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经纬度</w:t>
                  </w:r>
                </w:p>
              </w:tc>
            </w:tr>
            <w:tr w14:paraId="48810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3277" w:type="dxa"/>
                  <w:vAlign w:val="center"/>
                </w:tcPr>
                <w:p w14:paraId="510317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109.56933429324</w:t>
                  </w:r>
                </w:p>
              </w:tc>
              <w:tc>
                <w:tcPr>
                  <w:tcW w:w="3283" w:type="dxa"/>
                  <w:vAlign w:val="center"/>
                </w:tcPr>
                <w:p w14:paraId="33E1F9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39.543507929788</w:t>
                  </w:r>
                </w:p>
              </w:tc>
            </w:tr>
            <w:tr w14:paraId="69522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3277" w:type="dxa"/>
                  <w:vAlign w:val="center"/>
                </w:tcPr>
                <w:p w14:paraId="7C32D1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109.56922638487</w:t>
                  </w:r>
                </w:p>
              </w:tc>
              <w:tc>
                <w:tcPr>
                  <w:tcW w:w="3283" w:type="dxa"/>
                  <w:vAlign w:val="center"/>
                </w:tcPr>
                <w:p w14:paraId="0FED88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39.548760907246</w:t>
                  </w:r>
                </w:p>
              </w:tc>
            </w:tr>
            <w:tr w14:paraId="32E08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3277" w:type="dxa"/>
                  <w:vAlign w:val="center"/>
                </w:tcPr>
                <w:p w14:paraId="429C21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109.57233276735</w:t>
                  </w:r>
                </w:p>
              </w:tc>
              <w:tc>
                <w:tcPr>
                  <w:tcW w:w="3283" w:type="dxa"/>
                  <w:vAlign w:val="center"/>
                </w:tcPr>
                <w:p w14:paraId="4598D6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39.548799112113</w:t>
                  </w:r>
                </w:p>
              </w:tc>
            </w:tr>
            <w:tr w14:paraId="1F09E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3277" w:type="dxa"/>
                  <w:vAlign w:val="center"/>
                </w:tcPr>
                <w:p w14:paraId="38EB58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109.57254219202</w:t>
                  </w:r>
                </w:p>
              </w:tc>
              <w:tc>
                <w:tcPr>
                  <w:tcW w:w="3283" w:type="dxa"/>
                  <w:vAlign w:val="center"/>
                </w:tcPr>
                <w:p w14:paraId="39B7A8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39.538580342148</w:t>
                  </w:r>
                </w:p>
              </w:tc>
            </w:tr>
            <w:tr w14:paraId="34AFC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3277" w:type="dxa"/>
                  <w:vAlign w:val="center"/>
                </w:tcPr>
                <w:p w14:paraId="6612FC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109.56943626481</w:t>
                  </w:r>
                </w:p>
              </w:tc>
              <w:tc>
                <w:tcPr>
                  <w:tcW w:w="3283" w:type="dxa"/>
                  <w:vAlign w:val="center"/>
                </w:tcPr>
                <w:p w14:paraId="503FD5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39.538542151068</w:t>
                  </w:r>
                </w:p>
              </w:tc>
            </w:tr>
            <w:tr w14:paraId="37745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3277" w:type="dxa"/>
                  <w:vAlign w:val="center"/>
                </w:tcPr>
                <w:p w14:paraId="258061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109.56936406442</w:t>
                  </w:r>
                </w:p>
              </w:tc>
              <w:tc>
                <w:tcPr>
                  <w:tcW w:w="3283" w:type="dxa"/>
                  <w:vAlign w:val="center"/>
                </w:tcPr>
                <w:p w14:paraId="37BFB2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39.542058270278</w:t>
                  </w:r>
                </w:p>
              </w:tc>
            </w:tr>
            <w:tr w14:paraId="4A033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3277" w:type="dxa"/>
                  <w:vAlign w:val="center"/>
                </w:tcPr>
                <w:p w14:paraId="1E538C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109.56414266068</w:t>
                  </w:r>
                </w:p>
              </w:tc>
              <w:tc>
                <w:tcPr>
                  <w:tcW w:w="3283" w:type="dxa"/>
                  <w:vAlign w:val="center"/>
                </w:tcPr>
                <w:p w14:paraId="7568C0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39.541993875021</w:t>
                  </w:r>
                </w:p>
              </w:tc>
            </w:tr>
            <w:tr w14:paraId="30A24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277" w:type="dxa"/>
                  <w:vAlign w:val="center"/>
                </w:tcPr>
                <w:p w14:paraId="526A34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109.56411278094</w:t>
                  </w:r>
                </w:p>
              </w:tc>
              <w:tc>
                <w:tcPr>
                  <w:tcW w:w="3283" w:type="dxa"/>
                  <w:vAlign w:val="center"/>
                </w:tcPr>
                <w:p w14:paraId="45D6D2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39.543443531234</w:t>
                  </w:r>
                </w:p>
              </w:tc>
            </w:tr>
          </w:tbl>
          <w:p w14:paraId="554DA004">
            <w:pPr>
              <w:bidi w:val="0"/>
              <w:ind w:left="0" w:leftChars="0" w:firstLine="0" w:firstLineChars="0"/>
              <w:jc w:val="center"/>
              <w:rPr>
                <w:rFonts w:hint="default" w:ascii="Times New Roman" w:hAnsi="Times New Roman" w:cs="Times New Roman"/>
                <w:b/>
                <w:bCs/>
                <w:color w:val="auto"/>
                <w:lang w:val="en-US" w:eastAsia="zh-CN"/>
              </w:rPr>
            </w:pPr>
            <w:r>
              <w:drawing>
                <wp:anchor distT="0" distB="0" distL="114300" distR="114300" simplePos="0" relativeHeight="251680768" behindDoc="0" locked="0" layoutInCell="1" allowOverlap="1">
                  <wp:simplePos x="0" y="0"/>
                  <wp:positionH relativeFrom="column">
                    <wp:posOffset>3610610</wp:posOffset>
                  </wp:positionH>
                  <wp:positionV relativeFrom="paragraph">
                    <wp:posOffset>8255</wp:posOffset>
                  </wp:positionV>
                  <wp:extent cx="574675" cy="666750"/>
                  <wp:effectExtent l="0" t="0" r="15875" b="0"/>
                  <wp:wrapNone/>
                  <wp:docPr id="8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2"/>
                          <pic:cNvPicPr>
                            <a:picLocks noChangeAspect="1"/>
                          </pic:cNvPicPr>
                        </pic:nvPicPr>
                        <pic:blipFill>
                          <a:blip r:embed="rId18"/>
                          <a:stretch>
                            <a:fillRect/>
                          </a:stretch>
                        </pic:blipFill>
                        <pic:spPr>
                          <a:xfrm>
                            <a:off x="0" y="0"/>
                            <a:ext cx="574675" cy="666750"/>
                          </a:xfrm>
                          <a:prstGeom prst="rect">
                            <a:avLst/>
                          </a:prstGeom>
                          <a:noFill/>
                          <a:ln>
                            <a:noFill/>
                          </a:ln>
                        </pic:spPr>
                      </pic:pic>
                    </a:graphicData>
                  </a:graphic>
                </wp:anchor>
              </w:drawing>
            </w:r>
            <w:r>
              <w:drawing>
                <wp:inline distT="0" distB="0" distL="114300" distR="114300">
                  <wp:extent cx="4183380" cy="2875280"/>
                  <wp:effectExtent l="0" t="0" r="7620" b="1270"/>
                  <wp:docPr id="7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4"/>
                          <pic:cNvPicPr>
                            <a:picLocks noChangeAspect="1"/>
                          </pic:cNvPicPr>
                        </pic:nvPicPr>
                        <pic:blipFill>
                          <a:blip r:embed="rId19"/>
                          <a:stretch>
                            <a:fillRect/>
                          </a:stretch>
                        </pic:blipFill>
                        <pic:spPr>
                          <a:xfrm>
                            <a:off x="0" y="0"/>
                            <a:ext cx="4183380" cy="2875280"/>
                          </a:xfrm>
                          <a:prstGeom prst="rect">
                            <a:avLst/>
                          </a:prstGeom>
                          <a:noFill/>
                          <a:ln>
                            <a:noFill/>
                          </a:ln>
                        </pic:spPr>
                      </pic:pic>
                    </a:graphicData>
                  </a:graphic>
                </wp:inline>
              </w:drawing>
            </w:r>
          </w:p>
          <w:p w14:paraId="623EF80E">
            <w:pPr>
              <w:bidi w:val="0"/>
              <w:ind w:left="0" w:leftChars="0" w:firstLine="0" w:firstLineChars="0"/>
              <w:jc w:val="center"/>
              <w:rPr>
                <w:rFonts w:hint="default" w:ascii="Times New Roman" w:hAnsi="Times New Roman" w:cs="Times New Roman"/>
                <w:b/>
                <w:bCs/>
                <w:color w:val="auto"/>
                <w:lang w:val="en-US" w:eastAsia="zh-CN"/>
              </w:rPr>
            </w:pPr>
            <w:r>
              <w:rPr>
                <w:rFonts w:hint="eastAsia" w:cs="Times New Roman"/>
                <w:b/>
                <w:bCs/>
                <w:color w:val="auto"/>
                <w:lang w:val="en-US" w:eastAsia="zh-CN"/>
              </w:rPr>
              <w:t>图1-2项目租赁厂址拐点坐标</w:t>
            </w:r>
          </w:p>
          <w:p w14:paraId="0346E967">
            <w:pPr>
              <w:bidi w:val="0"/>
              <w:rPr>
                <w:rFonts w:hint="eastAsia" w:cs="Times New Roman"/>
                <w:color w:val="0000FF"/>
                <w:lang w:val="en-US" w:eastAsia="zh-CN"/>
              </w:rPr>
            </w:pPr>
            <w:r>
              <w:rPr>
                <w:rFonts w:hint="eastAsia" w:cs="Times New Roman"/>
                <w:color w:val="0000FF"/>
                <w:lang w:val="en-US" w:eastAsia="zh-CN"/>
              </w:rPr>
              <w:t>2025年4月22日，由控股公司鄂尔多斯市招商投资集团有限责任公司向鄂尔多斯蒙苏经济开发区管理委员会递交（关系说明见附件5）允许使用土地建设申请，鄂尔多斯蒙苏经济开发区管理委员会以鄂蒙苏函〔2025〕57号文同意本项目的建设，本项目为临时混凝土拌合站，本项目主要服务于隆基5GW项目、智能化信息服务项目等园区项目，文件要求，建设单位承建的项目完工后或招商引资项目需要使用该处土地时，建设单位需无条件拆除本项目相关设施。</w:t>
            </w:r>
          </w:p>
          <w:p w14:paraId="415B25DD">
            <w:pPr>
              <w:bidi w:val="0"/>
              <w:rPr>
                <w:rFonts w:hint="default" w:cs="Times New Roman"/>
                <w:color w:val="0000FF"/>
                <w:lang w:val="en-US" w:eastAsia="zh-CN"/>
              </w:rPr>
            </w:pPr>
            <w:r>
              <w:rPr>
                <w:rFonts w:hint="eastAsia" w:cs="Times New Roman"/>
                <w:color w:val="0000FF"/>
                <w:lang w:val="en-US" w:eastAsia="zh-CN"/>
              </w:rPr>
              <w:t>本项目租赁用地面积为375400㎡，本次工程占地面积为33294.88㎡，只占用部分用地用于本项目的建设，本项目拟建厂址拐点坐标见下表1-5。租赁用地与本项目用地厂址关系见图1-3。</w:t>
            </w:r>
          </w:p>
          <w:p w14:paraId="30AAB50B">
            <w:pPr>
              <w:bidi w:val="0"/>
              <w:ind w:left="0" w:leftChars="0" w:firstLine="0" w:firstLineChars="0"/>
              <w:jc w:val="center"/>
              <w:rPr>
                <w:rFonts w:hint="default" w:cs="Times New Roman"/>
                <w:b/>
                <w:bCs/>
                <w:vertAlign w:val="baseline"/>
                <w:lang w:val="en-US" w:eastAsia="zh-CN"/>
              </w:rPr>
            </w:pPr>
            <w:r>
              <w:rPr>
                <w:rFonts w:hint="eastAsia" w:cs="Times New Roman"/>
                <w:b/>
                <w:bCs/>
                <w:lang w:val="en-US" w:eastAsia="zh-CN"/>
              </w:rPr>
              <w:t>表1-5拟建厂址拐点坐标</w:t>
            </w:r>
          </w:p>
          <w:tbl>
            <w:tblPr>
              <w:tblStyle w:val="18"/>
              <w:tblW w:w="66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
              <w:gridCol w:w="2550"/>
              <w:gridCol w:w="3105"/>
            </w:tblGrid>
            <w:tr w14:paraId="4DA18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vAlign w:val="center"/>
                </w:tcPr>
                <w:p w14:paraId="48D494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点号</w:t>
                  </w:r>
                </w:p>
              </w:tc>
              <w:tc>
                <w:tcPr>
                  <w:tcW w:w="2550" w:type="dxa"/>
                  <w:vAlign w:val="center"/>
                </w:tcPr>
                <w:p w14:paraId="4D6DC9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X</w:t>
                  </w:r>
                </w:p>
              </w:tc>
              <w:tc>
                <w:tcPr>
                  <w:tcW w:w="3105" w:type="dxa"/>
                  <w:vAlign w:val="center"/>
                </w:tcPr>
                <w:p w14:paraId="40C7B8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Y</w:t>
                  </w:r>
                </w:p>
              </w:tc>
            </w:tr>
            <w:tr w14:paraId="44BE3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vAlign w:val="center"/>
                </w:tcPr>
                <w:p w14:paraId="3A0FF2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J1</w:t>
                  </w:r>
                </w:p>
              </w:tc>
              <w:tc>
                <w:tcPr>
                  <w:tcW w:w="2550" w:type="dxa"/>
                  <w:vAlign w:val="center"/>
                </w:tcPr>
                <w:p w14:paraId="35F45B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4379822.261</w:t>
                  </w:r>
                </w:p>
              </w:tc>
              <w:tc>
                <w:tcPr>
                  <w:tcW w:w="3105" w:type="dxa"/>
                  <w:vAlign w:val="center"/>
                </w:tcPr>
                <w:p w14:paraId="1B621D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37376568.878</w:t>
                  </w:r>
                </w:p>
              </w:tc>
            </w:tr>
            <w:tr w14:paraId="305C7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vAlign w:val="center"/>
                </w:tcPr>
                <w:p w14:paraId="142F92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J2</w:t>
                  </w:r>
                </w:p>
              </w:tc>
              <w:tc>
                <w:tcPr>
                  <w:tcW w:w="2550" w:type="dxa"/>
                  <w:vAlign w:val="center"/>
                </w:tcPr>
                <w:p w14:paraId="13497C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4379822.261</w:t>
                  </w:r>
                </w:p>
              </w:tc>
              <w:tc>
                <w:tcPr>
                  <w:tcW w:w="3105" w:type="dxa"/>
                  <w:vAlign w:val="center"/>
                </w:tcPr>
                <w:p w14:paraId="69B0AA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37376717.857</w:t>
                  </w:r>
                </w:p>
              </w:tc>
            </w:tr>
            <w:tr w14:paraId="0CF03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vAlign w:val="center"/>
                </w:tcPr>
                <w:p w14:paraId="00D45C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J3</w:t>
                  </w:r>
                </w:p>
              </w:tc>
              <w:tc>
                <w:tcPr>
                  <w:tcW w:w="2550" w:type="dxa"/>
                  <w:vAlign w:val="center"/>
                </w:tcPr>
                <w:p w14:paraId="30024C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4379822.261</w:t>
                  </w:r>
                </w:p>
              </w:tc>
              <w:tc>
                <w:tcPr>
                  <w:tcW w:w="3105" w:type="dxa"/>
                  <w:vAlign w:val="center"/>
                </w:tcPr>
                <w:p w14:paraId="446F02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37376775.678</w:t>
                  </w:r>
                </w:p>
              </w:tc>
            </w:tr>
            <w:tr w14:paraId="420A0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vAlign w:val="center"/>
                </w:tcPr>
                <w:p w14:paraId="688B58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J4</w:t>
                  </w:r>
                </w:p>
              </w:tc>
              <w:tc>
                <w:tcPr>
                  <w:tcW w:w="2550" w:type="dxa"/>
                  <w:vAlign w:val="center"/>
                </w:tcPr>
                <w:p w14:paraId="26B3A4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4379661.261</w:t>
                  </w:r>
                </w:p>
              </w:tc>
              <w:tc>
                <w:tcPr>
                  <w:tcW w:w="3105" w:type="dxa"/>
                  <w:vAlign w:val="center"/>
                </w:tcPr>
                <w:p w14:paraId="4EC909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37376775.678</w:t>
                  </w:r>
                </w:p>
              </w:tc>
            </w:tr>
            <w:tr w14:paraId="011EB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vAlign w:val="center"/>
                </w:tcPr>
                <w:p w14:paraId="15E535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J5</w:t>
                  </w:r>
                </w:p>
              </w:tc>
              <w:tc>
                <w:tcPr>
                  <w:tcW w:w="2550" w:type="dxa"/>
                  <w:vAlign w:val="center"/>
                </w:tcPr>
                <w:p w14:paraId="465969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4379661.261</w:t>
                  </w:r>
                </w:p>
              </w:tc>
              <w:tc>
                <w:tcPr>
                  <w:tcW w:w="3105" w:type="dxa"/>
                  <w:vAlign w:val="center"/>
                </w:tcPr>
                <w:p w14:paraId="1E42EE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37376717.858</w:t>
                  </w:r>
                </w:p>
              </w:tc>
            </w:tr>
            <w:tr w14:paraId="3BA68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vAlign w:val="center"/>
                </w:tcPr>
                <w:p w14:paraId="629024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J6</w:t>
                  </w:r>
                </w:p>
              </w:tc>
              <w:tc>
                <w:tcPr>
                  <w:tcW w:w="2550" w:type="dxa"/>
                  <w:vAlign w:val="center"/>
                </w:tcPr>
                <w:p w14:paraId="2842F3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4379661.261</w:t>
                  </w:r>
                </w:p>
              </w:tc>
              <w:tc>
                <w:tcPr>
                  <w:tcW w:w="3105" w:type="dxa"/>
                  <w:vAlign w:val="center"/>
                </w:tcPr>
                <w:p w14:paraId="21EE97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37376568.878</w:t>
                  </w:r>
                </w:p>
              </w:tc>
            </w:tr>
            <w:tr w14:paraId="38AA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vAlign w:val="center"/>
                </w:tcPr>
                <w:p w14:paraId="618CED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J7</w:t>
                  </w:r>
                </w:p>
              </w:tc>
              <w:tc>
                <w:tcPr>
                  <w:tcW w:w="2550" w:type="dxa"/>
                  <w:vAlign w:val="center"/>
                </w:tcPr>
                <w:p w14:paraId="0FC235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4379741.761</w:t>
                  </w:r>
                </w:p>
              </w:tc>
              <w:tc>
                <w:tcPr>
                  <w:tcW w:w="3105" w:type="dxa"/>
                  <w:vAlign w:val="center"/>
                </w:tcPr>
                <w:p w14:paraId="6A8C0E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37376568.878</w:t>
                  </w:r>
                </w:p>
              </w:tc>
            </w:tr>
            <w:tr w14:paraId="2E579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vAlign w:val="center"/>
                </w:tcPr>
                <w:p w14:paraId="6D6FA0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J1</w:t>
                  </w:r>
                </w:p>
              </w:tc>
              <w:tc>
                <w:tcPr>
                  <w:tcW w:w="2550" w:type="dxa"/>
                  <w:vAlign w:val="center"/>
                </w:tcPr>
                <w:p w14:paraId="40D196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4379822.261</w:t>
                  </w:r>
                </w:p>
              </w:tc>
              <w:tc>
                <w:tcPr>
                  <w:tcW w:w="3105" w:type="dxa"/>
                  <w:vAlign w:val="center"/>
                </w:tcPr>
                <w:p w14:paraId="14289F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37376568.878</w:t>
                  </w:r>
                </w:p>
              </w:tc>
            </w:tr>
            <w:tr w14:paraId="1966A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4" w:type="dxa"/>
                  <w:gridSpan w:val="3"/>
                  <w:vAlign w:val="center"/>
                </w:tcPr>
                <w:p w14:paraId="5D8BF9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S=33294.88㎡</w:t>
                  </w:r>
                </w:p>
              </w:tc>
            </w:tr>
          </w:tbl>
          <w:p w14:paraId="50721E04">
            <w:pPr>
              <w:bidi w:val="0"/>
              <w:ind w:left="0" w:leftChars="0" w:firstLine="0" w:firstLineChars="0"/>
              <w:rPr>
                <w:sz w:val="24"/>
              </w:rPr>
            </w:pPr>
            <w:r>
              <w:drawing>
                <wp:inline distT="0" distB="0" distL="114300" distR="114300">
                  <wp:extent cx="4199255" cy="2392680"/>
                  <wp:effectExtent l="0" t="0" r="10795" b="7620"/>
                  <wp:docPr id="8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3"/>
                          <pic:cNvPicPr>
                            <a:picLocks noChangeAspect="1"/>
                          </pic:cNvPicPr>
                        </pic:nvPicPr>
                        <pic:blipFill>
                          <a:blip r:embed="rId20"/>
                          <a:stretch>
                            <a:fillRect/>
                          </a:stretch>
                        </pic:blipFill>
                        <pic:spPr>
                          <a:xfrm>
                            <a:off x="0" y="0"/>
                            <a:ext cx="4199255" cy="2392680"/>
                          </a:xfrm>
                          <a:prstGeom prst="rect">
                            <a:avLst/>
                          </a:prstGeom>
                          <a:noFill/>
                          <a:ln>
                            <a:noFill/>
                          </a:ln>
                        </pic:spPr>
                      </pic:pic>
                    </a:graphicData>
                  </a:graphic>
                </wp:inline>
              </w:drawing>
            </w:r>
          </w:p>
          <w:p w14:paraId="478046A6">
            <w:pPr>
              <w:bidi w:val="0"/>
              <w:ind w:left="0" w:leftChars="0" w:firstLine="0" w:firstLineChars="0"/>
              <w:rPr>
                <w:rFonts w:hint="default"/>
                <w:lang w:val="en-US" w:eastAsia="zh-CN"/>
              </w:rPr>
            </w:pPr>
            <w:r>
              <w:rPr>
                <w:sz w:val="24"/>
              </w:rPr>
              <mc:AlternateContent>
                <mc:Choice Requires="wps">
                  <w:drawing>
                    <wp:anchor distT="0" distB="0" distL="114300" distR="114300" simplePos="0" relativeHeight="251677696" behindDoc="0" locked="0" layoutInCell="1" allowOverlap="1">
                      <wp:simplePos x="0" y="0"/>
                      <wp:positionH relativeFrom="column">
                        <wp:posOffset>142240</wp:posOffset>
                      </wp:positionH>
                      <wp:positionV relativeFrom="paragraph">
                        <wp:posOffset>3511550</wp:posOffset>
                      </wp:positionV>
                      <wp:extent cx="257175" cy="0"/>
                      <wp:effectExtent l="0" t="12700" r="0" b="12700"/>
                      <wp:wrapNone/>
                      <wp:docPr id="82" name="直接连接符 82"/>
                      <wp:cNvGraphicFramePr/>
                      <a:graphic xmlns:a="http://schemas.openxmlformats.org/drawingml/2006/main">
                        <a:graphicData uri="http://schemas.microsoft.com/office/word/2010/wordprocessingShape">
                          <wps:wsp>
                            <wps:cNvCnPr/>
                            <wps:spPr>
                              <a:xfrm>
                                <a:off x="0" y="0"/>
                                <a:ext cx="257175" cy="0"/>
                              </a:xfrm>
                              <a:prstGeom prst="line">
                                <a:avLst/>
                              </a:prstGeom>
                              <a:ln>
                                <a:solidFill>
                                  <a:srgbClr val="54BD24"/>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1.2pt;margin-top:276.5pt;height:0pt;width:20.25pt;z-index:251677696;mso-width-relative:page;mso-height-relative:page;" filled="f" stroked="t" coordsize="21600,21600" o:gfxdata="UEsDBAoAAAAAAIdO4kAAAAAAAAAAAAAAAAAEAAAAZHJzL1BLAwQUAAAACACHTuJAqCAA1dYAAAAJ&#10;AQAADwAAAGRycy9kb3ducmV2LnhtbE2PwU6DQBCG7ya+w2ZMvNkFLBWRpYlNPHpoMSa9DewKRHYW&#10;2aXUt3eamOhxZr788/3F9mwHcTKT7x0piFcRCEON0z21Ct6ql7sMhA9IGgdHRsG38bAtr68KzLVb&#10;aG9Oh9AKDiGfo4IuhDGX0jedsehXbjTEtw83WQw8Tq3UEy4cbgeZRNFGWuyJP3Q4ml1nms/DbBW8&#10;Psfv+LA7flXHOqOhypb1nC5K3d7E0ROIYM7hD4aLPqtDyU61m0l7MShIkjWTCtL0njsxsEkeQdS/&#10;C1kW8n+D8gdQSwMEFAAAAAgAh07iQAA8tafcAQAAnAMAAA4AAABkcnMvZTJvRG9jLnhtbK1TS27b&#10;MBDdF+gdCO5ryYLdBILlAI2RborWQNsD0BQpEeAPHMayL9ELFOiuXXXZfW/T5BgdUorTJpsssqHm&#10;xzd8b0ari4PRZC8CKGcbOp+VlAjLXats19DPn65enVMCkdmWaWdFQ48C6MX65YvV4GtRud7pVgSC&#10;IBbqwTe0j9HXRQG8F4bBzHlhMSldMCyiG7qiDWxAdKOLqixfF4MLrQ+OCwCMbsYknRDDUwCdlIqL&#10;jePXRtg4ogahWURK0CsPdJ1fK6Xg8YOUICLRDUWmMZ/YBO1dOov1itVdYL5XfHoCe8oTHnAyTFls&#10;eoLasMjIdVCPoIziwYGTccadKUYiWRFkMS8faPOxZ15kLig1+JPo8Hyw/P1+G4hqG3peUWKZwYnf&#10;fP3158v329/f8Lz5+YNgBmUaPNRYfWm3YfLAb0PifJDBpC+yIYcs7fEkrThEwjFYLc/mZ0tK+F2q&#10;uL/nA8S3whmSjIZqZRNpVrP9O4jYC0vvSlLYuiuldR6ctmRI2IsS58kZbqPELUDTeGQEtqOE6Q7X&#10;nMeQIcFp1abrCQhCt7vUgewZLsdy8WZTLRJRbPdfWeq9YdCPdTk1lWmL1UmXUYlk7Vx7zALlOA4t&#10;400LlrbiXz/fvv+p1n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qCAA1dYAAAAJAQAADwAAAAAA&#10;AAABACAAAAAiAAAAZHJzL2Rvd25yZXYueG1sUEsBAhQAFAAAAAgAh07iQAA8tafcAQAAnAMAAA4A&#10;AAAAAAAAAQAgAAAAJQEAAGRycy9lMm9Eb2MueG1sUEsFBgAAAAAGAAYAWQEAAHMFAAAAAA==&#10;">
                      <v:fill on="f" focussize="0,0"/>
                      <v:stroke weight="2pt" color="#54BD24 [3204]" joinstyle="round"/>
                      <v:imagedata o:title=""/>
                      <o:lock v:ext="edit" aspectratio="f"/>
                    </v:line>
                  </w:pict>
                </mc:Fallback>
              </mc:AlternateContent>
            </w:r>
            <w:r>
              <w:rPr>
                <w:sz w:val="24"/>
              </w:rPr>
              <mc:AlternateContent>
                <mc:Choice Requires="wps">
                  <w:drawing>
                    <wp:anchor distT="0" distB="0" distL="114300" distR="114300" simplePos="0" relativeHeight="251676672" behindDoc="0" locked="0" layoutInCell="1" allowOverlap="1">
                      <wp:simplePos x="0" y="0"/>
                      <wp:positionH relativeFrom="column">
                        <wp:posOffset>132715</wp:posOffset>
                      </wp:positionH>
                      <wp:positionV relativeFrom="paragraph">
                        <wp:posOffset>3321050</wp:posOffset>
                      </wp:positionV>
                      <wp:extent cx="257175" cy="0"/>
                      <wp:effectExtent l="0" t="12700" r="0" b="12700"/>
                      <wp:wrapNone/>
                      <wp:docPr id="81" name="直接连接符 81"/>
                      <wp:cNvGraphicFramePr/>
                      <a:graphic xmlns:a="http://schemas.openxmlformats.org/drawingml/2006/main">
                        <a:graphicData uri="http://schemas.microsoft.com/office/word/2010/wordprocessingShape">
                          <wps:wsp>
                            <wps:cNvCnPr/>
                            <wps:spPr>
                              <a:xfrm>
                                <a:off x="2263140" y="4423410"/>
                                <a:ext cx="257175" cy="0"/>
                              </a:xfrm>
                              <a:prstGeom prst="line">
                                <a:avLst/>
                              </a:prstGeom>
                              <a:ln>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0.45pt;margin-top:261.5pt;height:0pt;width:20.25pt;z-index:251676672;mso-width-relative:page;mso-height-relative:page;" filled="f" stroked="t" coordsize="21600,21600" o:gfxdata="UEsDBAoAAAAAAIdO4kAAAAAAAAAAAAAAAAAEAAAAZHJzL1BLAwQUAAAACACHTuJAz5vSvdYAAAAJ&#10;AQAADwAAAGRycy9kb3ducmV2LnhtbE2Py07DMBBF90j8gzVI7KidQCMIcboAgQQ7Cm3Fzo0nD2GP&#10;o9h98PcMUiVYzszRnXOrxdE7sccpDoE0ZDMFAqkJdqBOw8f709UtiJgMWeMCoYZvjLCoz88qU9pw&#10;oDfcL1MnOIRiaTT0KY2llLHp0Zs4CyMS39oweZN4nDppJ3PgcO9krlQhvRmIP/RmxIcem6/lzmt4&#10;WePKrj5fH+fB2azdPBex7QutLy8ydQ8i4TH9wfCrz+pQs9M27MhG4TTk6o5JDfP8mjsxUGQ3ILan&#10;hawr+b9B/QNQSwMEFAAAAAgAh07iQOWmVVjnAQAAqAMAAA4AAABkcnMvZTJvRG9jLnhtbK1TS47U&#10;MBDdI3EHy3s6n+n5KOr0LKbVbBC0BBzA7diJJf/k8nS6L8EFkNjBiiV7bsNwDMpOmIFhMwuycMqu&#10;51d+z+XV9dFochABlLMtrRYlJcJy1ynbt/T9u+2LK0ogMtsx7axo6UkAvV4/f7YafSNqNzjdiUCQ&#10;xEIz+pYOMfqmKIAPwjBYOC8sJqULhkWchr7oAhuR3eiiLsuLYnSh88FxAYCrmylJZ8bwFEInpeJi&#10;4/itETZOrEFoFlESDMoDXefTSil4fCMliEh0S1FpzCMWwXifxmK9Yk0fmB8Un4/AnnKER5oMUxaL&#10;3lNtWGTkNqh/qIziwYGTccGdKSYh2RFUUZWPvHk7MC+yFrQa/L3p8P9o+evDLhDVtfSqosQygzd+&#10;9/Hbjw+ff37/hOPd1y8EM2jT6KFB9I3dhXkGfheS5qMMJv1RDTm2tK4vzqolGnxq6XJZny2r2WZx&#10;jIQnwPlldXlOCUdAThUPHD5AfCmcISloqVY2GcAadngFEesi9DckLVu3VVrnS9SWjIl7WWJpzrAz&#10;JXYEhsajOrA9JUz32PI8hkwJTqsubU9EEPr9jQ7kwLBRttsSvyQay/0FS7U3DIYJl1MzTFtEJ48m&#10;V1K0d90pm5XX8QIz39xsqUP+nOfdDw9s/Q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Pm9K91gAA&#10;AAkBAAAPAAAAAAAAAAEAIAAAACIAAABkcnMvZG93bnJldi54bWxQSwECFAAUAAAACACHTuJA5aZV&#10;WOcBAACoAwAADgAAAAAAAAABACAAAAAlAQAAZHJzL2Uyb0RvYy54bWxQSwUGAAAAAAYABgBZAQAA&#10;fgUAAAAA&#10;">
                      <v:fill on="f" focussize="0,0"/>
                      <v:stroke weight="2pt" color="#FF0000 [3204]" joinstyle="round"/>
                      <v:imagedata o:title=""/>
                      <o:lock v:ext="edit" aspectratio="f"/>
                    </v:line>
                  </w:pict>
                </mc:Fallback>
              </mc:AlternateContent>
            </w:r>
            <w:r>
              <w:rPr>
                <w:sz w:val="24"/>
              </w:rPr>
              <mc:AlternateContent>
                <mc:Choice Requires="wps">
                  <w:drawing>
                    <wp:anchor distT="0" distB="0" distL="114300" distR="114300" simplePos="0" relativeHeight="251675648" behindDoc="0" locked="0" layoutInCell="1" allowOverlap="1">
                      <wp:simplePos x="0" y="0"/>
                      <wp:positionH relativeFrom="column">
                        <wp:posOffset>27940</wp:posOffset>
                      </wp:positionH>
                      <wp:positionV relativeFrom="paragraph">
                        <wp:posOffset>2959100</wp:posOffset>
                      </wp:positionV>
                      <wp:extent cx="1600200" cy="752475"/>
                      <wp:effectExtent l="4445" t="4445" r="14605" b="5080"/>
                      <wp:wrapNone/>
                      <wp:docPr id="79" name="文本框 79"/>
                      <wp:cNvGraphicFramePr/>
                      <a:graphic xmlns:a="http://schemas.openxmlformats.org/drawingml/2006/main">
                        <a:graphicData uri="http://schemas.microsoft.com/office/word/2010/wordprocessingShape">
                          <wps:wsp>
                            <wps:cNvSpPr txBox="1"/>
                            <wps:spPr>
                              <a:xfrm>
                                <a:off x="2139315" y="3794760"/>
                                <a:ext cx="1600200" cy="7524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BC8087C">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eastAsia="宋体"/>
                                      <w:lang w:val="en-US" w:eastAsia="zh-CN"/>
                                    </w:rPr>
                                  </w:pPr>
                                  <w:r>
                                    <w:rPr>
                                      <w:rFonts w:hint="eastAsia"/>
                                      <w:lang w:val="en-US" w:eastAsia="zh-CN"/>
                                    </w:rPr>
                                    <w:t>图例</w:t>
                                  </w:r>
                                </w:p>
                                <w:p w14:paraId="3C71E9AC">
                                  <w:pPr>
                                    <w:keepNext w:val="0"/>
                                    <w:keepLines w:val="0"/>
                                    <w:pageBreakBefore w:val="0"/>
                                    <w:widowControl w:val="0"/>
                                    <w:kinsoku/>
                                    <w:wordWrap/>
                                    <w:overflowPunct/>
                                    <w:topLinePunct w:val="0"/>
                                    <w:bidi w:val="0"/>
                                    <w:adjustRightInd/>
                                    <w:snapToGrid/>
                                    <w:spacing w:line="240" w:lineRule="auto"/>
                                    <w:ind w:firstLine="0" w:firstLineChars="0"/>
                                    <w:textAlignment w:val="auto"/>
                                    <w:rPr>
                                      <w:rFonts w:hint="default" w:eastAsia="宋体"/>
                                      <w:lang w:val="en-US" w:eastAsia="zh-CN"/>
                                    </w:rPr>
                                  </w:pPr>
                                  <w:r>
                                    <w:rPr>
                                      <w:rFonts w:hint="eastAsia"/>
                                      <w:lang w:val="en-US" w:eastAsia="zh-CN"/>
                                    </w:rPr>
                                    <w:t xml:space="preserve">    租赁用地范围</w:t>
                                  </w:r>
                                </w:p>
                                <w:p w14:paraId="51F33C0F">
                                  <w:pPr>
                                    <w:keepNext w:val="0"/>
                                    <w:keepLines w:val="0"/>
                                    <w:pageBreakBefore w:val="0"/>
                                    <w:widowControl w:val="0"/>
                                    <w:kinsoku/>
                                    <w:wordWrap/>
                                    <w:overflowPunct/>
                                    <w:topLinePunct w:val="0"/>
                                    <w:bidi w:val="0"/>
                                    <w:adjustRightInd/>
                                    <w:snapToGrid/>
                                    <w:spacing w:line="240" w:lineRule="auto"/>
                                    <w:ind w:firstLine="0" w:firstLineChars="0"/>
                                    <w:textAlignment w:val="auto"/>
                                    <w:rPr>
                                      <w:rFonts w:hint="default" w:eastAsia="宋体"/>
                                      <w:lang w:val="en-US" w:eastAsia="zh-CN"/>
                                    </w:rPr>
                                  </w:pPr>
                                  <w:r>
                                    <w:rPr>
                                      <w:rFonts w:hint="eastAsia"/>
                                      <w:lang w:val="en-US" w:eastAsia="zh-CN"/>
                                    </w:rPr>
                                    <w:t xml:space="preserve">    本项目用地范围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pt;margin-top:233pt;height:59.25pt;width:126pt;z-index:251675648;mso-width-relative:page;mso-height-relative:page;" fillcolor="#FFFFFF [3201]" filled="t" stroked="t" coordsize="21600,21600" o:gfxdata="UEsDBAoAAAAAAIdO4kAAAAAAAAAAAAAAAAAEAAAAZHJzL1BLAwQUAAAACACHTuJAXYwCftYAAAAJ&#10;AQAADwAAAGRycy9kb3ducmV2LnhtbE2PQU/DMAyF70j8h8iTuLF0XRtNpekkkJAQN0Yv3LLGa6s1&#10;TpVk6/j3mBOcLPs9PX+v3t/cJK4Y4uhJw2adgUDqvB2p19B+vj7uQMRkyJrJE2r4xgj75v6uNpX1&#10;C33g9ZB6wSEUK6NhSGmupIzdgM7EtZ+RWDv54EziNfTSBrNwuJtknmVKOjMSfxjMjC8DdufDxWl4&#10;U8/pC1v7brf51i+t7MJpilo/rDbZE4iEt/Rnhl98RoeGmY7+QjaKSUNRsJGHUlyJ9bxUfDlqKHdF&#10;CbKp5f8GzQ9QSwMEFAAAAAgAh07iQH4n1apjAgAAxQQAAA4AAABkcnMvZTJvRG9jLnhtbK1UzW4T&#10;MRC+I/EOlu90N/8k6qYKrYKQKlqpIM6O15u1sD3GdrJbHoC+AScu3HmuPgdj76a/HHogB2f+9M3M&#10;NzN7fNJqRfbCeQmmoIOjnBJhOJTSbAv6+dP6zVtKfGCmZAqMKOi18PRk+frVcWMXYgg1qFI4giDG&#10;Lxpb0DoEu8gyz2uhmT8CKww6K3CaBVTdNisdaxBdq2yY59OsAVdaB1x4j9azzkl7RPcSQKgqycUZ&#10;8J0WJnSoTigWsCVfS+vpMlVbVYKHi6ryIhBVUOw0pBeToLyJb7Y8ZoutY7aWvC+BvaSEJz1pJg0m&#10;vYM6Y4GRnZPPoLTkDjxU4YiDzrpGEiPYxSB/ws1VzaxIvSDV3t6R7v8fLP+4v3RElgWdzSkxTOPE&#10;b3/e3P76c/v7B0EbEtRYv8C4K4uRoX0HLa7Nwe7RGPtuK6fjP3ZE0D8cjOajwYSS64KOZvPxbNpT&#10;LdpAeASY5jluAyUcI2aT4Xg2iZDZPZJ1PrwXoEkUCupwlIlhtj/3oQs9hMTEHpQs11KppLjt5lQ5&#10;smc49nX69eiPwpQhTUGno0mekB/5IvYdxEYx/vU5AlarDBYdCeqIiFJoN23P2gbKayTNQbd33vK1&#10;RNxz5sMlc7hoSACeYrjAp1KAxUAvUVKD+/4ve4zH+aOXkgYXt6D+2445QYn6YHAz5oPxOG56UsaT&#10;2RAV99CzeegxO30KSNIAj97yJMb4oA5i5UB/wYtdxazoYoZj7oKGg3gaunPCi+ditUpBuNuWhXNz&#10;ZXmEjiMxsNoFqGQaXaSp46ZnD7c7Db+/xHg+D/UUdf/1Wf4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XYwCftYAAAAJAQAADwAAAAAAAAABACAAAAAiAAAAZHJzL2Rvd25yZXYueG1sUEsBAhQAFAAA&#10;AAgAh07iQH4n1apjAgAAxQQAAA4AAAAAAAAAAQAgAAAAJQEAAGRycy9lMm9Eb2MueG1sUEsFBgAA&#10;AAAGAAYAWQEAAPoFAAAAAA==&#10;">
                      <v:fill on="t" focussize="0,0"/>
                      <v:stroke weight="0.5pt" color="#000000 [3204]" joinstyle="round"/>
                      <v:imagedata o:title=""/>
                      <o:lock v:ext="edit" aspectratio="f"/>
                      <v:textbox>
                        <w:txbxContent>
                          <w:p w14:paraId="0BC8087C">
                            <w:pPr>
                              <w:keepNext w:val="0"/>
                              <w:keepLines w:val="0"/>
                              <w:pageBreakBefore w:val="0"/>
                              <w:widowControl w:val="0"/>
                              <w:kinsoku/>
                              <w:wordWrap/>
                              <w:overflowPunct/>
                              <w:topLinePunct w:val="0"/>
                              <w:bidi w:val="0"/>
                              <w:adjustRightInd/>
                              <w:snapToGrid/>
                              <w:spacing w:line="240" w:lineRule="auto"/>
                              <w:ind w:firstLine="0" w:firstLineChars="0"/>
                              <w:jc w:val="center"/>
                              <w:textAlignment w:val="auto"/>
                              <w:rPr>
                                <w:rFonts w:hint="eastAsia" w:eastAsia="宋体"/>
                                <w:lang w:val="en-US" w:eastAsia="zh-CN"/>
                              </w:rPr>
                            </w:pPr>
                            <w:r>
                              <w:rPr>
                                <w:rFonts w:hint="eastAsia"/>
                                <w:lang w:val="en-US" w:eastAsia="zh-CN"/>
                              </w:rPr>
                              <w:t>图例</w:t>
                            </w:r>
                          </w:p>
                          <w:p w14:paraId="3C71E9AC">
                            <w:pPr>
                              <w:keepNext w:val="0"/>
                              <w:keepLines w:val="0"/>
                              <w:pageBreakBefore w:val="0"/>
                              <w:widowControl w:val="0"/>
                              <w:kinsoku/>
                              <w:wordWrap/>
                              <w:overflowPunct/>
                              <w:topLinePunct w:val="0"/>
                              <w:bidi w:val="0"/>
                              <w:adjustRightInd/>
                              <w:snapToGrid/>
                              <w:spacing w:line="240" w:lineRule="auto"/>
                              <w:ind w:firstLine="0" w:firstLineChars="0"/>
                              <w:textAlignment w:val="auto"/>
                              <w:rPr>
                                <w:rFonts w:hint="default" w:eastAsia="宋体"/>
                                <w:lang w:val="en-US" w:eastAsia="zh-CN"/>
                              </w:rPr>
                            </w:pPr>
                            <w:r>
                              <w:rPr>
                                <w:rFonts w:hint="eastAsia"/>
                                <w:lang w:val="en-US" w:eastAsia="zh-CN"/>
                              </w:rPr>
                              <w:t xml:space="preserve">    租赁用地范围</w:t>
                            </w:r>
                          </w:p>
                          <w:p w14:paraId="51F33C0F">
                            <w:pPr>
                              <w:keepNext w:val="0"/>
                              <w:keepLines w:val="0"/>
                              <w:pageBreakBefore w:val="0"/>
                              <w:widowControl w:val="0"/>
                              <w:kinsoku/>
                              <w:wordWrap/>
                              <w:overflowPunct/>
                              <w:topLinePunct w:val="0"/>
                              <w:bidi w:val="0"/>
                              <w:adjustRightInd/>
                              <w:snapToGrid/>
                              <w:spacing w:line="240" w:lineRule="auto"/>
                              <w:ind w:firstLine="0" w:firstLineChars="0"/>
                              <w:textAlignment w:val="auto"/>
                              <w:rPr>
                                <w:rFonts w:hint="default" w:eastAsia="宋体"/>
                                <w:lang w:val="en-US" w:eastAsia="zh-CN"/>
                              </w:rPr>
                            </w:pPr>
                            <w:r>
                              <w:rPr>
                                <w:rFonts w:hint="eastAsia"/>
                                <w:lang w:val="en-US" w:eastAsia="zh-CN"/>
                              </w:rPr>
                              <w:t xml:space="preserve">    本项目用地范围</w:t>
                            </w:r>
                          </w:p>
                        </w:txbxContent>
                      </v:textbox>
                    </v:shape>
                  </w:pict>
                </mc:Fallback>
              </mc:AlternateContent>
            </w:r>
            <w:r>
              <w:drawing>
                <wp:anchor distT="0" distB="0" distL="114300" distR="114300" simplePos="0" relativeHeight="251681792" behindDoc="0" locked="0" layoutInCell="1" allowOverlap="1">
                  <wp:simplePos x="0" y="0"/>
                  <wp:positionH relativeFrom="column">
                    <wp:posOffset>3601085</wp:posOffset>
                  </wp:positionH>
                  <wp:positionV relativeFrom="paragraph">
                    <wp:posOffset>110490</wp:posOffset>
                  </wp:positionV>
                  <wp:extent cx="574675" cy="666750"/>
                  <wp:effectExtent l="0" t="0" r="15875" b="0"/>
                  <wp:wrapNone/>
                  <wp:docPr id="8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2"/>
                          <pic:cNvPicPr>
                            <a:picLocks noChangeAspect="1"/>
                          </pic:cNvPicPr>
                        </pic:nvPicPr>
                        <pic:blipFill>
                          <a:blip r:embed="rId18"/>
                          <a:stretch>
                            <a:fillRect/>
                          </a:stretch>
                        </pic:blipFill>
                        <pic:spPr>
                          <a:xfrm>
                            <a:off x="0" y="0"/>
                            <a:ext cx="574675" cy="666750"/>
                          </a:xfrm>
                          <a:prstGeom prst="rect">
                            <a:avLst/>
                          </a:prstGeom>
                          <a:noFill/>
                          <a:ln>
                            <a:noFill/>
                          </a:ln>
                        </pic:spPr>
                      </pic:pic>
                    </a:graphicData>
                  </a:graphic>
                </wp:anchor>
              </w:drawing>
            </w:r>
            <w:r>
              <w:drawing>
                <wp:inline distT="0" distB="0" distL="114300" distR="114300">
                  <wp:extent cx="4200525" cy="3799205"/>
                  <wp:effectExtent l="0" t="0" r="9525" b="10795"/>
                  <wp:docPr id="7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11"/>
                          <pic:cNvPicPr>
                            <a:picLocks noChangeAspect="1"/>
                          </pic:cNvPicPr>
                        </pic:nvPicPr>
                        <pic:blipFill>
                          <a:blip r:embed="rId21"/>
                          <a:stretch>
                            <a:fillRect/>
                          </a:stretch>
                        </pic:blipFill>
                        <pic:spPr>
                          <a:xfrm>
                            <a:off x="0" y="0"/>
                            <a:ext cx="4200525" cy="3799205"/>
                          </a:xfrm>
                          <a:prstGeom prst="rect">
                            <a:avLst/>
                          </a:prstGeom>
                          <a:noFill/>
                          <a:ln>
                            <a:noFill/>
                          </a:ln>
                        </pic:spPr>
                      </pic:pic>
                    </a:graphicData>
                  </a:graphic>
                </wp:inline>
              </w:drawing>
            </w:r>
          </w:p>
          <w:p w14:paraId="1C248890">
            <w:pPr>
              <w:bidi w:val="0"/>
              <w:ind w:left="0" w:leftChars="0" w:firstLine="0" w:firstLineChars="0"/>
              <w:jc w:val="center"/>
              <w:rPr>
                <w:rFonts w:hint="default" w:cs="Times New Roman"/>
                <w:b/>
                <w:bCs/>
                <w:lang w:val="en-US" w:eastAsia="zh-CN"/>
              </w:rPr>
            </w:pPr>
            <w:r>
              <w:rPr>
                <w:rFonts w:hint="eastAsia" w:cs="Times New Roman"/>
                <w:b/>
                <w:bCs/>
                <w:lang w:val="en-US" w:eastAsia="zh-CN"/>
              </w:rPr>
              <w:t>图1-3租赁用地与本项目用地关系图</w:t>
            </w:r>
          </w:p>
          <w:p w14:paraId="60BDD9A3">
            <w:pPr>
              <w:bidi w:val="0"/>
              <w:rPr>
                <w:rFonts w:hint="default" w:ascii="Times New Roman" w:hAnsi="Times New Roman" w:eastAsia="宋体" w:cs="Times New Roman"/>
                <w:lang w:val="en-US" w:eastAsia="zh-CN"/>
              </w:rPr>
            </w:pPr>
            <w:r>
              <w:rPr>
                <w:rFonts w:hint="eastAsia" w:cs="Times New Roman"/>
                <w:lang w:val="en-US" w:eastAsia="zh-CN"/>
              </w:rPr>
              <w:t>本项目运营期</w:t>
            </w:r>
            <w:r>
              <w:rPr>
                <w:rFonts w:hint="default" w:ascii="Times New Roman" w:hAnsi="Times New Roman" w:cs="Times New Roman"/>
                <w:lang w:val="en-US" w:eastAsia="zh-CN"/>
              </w:rPr>
              <w:t>废水不外排，大气污染物通过采取</w:t>
            </w:r>
            <w:r>
              <w:rPr>
                <w:rFonts w:hint="eastAsia" w:ascii="Times New Roman" w:hAnsi="Times New Roman" w:cs="Times New Roman"/>
                <w:lang w:val="en-US" w:eastAsia="zh-CN"/>
              </w:rPr>
              <w:t>相应</w:t>
            </w:r>
            <w:r>
              <w:rPr>
                <w:rFonts w:hint="default" w:ascii="Times New Roman" w:hAnsi="Times New Roman" w:cs="Times New Roman"/>
                <w:lang w:val="en-US" w:eastAsia="zh-CN"/>
              </w:rPr>
              <w:t>治理措施后可达标排放，产生的固体废弃物均得到妥善处置，通过采取噪声防治措施后厂界噪声也可达标，对周围环境影响较小，从环境保护方面厂址选择是合理的。</w:t>
            </w:r>
          </w:p>
        </w:tc>
      </w:tr>
    </w:tbl>
    <w:p w14:paraId="1D832D18">
      <w:pPr>
        <w:spacing w:line="360" w:lineRule="auto"/>
        <w:outlineLvl w:val="0"/>
        <w:rPr>
          <w:rFonts w:hint="default" w:ascii="Times New Roman" w:hAnsi="Times New Roman" w:eastAsia="黑体" w:cs="Times New Roman"/>
          <w:sz w:val="30"/>
        </w:rPr>
        <w:sectPr>
          <w:headerReference r:id="rId8" w:type="default"/>
          <w:footerReference r:id="rId9" w:type="default"/>
          <w:pgSz w:w="11906" w:h="16838"/>
          <w:pgMar w:top="1440" w:right="1800" w:bottom="1440" w:left="1800" w:header="1134" w:footer="1134" w:gutter="0"/>
          <w:pgBorders>
            <w:top w:val="none" w:sz="0" w:space="0"/>
            <w:left w:val="none" w:sz="0" w:space="0"/>
            <w:bottom w:val="none" w:sz="0" w:space="0"/>
            <w:right w:val="none" w:sz="0" w:space="0"/>
          </w:pgBorders>
          <w:cols w:space="720" w:num="1"/>
          <w:docGrid w:linePitch="312" w:charSpace="0"/>
        </w:sectPr>
      </w:pPr>
    </w:p>
    <w:p w14:paraId="331FEEA7">
      <w:pPr>
        <w:pStyle w:val="13"/>
        <w:jc w:val="center"/>
        <w:outlineLvl w:val="0"/>
        <w:rPr>
          <w:rFonts w:hint="default" w:ascii="Times New Roman" w:hAnsi="Times New Roman" w:eastAsia="黑体" w:cs="Times New Roman"/>
          <w:snapToGrid w:val="0"/>
          <w:sz w:val="30"/>
          <w:szCs w:val="30"/>
        </w:rPr>
      </w:pPr>
      <w:r>
        <w:rPr>
          <w:rFonts w:hint="default" w:ascii="Times New Roman" w:hAnsi="Times New Roman" w:eastAsia="黑体" w:cs="Times New Roman"/>
          <w:snapToGrid w:val="0"/>
          <w:sz w:val="30"/>
          <w:szCs w:val="30"/>
        </w:rPr>
        <w:t>二、建设项目工程分析</w:t>
      </w:r>
    </w:p>
    <w:tbl>
      <w:tblPr>
        <w:tblStyle w:val="17"/>
        <w:tblW w:w="89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552"/>
        <w:gridCol w:w="6609"/>
      </w:tblGrid>
      <w:tr w14:paraId="0D2D7C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80" w:hRule="atLeast"/>
          <w:jc w:val="center"/>
        </w:trPr>
        <w:tc>
          <w:tcPr>
            <w:tcW w:w="823" w:type="dxa"/>
            <w:noWrap w:val="0"/>
            <w:vAlign w:val="center"/>
          </w:tcPr>
          <w:p w14:paraId="0679D0D3">
            <w:pPr>
              <w:pStyle w:val="13"/>
              <w:keepNext w:val="0"/>
              <w:keepLines w:val="0"/>
              <w:pageBreakBefore w:val="0"/>
              <w:widowControl/>
              <w:kinsoku/>
              <w:wordWrap/>
              <w:overflowPunct/>
              <w:topLinePunct w:val="0"/>
              <w:autoSpaceDE/>
              <w:autoSpaceDN/>
              <w:bidi w:val="0"/>
              <w:adjustRightInd w:val="0"/>
              <w:snapToGrid w:val="0"/>
              <w:spacing w:before="0" w:beforeAutospacing="0" w:after="0" w:afterAutospacing="0"/>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建设内容</w:t>
            </w:r>
          </w:p>
        </w:tc>
        <w:tc>
          <w:tcPr>
            <w:tcW w:w="8161" w:type="dxa"/>
            <w:gridSpan w:val="2"/>
            <w:noWrap w:val="0"/>
            <w:vAlign w:val="top"/>
          </w:tcPr>
          <w:p w14:paraId="59728F80">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一、项目由来</w:t>
            </w:r>
          </w:p>
          <w:p w14:paraId="08FA44AB">
            <w:pPr>
              <w:bidi w:val="0"/>
              <w:rPr>
                <w:rFonts w:hint="default" w:ascii="Times New Roman" w:hAnsi="Times New Roman" w:cs="Times New Roman"/>
              </w:rPr>
            </w:pPr>
            <w:r>
              <w:rPr>
                <w:rFonts w:hint="default" w:ascii="Times New Roman" w:hAnsi="Times New Roman" w:cs="Times New Roman"/>
                <w:lang w:val="en-US" w:eastAsia="zh-CN"/>
              </w:rPr>
              <w:t>现</w:t>
            </w:r>
            <w:r>
              <w:rPr>
                <w:rFonts w:hint="eastAsia" w:cs="Times New Roman"/>
                <w:lang w:val="en-US" w:eastAsia="zh-CN"/>
              </w:rPr>
              <w:t>阶段</w:t>
            </w:r>
            <w:r>
              <w:rPr>
                <w:rFonts w:hint="default" w:ascii="Times New Roman" w:hAnsi="Times New Roman" w:cs="Times New Roman"/>
                <w:lang w:val="en-US" w:eastAsia="zh-CN"/>
              </w:rPr>
              <w:t>蒙苏经济开发区零碳产业园</w:t>
            </w:r>
            <w:r>
              <w:rPr>
                <w:rFonts w:hint="default" w:ascii="Times New Roman" w:hAnsi="Times New Roman" w:cs="Times New Roman"/>
                <w:lang w:eastAsia="zh-CN"/>
              </w:rPr>
              <w:t>目前正处于大规模开发建设阶段，</w:t>
            </w:r>
            <w:r>
              <w:rPr>
                <w:rFonts w:hint="eastAsia" w:cs="Times New Roman"/>
                <w:lang w:val="en-US" w:eastAsia="zh-CN"/>
              </w:rPr>
              <w:t>需要大量的混凝土供应，</w:t>
            </w:r>
            <w:r>
              <w:rPr>
                <w:rFonts w:hint="default" w:ascii="Times New Roman" w:hAnsi="Times New Roman" w:cs="Times New Roman"/>
              </w:rPr>
              <w:t>而我们项目的投入生产，将减少供应和需求之间的缺口</w:t>
            </w:r>
            <w:r>
              <w:rPr>
                <w:rFonts w:hint="eastAsia" w:cs="Times New Roman"/>
                <w:lang w:eastAsia="zh-CN"/>
              </w:rPr>
              <w:t>，</w:t>
            </w:r>
            <w:r>
              <w:rPr>
                <w:rFonts w:hint="eastAsia" w:cs="Times New Roman"/>
                <w:lang w:val="en-US" w:eastAsia="zh-CN"/>
              </w:rPr>
              <w:t>且可减少运输过程中对周围环境的影响</w:t>
            </w:r>
            <w:r>
              <w:rPr>
                <w:rFonts w:hint="default" w:ascii="Times New Roman" w:hAnsi="Times New Roman" w:cs="Times New Roman"/>
              </w:rPr>
              <w:t>。</w:t>
            </w:r>
          </w:p>
          <w:p w14:paraId="53C2B95F">
            <w:pPr>
              <w:bidi w:val="0"/>
              <w:rPr>
                <w:rFonts w:hint="default" w:ascii="Times New Roman" w:hAnsi="Times New Roman" w:cs="Times New Roman"/>
                <w:color w:val="0000FF"/>
                <w:lang w:val="en-US"/>
              </w:rPr>
            </w:pPr>
            <w:r>
              <w:rPr>
                <w:rFonts w:hint="eastAsia" w:ascii="Times New Roman" w:hAnsi="Times New Roman" w:cs="Times New Roman"/>
                <w:color w:val="0000FF"/>
                <w:lang w:val="en-US" w:eastAsia="zh-CN"/>
              </w:rPr>
              <w:t>鄂尔多斯市鄂苏工业园区市政工程建设有限责任公司</w:t>
            </w:r>
            <w:r>
              <w:rPr>
                <w:rFonts w:hint="eastAsia" w:cs="Times New Roman"/>
                <w:color w:val="0000FF"/>
                <w:lang w:val="en-US" w:eastAsia="zh-CN"/>
              </w:rPr>
              <w:t>原在蒙苏经济园区的北侧建设一座拌合站，原项目厂址距离本项目服务区蒙苏经济开发区距离较远，故重新选址，拆除原有拌合站，将项目厂址进行搬迁，搬迁至本项目租赁厂址。且重新选址范围距离服务园区距离较近，可有效减少运输扬尘。项目新厂址的选址不仅减少了运输距离，减少运输成本，且减少了对周围大气环境的影响，故本项目的新选址经济可行。</w:t>
            </w:r>
          </w:p>
          <w:p w14:paraId="5BD6CF55">
            <w:pPr>
              <w:bidi w:val="0"/>
              <w:rPr>
                <w:rFonts w:hint="default" w:ascii="Times New Roman" w:hAnsi="Times New Roman" w:cs="Times New Roman"/>
                <w:lang w:val="en-US" w:eastAsia="zh-CN"/>
              </w:rPr>
            </w:pPr>
            <w:r>
              <w:rPr>
                <w:rFonts w:hint="default" w:ascii="Times New Roman" w:hAnsi="Times New Roman" w:cs="Times New Roman"/>
              </w:rPr>
              <w:t>在此背景下</w:t>
            </w:r>
            <w:r>
              <w:rPr>
                <w:rFonts w:hint="eastAsia" w:ascii="Times New Roman" w:hAnsi="Times New Roman" w:cs="Times New Roman"/>
                <w:lang w:val="en-US" w:eastAsia="zh-CN"/>
              </w:rPr>
              <w:t>鄂尔多斯市鄂苏工业园区市政工程建设有限责任公司</w:t>
            </w:r>
            <w:r>
              <w:rPr>
                <w:rFonts w:hint="eastAsia" w:cs="Times New Roman"/>
                <w:lang w:val="en-US" w:eastAsia="zh-CN"/>
              </w:rPr>
              <w:t>拟</w:t>
            </w:r>
            <w:r>
              <w:rPr>
                <w:rFonts w:hint="default" w:ascii="Times New Roman" w:hAnsi="Times New Roman" w:cs="Times New Roman"/>
              </w:rPr>
              <w:t>投资</w:t>
            </w:r>
            <w:r>
              <w:rPr>
                <w:rFonts w:hint="eastAsia" w:cs="Times New Roman"/>
                <w:lang w:val="en-US" w:eastAsia="zh-CN"/>
              </w:rPr>
              <w:t>1000万元</w:t>
            </w:r>
            <w:r>
              <w:rPr>
                <w:rFonts w:hint="default" w:ascii="Times New Roman" w:hAnsi="Times New Roman" w:cs="Times New Roman"/>
              </w:rPr>
              <w:t>建设</w:t>
            </w:r>
            <w:r>
              <w:rPr>
                <w:rFonts w:hint="default" w:ascii="Times New Roman" w:hAnsi="Times New Roman" w:cs="Times New Roman"/>
                <w:lang w:eastAsia="zh-CN"/>
              </w:rPr>
              <w:t>“</w:t>
            </w:r>
            <w:r>
              <w:rPr>
                <w:rFonts w:hint="default" w:ascii="Times New Roman" w:hAnsi="Times New Roman" w:cs="Times New Roman"/>
                <w:lang w:val="en-US" w:eastAsia="zh-CN"/>
              </w:rPr>
              <w:t>蒙苏经济开发区零碳产业园鄂苏市政拌合站项目</w:t>
            </w:r>
            <w:r>
              <w:rPr>
                <w:rFonts w:hint="default" w:ascii="Times New Roman" w:hAnsi="Times New Roman" w:cs="Times New Roman"/>
                <w:lang w:eastAsia="zh-CN"/>
              </w:rPr>
              <w:t>”，</w:t>
            </w:r>
            <w:r>
              <w:rPr>
                <w:rFonts w:hint="eastAsia" w:ascii="Times New Roman" w:hAnsi="Times New Roman" w:cs="Times New Roman"/>
                <w:lang w:val="en-US" w:eastAsia="zh-CN"/>
              </w:rPr>
              <w:t>建设HZS180型商品混凝土搅拌站一套，HZS240型商品混凝土搅拌站一套，两套设备分期运行，采用周边购买的原料砂、石、水泥、粉煤灰、矿粉等原材料进行商品混凝土的生产，年产商品混凝土共计为16万m³。</w:t>
            </w:r>
            <w:r>
              <w:rPr>
                <w:rFonts w:hint="default" w:ascii="Times New Roman" w:hAnsi="Times New Roman" w:cs="Times New Roman"/>
                <w:lang w:val="en-US" w:eastAsia="zh-CN"/>
              </w:rPr>
              <w:t>本项目建成后可供应</w:t>
            </w:r>
            <w:r>
              <w:rPr>
                <w:rFonts w:hint="eastAsia" w:ascii="Times New Roman" w:hAnsi="Times New Roman" w:cs="Times New Roman"/>
                <w:lang w:val="en-US" w:eastAsia="zh-CN"/>
              </w:rPr>
              <w:t>伊金霍洛旗</w:t>
            </w:r>
            <w:r>
              <w:rPr>
                <w:rFonts w:hint="default" w:ascii="Times New Roman" w:hAnsi="Times New Roman" w:cs="Times New Roman"/>
                <w:lang w:val="en-US" w:eastAsia="zh-CN"/>
              </w:rPr>
              <w:t>及周边需要商品混凝土的企业</w:t>
            </w:r>
            <w:r>
              <w:rPr>
                <w:rFonts w:hint="eastAsia" w:ascii="Times New Roman" w:hAnsi="Times New Roman" w:cs="Times New Roman"/>
                <w:lang w:val="en-US" w:eastAsia="zh-CN"/>
              </w:rPr>
              <w:t>。</w:t>
            </w:r>
          </w:p>
          <w:p w14:paraId="22F6015A">
            <w:pPr>
              <w:bidi w:val="0"/>
              <w:rPr>
                <w:rFonts w:hint="default" w:ascii="Times New Roman" w:hAnsi="Times New Roman" w:cs="Times New Roman"/>
              </w:rPr>
            </w:pPr>
            <w:r>
              <w:rPr>
                <w:rFonts w:hint="default" w:ascii="Times New Roman" w:hAnsi="Times New Roman" w:cs="Times New Roman"/>
              </w:rPr>
              <w:t>按照《中华人民共和国环境保护法》《中华人民共和国环境影响评价法》和《建设项目环境保护管理条例》的相关规定，项目应进行环境影响评价。参照《建设项目环境影响评价分类管理名录》</w:t>
            </w:r>
            <w:r>
              <w:rPr>
                <w:rFonts w:hint="default" w:ascii="Times New Roman" w:hAnsi="Times New Roman" w:cs="Times New Roman"/>
                <w:lang w:eastAsia="zh-CN"/>
              </w:rPr>
              <w:t>“</w:t>
            </w:r>
            <w:r>
              <w:rPr>
                <w:rFonts w:hint="default" w:ascii="Times New Roman" w:hAnsi="Times New Roman" w:cs="Times New Roman"/>
              </w:rPr>
              <w:t>二十七、非金属矿物制品业55石膏、水泥制品及类似制品制造302商品混凝土；砼结构构件制造；水泥制品制造</w:t>
            </w:r>
            <w:r>
              <w:rPr>
                <w:rFonts w:hint="default" w:ascii="Times New Roman" w:hAnsi="Times New Roman" w:cs="Times New Roman"/>
                <w:lang w:eastAsia="zh-CN"/>
              </w:rPr>
              <w:t>”，</w:t>
            </w:r>
            <w:r>
              <w:rPr>
                <w:rFonts w:hint="default" w:ascii="Times New Roman" w:hAnsi="Times New Roman" w:cs="Times New Roman"/>
              </w:rPr>
              <w:t>应编制环境影响报告表。</w:t>
            </w:r>
          </w:p>
          <w:p w14:paraId="706F05A6">
            <w:pPr>
              <w:bidi w:val="0"/>
              <w:rPr>
                <w:rFonts w:hint="default" w:ascii="Times New Roman" w:hAnsi="Times New Roman" w:cs="Times New Roman"/>
              </w:rPr>
            </w:pPr>
            <w:r>
              <w:rPr>
                <w:rFonts w:hint="default" w:ascii="Times New Roman" w:hAnsi="Times New Roman" w:cs="Times New Roman"/>
              </w:rPr>
              <w:t>为此，</w:t>
            </w:r>
            <w:r>
              <w:rPr>
                <w:rFonts w:hint="eastAsia" w:ascii="Times New Roman" w:hAnsi="Times New Roman" w:cs="Times New Roman"/>
                <w:lang w:val="en-US" w:eastAsia="zh-CN"/>
              </w:rPr>
              <w:t>鄂尔多斯市鄂苏工业园区市政工程建设有限责任公司</w:t>
            </w:r>
            <w:r>
              <w:rPr>
                <w:rFonts w:hint="default" w:ascii="Times New Roman" w:hAnsi="Times New Roman" w:cs="Times New Roman"/>
              </w:rPr>
              <w:t>委托</w:t>
            </w:r>
            <w:r>
              <w:rPr>
                <w:rFonts w:hint="default" w:ascii="Times New Roman" w:hAnsi="Times New Roman" w:cs="Times New Roman"/>
                <w:lang w:val="en-US" w:eastAsia="zh-CN"/>
              </w:rPr>
              <w:t>鄂尔多斯市奇胜安环科技有限公司</w:t>
            </w:r>
            <w:r>
              <w:rPr>
                <w:rFonts w:hint="default" w:ascii="Times New Roman" w:hAnsi="Times New Roman" w:cs="Times New Roman"/>
              </w:rPr>
              <w:t>承担本报告表的编制工作。我单位接受委托后，组织技术人员进行了实地踏勘，在对项目所在地自然环境等进行了调查了解、资料收集统计、工程分析、环境影响分析的基础上，根据环境影响评价技术导则及有关规范编制完成了本项目的环境影响报告表，呈报生态环境主管部门审查。</w:t>
            </w:r>
          </w:p>
          <w:p w14:paraId="7FB28486">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二、项目建设情况</w:t>
            </w:r>
          </w:p>
          <w:p w14:paraId="26591D95">
            <w:pPr>
              <w:bidi w:val="0"/>
              <w:rPr>
                <w:rFonts w:hint="default" w:ascii="Times New Roman" w:hAnsi="Times New Roman" w:cs="Times New Roman"/>
                <w:sz w:val="24"/>
                <w:szCs w:val="24"/>
                <w:lang w:val="en-US" w:eastAsia="zh-CN"/>
              </w:rPr>
            </w:pPr>
            <w:r>
              <w:rPr>
                <w:rFonts w:hint="default" w:ascii="Times New Roman" w:hAnsi="Times New Roman" w:cs="Times New Roman"/>
                <w:lang w:val="en-US" w:eastAsia="zh-CN"/>
              </w:rPr>
              <w:t>项目名称：</w:t>
            </w:r>
            <w:r>
              <w:rPr>
                <w:rFonts w:hint="default" w:ascii="Times New Roman" w:hAnsi="Times New Roman" w:cs="Times New Roman"/>
                <w:sz w:val="24"/>
                <w:szCs w:val="24"/>
                <w:lang w:val="en-US" w:eastAsia="zh-CN"/>
              </w:rPr>
              <w:t>蒙苏经济开发区零碳产业园鄂苏市政拌合站项目</w:t>
            </w:r>
          </w:p>
          <w:p w14:paraId="369C4E17">
            <w:pPr>
              <w:bidi w:val="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建设单位：鄂尔多斯市鄂苏工业园区市政工程建设有限责任公司</w:t>
            </w:r>
          </w:p>
          <w:p w14:paraId="68FAEFE4">
            <w:pPr>
              <w:bidi w:val="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建设性质：新建项目</w:t>
            </w:r>
          </w:p>
          <w:p w14:paraId="1CEFFD57">
            <w:pPr>
              <w:bidi w:val="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建设地点：内蒙古自治区鄂尔多斯市伊金霍洛旗蒙苏经济开发区零碳产业园，</w:t>
            </w:r>
            <w:r>
              <w:rPr>
                <w:rFonts w:hint="eastAsia" w:ascii="Times New Roman" w:hAnsi="Times New Roman" w:cs="Times New Roman"/>
                <w:sz w:val="24"/>
                <w:szCs w:val="24"/>
                <w:lang w:val="en-US" w:eastAsia="zh-CN"/>
              </w:rPr>
              <w:t>标准地及南部</w:t>
            </w:r>
            <w:r>
              <w:rPr>
                <w:rFonts w:hint="default" w:ascii="Times New Roman" w:hAnsi="Times New Roman" w:cs="Times New Roman"/>
                <w:sz w:val="24"/>
                <w:szCs w:val="24"/>
                <w:lang w:val="en-US" w:eastAsia="zh-CN"/>
              </w:rPr>
              <w:t>拓展区R-01-03地块</w:t>
            </w:r>
          </w:p>
          <w:p w14:paraId="2168A9CA">
            <w:pPr>
              <w:bidi w:val="0"/>
              <w:rPr>
                <w:rFonts w:hint="default"/>
                <w:lang w:val="en-US" w:eastAsia="zh-CN"/>
              </w:rPr>
            </w:pPr>
            <w:r>
              <w:rPr>
                <w:rFonts w:hint="default"/>
                <w:lang w:val="en-US" w:eastAsia="zh-CN"/>
              </w:rPr>
              <w:t>投资情况：本项目总投资金额为1000万元，其中环保投资金额为</w:t>
            </w:r>
            <w:r>
              <w:rPr>
                <w:rFonts w:hint="eastAsia"/>
                <w:lang w:val="en-US" w:eastAsia="zh-CN"/>
              </w:rPr>
              <w:t>298万元</w:t>
            </w:r>
            <w:r>
              <w:rPr>
                <w:rFonts w:hint="default"/>
                <w:lang w:val="en-US" w:eastAsia="zh-CN"/>
              </w:rPr>
              <w:t>，占总投资金额的</w:t>
            </w:r>
            <w:r>
              <w:rPr>
                <w:rFonts w:hint="eastAsia"/>
                <w:lang w:val="en-US" w:eastAsia="zh-CN"/>
              </w:rPr>
              <w:t>29.8%</w:t>
            </w:r>
            <w:r>
              <w:rPr>
                <w:rFonts w:hint="default"/>
                <w:lang w:val="en-US" w:eastAsia="zh-CN"/>
              </w:rPr>
              <w:t>。</w:t>
            </w:r>
          </w:p>
          <w:p w14:paraId="0621971C">
            <w:pPr>
              <w:bidi w:val="0"/>
              <w:rPr>
                <w:rFonts w:hint="default" w:ascii="Times New Roman" w:hAnsi="Times New Roman" w:eastAsia="宋体" w:cs="Times New Roman"/>
                <w:lang w:val="en-US" w:eastAsia="zh-CN"/>
              </w:rPr>
            </w:pPr>
            <w:r>
              <w:rPr>
                <w:rFonts w:hint="default" w:ascii="Times New Roman" w:hAnsi="Times New Roman" w:eastAsia="宋体" w:cs="Times New Roman"/>
              </w:rPr>
              <w:t>劳动定员及工作制度：本项目</w:t>
            </w:r>
            <w:r>
              <w:rPr>
                <w:rFonts w:hint="default" w:ascii="Times New Roman" w:hAnsi="Times New Roman" w:eastAsia="宋体" w:cs="Times New Roman"/>
                <w:lang w:val="en-US" w:eastAsia="zh-CN"/>
              </w:rPr>
              <w:t>劳动</w:t>
            </w:r>
            <w:r>
              <w:rPr>
                <w:rFonts w:hint="default" w:ascii="Times New Roman" w:hAnsi="Times New Roman" w:eastAsia="宋体" w:cs="Times New Roman"/>
              </w:rPr>
              <w:t>定员约</w:t>
            </w:r>
            <w:r>
              <w:rPr>
                <w:rFonts w:hint="default" w:ascii="Times New Roman" w:hAnsi="Times New Roman" w:eastAsia="宋体" w:cs="Times New Roman"/>
                <w:lang w:val="en-US" w:eastAsia="zh-CN"/>
              </w:rPr>
              <w:t>13</w:t>
            </w:r>
            <w:r>
              <w:rPr>
                <w:rFonts w:hint="default" w:ascii="Times New Roman" w:hAnsi="Times New Roman" w:eastAsia="宋体" w:cs="Times New Roman"/>
              </w:rPr>
              <w:t>人</w:t>
            </w:r>
            <w:r>
              <w:rPr>
                <w:rFonts w:hint="default" w:ascii="Times New Roman" w:hAnsi="Times New Roman" w:eastAsia="宋体" w:cs="Times New Roman"/>
                <w:lang w:eastAsia="zh-CN"/>
              </w:rPr>
              <w:t>，</w:t>
            </w:r>
            <w:r>
              <w:rPr>
                <w:rFonts w:hint="default" w:ascii="Times New Roman" w:hAnsi="Times New Roman" w:eastAsia="宋体" w:cs="Times New Roman"/>
                <w:lang w:val="en-US" w:eastAsia="zh-CN"/>
              </w:rPr>
              <w:t>年运行201天，冬季不运行，两套设备分期运行，HZS180型商品混凝土搅拌站运行时间为101天，日运行时间约为2.2小时，</w:t>
            </w:r>
            <w:r>
              <w:rPr>
                <w:rFonts w:hint="eastAsia" w:cs="Times New Roman"/>
                <w:lang w:val="en-US" w:eastAsia="zh-CN"/>
              </w:rPr>
              <w:t>年生产商品混凝土量约为4万m³；</w:t>
            </w:r>
            <w:r>
              <w:rPr>
                <w:rFonts w:hint="default" w:ascii="Times New Roman" w:hAnsi="Times New Roman" w:eastAsia="宋体" w:cs="Times New Roman"/>
                <w:lang w:val="en-US" w:eastAsia="zh-CN"/>
              </w:rPr>
              <w:t>HZS240型商品混凝土搅拌站运行时间为100天，日运行时间为5小时</w:t>
            </w:r>
            <w:r>
              <w:rPr>
                <w:rFonts w:hint="eastAsia" w:cs="Times New Roman"/>
                <w:lang w:val="en-US" w:eastAsia="zh-CN"/>
              </w:rPr>
              <w:t>，年生产商品混凝土量约为12万m³</w:t>
            </w:r>
            <w:r>
              <w:rPr>
                <w:rFonts w:hint="default" w:ascii="Times New Roman" w:hAnsi="Times New Roman" w:eastAsia="宋体" w:cs="Times New Roman"/>
                <w:lang w:val="en-US" w:eastAsia="zh-CN"/>
              </w:rPr>
              <w:t>。</w:t>
            </w:r>
          </w:p>
          <w:p w14:paraId="06ACDAEB">
            <w:pPr>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建设规模：拟建设项目预计年生产16万m³混凝土，建设HZS180型商品混凝土搅拌站一套，HZS240型商品混凝土搅拌站一套。</w:t>
            </w:r>
          </w:p>
          <w:p w14:paraId="7F95A620">
            <w:pPr>
              <w:bidi w:val="0"/>
              <w:rPr>
                <w:rFonts w:hint="default" w:ascii="Times New Roman" w:hAnsi="Times New Roman" w:cs="Times New Roman"/>
                <w:lang w:val="en-US" w:eastAsia="zh-CN"/>
              </w:rPr>
            </w:pPr>
            <w:r>
              <w:rPr>
                <w:rFonts w:hint="default" w:ascii="Times New Roman" w:hAnsi="Times New Roman" w:cs="Times New Roman"/>
                <w:lang w:val="en-US" w:eastAsia="zh-CN"/>
              </w:rPr>
              <w:t>建设内容：本项目拟建设HZS180型商品混凝土</w:t>
            </w:r>
            <w:r>
              <w:rPr>
                <w:rFonts w:hint="eastAsia" w:ascii="Times New Roman" w:hAnsi="Times New Roman" w:cs="Times New Roman"/>
                <w:lang w:val="en-US" w:eastAsia="zh-CN"/>
              </w:rPr>
              <w:t>生产线一条</w:t>
            </w:r>
            <w:r>
              <w:rPr>
                <w:rFonts w:hint="default" w:ascii="Times New Roman" w:hAnsi="Times New Roman" w:cs="Times New Roman"/>
                <w:lang w:val="en-US" w:eastAsia="zh-CN"/>
              </w:rPr>
              <w:t>，</w:t>
            </w:r>
            <w:r>
              <w:rPr>
                <w:rFonts w:hint="eastAsia" w:ascii="Times New Roman" w:hAnsi="Times New Roman" w:cs="Times New Roman"/>
                <w:lang w:val="en-US" w:eastAsia="zh-CN"/>
              </w:rPr>
              <w:t>配备2个水泥筒仓、2个粉煤灰筒仓，每个筒仓容积均为300t；</w:t>
            </w:r>
            <w:r>
              <w:rPr>
                <w:rFonts w:hint="default" w:ascii="Times New Roman" w:hAnsi="Times New Roman" w:cs="Times New Roman"/>
                <w:lang w:val="en-US" w:eastAsia="zh-CN"/>
              </w:rPr>
              <w:t>建设HZS240型商品混凝土</w:t>
            </w:r>
            <w:r>
              <w:rPr>
                <w:rFonts w:hint="eastAsia" w:ascii="Times New Roman" w:hAnsi="Times New Roman" w:cs="Times New Roman"/>
                <w:lang w:val="en-US" w:eastAsia="zh-CN"/>
              </w:rPr>
              <w:t>生产线一条</w:t>
            </w:r>
            <w:r>
              <w:rPr>
                <w:rFonts w:hint="default" w:ascii="Times New Roman" w:hAnsi="Times New Roman" w:cs="Times New Roman"/>
                <w:lang w:val="en-US" w:eastAsia="zh-CN"/>
              </w:rPr>
              <w:t>，</w:t>
            </w:r>
            <w:r>
              <w:rPr>
                <w:rFonts w:hint="eastAsia" w:ascii="Times New Roman" w:hAnsi="Times New Roman" w:cs="Times New Roman"/>
                <w:lang w:val="en-US" w:eastAsia="zh-CN"/>
              </w:rPr>
              <w:t>配备2个水泥筒仓、2个粉煤灰筒仓，每个筒仓容积均为300t。两条生产线分期运行，不同时生产，商品混凝土</w:t>
            </w:r>
            <w:r>
              <w:rPr>
                <w:rFonts w:hint="eastAsia" w:cs="Times New Roman"/>
                <w:lang w:val="en-US" w:eastAsia="zh-CN"/>
              </w:rPr>
              <w:t>年产生量</w:t>
            </w:r>
            <w:r>
              <w:rPr>
                <w:rFonts w:hint="eastAsia" w:ascii="Times New Roman" w:hAnsi="Times New Roman" w:cs="Times New Roman"/>
                <w:lang w:val="en-US" w:eastAsia="zh-CN"/>
              </w:rPr>
              <w:t>共计为16万m³</w:t>
            </w:r>
            <w:r>
              <w:rPr>
                <w:rFonts w:hint="default" w:ascii="Times New Roman" w:hAnsi="Times New Roman" w:cs="Times New Roman"/>
                <w:lang w:val="en-US" w:eastAsia="zh-CN"/>
              </w:rPr>
              <w:t>。</w:t>
            </w:r>
            <w:r>
              <w:rPr>
                <w:rFonts w:hint="eastAsia" w:ascii="Times New Roman" w:hAnsi="Times New Roman" w:cs="Times New Roman"/>
                <w:lang w:val="en-US" w:eastAsia="zh-CN"/>
              </w:rPr>
              <w:t>新</w:t>
            </w:r>
            <w:r>
              <w:rPr>
                <w:rFonts w:hint="eastAsia" w:ascii="Times New Roman" w:hAnsi="Times New Roman" w:eastAsia="宋体" w:cs="Times New Roman"/>
                <w:lang w:val="en-US" w:eastAsia="zh-CN"/>
              </w:rPr>
              <w:t>建1座1000㎡的全封闭原</w:t>
            </w:r>
            <w:r>
              <w:rPr>
                <w:rFonts w:hint="eastAsia" w:ascii="Times New Roman" w:hAnsi="Times New Roman" w:cs="Times New Roman"/>
                <w:lang w:val="en-US" w:eastAsia="zh-CN"/>
              </w:rPr>
              <w:t>料堆场，</w:t>
            </w:r>
            <w:r>
              <w:rPr>
                <w:rFonts w:hint="default" w:ascii="Times New Roman" w:hAnsi="Times New Roman" w:cs="Times New Roman"/>
                <w:lang w:val="en-US" w:eastAsia="zh-CN"/>
              </w:rPr>
              <w:t>同时建设办公室、排水系统、供电系统、照明系统、场地硬化等配套基础设施。本项目工程具体组成见表2-1。</w:t>
            </w:r>
          </w:p>
          <w:p w14:paraId="3EB078CE">
            <w:pPr>
              <w:bidi w:val="0"/>
              <w:ind w:left="0" w:leftChars="0" w:firstLine="0" w:firstLineChars="0"/>
              <w:jc w:val="center"/>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szCs w:val="21"/>
                <w:lang w:val="en-US" w:eastAsia="zh-CN"/>
              </w:rPr>
              <w:t>表2-1项目组成一览表</w:t>
            </w:r>
          </w:p>
          <w:tbl>
            <w:tblPr>
              <w:tblStyle w:val="17"/>
              <w:tblW w:w="79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155"/>
              <w:gridCol w:w="1277"/>
              <w:gridCol w:w="4148"/>
              <w:gridCol w:w="715"/>
            </w:tblGrid>
            <w:tr w14:paraId="470D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0" w:type="dxa"/>
                  <w:noWrap w:val="0"/>
                  <w:tcMar>
                    <w:left w:w="28" w:type="dxa"/>
                    <w:right w:w="28" w:type="dxa"/>
                  </w:tcMar>
                  <w:vAlign w:val="center"/>
                </w:tcPr>
                <w:p w14:paraId="21F5F2EB">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类别</w:t>
                  </w:r>
                </w:p>
              </w:tc>
              <w:tc>
                <w:tcPr>
                  <w:tcW w:w="1155" w:type="dxa"/>
                  <w:noWrap w:val="0"/>
                  <w:tcMar>
                    <w:left w:w="28" w:type="dxa"/>
                    <w:right w:w="28" w:type="dxa"/>
                  </w:tcMar>
                  <w:vAlign w:val="center"/>
                </w:tcPr>
                <w:p w14:paraId="489B9735">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工程名称</w:t>
                  </w:r>
                </w:p>
              </w:tc>
              <w:tc>
                <w:tcPr>
                  <w:tcW w:w="5425" w:type="dxa"/>
                  <w:gridSpan w:val="2"/>
                  <w:noWrap w:val="0"/>
                  <w:tcMar>
                    <w:left w:w="28" w:type="dxa"/>
                    <w:right w:w="28" w:type="dxa"/>
                  </w:tcMar>
                  <w:vAlign w:val="center"/>
                </w:tcPr>
                <w:p w14:paraId="1ACCB25B">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建设内容及规模</w:t>
                  </w:r>
                </w:p>
              </w:tc>
              <w:tc>
                <w:tcPr>
                  <w:tcW w:w="715" w:type="dxa"/>
                  <w:noWrap w:val="0"/>
                  <w:vAlign w:val="center"/>
                </w:tcPr>
                <w:p w14:paraId="32F522BD">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备注</w:t>
                  </w:r>
                </w:p>
              </w:tc>
            </w:tr>
            <w:tr w14:paraId="0DD8C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40" w:type="dxa"/>
                  <w:vMerge w:val="restart"/>
                  <w:noWrap w:val="0"/>
                  <w:tcMar>
                    <w:left w:w="28" w:type="dxa"/>
                    <w:right w:w="28" w:type="dxa"/>
                  </w:tcMar>
                  <w:vAlign w:val="center"/>
                </w:tcPr>
                <w:p w14:paraId="43A81F4B">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主体</w:t>
                  </w:r>
                </w:p>
                <w:p w14:paraId="06AD98F4">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工程</w:t>
                  </w:r>
                </w:p>
              </w:tc>
              <w:tc>
                <w:tcPr>
                  <w:tcW w:w="1155" w:type="dxa"/>
                  <w:vMerge w:val="restart"/>
                  <w:noWrap w:val="0"/>
                  <w:tcMar>
                    <w:left w:w="28" w:type="dxa"/>
                    <w:right w:w="28" w:type="dxa"/>
                  </w:tcMar>
                  <w:vAlign w:val="center"/>
                </w:tcPr>
                <w:p w14:paraId="16FC2869">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搅拌区</w:t>
                  </w:r>
                </w:p>
              </w:tc>
              <w:tc>
                <w:tcPr>
                  <w:tcW w:w="5425" w:type="dxa"/>
                  <w:gridSpan w:val="2"/>
                  <w:noWrap w:val="0"/>
                  <w:tcMar>
                    <w:left w:w="28" w:type="dxa"/>
                    <w:right w:w="28" w:type="dxa"/>
                  </w:tcMar>
                  <w:vAlign w:val="center"/>
                </w:tcPr>
                <w:p w14:paraId="3D187175">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Cs w:val="21"/>
                      <w:highlight w:val="yellow"/>
                      <w:lang w:eastAsia="zh-CN"/>
                    </w:rPr>
                  </w:pPr>
                  <w:r>
                    <w:rPr>
                      <w:rFonts w:hint="eastAsia" w:cs="Times New Roman"/>
                      <w:color w:val="auto"/>
                      <w:szCs w:val="21"/>
                      <w:highlight w:val="none"/>
                      <w:lang w:val="en-US" w:eastAsia="zh-CN"/>
                    </w:rPr>
                    <w:t>新建</w:t>
                  </w:r>
                  <w:r>
                    <w:rPr>
                      <w:rFonts w:hint="default" w:ascii="Times New Roman" w:hAnsi="Times New Roman" w:cs="Times New Roman"/>
                      <w:color w:val="auto"/>
                      <w:szCs w:val="21"/>
                      <w:highlight w:val="none"/>
                      <w:lang w:val="en-US" w:eastAsia="zh-CN"/>
                    </w:rPr>
                    <w:t>HZS180型商品混凝土搅拌站</w:t>
                  </w:r>
                  <w:r>
                    <w:rPr>
                      <w:rFonts w:hint="eastAsia" w:cs="Times New Roman"/>
                      <w:color w:val="auto"/>
                      <w:szCs w:val="21"/>
                      <w:highlight w:val="none"/>
                      <w:lang w:val="en-US" w:eastAsia="zh-CN"/>
                    </w:rPr>
                    <w:t>一套，</w:t>
                  </w:r>
                  <w:r>
                    <w:rPr>
                      <w:rFonts w:hint="default" w:ascii="Times New Roman" w:hAnsi="Times New Roman" w:eastAsia="宋体" w:cs="Times New Roman"/>
                      <w:color w:val="auto"/>
                      <w:szCs w:val="21"/>
                      <w:highlight w:val="none"/>
                      <w:lang w:val="en-US" w:eastAsia="zh-CN"/>
                    </w:rPr>
                    <w:t>占地</w:t>
                  </w:r>
                  <w:r>
                    <w:rPr>
                      <w:rFonts w:hint="eastAsia" w:cs="Times New Roman"/>
                      <w:color w:val="auto"/>
                      <w:szCs w:val="21"/>
                      <w:highlight w:val="none"/>
                      <w:lang w:val="en-US" w:eastAsia="zh-CN"/>
                    </w:rPr>
                    <w:t>面积为5</w:t>
                  </w:r>
                  <w:r>
                    <w:rPr>
                      <w:rFonts w:hint="default" w:ascii="Times New Roman" w:hAnsi="Times New Roman" w:eastAsia="宋体" w:cs="Times New Roman"/>
                      <w:color w:val="auto"/>
                      <w:szCs w:val="21"/>
                      <w:highlight w:val="none"/>
                      <w:lang w:val="en-US" w:eastAsia="zh-CN"/>
                    </w:rPr>
                    <w:t>00㎡，封闭式搅拌楼内置搅拌机1套</w:t>
                  </w:r>
                  <w:r>
                    <w:rPr>
                      <w:rFonts w:hint="eastAsia" w:cs="Times New Roman"/>
                      <w:color w:val="auto"/>
                      <w:szCs w:val="21"/>
                      <w:highlight w:val="none"/>
                      <w:lang w:val="en-US" w:eastAsia="zh-CN"/>
                    </w:rPr>
                    <w:t>，</w:t>
                  </w:r>
                  <w:r>
                    <w:rPr>
                      <w:rFonts w:hint="eastAsia" w:ascii="Times New Roman" w:hAnsi="Times New Roman" w:cs="Times New Roman"/>
                      <w:color w:val="auto"/>
                      <w:szCs w:val="21"/>
                      <w:highlight w:val="none"/>
                      <w:lang w:val="en-US" w:eastAsia="zh-CN"/>
                    </w:rPr>
                    <w:t>自带脉冲式袋式除尘器一套</w:t>
                  </w:r>
                  <w:r>
                    <w:rPr>
                      <w:rFonts w:hint="eastAsia" w:cs="Times New Roman"/>
                      <w:color w:val="auto"/>
                      <w:szCs w:val="21"/>
                      <w:highlight w:val="none"/>
                      <w:lang w:val="en-US" w:eastAsia="zh-CN"/>
                    </w:rPr>
                    <w:t>。</w:t>
                  </w:r>
                </w:p>
              </w:tc>
              <w:tc>
                <w:tcPr>
                  <w:tcW w:w="715" w:type="dxa"/>
                  <w:noWrap w:val="0"/>
                  <w:vAlign w:val="center"/>
                </w:tcPr>
                <w:p w14:paraId="7274EBEA">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新建</w:t>
                  </w:r>
                </w:p>
              </w:tc>
            </w:tr>
            <w:tr w14:paraId="6B1A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640" w:type="dxa"/>
                  <w:vMerge w:val="continue"/>
                  <w:noWrap w:val="0"/>
                  <w:tcMar>
                    <w:left w:w="28" w:type="dxa"/>
                    <w:right w:w="28" w:type="dxa"/>
                  </w:tcMar>
                  <w:vAlign w:val="center"/>
                </w:tcPr>
                <w:p w14:paraId="315C62CC">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155" w:type="dxa"/>
                  <w:vMerge w:val="continue"/>
                  <w:noWrap w:val="0"/>
                  <w:tcMar>
                    <w:left w:w="28" w:type="dxa"/>
                    <w:right w:w="28" w:type="dxa"/>
                  </w:tcMar>
                  <w:vAlign w:val="center"/>
                </w:tcPr>
                <w:p w14:paraId="685B84F3">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lang w:eastAsia="zh-CN"/>
                    </w:rPr>
                  </w:pPr>
                </w:p>
              </w:tc>
              <w:tc>
                <w:tcPr>
                  <w:tcW w:w="5425" w:type="dxa"/>
                  <w:gridSpan w:val="2"/>
                  <w:noWrap w:val="0"/>
                  <w:tcMar>
                    <w:left w:w="28" w:type="dxa"/>
                    <w:right w:w="28" w:type="dxa"/>
                  </w:tcMar>
                  <w:vAlign w:val="center"/>
                </w:tcPr>
                <w:p w14:paraId="20935B40">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新建</w:t>
                  </w:r>
                  <w:r>
                    <w:rPr>
                      <w:rFonts w:hint="default" w:ascii="Times New Roman" w:hAnsi="Times New Roman" w:cs="Times New Roman"/>
                      <w:color w:val="auto"/>
                      <w:szCs w:val="21"/>
                      <w:highlight w:val="none"/>
                      <w:lang w:val="en-US" w:eastAsia="zh-CN"/>
                    </w:rPr>
                    <w:t>HZS240型商品混凝土搅拌站</w:t>
                  </w:r>
                  <w:r>
                    <w:rPr>
                      <w:rFonts w:hint="eastAsia" w:cs="Times New Roman"/>
                      <w:color w:val="auto"/>
                      <w:szCs w:val="21"/>
                      <w:highlight w:val="none"/>
                      <w:lang w:val="en-US" w:eastAsia="zh-CN"/>
                    </w:rPr>
                    <w:t>一套，占地面积为500㎡，</w:t>
                  </w:r>
                  <w:r>
                    <w:rPr>
                      <w:rFonts w:hint="default" w:ascii="Times New Roman" w:hAnsi="Times New Roman" w:eastAsia="宋体" w:cs="Times New Roman"/>
                      <w:color w:val="auto"/>
                      <w:szCs w:val="21"/>
                      <w:highlight w:val="none"/>
                      <w:lang w:val="en-US" w:eastAsia="zh-CN"/>
                    </w:rPr>
                    <w:t>封闭式搅拌楼内置搅拌机1套</w:t>
                  </w:r>
                  <w:r>
                    <w:rPr>
                      <w:rFonts w:hint="eastAsia" w:ascii="Times New Roman" w:hAnsi="Times New Roman" w:cs="Times New Roman"/>
                      <w:color w:val="auto"/>
                      <w:szCs w:val="21"/>
                      <w:highlight w:val="none"/>
                      <w:lang w:val="en-US" w:eastAsia="zh-CN"/>
                    </w:rPr>
                    <w:t>，自带脉冲式袋式除尘器一套</w:t>
                  </w:r>
                  <w:r>
                    <w:rPr>
                      <w:rFonts w:hint="eastAsia" w:cs="Times New Roman"/>
                      <w:color w:val="auto"/>
                      <w:szCs w:val="21"/>
                      <w:highlight w:val="none"/>
                      <w:lang w:val="en-US" w:eastAsia="zh-CN"/>
                    </w:rPr>
                    <w:t>。</w:t>
                  </w:r>
                </w:p>
              </w:tc>
              <w:tc>
                <w:tcPr>
                  <w:tcW w:w="715" w:type="dxa"/>
                  <w:noWrap w:val="0"/>
                  <w:vAlign w:val="center"/>
                </w:tcPr>
                <w:p w14:paraId="0FEE9D30">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新建</w:t>
                  </w:r>
                </w:p>
              </w:tc>
            </w:tr>
            <w:tr w14:paraId="75B32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vMerge w:val="restart"/>
                  <w:noWrap w:val="0"/>
                  <w:tcMar>
                    <w:left w:w="28" w:type="dxa"/>
                    <w:right w:w="28" w:type="dxa"/>
                  </w:tcMar>
                  <w:vAlign w:val="center"/>
                </w:tcPr>
                <w:p w14:paraId="0EC52FF5">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储运工程</w:t>
                  </w:r>
                </w:p>
              </w:tc>
              <w:tc>
                <w:tcPr>
                  <w:tcW w:w="1155" w:type="dxa"/>
                  <w:noWrap w:val="0"/>
                  <w:tcMar>
                    <w:left w:w="28" w:type="dxa"/>
                    <w:right w:w="28" w:type="dxa"/>
                  </w:tcMar>
                  <w:vAlign w:val="center"/>
                </w:tcPr>
                <w:p w14:paraId="05094DEA">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bookmarkStart w:id="4" w:name="OLE_LINK4"/>
                  <w:r>
                    <w:rPr>
                      <w:rFonts w:hint="default" w:ascii="Times New Roman" w:hAnsi="Times New Roman" w:eastAsia="宋体" w:cs="Times New Roman"/>
                      <w:color w:val="auto"/>
                      <w:szCs w:val="21"/>
                      <w:highlight w:val="none"/>
                      <w:lang w:val="en-US" w:eastAsia="zh-CN"/>
                    </w:rPr>
                    <w:t>原料堆场</w:t>
                  </w:r>
                  <w:bookmarkEnd w:id="4"/>
                </w:p>
              </w:tc>
              <w:tc>
                <w:tcPr>
                  <w:tcW w:w="5425" w:type="dxa"/>
                  <w:gridSpan w:val="2"/>
                  <w:noWrap w:val="0"/>
                  <w:tcMar>
                    <w:left w:w="28" w:type="dxa"/>
                    <w:right w:w="28" w:type="dxa"/>
                  </w:tcMar>
                  <w:vAlign w:val="center"/>
                </w:tcPr>
                <w:p w14:paraId="6910367C">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建设1座全封闭原料堆场，建筑面积共计</w:t>
                  </w:r>
                  <w:r>
                    <w:rPr>
                      <w:rFonts w:hint="eastAsia" w:ascii="Times New Roman" w:hAnsi="Times New Roman" w:eastAsia="宋体" w:cs="Times New Roman"/>
                      <w:color w:val="auto"/>
                      <w:szCs w:val="21"/>
                      <w:highlight w:val="none"/>
                      <w:lang w:val="en-US" w:eastAsia="zh-CN"/>
                    </w:rPr>
                    <w:t>1000</w:t>
                  </w:r>
                  <w:r>
                    <w:rPr>
                      <w:rFonts w:hint="default" w:ascii="Times New Roman" w:hAnsi="Times New Roman" w:eastAsia="宋体" w:cs="Times New Roman"/>
                      <w:color w:val="auto"/>
                      <w:szCs w:val="21"/>
                      <w:highlight w:val="none"/>
                      <w:lang w:val="en-US" w:eastAsia="zh-CN"/>
                    </w:rPr>
                    <w:t>㎡，水泥硬化地面，</w:t>
                  </w:r>
                  <w:r>
                    <w:rPr>
                      <w:rFonts w:hint="eastAsia" w:ascii="Times New Roman" w:hAnsi="Times New Roman" w:eastAsia="宋体" w:cs="Times New Roman"/>
                      <w:color w:val="auto"/>
                      <w:szCs w:val="21"/>
                      <w:highlight w:val="none"/>
                      <w:lang w:val="en-US" w:eastAsia="zh-CN"/>
                    </w:rPr>
                    <w:t>两个</w:t>
                  </w:r>
                  <w:r>
                    <w:rPr>
                      <w:rFonts w:hint="default" w:ascii="Times New Roman" w:hAnsi="Times New Roman" w:eastAsia="宋体" w:cs="Times New Roman"/>
                      <w:color w:val="auto"/>
                      <w:szCs w:val="21"/>
                      <w:highlight w:val="none"/>
                      <w:lang w:val="en-US" w:eastAsia="zh-CN"/>
                    </w:rPr>
                    <w:t>分区存</w:t>
                  </w:r>
                  <w:r>
                    <w:rPr>
                      <w:rFonts w:hint="eastAsia" w:ascii="Times New Roman" w:hAnsi="Times New Roman" w:eastAsia="宋体" w:cs="Times New Roman"/>
                      <w:color w:val="auto"/>
                      <w:szCs w:val="21"/>
                      <w:highlight w:val="none"/>
                      <w:lang w:val="en-US" w:eastAsia="zh-CN"/>
                    </w:rPr>
                    <w:t>，分别用于</w:t>
                  </w:r>
                  <w:r>
                    <w:rPr>
                      <w:rFonts w:hint="default" w:ascii="Times New Roman" w:hAnsi="Times New Roman" w:eastAsia="宋体" w:cs="Times New Roman"/>
                      <w:color w:val="auto"/>
                      <w:szCs w:val="21"/>
                      <w:highlight w:val="none"/>
                      <w:lang w:val="en-US" w:eastAsia="zh-CN"/>
                    </w:rPr>
                    <w:t>砂子、石子</w:t>
                  </w:r>
                  <w:r>
                    <w:rPr>
                      <w:rFonts w:hint="eastAsia" w:ascii="Times New Roman" w:hAnsi="Times New Roman" w:eastAsia="宋体" w:cs="Times New Roman"/>
                      <w:color w:val="auto"/>
                      <w:szCs w:val="21"/>
                      <w:highlight w:val="none"/>
                      <w:lang w:val="en-US" w:eastAsia="zh-CN"/>
                    </w:rPr>
                    <w:t>的存放</w:t>
                  </w:r>
                  <w:r>
                    <w:rPr>
                      <w:rFonts w:hint="default" w:ascii="Times New Roman" w:hAnsi="Times New Roman" w:eastAsia="宋体" w:cs="Times New Roman"/>
                      <w:color w:val="auto"/>
                      <w:szCs w:val="21"/>
                      <w:highlight w:val="none"/>
                      <w:lang w:val="en-US" w:eastAsia="zh-CN"/>
                    </w:rPr>
                    <w:t>，储棚高度6m，砂子最大堆存量为</w:t>
                  </w:r>
                  <w:r>
                    <w:rPr>
                      <w:rFonts w:hint="eastAsia" w:ascii="Times New Roman" w:hAnsi="Times New Roman" w:eastAsia="宋体" w:cs="Times New Roman"/>
                      <w:color w:val="auto"/>
                      <w:szCs w:val="21"/>
                      <w:highlight w:val="none"/>
                      <w:lang w:val="en-US" w:eastAsia="zh-CN"/>
                    </w:rPr>
                    <w:t>4179</w:t>
                  </w:r>
                  <w:r>
                    <w:rPr>
                      <w:rFonts w:hint="default" w:ascii="Times New Roman" w:hAnsi="Times New Roman" w:eastAsia="宋体" w:cs="Times New Roman"/>
                      <w:color w:val="auto"/>
                      <w:szCs w:val="21"/>
                      <w:highlight w:val="none"/>
                      <w:lang w:val="en-US" w:eastAsia="zh-CN"/>
                    </w:rPr>
                    <w:t>t</w:t>
                  </w:r>
                  <w:r>
                    <w:rPr>
                      <w:rFonts w:hint="eastAsia" w:ascii="Times New Roman" w:hAnsi="Times New Roman" w:eastAsia="宋体" w:cs="Times New Roman"/>
                      <w:color w:val="auto"/>
                      <w:szCs w:val="21"/>
                      <w:highlight w:val="none"/>
                      <w:lang w:val="en-US" w:eastAsia="zh-CN"/>
                    </w:rPr>
                    <w:t>，可满足原料砂子的7天存储量；</w:t>
                  </w:r>
                  <w:r>
                    <w:rPr>
                      <w:rFonts w:hint="default" w:ascii="Times New Roman" w:hAnsi="Times New Roman" w:eastAsia="宋体" w:cs="Times New Roman"/>
                      <w:color w:val="auto"/>
                      <w:szCs w:val="21"/>
                      <w:highlight w:val="none"/>
                      <w:lang w:val="en-US" w:eastAsia="zh-CN"/>
                    </w:rPr>
                    <w:t>石子最大堆存量为</w:t>
                  </w:r>
                  <w:r>
                    <w:rPr>
                      <w:rFonts w:hint="eastAsia" w:ascii="Times New Roman" w:hAnsi="Times New Roman" w:eastAsia="宋体" w:cs="Times New Roman"/>
                      <w:color w:val="auto"/>
                      <w:szCs w:val="21"/>
                      <w:highlight w:val="none"/>
                      <w:lang w:val="en-US" w:eastAsia="zh-CN"/>
                    </w:rPr>
                    <w:t>5851</w:t>
                  </w:r>
                  <w:r>
                    <w:rPr>
                      <w:rFonts w:hint="default" w:ascii="Times New Roman" w:hAnsi="Times New Roman" w:eastAsia="宋体" w:cs="Times New Roman"/>
                      <w:color w:val="auto"/>
                      <w:szCs w:val="21"/>
                      <w:highlight w:val="none"/>
                      <w:lang w:val="en-US" w:eastAsia="zh-CN"/>
                    </w:rPr>
                    <w:t>t</w:t>
                  </w:r>
                  <w:r>
                    <w:rPr>
                      <w:rFonts w:hint="eastAsia" w:ascii="Times New Roman" w:hAnsi="Times New Roman" w:eastAsia="宋体" w:cs="Times New Roman"/>
                      <w:color w:val="auto"/>
                      <w:szCs w:val="21"/>
                      <w:highlight w:val="none"/>
                      <w:lang w:val="en-US" w:eastAsia="zh-CN"/>
                    </w:rPr>
                    <w:t>，可满足原料石子的7天存储量</w:t>
                  </w:r>
                  <w:r>
                    <w:rPr>
                      <w:rFonts w:hint="default" w:ascii="Times New Roman" w:hAnsi="Times New Roman" w:eastAsia="宋体" w:cs="Times New Roman"/>
                      <w:color w:val="auto"/>
                      <w:szCs w:val="21"/>
                      <w:highlight w:val="none"/>
                      <w:lang w:val="en-US" w:eastAsia="zh-CN"/>
                    </w:rPr>
                    <w:t>。</w:t>
                  </w:r>
                </w:p>
              </w:tc>
              <w:tc>
                <w:tcPr>
                  <w:tcW w:w="715" w:type="dxa"/>
                  <w:noWrap w:val="0"/>
                  <w:vAlign w:val="center"/>
                </w:tcPr>
                <w:p w14:paraId="335C69E9">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新建</w:t>
                  </w:r>
                </w:p>
              </w:tc>
            </w:tr>
            <w:tr w14:paraId="731D2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640" w:type="dxa"/>
                  <w:vMerge w:val="continue"/>
                  <w:noWrap w:val="0"/>
                  <w:tcMar>
                    <w:left w:w="28" w:type="dxa"/>
                    <w:right w:w="28" w:type="dxa"/>
                  </w:tcMar>
                  <w:vAlign w:val="center"/>
                </w:tcPr>
                <w:p w14:paraId="3B03A0AE">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155" w:type="dxa"/>
                  <w:noWrap w:val="0"/>
                  <w:tcMar>
                    <w:left w:w="28" w:type="dxa"/>
                    <w:right w:w="28" w:type="dxa"/>
                  </w:tcMar>
                  <w:vAlign w:val="center"/>
                </w:tcPr>
                <w:p w14:paraId="786998DD">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水泥筒仓</w:t>
                  </w:r>
                </w:p>
              </w:tc>
              <w:tc>
                <w:tcPr>
                  <w:tcW w:w="5425" w:type="dxa"/>
                  <w:gridSpan w:val="2"/>
                  <w:noWrap w:val="0"/>
                  <w:tcMar>
                    <w:left w:w="28" w:type="dxa"/>
                    <w:right w:w="28" w:type="dxa"/>
                  </w:tcMar>
                  <w:vAlign w:val="center"/>
                </w:tcPr>
                <w:p w14:paraId="4ACAD394">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HZS180型商品混凝土搅拌站</w:t>
                  </w:r>
                  <w:r>
                    <w:rPr>
                      <w:rFonts w:hint="eastAsia" w:ascii="Times New Roman" w:hAnsi="Times New Roman" w:cs="Times New Roman"/>
                      <w:color w:val="auto"/>
                      <w:szCs w:val="21"/>
                      <w:highlight w:val="none"/>
                      <w:lang w:val="en-US" w:eastAsia="zh-CN"/>
                    </w:rPr>
                    <w:t>配套2个水泥筒仓，</w:t>
                  </w:r>
                  <w:r>
                    <w:rPr>
                      <w:rFonts w:hint="default" w:ascii="Times New Roman" w:hAnsi="Times New Roman" w:cs="Times New Roman"/>
                      <w:color w:val="auto"/>
                      <w:szCs w:val="21"/>
                      <w:highlight w:val="none"/>
                      <w:lang w:val="en-US" w:eastAsia="zh-CN"/>
                    </w:rPr>
                    <w:t>HZS240型商品混凝土搅拌站</w:t>
                  </w:r>
                  <w:r>
                    <w:rPr>
                      <w:rFonts w:hint="eastAsia" w:ascii="Times New Roman" w:hAnsi="Times New Roman" w:cs="Times New Roman"/>
                      <w:color w:val="auto"/>
                      <w:szCs w:val="21"/>
                      <w:highlight w:val="none"/>
                      <w:lang w:val="en-US" w:eastAsia="zh-CN"/>
                    </w:rPr>
                    <w:t>配套2个水泥筒仓。厂区共设置4个</w:t>
                  </w:r>
                  <w:r>
                    <w:rPr>
                      <w:rFonts w:hint="default" w:ascii="Times New Roman" w:hAnsi="Times New Roman" w:eastAsia="宋体" w:cs="Times New Roman"/>
                      <w:color w:val="auto"/>
                      <w:szCs w:val="21"/>
                      <w:highlight w:val="none"/>
                      <w:lang w:val="en-US" w:eastAsia="zh-CN"/>
                    </w:rPr>
                    <w:t>水泥筒仓，</w:t>
                  </w:r>
                  <w:r>
                    <w:rPr>
                      <w:rFonts w:hint="eastAsia" w:ascii="Times New Roman" w:hAnsi="Times New Roman" w:cs="Times New Roman"/>
                      <w:color w:val="auto"/>
                      <w:szCs w:val="21"/>
                      <w:highlight w:val="none"/>
                      <w:lang w:val="en-US" w:eastAsia="zh-CN"/>
                    </w:rPr>
                    <w:t>每个容积均为300t，</w:t>
                  </w:r>
                  <w:r>
                    <w:rPr>
                      <w:rFonts w:hint="default" w:ascii="Times New Roman" w:hAnsi="Times New Roman" w:eastAsia="宋体" w:cs="Times New Roman"/>
                      <w:color w:val="auto"/>
                      <w:szCs w:val="21"/>
                      <w:highlight w:val="none"/>
                      <w:lang w:val="en-US" w:eastAsia="zh-CN"/>
                    </w:rPr>
                    <w:t>用于原料水泥的存放。</w:t>
                  </w:r>
                </w:p>
              </w:tc>
              <w:tc>
                <w:tcPr>
                  <w:tcW w:w="715" w:type="dxa"/>
                  <w:noWrap w:val="0"/>
                  <w:vAlign w:val="center"/>
                </w:tcPr>
                <w:p w14:paraId="6D05ED5D">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新建</w:t>
                  </w:r>
                </w:p>
              </w:tc>
            </w:tr>
            <w:tr w14:paraId="73C97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vMerge w:val="continue"/>
                  <w:noWrap w:val="0"/>
                  <w:tcMar>
                    <w:left w:w="28" w:type="dxa"/>
                    <w:right w:w="28" w:type="dxa"/>
                  </w:tcMar>
                  <w:vAlign w:val="center"/>
                </w:tcPr>
                <w:p w14:paraId="11CB1D59">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155" w:type="dxa"/>
                  <w:noWrap w:val="0"/>
                  <w:tcMar>
                    <w:left w:w="28" w:type="dxa"/>
                    <w:right w:w="28" w:type="dxa"/>
                  </w:tcMar>
                  <w:vAlign w:val="center"/>
                </w:tcPr>
                <w:p w14:paraId="4EF42B2F">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粉煤灰筒仓</w:t>
                  </w:r>
                </w:p>
              </w:tc>
              <w:tc>
                <w:tcPr>
                  <w:tcW w:w="5425" w:type="dxa"/>
                  <w:gridSpan w:val="2"/>
                  <w:noWrap w:val="0"/>
                  <w:tcMar>
                    <w:left w:w="28" w:type="dxa"/>
                    <w:right w:w="28" w:type="dxa"/>
                  </w:tcMar>
                  <w:vAlign w:val="center"/>
                </w:tcPr>
                <w:p w14:paraId="04CF8086">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HZS180型商品混凝土搅拌站</w:t>
                  </w:r>
                  <w:r>
                    <w:rPr>
                      <w:rFonts w:hint="eastAsia" w:ascii="Times New Roman" w:hAnsi="Times New Roman" w:cs="Times New Roman"/>
                      <w:color w:val="auto"/>
                      <w:szCs w:val="21"/>
                      <w:highlight w:val="none"/>
                      <w:lang w:val="en-US" w:eastAsia="zh-CN"/>
                    </w:rPr>
                    <w:t>配套2个</w:t>
                  </w:r>
                  <w:r>
                    <w:rPr>
                      <w:rFonts w:hint="default" w:ascii="Times New Roman" w:hAnsi="Times New Roman" w:cs="Times New Roman"/>
                      <w:color w:val="auto"/>
                      <w:kern w:val="0"/>
                      <w:szCs w:val="21"/>
                      <w:highlight w:val="none"/>
                    </w:rPr>
                    <w:t>粉煤灰筒仓</w:t>
                  </w:r>
                  <w:r>
                    <w:rPr>
                      <w:rFonts w:hint="eastAsia" w:ascii="Times New Roman" w:hAnsi="Times New Roman" w:cs="Times New Roman"/>
                      <w:color w:val="auto"/>
                      <w:szCs w:val="21"/>
                      <w:highlight w:val="none"/>
                      <w:lang w:val="en-US" w:eastAsia="zh-CN"/>
                    </w:rPr>
                    <w:t>，</w:t>
                  </w:r>
                  <w:r>
                    <w:rPr>
                      <w:rFonts w:hint="default" w:ascii="Times New Roman" w:hAnsi="Times New Roman" w:cs="Times New Roman"/>
                      <w:color w:val="auto"/>
                      <w:szCs w:val="21"/>
                      <w:highlight w:val="none"/>
                      <w:lang w:val="en-US" w:eastAsia="zh-CN"/>
                    </w:rPr>
                    <w:t>HZS240型商品混凝土搅拌站</w:t>
                  </w:r>
                  <w:r>
                    <w:rPr>
                      <w:rFonts w:hint="eastAsia" w:ascii="Times New Roman" w:hAnsi="Times New Roman" w:cs="Times New Roman"/>
                      <w:color w:val="auto"/>
                      <w:szCs w:val="21"/>
                      <w:highlight w:val="none"/>
                      <w:lang w:val="en-US" w:eastAsia="zh-CN"/>
                    </w:rPr>
                    <w:t>配套2个</w:t>
                  </w:r>
                  <w:r>
                    <w:rPr>
                      <w:rFonts w:hint="default" w:ascii="Times New Roman" w:hAnsi="Times New Roman" w:cs="Times New Roman"/>
                      <w:color w:val="auto"/>
                      <w:kern w:val="0"/>
                      <w:szCs w:val="21"/>
                      <w:highlight w:val="none"/>
                    </w:rPr>
                    <w:t>粉煤灰筒仓</w:t>
                  </w:r>
                  <w:r>
                    <w:rPr>
                      <w:rFonts w:hint="eastAsia" w:ascii="Times New Roman" w:hAnsi="Times New Roman" w:cs="Times New Roman"/>
                      <w:color w:val="auto"/>
                      <w:szCs w:val="21"/>
                      <w:highlight w:val="none"/>
                      <w:lang w:val="en-US" w:eastAsia="zh-CN"/>
                    </w:rPr>
                    <w:t>。厂区共设置4个</w:t>
                  </w:r>
                  <w:r>
                    <w:rPr>
                      <w:rFonts w:hint="default" w:ascii="Times New Roman" w:hAnsi="Times New Roman" w:cs="Times New Roman"/>
                      <w:color w:val="auto"/>
                      <w:kern w:val="0"/>
                      <w:szCs w:val="21"/>
                      <w:highlight w:val="none"/>
                    </w:rPr>
                    <w:t>粉煤灰筒仓</w:t>
                  </w:r>
                  <w:r>
                    <w:rPr>
                      <w:rFonts w:hint="default" w:ascii="Times New Roman" w:hAnsi="Times New Roman" w:eastAsia="宋体" w:cs="Times New Roman"/>
                      <w:color w:val="auto"/>
                      <w:szCs w:val="21"/>
                      <w:highlight w:val="none"/>
                      <w:lang w:val="en-US" w:eastAsia="zh-CN"/>
                    </w:rPr>
                    <w:t>，</w:t>
                  </w:r>
                  <w:r>
                    <w:rPr>
                      <w:rFonts w:hint="eastAsia" w:ascii="Times New Roman" w:hAnsi="Times New Roman" w:cs="Times New Roman"/>
                      <w:color w:val="auto"/>
                      <w:szCs w:val="21"/>
                      <w:highlight w:val="none"/>
                      <w:lang w:val="en-US" w:eastAsia="zh-CN"/>
                    </w:rPr>
                    <w:t>每个容积均为300t，</w:t>
                  </w:r>
                  <w:r>
                    <w:rPr>
                      <w:rFonts w:hint="default" w:ascii="Times New Roman" w:hAnsi="Times New Roman" w:eastAsia="宋体" w:cs="Times New Roman"/>
                      <w:color w:val="auto"/>
                      <w:szCs w:val="21"/>
                      <w:highlight w:val="none"/>
                      <w:lang w:val="en-US" w:eastAsia="zh-CN"/>
                    </w:rPr>
                    <w:t>用于原料水泥的存放。</w:t>
                  </w:r>
                </w:p>
              </w:tc>
              <w:tc>
                <w:tcPr>
                  <w:tcW w:w="715" w:type="dxa"/>
                  <w:noWrap w:val="0"/>
                  <w:vAlign w:val="center"/>
                </w:tcPr>
                <w:p w14:paraId="1239278F">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新建</w:t>
                  </w:r>
                </w:p>
              </w:tc>
            </w:tr>
            <w:tr w14:paraId="69974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640" w:type="dxa"/>
                  <w:vMerge w:val="continue"/>
                  <w:noWrap w:val="0"/>
                  <w:tcMar>
                    <w:left w:w="28" w:type="dxa"/>
                    <w:right w:w="28" w:type="dxa"/>
                  </w:tcMar>
                  <w:vAlign w:val="center"/>
                </w:tcPr>
                <w:p w14:paraId="45CBDF7C">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155" w:type="dxa"/>
                  <w:noWrap w:val="0"/>
                  <w:tcMar>
                    <w:left w:w="28" w:type="dxa"/>
                    <w:right w:w="28" w:type="dxa"/>
                  </w:tcMar>
                  <w:vAlign w:val="center"/>
                </w:tcPr>
                <w:p w14:paraId="7C35F6DE">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外加剂储存罐</w:t>
                  </w:r>
                </w:p>
              </w:tc>
              <w:tc>
                <w:tcPr>
                  <w:tcW w:w="5425" w:type="dxa"/>
                  <w:gridSpan w:val="2"/>
                  <w:noWrap w:val="0"/>
                  <w:tcMar>
                    <w:left w:w="28" w:type="dxa"/>
                    <w:right w:w="28" w:type="dxa"/>
                  </w:tcMar>
                  <w:vAlign w:val="center"/>
                </w:tcPr>
                <w:p w14:paraId="24737F95">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厂区内</w:t>
                  </w:r>
                  <w:r>
                    <w:rPr>
                      <w:rFonts w:hint="default" w:ascii="Times New Roman" w:hAnsi="Times New Roman" w:eastAsia="宋体" w:cs="Times New Roman"/>
                      <w:color w:val="auto"/>
                      <w:szCs w:val="21"/>
                      <w:highlight w:val="none"/>
                      <w:lang w:val="en-US" w:eastAsia="zh-CN"/>
                    </w:rPr>
                    <w:t>设</w:t>
                  </w:r>
                  <w:r>
                    <w:rPr>
                      <w:rFonts w:hint="eastAsia" w:cs="Times New Roman"/>
                      <w:color w:val="auto"/>
                      <w:szCs w:val="21"/>
                      <w:highlight w:val="none"/>
                      <w:lang w:val="en-US" w:eastAsia="zh-CN"/>
                    </w:rPr>
                    <w:t>1</w:t>
                  </w:r>
                  <w:r>
                    <w:rPr>
                      <w:rFonts w:hint="default" w:ascii="Times New Roman" w:hAnsi="Times New Roman" w:eastAsia="宋体" w:cs="Times New Roman"/>
                      <w:color w:val="auto"/>
                      <w:szCs w:val="21"/>
                      <w:highlight w:val="none"/>
                      <w:lang w:val="en-US" w:eastAsia="zh-CN"/>
                    </w:rPr>
                    <w:t>座容量</w:t>
                  </w:r>
                  <w:r>
                    <w:rPr>
                      <w:rFonts w:hint="eastAsia" w:cs="Times New Roman"/>
                      <w:color w:val="auto"/>
                      <w:szCs w:val="21"/>
                      <w:highlight w:val="none"/>
                      <w:lang w:val="en-US" w:eastAsia="zh-CN"/>
                    </w:rPr>
                    <w:t>10</w:t>
                  </w:r>
                  <w:r>
                    <w:rPr>
                      <w:rFonts w:hint="default" w:ascii="Times New Roman" w:hAnsi="Times New Roman" w:eastAsia="宋体" w:cs="Times New Roman"/>
                      <w:color w:val="auto"/>
                      <w:szCs w:val="21"/>
                      <w:highlight w:val="none"/>
                      <w:lang w:val="en-US" w:eastAsia="zh-CN"/>
                    </w:rPr>
                    <w:t>t的</w:t>
                  </w:r>
                  <w:r>
                    <w:rPr>
                      <w:rFonts w:hint="eastAsia" w:cs="Times New Roman"/>
                      <w:color w:val="auto"/>
                      <w:szCs w:val="21"/>
                      <w:highlight w:val="none"/>
                      <w:lang w:val="en-US" w:eastAsia="zh-CN"/>
                    </w:rPr>
                    <w:t>液体</w:t>
                  </w:r>
                  <w:r>
                    <w:rPr>
                      <w:rFonts w:hint="default" w:ascii="Times New Roman" w:hAnsi="Times New Roman" w:eastAsia="宋体" w:cs="Times New Roman"/>
                      <w:color w:val="auto"/>
                      <w:szCs w:val="21"/>
                      <w:highlight w:val="none"/>
                      <w:lang w:val="en-US" w:eastAsia="zh-CN"/>
                    </w:rPr>
                    <w:t>外加剂配料罐</w:t>
                  </w:r>
                  <w:r>
                    <w:rPr>
                      <w:rFonts w:hint="eastAsia" w:cs="Times New Roman"/>
                      <w:color w:val="auto"/>
                      <w:szCs w:val="21"/>
                      <w:highlight w:val="none"/>
                      <w:lang w:val="en-US" w:eastAsia="zh-CN"/>
                    </w:rPr>
                    <w:t>，</w:t>
                  </w:r>
                  <w:r>
                    <w:rPr>
                      <w:rFonts w:hint="default" w:ascii="Times New Roman" w:hAnsi="Times New Roman" w:eastAsia="宋体" w:cs="Times New Roman"/>
                      <w:color w:val="auto"/>
                      <w:szCs w:val="21"/>
                      <w:highlight w:val="none"/>
                      <w:lang w:val="en-US" w:eastAsia="zh-CN"/>
                    </w:rPr>
                    <w:t>外加剂固体原料采用袋装</w:t>
                  </w:r>
                  <w:r>
                    <w:rPr>
                      <w:rFonts w:hint="default" w:ascii="Times New Roman" w:hAnsi="Times New Roman" w:cs="Times New Roman"/>
                      <w:color w:val="auto"/>
                      <w:szCs w:val="21"/>
                      <w:highlight w:val="none"/>
                      <w:lang w:val="en-US" w:eastAsia="zh-CN"/>
                    </w:rPr>
                    <w:t>方式</w:t>
                  </w:r>
                  <w:r>
                    <w:rPr>
                      <w:rFonts w:hint="default" w:ascii="Times New Roman" w:hAnsi="Times New Roman" w:eastAsia="宋体" w:cs="Times New Roman"/>
                      <w:color w:val="auto"/>
                      <w:szCs w:val="21"/>
                      <w:highlight w:val="none"/>
                      <w:lang w:val="en-US" w:eastAsia="zh-CN"/>
                    </w:rPr>
                    <w:t>暂存于配料区一侧。</w:t>
                  </w:r>
                </w:p>
              </w:tc>
              <w:tc>
                <w:tcPr>
                  <w:tcW w:w="715" w:type="dxa"/>
                  <w:noWrap w:val="0"/>
                  <w:vAlign w:val="center"/>
                </w:tcPr>
                <w:p w14:paraId="3C4112BD">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新建</w:t>
                  </w:r>
                </w:p>
              </w:tc>
            </w:tr>
            <w:tr w14:paraId="76D27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640" w:type="dxa"/>
                  <w:vMerge w:val="continue"/>
                  <w:noWrap w:val="0"/>
                  <w:tcMar>
                    <w:left w:w="28" w:type="dxa"/>
                    <w:right w:w="28" w:type="dxa"/>
                  </w:tcMar>
                  <w:vAlign w:val="center"/>
                </w:tcPr>
                <w:p w14:paraId="03BA4310">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155" w:type="dxa"/>
                  <w:noWrap w:val="0"/>
                  <w:tcMar>
                    <w:left w:w="28" w:type="dxa"/>
                    <w:right w:w="28" w:type="dxa"/>
                  </w:tcMar>
                  <w:vAlign w:val="center"/>
                </w:tcPr>
                <w:p w14:paraId="6E2C1E75">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储水罐</w:t>
                  </w:r>
                </w:p>
              </w:tc>
              <w:tc>
                <w:tcPr>
                  <w:tcW w:w="5425" w:type="dxa"/>
                  <w:gridSpan w:val="2"/>
                  <w:noWrap w:val="0"/>
                  <w:tcMar>
                    <w:left w:w="28" w:type="dxa"/>
                    <w:right w:w="28" w:type="dxa"/>
                  </w:tcMar>
                  <w:vAlign w:val="center"/>
                </w:tcPr>
                <w:p w14:paraId="60D88631">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项目厂区内设</w:t>
                  </w:r>
                  <w:r>
                    <w:rPr>
                      <w:rFonts w:hint="eastAsia" w:cs="Times New Roman"/>
                      <w:color w:val="0000FF"/>
                      <w:szCs w:val="21"/>
                      <w:highlight w:val="none"/>
                      <w:lang w:val="en-US" w:eastAsia="zh-CN"/>
                    </w:rPr>
                    <w:t>置1座100m³的储水</w:t>
                  </w:r>
                  <w:r>
                    <w:rPr>
                      <w:rFonts w:hint="eastAsia" w:cs="Times New Roman"/>
                      <w:color w:val="auto"/>
                      <w:szCs w:val="21"/>
                      <w:highlight w:val="none"/>
                      <w:lang w:val="en-US" w:eastAsia="zh-CN"/>
                    </w:rPr>
                    <w:t>罐，用于本项目的生产用水存储。</w:t>
                  </w:r>
                </w:p>
              </w:tc>
              <w:tc>
                <w:tcPr>
                  <w:tcW w:w="715" w:type="dxa"/>
                  <w:noWrap w:val="0"/>
                  <w:vAlign w:val="center"/>
                </w:tcPr>
                <w:p w14:paraId="4B07BF80">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新建</w:t>
                  </w:r>
                </w:p>
              </w:tc>
            </w:tr>
            <w:tr w14:paraId="44B72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640" w:type="dxa"/>
                  <w:vMerge w:val="continue"/>
                  <w:noWrap w:val="0"/>
                  <w:tcMar>
                    <w:left w:w="28" w:type="dxa"/>
                    <w:right w:w="28" w:type="dxa"/>
                  </w:tcMar>
                  <w:vAlign w:val="center"/>
                </w:tcPr>
                <w:p w14:paraId="7ADFAA27">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155" w:type="dxa"/>
                  <w:noWrap w:val="0"/>
                  <w:tcMar>
                    <w:left w:w="28" w:type="dxa"/>
                    <w:right w:w="28" w:type="dxa"/>
                  </w:tcMar>
                  <w:vAlign w:val="center"/>
                </w:tcPr>
                <w:p w14:paraId="6B911D41">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cs="Times New Roman"/>
                      <w:color w:val="0000FF"/>
                      <w:szCs w:val="21"/>
                      <w:highlight w:val="none"/>
                      <w:lang w:val="en-US" w:eastAsia="zh-CN"/>
                    </w:rPr>
                  </w:pPr>
                  <w:r>
                    <w:rPr>
                      <w:rFonts w:hint="eastAsia" w:cs="Times New Roman"/>
                      <w:color w:val="0000FF"/>
                      <w:szCs w:val="21"/>
                      <w:highlight w:val="none"/>
                      <w:lang w:val="en-US" w:eastAsia="zh-CN"/>
                    </w:rPr>
                    <w:t>危废库</w:t>
                  </w:r>
                </w:p>
              </w:tc>
              <w:tc>
                <w:tcPr>
                  <w:tcW w:w="5425" w:type="dxa"/>
                  <w:gridSpan w:val="2"/>
                  <w:noWrap w:val="0"/>
                  <w:tcMar>
                    <w:left w:w="28" w:type="dxa"/>
                    <w:right w:w="28" w:type="dxa"/>
                  </w:tcMar>
                  <w:vAlign w:val="center"/>
                </w:tcPr>
                <w:p w14:paraId="4D051120">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cs="Times New Roman"/>
                      <w:color w:val="0000FF"/>
                      <w:szCs w:val="21"/>
                      <w:highlight w:val="none"/>
                      <w:lang w:val="en-US" w:eastAsia="zh-CN"/>
                    </w:rPr>
                  </w:pPr>
                  <w:r>
                    <w:rPr>
                      <w:rFonts w:hint="eastAsia" w:cs="Times New Roman"/>
                      <w:color w:val="0000FF"/>
                      <w:szCs w:val="21"/>
                      <w:highlight w:val="none"/>
                      <w:lang w:val="en-US" w:eastAsia="zh-CN"/>
                    </w:rPr>
                    <w:t>新建1座10㎡的危废库，用于项目生产运行维修过程中产生的危险废物暂存，定期交由有资质单位进行处置。</w:t>
                  </w:r>
                </w:p>
              </w:tc>
              <w:tc>
                <w:tcPr>
                  <w:tcW w:w="715" w:type="dxa"/>
                  <w:noWrap w:val="0"/>
                  <w:vAlign w:val="center"/>
                </w:tcPr>
                <w:p w14:paraId="13C26F5D">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s="Times New Roman"/>
                      <w:color w:val="0000FF"/>
                      <w:szCs w:val="21"/>
                      <w:highlight w:val="none"/>
                      <w:lang w:val="en-US" w:eastAsia="zh-CN"/>
                    </w:rPr>
                  </w:pPr>
                  <w:r>
                    <w:rPr>
                      <w:rFonts w:hint="eastAsia" w:cs="Times New Roman"/>
                      <w:color w:val="0000FF"/>
                      <w:szCs w:val="21"/>
                      <w:highlight w:val="none"/>
                      <w:lang w:val="en-US" w:eastAsia="zh-CN"/>
                    </w:rPr>
                    <w:t>新建</w:t>
                  </w:r>
                </w:p>
              </w:tc>
            </w:tr>
            <w:tr w14:paraId="7116B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640" w:type="dxa"/>
                  <w:vMerge w:val="continue"/>
                  <w:noWrap w:val="0"/>
                  <w:tcMar>
                    <w:left w:w="28" w:type="dxa"/>
                    <w:right w:w="28" w:type="dxa"/>
                  </w:tcMar>
                  <w:vAlign w:val="center"/>
                </w:tcPr>
                <w:p w14:paraId="6F6A3406">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155" w:type="dxa"/>
                  <w:vMerge w:val="restart"/>
                  <w:noWrap w:val="0"/>
                  <w:tcMar>
                    <w:left w:w="28" w:type="dxa"/>
                    <w:right w:w="28" w:type="dxa"/>
                  </w:tcMar>
                  <w:vAlign w:val="center"/>
                </w:tcPr>
                <w:p w14:paraId="4CEAC714">
                  <w:pPr>
                    <w:keepNext w:val="0"/>
                    <w:keepLines w:val="0"/>
                    <w:pageBreakBefore w:val="0"/>
                    <w:widowControl/>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输送系统</w:t>
                  </w:r>
                </w:p>
              </w:tc>
              <w:tc>
                <w:tcPr>
                  <w:tcW w:w="1277" w:type="dxa"/>
                  <w:noWrap w:val="0"/>
                  <w:tcMar>
                    <w:left w:w="28" w:type="dxa"/>
                    <w:right w:w="28" w:type="dxa"/>
                  </w:tcMar>
                  <w:vAlign w:val="center"/>
                </w:tcPr>
                <w:p w14:paraId="67F63AC3">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粉料卸料和输送</w:t>
                  </w:r>
                </w:p>
              </w:tc>
              <w:tc>
                <w:tcPr>
                  <w:tcW w:w="4148" w:type="dxa"/>
                  <w:noWrap w:val="0"/>
                  <w:tcMar>
                    <w:left w:w="28" w:type="dxa"/>
                    <w:right w:w="28" w:type="dxa"/>
                  </w:tcMar>
                  <w:vAlign w:val="center"/>
                </w:tcPr>
                <w:p w14:paraId="74A09D8F">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粉料由运输</w:t>
                  </w:r>
                  <w:r>
                    <w:rPr>
                      <w:rFonts w:hint="eastAsia" w:cs="Times New Roman"/>
                      <w:color w:val="auto"/>
                      <w:szCs w:val="21"/>
                      <w:highlight w:val="none"/>
                      <w:lang w:val="en-US" w:eastAsia="zh-CN"/>
                    </w:rPr>
                    <w:t>车辆</w:t>
                  </w:r>
                  <w:r>
                    <w:rPr>
                      <w:rFonts w:hint="default" w:ascii="Times New Roman" w:hAnsi="Times New Roman" w:eastAsia="宋体" w:cs="Times New Roman"/>
                      <w:color w:val="auto"/>
                      <w:szCs w:val="21"/>
                      <w:highlight w:val="none"/>
                      <w:lang w:val="en-US" w:eastAsia="zh-CN"/>
                    </w:rPr>
                    <w:t>通过搅拌棚外设置的全封闭软管气力输送至筒仓，粉料运输车不进入搅拌棚内</w:t>
                  </w:r>
                  <w:r>
                    <w:rPr>
                      <w:rFonts w:hint="eastAsia" w:cs="Times New Roman"/>
                      <w:color w:val="auto"/>
                      <w:szCs w:val="21"/>
                      <w:highlight w:val="none"/>
                      <w:lang w:val="en-US" w:eastAsia="zh-CN"/>
                    </w:rPr>
                    <w:t>，</w:t>
                  </w:r>
                  <w:r>
                    <w:rPr>
                      <w:rFonts w:hint="default" w:ascii="Times New Roman" w:hAnsi="Times New Roman" w:eastAsia="宋体" w:cs="Times New Roman"/>
                      <w:color w:val="auto"/>
                      <w:szCs w:val="21"/>
                      <w:highlight w:val="none"/>
                      <w:lang w:val="en-US" w:eastAsia="zh-CN"/>
                    </w:rPr>
                    <w:t>筒仓内的粉料全部通过密闭管道运输、计量和投料</w:t>
                  </w:r>
                  <w:r>
                    <w:rPr>
                      <w:rFonts w:hint="eastAsia" w:cs="Times New Roman"/>
                      <w:color w:val="auto"/>
                      <w:szCs w:val="21"/>
                      <w:highlight w:val="none"/>
                      <w:lang w:val="en-US" w:eastAsia="zh-CN"/>
                    </w:rPr>
                    <w:t>。</w:t>
                  </w:r>
                </w:p>
              </w:tc>
              <w:tc>
                <w:tcPr>
                  <w:tcW w:w="715" w:type="dxa"/>
                  <w:vMerge w:val="restart"/>
                  <w:noWrap w:val="0"/>
                  <w:vAlign w:val="center"/>
                </w:tcPr>
                <w:p w14:paraId="0631182B">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新建</w:t>
                  </w:r>
                </w:p>
              </w:tc>
            </w:tr>
            <w:tr w14:paraId="4F13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640" w:type="dxa"/>
                  <w:vMerge w:val="continue"/>
                  <w:noWrap w:val="0"/>
                  <w:tcMar>
                    <w:left w:w="28" w:type="dxa"/>
                    <w:right w:w="28" w:type="dxa"/>
                  </w:tcMar>
                  <w:vAlign w:val="center"/>
                </w:tcPr>
                <w:p w14:paraId="6EAC8901">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1155" w:type="dxa"/>
                  <w:vMerge w:val="continue"/>
                  <w:noWrap w:val="0"/>
                  <w:tcMar>
                    <w:left w:w="28" w:type="dxa"/>
                    <w:right w:w="28" w:type="dxa"/>
                  </w:tcMar>
                  <w:vAlign w:val="center"/>
                </w:tcPr>
                <w:p w14:paraId="78F12F5B">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1277" w:type="dxa"/>
                  <w:noWrap w:val="0"/>
                  <w:tcMar>
                    <w:left w:w="28" w:type="dxa"/>
                    <w:right w:w="28" w:type="dxa"/>
                  </w:tcMar>
                  <w:vAlign w:val="center"/>
                </w:tcPr>
                <w:p w14:paraId="1643332B">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骨料卸料和输送</w:t>
                  </w:r>
                </w:p>
              </w:tc>
              <w:tc>
                <w:tcPr>
                  <w:tcW w:w="4148" w:type="dxa"/>
                  <w:noWrap w:val="0"/>
                  <w:tcMar>
                    <w:left w:w="28" w:type="dxa"/>
                    <w:right w:w="28" w:type="dxa"/>
                  </w:tcMar>
                  <w:vAlign w:val="center"/>
                </w:tcPr>
                <w:p w14:paraId="726447A5">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0000FF"/>
                      <w:szCs w:val="21"/>
                      <w:highlight w:val="none"/>
                      <w:lang w:val="en-US" w:eastAsia="zh-CN"/>
                    </w:rPr>
                    <w:t>卸料</w:t>
                  </w:r>
                  <w:r>
                    <w:rPr>
                      <w:rFonts w:hint="eastAsia"/>
                      <w:color w:val="0000FF"/>
                      <w:lang w:val="en-US" w:eastAsia="zh-CN"/>
                    </w:rPr>
                    <w:t>点位于全封闭原料堆场内</w:t>
                  </w:r>
                  <w:r>
                    <w:rPr>
                      <w:rFonts w:hint="default" w:ascii="Times New Roman" w:hAnsi="Times New Roman" w:eastAsia="宋体" w:cs="Times New Roman"/>
                      <w:color w:val="0000FF"/>
                      <w:szCs w:val="21"/>
                      <w:highlight w:val="none"/>
                      <w:lang w:val="en-US" w:eastAsia="zh-CN"/>
                    </w:rPr>
                    <w:t>，</w:t>
                  </w:r>
                  <w:r>
                    <w:rPr>
                      <w:rFonts w:hint="default" w:ascii="Times New Roman" w:hAnsi="Times New Roman" w:eastAsia="宋体" w:cs="Times New Roman"/>
                      <w:color w:val="auto"/>
                      <w:szCs w:val="21"/>
                      <w:highlight w:val="none"/>
                      <w:lang w:val="en-US" w:eastAsia="zh-CN"/>
                    </w:rPr>
                    <w:t>原料堆场内设置上料口，由铲车辅助上料，上料完成后再由密闭的皮带输送机投料至搅拌机内。</w:t>
                  </w:r>
                </w:p>
              </w:tc>
              <w:tc>
                <w:tcPr>
                  <w:tcW w:w="715" w:type="dxa"/>
                  <w:vMerge w:val="continue"/>
                  <w:noWrap w:val="0"/>
                  <w:vAlign w:val="center"/>
                </w:tcPr>
                <w:p w14:paraId="5579136E">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r>
            <w:tr w14:paraId="390F4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640" w:type="dxa"/>
                  <w:vMerge w:val="restart"/>
                  <w:noWrap w:val="0"/>
                  <w:tcMar>
                    <w:left w:w="28" w:type="dxa"/>
                    <w:right w:w="28" w:type="dxa"/>
                  </w:tcMar>
                  <w:vAlign w:val="center"/>
                </w:tcPr>
                <w:p w14:paraId="2225E3C6">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辅助工程</w:t>
                  </w:r>
                </w:p>
              </w:tc>
              <w:tc>
                <w:tcPr>
                  <w:tcW w:w="1155" w:type="dxa"/>
                  <w:noWrap w:val="0"/>
                  <w:tcMar>
                    <w:left w:w="28" w:type="dxa"/>
                    <w:right w:w="28" w:type="dxa"/>
                  </w:tcMar>
                  <w:vAlign w:val="center"/>
                </w:tcPr>
                <w:p w14:paraId="334702CC">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rPr>
                    <w:t>办公</w:t>
                  </w:r>
                  <w:r>
                    <w:rPr>
                      <w:rFonts w:hint="default" w:ascii="Times New Roman" w:hAnsi="Times New Roman" w:eastAsia="宋体" w:cs="Times New Roman"/>
                      <w:color w:val="auto"/>
                      <w:kern w:val="0"/>
                      <w:szCs w:val="21"/>
                      <w:highlight w:val="none"/>
                      <w:lang w:val="en-US" w:eastAsia="zh-CN"/>
                    </w:rPr>
                    <w:t>生活区</w:t>
                  </w:r>
                </w:p>
              </w:tc>
              <w:tc>
                <w:tcPr>
                  <w:tcW w:w="5425" w:type="dxa"/>
                  <w:gridSpan w:val="2"/>
                  <w:noWrap w:val="0"/>
                  <w:tcMar>
                    <w:left w:w="28" w:type="dxa"/>
                    <w:right w:w="28" w:type="dxa"/>
                  </w:tcMar>
                  <w:vAlign w:val="center"/>
                </w:tcPr>
                <w:p w14:paraId="06A161D9">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新建1座100㎡的办公生活区，用于本项目的日常生活及办公使用。</w:t>
                  </w:r>
                </w:p>
              </w:tc>
              <w:tc>
                <w:tcPr>
                  <w:tcW w:w="715" w:type="dxa"/>
                  <w:noWrap w:val="0"/>
                  <w:vAlign w:val="center"/>
                </w:tcPr>
                <w:p w14:paraId="0F45F38A">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新建</w:t>
                  </w:r>
                </w:p>
              </w:tc>
            </w:tr>
            <w:tr w14:paraId="39A1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0" w:type="dxa"/>
                  <w:vMerge w:val="continue"/>
                  <w:noWrap w:val="0"/>
                  <w:tcMar>
                    <w:left w:w="28" w:type="dxa"/>
                    <w:right w:w="28" w:type="dxa"/>
                  </w:tcMar>
                  <w:vAlign w:val="center"/>
                </w:tcPr>
                <w:p w14:paraId="6A351318">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155" w:type="dxa"/>
                  <w:noWrap w:val="0"/>
                  <w:tcMar>
                    <w:left w:w="28" w:type="dxa"/>
                    <w:right w:w="28" w:type="dxa"/>
                  </w:tcMar>
                  <w:vAlign w:val="center"/>
                </w:tcPr>
                <w:p w14:paraId="22BD1B07">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地磅</w:t>
                  </w:r>
                </w:p>
              </w:tc>
              <w:tc>
                <w:tcPr>
                  <w:tcW w:w="5425" w:type="dxa"/>
                  <w:gridSpan w:val="2"/>
                  <w:noWrap w:val="0"/>
                  <w:tcMar>
                    <w:left w:w="28" w:type="dxa"/>
                    <w:right w:w="28" w:type="dxa"/>
                  </w:tcMar>
                  <w:vAlign w:val="center"/>
                </w:tcPr>
                <w:p w14:paraId="6ED7A4E6">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进口处设置1台150t的地磅，占地面积50㎡。</w:t>
                  </w:r>
                </w:p>
              </w:tc>
              <w:tc>
                <w:tcPr>
                  <w:tcW w:w="715" w:type="dxa"/>
                  <w:noWrap w:val="0"/>
                  <w:vAlign w:val="center"/>
                </w:tcPr>
                <w:p w14:paraId="7731E186">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新建</w:t>
                  </w:r>
                </w:p>
              </w:tc>
            </w:tr>
            <w:tr w14:paraId="10039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0" w:type="dxa"/>
                  <w:vMerge w:val="continue"/>
                  <w:noWrap w:val="0"/>
                  <w:tcMar>
                    <w:left w:w="28" w:type="dxa"/>
                    <w:right w:w="28" w:type="dxa"/>
                  </w:tcMar>
                  <w:vAlign w:val="center"/>
                </w:tcPr>
                <w:p w14:paraId="2E49E2DE">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155" w:type="dxa"/>
                  <w:noWrap w:val="0"/>
                  <w:tcMar>
                    <w:left w:w="28" w:type="dxa"/>
                    <w:right w:w="28" w:type="dxa"/>
                  </w:tcMar>
                  <w:vAlign w:val="center"/>
                </w:tcPr>
                <w:p w14:paraId="6DCFEBDC">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kern w:val="0"/>
                      <w:szCs w:val="21"/>
                      <w:highlight w:val="none"/>
                      <w:lang w:val="en-US" w:eastAsia="zh-CN"/>
                    </w:rPr>
                  </w:pPr>
                  <w:r>
                    <w:rPr>
                      <w:rFonts w:hint="default" w:ascii="Times New Roman" w:hAnsi="Times New Roman" w:cs="Times New Roman"/>
                      <w:color w:val="auto"/>
                      <w:kern w:val="0"/>
                      <w:szCs w:val="21"/>
                      <w:highlight w:val="none"/>
                      <w:lang w:val="en-US" w:eastAsia="zh-CN"/>
                    </w:rPr>
                    <w:t>初期雨水池</w:t>
                  </w:r>
                </w:p>
              </w:tc>
              <w:tc>
                <w:tcPr>
                  <w:tcW w:w="5425" w:type="dxa"/>
                  <w:gridSpan w:val="2"/>
                  <w:noWrap w:val="0"/>
                  <w:tcMar>
                    <w:left w:w="28" w:type="dxa"/>
                    <w:right w:w="28" w:type="dxa"/>
                  </w:tcMar>
                  <w:vAlign w:val="center"/>
                </w:tcPr>
                <w:p w14:paraId="77F0EBFE">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0000FF"/>
                      <w:szCs w:val="21"/>
                      <w:highlight w:val="none"/>
                      <w:lang w:val="en-US" w:eastAsia="zh-CN"/>
                    </w:rPr>
                  </w:pPr>
                  <w:r>
                    <w:rPr>
                      <w:rFonts w:hint="default" w:ascii="Times New Roman" w:hAnsi="Times New Roman" w:eastAsia="宋体" w:cs="Times New Roman"/>
                      <w:color w:val="auto"/>
                      <w:kern w:val="0"/>
                      <w:szCs w:val="21"/>
                      <w:highlight w:val="none"/>
                      <w:lang w:val="en-US" w:eastAsia="zh-CN"/>
                    </w:rPr>
                    <w:t>本项目新建1座</w:t>
                  </w:r>
                  <w:r>
                    <w:rPr>
                      <w:rFonts w:hint="eastAsia" w:cs="Times New Roman"/>
                      <w:color w:val="auto"/>
                      <w:kern w:val="0"/>
                      <w:szCs w:val="21"/>
                      <w:highlight w:val="none"/>
                      <w:lang w:val="en-US" w:eastAsia="zh-CN"/>
                    </w:rPr>
                    <w:t>5</w:t>
                  </w:r>
                  <w:r>
                    <w:rPr>
                      <w:rFonts w:hint="default" w:ascii="Times New Roman" w:hAnsi="Times New Roman" w:eastAsia="宋体" w:cs="Times New Roman"/>
                      <w:color w:val="auto"/>
                      <w:kern w:val="0"/>
                      <w:szCs w:val="21"/>
                      <w:highlight w:val="none"/>
                      <w:lang w:val="en-US" w:eastAsia="zh-CN"/>
                    </w:rPr>
                    <w:t>m³的初期雨水收集池，用于本项目初期雨水的收集。</w:t>
                  </w:r>
                </w:p>
              </w:tc>
              <w:tc>
                <w:tcPr>
                  <w:tcW w:w="715" w:type="dxa"/>
                  <w:noWrap w:val="0"/>
                  <w:vAlign w:val="center"/>
                </w:tcPr>
                <w:p w14:paraId="72529D23">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新建</w:t>
                  </w:r>
                </w:p>
              </w:tc>
            </w:tr>
            <w:tr w14:paraId="06482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vMerge w:val="continue"/>
                  <w:noWrap w:val="0"/>
                  <w:tcMar>
                    <w:left w:w="28" w:type="dxa"/>
                    <w:right w:w="28" w:type="dxa"/>
                  </w:tcMar>
                  <w:vAlign w:val="center"/>
                </w:tcPr>
                <w:p w14:paraId="6E329EC7">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155" w:type="dxa"/>
                  <w:noWrap w:val="0"/>
                  <w:tcMar>
                    <w:left w:w="28" w:type="dxa"/>
                    <w:right w:w="28" w:type="dxa"/>
                  </w:tcMar>
                  <w:vAlign w:val="center"/>
                </w:tcPr>
                <w:p w14:paraId="16FBAB69">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沉淀池</w:t>
                  </w:r>
                </w:p>
              </w:tc>
              <w:tc>
                <w:tcPr>
                  <w:tcW w:w="5425" w:type="dxa"/>
                  <w:gridSpan w:val="2"/>
                  <w:noWrap w:val="0"/>
                  <w:tcMar>
                    <w:left w:w="28" w:type="dxa"/>
                    <w:right w:w="28" w:type="dxa"/>
                  </w:tcMar>
                  <w:vAlign w:val="center"/>
                </w:tcPr>
                <w:p w14:paraId="02FB78CF">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eastAsia="宋体" w:cs="Times New Roman"/>
                      <w:color w:val="auto"/>
                      <w:kern w:val="0"/>
                      <w:szCs w:val="21"/>
                      <w:highlight w:val="none"/>
                      <w:lang w:val="en-US" w:eastAsia="zh-CN"/>
                    </w:rPr>
                    <w:t>设置1座</w:t>
                  </w:r>
                  <w:r>
                    <w:rPr>
                      <w:rFonts w:hint="eastAsia" w:cs="Times New Roman"/>
                      <w:color w:val="auto"/>
                      <w:kern w:val="0"/>
                      <w:szCs w:val="21"/>
                      <w:highlight w:val="none"/>
                      <w:lang w:val="en-US" w:eastAsia="zh-CN"/>
                    </w:rPr>
                    <w:t>3</w:t>
                  </w:r>
                  <w:r>
                    <w:rPr>
                      <w:rFonts w:hint="default" w:ascii="Times New Roman" w:hAnsi="Times New Roman" w:eastAsia="宋体" w:cs="Times New Roman"/>
                      <w:color w:val="auto"/>
                      <w:kern w:val="0"/>
                      <w:szCs w:val="21"/>
                      <w:highlight w:val="none"/>
                      <w:lang w:val="en-US" w:eastAsia="zh-CN"/>
                    </w:rPr>
                    <w:t>m³的</w:t>
                  </w:r>
                  <w:r>
                    <w:rPr>
                      <w:rFonts w:hint="eastAsia" w:cs="Times New Roman"/>
                      <w:color w:val="auto"/>
                      <w:kern w:val="0"/>
                      <w:szCs w:val="21"/>
                      <w:highlight w:val="none"/>
                      <w:lang w:val="en-US" w:eastAsia="zh-CN"/>
                    </w:rPr>
                    <w:t>三级</w:t>
                  </w:r>
                  <w:r>
                    <w:rPr>
                      <w:rFonts w:hint="default" w:ascii="Times New Roman" w:hAnsi="Times New Roman" w:eastAsia="宋体" w:cs="Times New Roman"/>
                      <w:color w:val="auto"/>
                      <w:kern w:val="0"/>
                      <w:szCs w:val="21"/>
                      <w:highlight w:val="none"/>
                      <w:lang w:val="en-US" w:eastAsia="zh-CN"/>
                    </w:rPr>
                    <w:t>沉淀池，用于收集生产产生的废水。</w:t>
                  </w:r>
                </w:p>
              </w:tc>
              <w:tc>
                <w:tcPr>
                  <w:tcW w:w="715" w:type="dxa"/>
                  <w:noWrap w:val="0"/>
                  <w:vAlign w:val="center"/>
                </w:tcPr>
                <w:p w14:paraId="2AEF4006">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新建</w:t>
                  </w:r>
                </w:p>
              </w:tc>
            </w:tr>
            <w:tr w14:paraId="2E4EF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0" w:type="dxa"/>
                  <w:vMerge w:val="restart"/>
                  <w:noWrap w:val="0"/>
                  <w:tcMar>
                    <w:left w:w="28" w:type="dxa"/>
                    <w:right w:w="28" w:type="dxa"/>
                  </w:tcMar>
                  <w:vAlign w:val="center"/>
                </w:tcPr>
                <w:p w14:paraId="52F2BE21">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公用</w:t>
                  </w:r>
                </w:p>
                <w:p w14:paraId="65C792CC">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工程</w:t>
                  </w:r>
                </w:p>
              </w:tc>
              <w:tc>
                <w:tcPr>
                  <w:tcW w:w="1155" w:type="dxa"/>
                  <w:noWrap w:val="0"/>
                  <w:tcMar>
                    <w:left w:w="28" w:type="dxa"/>
                    <w:right w:w="28" w:type="dxa"/>
                  </w:tcMar>
                  <w:vAlign w:val="center"/>
                </w:tcPr>
                <w:p w14:paraId="2224B69D">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供水</w:t>
                  </w:r>
                  <w:r>
                    <w:rPr>
                      <w:rFonts w:hint="default" w:ascii="Times New Roman" w:hAnsi="Times New Roman" w:cs="Times New Roman"/>
                      <w:color w:val="auto"/>
                      <w:szCs w:val="21"/>
                      <w:highlight w:val="none"/>
                    </w:rPr>
                    <w:t>工程</w:t>
                  </w:r>
                </w:p>
              </w:tc>
              <w:tc>
                <w:tcPr>
                  <w:tcW w:w="5425" w:type="dxa"/>
                  <w:gridSpan w:val="2"/>
                  <w:noWrap w:val="0"/>
                  <w:tcMar>
                    <w:left w:w="28" w:type="dxa"/>
                    <w:right w:w="28" w:type="dxa"/>
                  </w:tcMar>
                  <w:vAlign w:val="center"/>
                </w:tcPr>
                <w:p w14:paraId="1FF5A15F">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0000FF"/>
                      <w:highlight w:val="none"/>
                      <w:lang w:val="en-US" w:eastAsia="zh-CN"/>
                    </w:rPr>
                    <w:t>本项目使用的</w:t>
                  </w:r>
                  <w:r>
                    <w:rPr>
                      <w:rFonts w:hint="default" w:ascii="Times New Roman" w:hAnsi="Times New Roman" w:eastAsia="宋体" w:cs="Times New Roman"/>
                      <w:color w:val="0000FF"/>
                      <w:highlight w:val="none"/>
                      <w:lang w:val="en-US" w:eastAsia="zh-CN"/>
                    </w:rPr>
                    <w:t>生活用水</w:t>
                  </w:r>
                  <w:r>
                    <w:rPr>
                      <w:rFonts w:hint="eastAsia" w:cs="Times New Roman"/>
                      <w:color w:val="0000FF"/>
                      <w:highlight w:val="none"/>
                      <w:lang w:val="en-US" w:eastAsia="zh-CN"/>
                    </w:rPr>
                    <w:t>为外购桶装水，生产用</w:t>
                  </w:r>
                  <w:r>
                    <w:rPr>
                      <w:rFonts w:hint="eastAsia" w:ascii="Times New Roman" w:hAnsi="Times New Roman" w:eastAsia="宋体" w:cs="Times New Roman"/>
                      <w:color w:val="0000FF"/>
                      <w:highlight w:val="none"/>
                      <w:lang w:val="en-US" w:eastAsia="zh-CN"/>
                    </w:rPr>
                    <w:t>水</w:t>
                  </w:r>
                  <w:r>
                    <w:rPr>
                      <w:rFonts w:hint="eastAsia" w:cs="Times New Roman"/>
                      <w:color w:val="0000FF"/>
                      <w:highlight w:val="none"/>
                      <w:lang w:val="en-US" w:eastAsia="zh-CN"/>
                    </w:rPr>
                    <w:t>外购伊金霍洛旗上善蒙苏园区供水有限责任公司提供，由水罐车定期拉运存储使用。</w:t>
                  </w:r>
                </w:p>
              </w:tc>
              <w:tc>
                <w:tcPr>
                  <w:tcW w:w="715" w:type="dxa"/>
                  <w:noWrap w:val="0"/>
                  <w:vAlign w:val="center"/>
                </w:tcPr>
                <w:p w14:paraId="4257B241">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新建</w:t>
                  </w:r>
                </w:p>
              </w:tc>
            </w:tr>
            <w:tr w14:paraId="4B0A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0" w:type="dxa"/>
                  <w:vMerge w:val="continue"/>
                  <w:noWrap w:val="0"/>
                  <w:tcMar>
                    <w:left w:w="28" w:type="dxa"/>
                    <w:right w:w="28" w:type="dxa"/>
                  </w:tcMar>
                  <w:vAlign w:val="center"/>
                </w:tcPr>
                <w:p w14:paraId="5C505254">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155" w:type="dxa"/>
                  <w:noWrap w:val="0"/>
                  <w:tcMar>
                    <w:left w:w="28" w:type="dxa"/>
                    <w:right w:w="28" w:type="dxa"/>
                  </w:tcMar>
                  <w:vAlign w:val="center"/>
                </w:tcPr>
                <w:p w14:paraId="5804F604">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供电工程</w:t>
                  </w:r>
                </w:p>
              </w:tc>
              <w:tc>
                <w:tcPr>
                  <w:tcW w:w="5425" w:type="dxa"/>
                  <w:gridSpan w:val="2"/>
                  <w:noWrap w:val="0"/>
                  <w:tcMar>
                    <w:left w:w="28" w:type="dxa"/>
                    <w:right w:w="28" w:type="dxa"/>
                  </w:tcMar>
                  <w:vAlign w:val="center"/>
                </w:tcPr>
                <w:p w14:paraId="0D894A88">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接入市政电网，厂区设置1座配电间，年用电量约150万kWh。</w:t>
                  </w:r>
                </w:p>
              </w:tc>
              <w:tc>
                <w:tcPr>
                  <w:tcW w:w="715" w:type="dxa"/>
                  <w:noWrap w:val="0"/>
                  <w:vAlign w:val="center"/>
                </w:tcPr>
                <w:p w14:paraId="2A05A04E">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新建</w:t>
                  </w:r>
                </w:p>
              </w:tc>
            </w:tr>
            <w:tr w14:paraId="2E9A8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0" w:type="dxa"/>
                  <w:vMerge w:val="continue"/>
                  <w:noWrap w:val="0"/>
                  <w:tcMar>
                    <w:left w:w="28" w:type="dxa"/>
                    <w:right w:w="28" w:type="dxa"/>
                  </w:tcMar>
                  <w:vAlign w:val="center"/>
                </w:tcPr>
                <w:p w14:paraId="71B3B2F3">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155" w:type="dxa"/>
                  <w:noWrap w:val="0"/>
                  <w:tcMar>
                    <w:left w:w="28" w:type="dxa"/>
                    <w:right w:w="28" w:type="dxa"/>
                  </w:tcMar>
                  <w:vAlign w:val="center"/>
                </w:tcPr>
                <w:p w14:paraId="6896929E">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供暖工程</w:t>
                  </w:r>
                </w:p>
              </w:tc>
              <w:tc>
                <w:tcPr>
                  <w:tcW w:w="5425" w:type="dxa"/>
                  <w:gridSpan w:val="2"/>
                  <w:noWrap w:val="0"/>
                  <w:tcMar>
                    <w:left w:w="28" w:type="dxa"/>
                    <w:right w:w="28" w:type="dxa"/>
                  </w:tcMar>
                  <w:vAlign w:val="center"/>
                </w:tcPr>
                <w:p w14:paraId="38B2A1EB">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冬季不生产，无需取暖。</w:t>
                  </w:r>
                </w:p>
              </w:tc>
              <w:tc>
                <w:tcPr>
                  <w:tcW w:w="715" w:type="dxa"/>
                  <w:noWrap w:val="0"/>
                  <w:vAlign w:val="center"/>
                </w:tcPr>
                <w:p w14:paraId="75C600EA">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w:t>
                  </w:r>
                </w:p>
              </w:tc>
            </w:tr>
            <w:tr w14:paraId="21983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jc w:val="center"/>
              </w:trPr>
              <w:tc>
                <w:tcPr>
                  <w:tcW w:w="640" w:type="dxa"/>
                  <w:vMerge w:val="restart"/>
                  <w:noWrap w:val="0"/>
                  <w:tcMar>
                    <w:left w:w="28" w:type="dxa"/>
                    <w:right w:w="28" w:type="dxa"/>
                  </w:tcMar>
                  <w:vAlign w:val="center"/>
                </w:tcPr>
                <w:p w14:paraId="779521E4">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环保</w:t>
                  </w:r>
                </w:p>
                <w:p w14:paraId="29EC4F92">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工程</w:t>
                  </w:r>
                </w:p>
              </w:tc>
              <w:tc>
                <w:tcPr>
                  <w:tcW w:w="1155" w:type="dxa"/>
                  <w:vMerge w:val="restart"/>
                  <w:noWrap w:val="0"/>
                  <w:tcMar>
                    <w:left w:w="28" w:type="dxa"/>
                    <w:right w:w="28" w:type="dxa"/>
                  </w:tcMar>
                  <w:vAlign w:val="center"/>
                </w:tcPr>
                <w:p w14:paraId="3B1AADB3">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yellow"/>
                    </w:rPr>
                  </w:pPr>
                  <w:r>
                    <w:rPr>
                      <w:rFonts w:hint="default" w:ascii="Times New Roman" w:hAnsi="Times New Roman" w:cs="Times New Roman"/>
                      <w:color w:val="auto"/>
                      <w:szCs w:val="21"/>
                      <w:highlight w:val="none"/>
                    </w:rPr>
                    <w:t>废气</w:t>
                  </w:r>
                </w:p>
              </w:tc>
              <w:tc>
                <w:tcPr>
                  <w:tcW w:w="1277" w:type="dxa"/>
                  <w:noWrap w:val="0"/>
                  <w:tcMar>
                    <w:left w:w="28" w:type="dxa"/>
                    <w:right w:w="28" w:type="dxa"/>
                  </w:tcMar>
                  <w:vAlign w:val="center"/>
                </w:tcPr>
                <w:p w14:paraId="17B7C11C">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砂子、石子装卸、堆存过程中产生的粉尘</w:t>
                  </w:r>
                </w:p>
              </w:tc>
              <w:tc>
                <w:tcPr>
                  <w:tcW w:w="4148" w:type="dxa"/>
                  <w:noWrap w:val="0"/>
                  <w:tcMar>
                    <w:left w:w="28" w:type="dxa"/>
                    <w:right w:w="28" w:type="dxa"/>
                  </w:tcMar>
                  <w:vAlign w:val="center"/>
                </w:tcPr>
                <w:p w14:paraId="1DC70E55">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砂子、石子采用全封闭原料堆场储存，堆存区上方设置喷淋设施，装卸过</w:t>
                  </w:r>
                  <w:r>
                    <w:rPr>
                      <w:rFonts w:hint="eastAsia" w:cs="Times New Roman"/>
                      <w:color w:val="auto"/>
                      <w:szCs w:val="21"/>
                      <w:highlight w:val="none"/>
                      <w:lang w:val="en-US" w:eastAsia="zh-CN"/>
                    </w:rPr>
                    <w:t>程中</w:t>
                  </w:r>
                  <w:r>
                    <w:rPr>
                      <w:rFonts w:hint="default" w:ascii="Times New Roman" w:hAnsi="Times New Roman" w:eastAsia="宋体" w:cs="Times New Roman"/>
                      <w:color w:val="auto"/>
                      <w:szCs w:val="21"/>
                      <w:highlight w:val="none"/>
                      <w:lang w:val="en-US" w:eastAsia="zh-CN"/>
                    </w:rPr>
                    <w:t>尽量减小卸料落差，输料采用全封闭输送带；原料堆场地面硬化。</w:t>
                  </w:r>
                </w:p>
              </w:tc>
              <w:tc>
                <w:tcPr>
                  <w:tcW w:w="715" w:type="dxa"/>
                  <w:vMerge w:val="restart"/>
                  <w:noWrap w:val="0"/>
                  <w:vAlign w:val="center"/>
                </w:tcPr>
                <w:p w14:paraId="4882411A">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新建</w:t>
                  </w:r>
                </w:p>
              </w:tc>
            </w:tr>
            <w:tr w14:paraId="2A101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vMerge w:val="continue"/>
                  <w:noWrap w:val="0"/>
                  <w:tcMar>
                    <w:left w:w="28" w:type="dxa"/>
                    <w:right w:w="28" w:type="dxa"/>
                  </w:tcMar>
                  <w:vAlign w:val="center"/>
                </w:tcPr>
                <w:p w14:paraId="189B80F6">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1155" w:type="dxa"/>
                  <w:vMerge w:val="continue"/>
                  <w:noWrap w:val="0"/>
                  <w:tcMar>
                    <w:left w:w="28" w:type="dxa"/>
                    <w:right w:w="28" w:type="dxa"/>
                  </w:tcMar>
                  <w:vAlign w:val="center"/>
                </w:tcPr>
                <w:p w14:paraId="474E590D">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1277" w:type="dxa"/>
                  <w:noWrap w:val="0"/>
                  <w:tcMar>
                    <w:left w:w="28" w:type="dxa"/>
                    <w:right w:w="28" w:type="dxa"/>
                  </w:tcMar>
                  <w:vAlign w:val="center"/>
                </w:tcPr>
                <w:p w14:paraId="39D3DE3E">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水泥、粉煤灰、筒仓仓顶呼吸孔粉尘</w:t>
                  </w:r>
                </w:p>
              </w:tc>
              <w:tc>
                <w:tcPr>
                  <w:tcW w:w="4148" w:type="dxa"/>
                  <w:noWrap w:val="0"/>
                  <w:tcMar>
                    <w:left w:w="28" w:type="dxa"/>
                    <w:right w:w="28" w:type="dxa"/>
                  </w:tcMar>
                  <w:vAlign w:val="center"/>
                </w:tcPr>
                <w:p w14:paraId="7BF5FFF9">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水泥、粉煤灰贮存筒仓为全封闭，仓顶均配有袋式除尘器（共</w:t>
                  </w:r>
                  <w:r>
                    <w:rPr>
                      <w:rFonts w:hint="eastAsia" w:cs="Times New Roman"/>
                      <w:color w:val="auto"/>
                      <w:szCs w:val="21"/>
                      <w:highlight w:val="none"/>
                      <w:lang w:val="en-US" w:eastAsia="zh-CN"/>
                    </w:rPr>
                    <w:t>8</w:t>
                  </w:r>
                  <w:r>
                    <w:rPr>
                      <w:rFonts w:hint="default" w:ascii="Times New Roman" w:hAnsi="Times New Roman" w:eastAsia="宋体" w:cs="Times New Roman"/>
                      <w:color w:val="auto"/>
                      <w:szCs w:val="21"/>
                      <w:highlight w:val="none"/>
                      <w:lang w:val="en-US" w:eastAsia="zh-CN"/>
                    </w:rPr>
                    <w:t>套），处理后经各自仓顶排气孔排放。</w:t>
                  </w:r>
                </w:p>
              </w:tc>
              <w:tc>
                <w:tcPr>
                  <w:tcW w:w="715" w:type="dxa"/>
                  <w:vMerge w:val="continue"/>
                  <w:noWrap w:val="0"/>
                  <w:vAlign w:val="center"/>
                </w:tcPr>
                <w:p w14:paraId="5EEE55F7">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r>
            <w:tr w14:paraId="7B8B0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jc w:val="center"/>
              </w:trPr>
              <w:tc>
                <w:tcPr>
                  <w:tcW w:w="640" w:type="dxa"/>
                  <w:vMerge w:val="continue"/>
                  <w:noWrap w:val="0"/>
                  <w:tcMar>
                    <w:left w:w="28" w:type="dxa"/>
                    <w:right w:w="28" w:type="dxa"/>
                  </w:tcMar>
                  <w:vAlign w:val="center"/>
                </w:tcPr>
                <w:p w14:paraId="360633C8">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1155" w:type="dxa"/>
                  <w:vMerge w:val="continue"/>
                  <w:noWrap w:val="0"/>
                  <w:tcMar>
                    <w:left w:w="28" w:type="dxa"/>
                    <w:right w:w="28" w:type="dxa"/>
                  </w:tcMar>
                  <w:vAlign w:val="center"/>
                </w:tcPr>
                <w:p w14:paraId="6F8ABCFA">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1277" w:type="dxa"/>
                  <w:noWrap w:val="0"/>
                  <w:tcMar>
                    <w:left w:w="28" w:type="dxa"/>
                    <w:right w:w="28" w:type="dxa"/>
                  </w:tcMar>
                  <w:vAlign w:val="center"/>
                </w:tcPr>
                <w:p w14:paraId="273311E7">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物料混合搅拌废气</w:t>
                  </w:r>
                </w:p>
              </w:tc>
              <w:tc>
                <w:tcPr>
                  <w:tcW w:w="4148" w:type="dxa"/>
                  <w:noWrap w:val="0"/>
                  <w:tcMar>
                    <w:left w:w="28" w:type="dxa"/>
                    <w:right w:w="28" w:type="dxa"/>
                  </w:tcMar>
                  <w:vAlign w:val="center"/>
                </w:tcPr>
                <w:p w14:paraId="50865029">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HZS180型商品混凝土搅拌站全封闭，搅拌机配有一套脉冲式布袋除尘器直接安装在缓存斗盖上，缓存斗盖与搅拌机为封闭状态，经15m高排气筒（DA001）排放。</w:t>
                  </w:r>
                  <w:r>
                    <w:rPr>
                      <w:rFonts w:hint="default" w:ascii="Times New Roman" w:hAnsi="Times New Roman" w:eastAsia="宋体" w:cs="Times New Roman"/>
                      <w:lang w:val="en-US" w:eastAsia="zh-CN"/>
                    </w:rPr>
                    <w:t>HZS240型商品混凝土搅拌站</w:t>
                  </w:r>
                  <w:r>
                    <w:rPr>
                      <w:rFonts w:hint="default" w:ascii="Times New Roman" w:hAnsi="Times New Roman" w:eastAsia="宋体" w:cs="Times New Roman"/>
                      <w:color w:val="auto"/>
                      <w:szCs w:val="21"/>
                      <w:highlight w:val="none"/>
                      <w:lang w:val="en-US" w:eastAsia="zh-CN"/>
                    </w:rPr>
                    <w:t>全封闭，搅拌机配有一套脉冲式布袋除尘器直接安装在缓存斗盖上，缓存斗盖与搅拌机为封闭状态，经15m高排气筒（DA00</w:t>
                  </w:r>
                  <w:r>
                    <w:rPr>
                      <w:rFonts w:hint="eastAsia" w:ascii="Times New Roman" w:hAnsi="Times New Roman" w:eastAsia="宋体" w:cs="Times New Roman"/>
                      <w:color w:val="auto"/>
                      <w:szCs w:val="21"/>
                      <w:highlight w:val="none"/>
                      <w:lang w:val="en-US" w:eastAsia="zh-CN"/>
                    </w:rPr>
                    <w:t>2</w:t>
                  </w:r>
                  <w:r>
                    <w:rPr>
                      <w:rFonts w:hint="default" w:ascii="Times New Roman" w:hAnsi="Times New Roman" w:eastAsia="宋体" w:cs="Times New Roman"/>
                      <w:color w:val="auto"/>
                      <w:szCs w:val="21"/>
                      <w:highlight w:val="none"/>
                      <w:lang w:val="en-US" w:eastAsia="zh-CN"/>
                    </w:rPr>
                    <w:t>）排放。</w:t>
                  </w:r>
                </w:p>
              </w:tc>
              <w:tc>
                <w:tcPr>
                  <w:tcW w:w="715" w:type="dxa"/>
                  <w:vMerge w:val="continue"/>
                  <w:noWrap w:val="0"/>
                  <w:vAlign w:val="center"/>
                </w:tcPr>
                <w:p w14:paraId="03058FEF">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r>
            <w:tr w14:paraId="7B1E3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vMerge w:val="continue"/>
                  <w:noWrap w:val="0"/>
                  <w:tcMar>
                    <w:left w:w="28" w:type="dxa"/>
                    <w:right w:w="28" w:type="dxa"/>
                  </w:tcMar>
                  <w:vAlign w:val="center"/>
                </w:tcPr>
                <w:p w14:paraId="53A09A9E">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1155" w:type="dxa"/>
                  <w:vMerge w:val="continue"/>
                  <w:noWrap w:val="0"/>
                  <w:tcMar>
                    <w:left w:w="28" w:type="dxa"/>
                    <w:right w:w="28" w:type="dxa"/>
                  </w:tcMar>
                  <w:vAlign w:val="center"/>
                </w:tcPr>
                <w:p w14:paraId="6511F631">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1277" w:type="dxa"/>
                  <w:noWrap w:val="0"/>
                  <w:tcMar>
                    <w:left w:w="28" w:type="dxa"/>
                    <w:right w:w="28" w:type="dxa"/>
                  </w:tcMar>
                  <w:vAlign w:val="center"/>
                </w:tcPr>
                <w:p w14:paraId="79391FFD">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运输车辆动力起尘</w:t>
                  </w:r>
                </w:p>
              </w:tc>
              <w:tc>
                <w:tcPr>
                  <w:tcW w:w="4148" w:type="dxa"/>
                  <w:noWrap w:val="0"/>
                  <w:tcMar>
                    <w:left w:w="28" w:type="dxa"/>
                    <w:right w:w="28" w:type="dxa"/>
                  </w:tcMar>
                  <w:vAlign w:val="center"/>
                </w:tcPr>
                <w:p w14:paraId="740AE305">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厂区道路、停车场及其他地面硬化绿化，</w:t>
                  </w:r>
                  <w:r>
                    <w:rPr>
                      <w:rFonts w:hint="default" w:ascii="Times New Roman" w:hAnsi="Times New Roman" w:cs="Times New Roman"/>
                      <w:color w:val="auto"/>
                      <w:szCs w:val="21"/>
                      <w:highlight w:val="none"/>
                      <w:lang w:val="en-US" w:eastAsia="zh-CN"/>
                    </w:rPr>
                    <w:t>定时</w:t>
                  </w:r>
                  <w:r>
                    <w:rPr>
                      <w:rFonts w:hint="eastAsia" w:cs="Times New Roman"/>
                      <w:color w:val="auto"/>
                      <w:szCs w:val="21"/>
                      <w:highlight w:val="none"/>
                      <w:lang w:val="en-US" w:eastAsia="zh-CN"/>
                    </w:rPr>
                    <w:t>使用洒水车</w:t>
                  </w:r>
                  <w:r>
                    <w:rPr>
                      <w:rFonts w:hint="default" w:ascii="Times New Roman" w:hAnsi="Times New Roman" w:cs="Times New Roman"/>
                      <w:color w:val="auto"/>
                      <w:szCs w:val="21"/>
                      <w:highlight w:val="none"/>
                      <w:lang w:val="en-US" w:eastAsia="zh-CN"/>
                    </w:rPr>
                    <w:t>洒水</w:t>
                  </w:r>
                  <w:r>
                    <w:rPr>
                      <w:rFonts w:hint="eastAsia" w:cs="Times New Roman"/>
                      <w:color w:val="auto"/>
                      <w:szCs w:val="21"/>
                      <w:highlight w:val="none"/>
                      <w:lang w:val="en-US" w:eastAsia="zh-CN"/>
                    </w:rPr>
                    <w:t>降尘</w:t>
                  </w:r>
                  <w:r>
                    <w:rPr>
                      <w:rFonts w:hint="default" w:ascii="Times New Roman" w:hAnsi="Times New Roman" w:cs="Times New Roman"/>
                      <w:color w:val="auto"/>
                      <w:szCs w:val="21"/>
                      <w:highlight w:val="none"/>
                      <w:lang w:val="en-US" w:eastAsia="zh-CN"/>
                    </w:rPr>
                    <w:t>；</w:t>
                  </w:r>
                  <w:r>
                    <w:rPr>
                      <w:rFonts w:hint="default" w:ascii="Times New Roman" w:hAnsi="Times New Roman" w:eastAsia="宋体" w:cs="Times New Roman"/>
                      <w:color w:val="auto"/>
                      <w:szCs w:val="21"/>
                      <w:highlight w:val="none"/>
                      <w:lang w:val="en-US" w:eastAsia="zh-CN"/>
                    </w:rPr>
                    <w:t>降低车辆运输速度；并配备高压水枪设备对驶出车辆进行冲洗清洁；厂区有保洁人员及时对散落的物料进行清扫收集。</w:t>
                  </w:r>
                </w:p>
              </w:tc>
              <w:tc>
                <w:tcPr>
                  <w:tcW w:w="715" w:type="dxa"/>
                  <w:vMerge w:val="continue"/>
                  <w:noWrap w:val="0"/>
                  <w:vAlign w:val="center"/>
                </w:tcPr>
                <w:p w14:paraId="13093BA3">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r>
            <w:tr w14:paraId="21C00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640" w:type="dxa"/>
                  <w:vMerge w:val="continue"/>
                  <w:noWrap w:val="0"/>
                  <w:tcMar>
                    <w:left w:w="28" w:type="dxa"/>
                    <w:right w:w="28" w:type="dxa"/>
                  </w:tcMar>
                  <w:vAlign w:val="center"/>
                </w:tcPr>
                <w:p w14:paraId="630A7736">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155" w:type="dxa"/>
                  <w:vMerge w:val="restart"/>
                  <w:noWrap w:val="0"/>
                  <w:tcMar>
                    <w:left w:w="28" w:type="dxa"/>
                    <w:right w:w="28" w:type="dxa"/>
                  </w:tcMar>
                  <w:vAlign w:val="center"/>
                </w:tcPr>
                <w:p w14:paraId="39101028">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yellow"/>
                    </w:rPr>
                  </w:pPr>
                  <w:r>
                    <w:rPr>
                      <w:rFonts w:hint="default" w:ascii="Times New Roman" w:hAnsi="Times New Roman" w:cs="Times New Roman"/>
                      <w:color w:val="auto"/>
                      <w:szCs w:val="21"/>
                      <w:highlight w:val="none"/>
                    </w:rPr>
                    <w:t>废水</w:t>
                  </w:r>
                </w:p>
              </w:tc>
              <w:tc>
                <w:tcPr>
                  <w:tcW w:w="1277" w:type="dxa"/>
                  <w:noWrap w:val="0"/>
                  <w:tcMar>
                    <w:left w:w="28" w:type="dxa"/>
                    <w:right w:w="28" w:type="dxa"/>
                  </w:tcMar>
                  <w:vAlign w:val="center"/>
                </w:tcPr>
                <w:p w14:paraId="6F4B5D82">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生活污水</w:t>
                  </w:r>
                </w:p>
              </w:tc>
              <w:tc>
                <w:tcPr>
                  <w:tcW w:w="4148" w:type="dxa"/>
                  <w:noWrap w:val="0"/>
                  <w:tcMar>
                    <w:left w:w="28" w:type="dxa"/>
                    <w:right w:w="28" w:type="dxa"/>
                  </w:tcMar>
                  <w:vAlign w:val="center"/>
                </w:tcPr>
                <w:p w14:paraId="1712376D">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0000FF"/>
                      <w:szCs w:val="21"/>
                      <w:highlight w:val="none"/>
                      <w:lang w:val="en-US" w:eastAsia="zh-CN"/>
                    </w:rPr>
                    <w:t>新建一座10m³</w:t>
                  </w:r>
                  <w:r>
                    <w:rPr>
                      <w:rFonts w:hint="default" w:ascii="Times New Roman" w:hAnsi="Times New Roman" w:cs="Times New Roman"/>
                      <w:color w:val="0000FF"/>
                      <w:szCs w:val="21"/>
                      <w:highlight w:val="none"/>
                      <w:lang w:val="en-US" w:eastAsia="zh-CN"/>
                    </w:rPr>
                    <w:t>的</w:t>
                  </w:r>
                  <w:r>
                    <w:rPr>
                      <w:rFonts w:hint="default" w:ascii="Times New Roman" w:hAnsi="Times New Roman" w:eastAsia="宋体" w:cs="Times New Roman"/>
                      <w:color w:val="0000FF"/>
                      <w:szCs w:val="21"/>
                      <w:highlight w:val="none"/>
                      <w:lang w:val="en-US" w:eastAsia="zh-CN"/>
                    </w:rPr>
                    <w:t>防渗化粪池，</w:t>
                  </w:r>
                  <w:r>
                    <w:rPr>
                      <w:rFonts w:hint="eastAsia"/>
                      <w:color w:val="0000FF"/>
                      <w:highlight w:val="none"/>
                      <w:lang w:val="en-US" w:eastAsia="zh-CN"/>
                    </w:rPr>
                    <w:t>定期交由伊金霍洛旗澎源供水有限公司进行拉运处理。</w:t>
                  </w:r>
                </w:p>
              </w:tc>
              <w:tc>
                <w:tcPr>
                  <w:tcW w:w="715" w:type="dxa"/>
                  <w:vMerge w:val="restart"/>
                  <w:noWrap w:val="0"/>
                  <w:vAlign w:val="center"/>
                </w:tcPr>
                <w:p w14:paraId="23701007">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新建</w:t>
                  </w:r>
                </w:p>
              </w:tc>
            </w:tr>
            <w:tr w14:paraId="5B7A5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640" w:type="dxa"/>
                  <w:vMerge w:val="continue"/>
                  <w:noWrap w:val="0"/>
                  <w:tcMar>
                    <w:left w:w="28" w:type="dxa"/>
                    <w:right w:w="28" w:type="dxa"/>
                  </w:tcMar>
                  <w:vAlign w:val="center"/>
                </w:tcPr>
                <w:p w14:paraId="561A37CD">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1155" w:type="dxa"/>
                  <w:vMerge w:val="continue"/>
                  <w:noWrap w:val="0"/>
                  <w:tcMar>
                    <w:left w:w="28" w:type="dxa"/>
                    <w:right w:w="28" w:type="dxa"/>
                  </w:tcMar>
                  <w:vAlign w:val="center"/>
                </w:tcPr>
                <w:p w14:paraId="779D0E8F">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1277" w:type="dxa"/>
                  <w:noWrap w:val="0"/>
                  <w:tcMar>
                    <w:left w:w="28" w:type="dxa"/>
                    <w:right w:w="28" w:type="dxa"/>
                  </w:tcMar>
                  <w:vAlign w:val="center"/>
                </w:tcPr>
                <w:p w14:paraId="590FA731">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生产废水</w:t>
                  </w:r>
                </w:p>
              </w:tc>
              <w:tc>
                <w:tcPr>
                  <w:tcW w:w="4148" w:type="dxa"/>
                  <w:noWrap w:val="0"/>
                  <w:tcMar>
                    <w:left w:w="28" w:type="dxa"/>
                    <w:right w:w="28" w:type="dxa"/>
                  </w:tcMar>
                  <w:vAlign w:val="center"/>
                </w:tcPr>
                <w:p w14:paraId="71579B87">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①原料堆场抑尘废水作为水雾最终蒸发，无废水产生。</w:t>
                  </w:r>
                </w:p>
                <w:p w14:paraId="19E3191B">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②</w:t>
                  </w:r>
                  <w:r>
                    <w:rPr>
                      <w:rFonts w:hint="eastAsia" w:cs="Times New Roman"/>
                      <w:color w:val="auto"/>
                      <w:szCs w:val="21"/>
                      <w:highlight w:val="none"/>
                      <w:lang w:val="en-US" w:eastAsia="zh-CN"/>
                    </w:rPr>
                    <w:t>搅拌混合用水全部带入产品，无外排废水。</w:t>
                  </w:r>
                </w:p>
                <w:p w14:paraId="0B9C8A5C">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③搅拌机清洗废水经三级沉淀池沉淀处理后</w:t>
                  </w:r>
                  <w:r>
                    <w:rPr>
                      <w:rFonts w:hint="eastAsia" w:cs="Times New Roman"/>
                      <w:color w:val="auto"/>
                      <w:szCs w:val="21"/>
                      <w:highlight w:val="none"/>
                      <w:lang w:val="en-US" w:eastAsia="zh-CN"/>
                    </w:rPr>
                    <w:t>，由厂区内的废水输送管线输送至搅拌工序用于搅拌混合用水，不外排。</w:t>
                  </w:r>
                </w:p>
                <w:p w14:paraId="1C0AB144">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④罐车清洗</w:t>
                  </w:r>
                  <w:r>
                    <w:rPr>
                      <w:rFonts w:hint="eastAsia" w:cs="Times New Roman"/>
                      <w:color w:val="auto"/>
                      <w:szCs w:val="21"/>
                      <w:highlight w:val="none"/>
                      <w:lang w:val="en-US" w:eastAsia="zh-CN"/>
                    </w:rPr>
                    <w:t>废</w:t>
                  </w:r>
                  <w:r>
                    <w:rPr>
                      <w:rFonts w:hint="default" w:ascii="Times New Roman" w:hAnsi="Times New Roman" w:eastAsia="宋体" w:cs="Times New Roman"/>
                      <w:color w:val="auto"/>
                      <w:szCs w:val="21"/>
                      <w:highlight w:val="none"/>
                      <w:lang w:val="en-US" w:eastAsia="zh-CN"/>
                    </w:rPr>
                    <w:t>水经三级沉淀后</w:t>
                  </w:r>
                  <w:r>
                    <w:rPr>
                      <w:rFonts w:hint="eastAsia" w:cs="Times New Roman"/>
                      <w:color w:val="auto"/>
                      <w:szCs w:val="21"/>
                      <w:highlight w:val="none"/>
                      <w:lang w:val="en-US" w:eastAsia="zh-CN"/>
                    </w:rPr>
                    <w:t>由厂区内的废水输送管线输送至搅拌工序用于搅拌混合用水，不外排。</w:t>
                  </w:r>
                </w:p>
                <w:p w14:paraId="1EDD7014">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⑤初期雨水经沉淀后回用于原料堆场洒水降尘。</w:t>
                  </w:r>
                </w:p>
                <w:p w14:paraId="252C3926">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⑥</w:t>
                  </w:r>
                  <w:r>
                    <w:rPr>
                      <w:rFonts w:hint="default" w:ascii="Times New Roman" w:hAnsi="Times New Roman" w:eastAsia="宋体" w:cs="Times New Roman"/>
                      <w:color w:val="auto"/>
                      <w:szCs w:val="21"/>
                      <w:highlight w:val="none"/>
                      <w:lang w:val="en-US" w:eastAsia="zh-CN"/>
                    </w:rPr>
                    <w:t>绿化用水全部蒸发损耗。</w:t>
                  </w:r>
                </w:p>
              </w:tc>
              <w:tc>
                <w:tcPr>
                  <w:tcW w:w="715" w:type="dxa"/>
                  <w:vMerge w:val="continue"/>
                  <w:noWrap w:val="0"/>
                  <w:vAlign w:val="center"/>
                </w:tcPr>
                <w:p w14:paraId="1781152A">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color w:val="0000FF"/>
                      <w:szCs w:val="21"/>
                      <w:highlight w:val="none"/>
                      <w:lang w:val="en-US" w:eastAsia="zh-CN"/>
                    </w:rPr>
                  </w:pPr>
                </w:p>
              </w:tc>
            </w:tr>
            <w:tr w14:paraId="0AE3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640" w:type="dxa"/>
                  <w:vMerge w:val="continue"/>
                  <w:noWrap w:val="0"/>
                  <w:tcMar>
                    <w:left w:w="28" w:type="dxa"/>
                    <w:right w:w="28" w:type="dxa"/>
                  </w:tcMar>
                  <w:vAlign w:val="center"/>
                </w:tcPr>
                <w:p w14:paraId="121E448A">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155" w:type="dxa"/>
                  <w:vMerge w:val="restart"/>
                  <w:noWrap w:val="0"/>
                  <w:tcMar>
                    <w:left w:w="28" w:type="dxa"/>
                    <w:right w:w="28" w:type="dxa"/>
                  </w:tcMar>
                  <w:vAlign w:val="center"/>
                </w:tcPr>
                <w:p w14:paraId="6DE745C2">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yellow"/>
                    </w:rPr>
                  </w:pPr>
                  <w:r>
                    <w:rPr>
                      <w:rFonts w:hint="default" w:ascii="Times New Roman" w:hAnsi="Times New Roman" w:cs="Times New Roman"/>
                      <w:color w:val="auto"/>
                      <w:szCs w:val="21"/>
                      <w:highlight w:val="none"/>
                    </w:rPr>
                    <w:t>固废</w:t>
                  </w:r>
                </w:p>
              </w:tc>
              <w:tc>
                <w:tcPr>
                  <w:tcW w:w="1277" w:type="dxa"/>
                  <w:noWrap w:val="0"/>
                  <w:tcMar>
                    <w:left w:w="28" w:type="dxa"/>
                    <w:right w:w="28" w:type="dxa"/>
                  </w:tcMar>
                  <w:vAlign w:val="center"/>
                </w:tcPr>
                <w:p w14:paraId="33B6528D">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除尘灰</w:t>
                  </w:r>
                </w:p>
              </w:tc>
              <w:tc>
                <w:tcPr>
                  <w:tcW w:w="4148" w:type="dxa"/>
                  <w:noWrap w:val="0"/>
                  <w:tcMar>
                    <w:left w:w="28" w:type="dxa"/>
                    <w:right w:w="28" w:type="dxa"/>
                  </w:tcMar>
                  <w:vAlign w:val="center"/>
                </w:tcPr>
                <w:p w14:paraId="0A26E94D">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水泥筒仓、粉煤灰筒仓</w:t>
                  </w:r>
                  <w:r>
                    <w:rPr>
                      <w:rFonts w:hint="default" w:ascii="Times New Roman" w:hAnsi="Times New Roman" w:cs="Times New Roman"/>
                      <w:color w:val="auto"/>
                      <w:szCs w:val="21"/>
                      <w:highlight w:val="none"/>
                      <w:lang w:val="en-US" w:eastAsia="zh-CN"/>
                    </w:rPr>
                    <w:t>、</w:t>
                  </w:r>
                  <w:r>
                    <w:rPr>
                      <w:rFonts w:hint="default" w:ascii="Times New Roman" w:hAnsi="Times New Roman" w:eastAsia="宋体" w:cs="Times New Roman"/>
                      <w:color w:val="auto"/>
                      <w:szCs w:val="21"/>
                      <w:highlight w:val="none"/>
                      <w:lang w:val="en-US" w:eastAsia="zh-CN"/>
                    </w:rPr>
                    <w:t>搅拌站除尘器收集的</w:t>
                  </w:r>
                  <w:r>
                    <w:rPr>
                      <w:rFonts w:hint="eastAsia" w:cs="Times New Roman"/>
                      <w:color w:val="auto"/>
                      <w:szCs w:val="21"/>
                      <w:highlight w:val="none"/>
                      <w:lang w:val="en-US" w:eastAsia="zh-CN"/>
                    </w:rPr>
                    <w:t>除尘灰直接</w:t>
                  </w:r>
                  <w:r>
                    <w:rPr>
                      <w:rFonts w:hint="default" w:ascii="Times New Roman" w:hAnsi="Times New Roman" w:eastAsia="宋体" w:cs="Times New Roman"/>
                      <w:color w:val="auto"/>
                      <w:szCs w:val="21"/>
                      <w:highlight w:val="none"/>
                      <w:lang w:val="en-US" w:eastAsia="zh-CN"/>
                    </w:rPr>
                    <w:t>返回生产系统回用。</w:t>
                  </w:r>
                </w:p>
              </w:tc>
              <w:tc>
                <w:tcPr>
                  <w:tcW w:w="715" w:type="dxa"/>
                  <w:vMerge w:val="restart"/>
                  <w:noWrap w:val="0"/>
                  <w:vAlign w:val="center"/>
                </w:tcPr>
                <w:p w14:paraId="369B67BA">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新建</w:t>
                  </w:r>
                </w:p>
              </w:tc>
            </w:tr>
            <w:tr w14:paraId="16D3B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640" w:type="dxa"/>
                  <w:vMerge w:val="continue"/>
                  <w:noWrap w:val="0"/>
                  <w:tcMar>
                    <w:left w:w="28" w:type="dxa"/>
                    <w:right w:w="28" w:type="dxa"/>
                  </w:tcMar>
                  <w:vAlign w:val="center"/>
                </w:tcPr>
                <w:p w14:paraId="2D20BCD5">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1155" w:type="dxa"/>
                  <w:vMerge w:val="continue"/>
                  <w:noWrap w:val="0"/>
                  <w:tcMar>
                    <w:left w:w="28" w:type="dxa"/>
                    <w:right w:w="28" w:type="dxa"/>
                  </w:tcMar>
                  <w:vAlign w:val="center"/>
                </w:tcPr>
                <w:p w14:paraId="1FF7A650">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1277" w:type="dxa"/>
                  <w:noWrap w:val="0"/>
                  <w:tcMar>
                    <w:left w:w="28" w:type="dxa"/>
                    <w:right w:w="28" w:type="dxa"/>
                  </w:tcMar>
                  <w:vAlign w:val="center"/>
                </w:tcPr>
                <w:p w14:paraId="1DED46EA">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沉淀池底泥</w:t>
                  </w:r>
                </w:p>
              </w:tc>
              <w:tc>
                <w:tcPr>
                  <w:tcW w:w="4148" w:type="dxa"/>
                  <w:noWrap w:val="0"/>
                  <w:tcMar>
                    <w:left w:w="28" w:type="dxa"/>
                    <w:right w:w="28" w:type="dxa"/>
                  </w:tcMar>
                  <w:vAlign w:val="center"/>
                </w:tcPr>
                <w:p w14:paraId="419B46AA">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沉淀池产生的沉淀渣定期捞取后</w:t>
                  </w:r>
                  <w:r>
                    <w:rPr>
                      <w:rFonts w:hint="eastAsia" w:cs="Times New Roman"/>
                      <w:color w:val="auto"/>
                      <w:szCs w:val="21"/>
                      <w:highlight w:val="none"/>
                      <w:lang w:val="en-US" w:eastAsia="zh-CN"/>
                    </w:rPr>
                    <w:t>直接</w:t>
                  </w:r>
                  <w:r>
                    <w:rPr>
                      <w:rFonts w:hint="default" w:ascii="Times New Roman" w:hAnsi="Times New Roman" w:eastAsia="宋体" w:cs="Times New Roman"/>
                      <w:color w:val="auto"/>
                      <w:szCs w:val="21"/>
                      <w:highlight w:val="none"/>
                      <w:lang w:val="en-US" w:eastAsia="zh-CN"/>
                    </w:rPr>
                    <w:t>回用于商品混凝土生产。</w:t>
                  </w:r>
                </w:p>
              </w:tc>
              <w:tc>
                <w:tcPr>
                  <w:tcW w:w="715" w:type="dxa"/>
                  <w:vMerge w:val="continue"/>
                  <w:noWrap w:val="0"/>
                  <w:vAlign w:val="center"/>
                </w:tcPr>
                <w:p w14:paraId="0D0A3C48">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r>
            <w:tr w14:paraId="01E12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640" w:type="dxa"/>
                  <w:vMerge w:val="continue"/>
                  <w:noWrap w:val="0"/>
                  <w:tcMar>
                    <w:left w:w="28" w:type="dxa"/>
                    <w:right w:w="28" w:type="dxa"/>
                  </w:tcMar>
                  <w:vAlign w:val="center"/>
                </w:tcPr>
                <w:p w14:paraId="458C4C66">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1155" w:type="dxa"/>
                  <w:vMerge w:val="continue"/>
                  <w:noWrap w:val="0"/>
                  <w:tcMar>
                    <w:left w:w="28" w:type="dxa"/>
                    <w:right w:w="28" w:type="dxa"/>
                  </w:tcMar>
                  <w:vAlign w:val="center"/>
                </w:tcPr>
                <w:p w14:paraId="30D70153">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1277" w:type="dxa"/>
                  <w:noWrap w:val="0"/>
                  <w:tcMar>
                    <w:left w:w="28" w:type="dxa"/>
                    <w:right w:w="28" w:type="dxa"/>
                  </w:tcMar>
                  <w:vAlign w:val="center"/>
                </w:tcPr>
                <w:p w14:paraId="0336020E">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生活垃圾</w:t>
                  </w:r>
                </w:p>
              </w:tc>
              <w:tc>
                <w:tcPr>
                  <w:tcW w:w="4148" w:type="dxa"/>
                  <w:noWrap w:val="0"/>
                  <w:tcMar>
                    <w:left w:w="28" w:type="dxa"/>
                    <w:right w:w="28" w:type="dxa"/>
                  </w:tcMar>
                  <w:vAlign w:val="center"/>
                </w:tcPr>
                <w:p w14:paraId="4A6CC31A">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集中收集至垃圾箱后，定期送至环卫部门进行处理。</w:t>
                  </w:r>
                </w:p>
              </w:tc>
              <w:tc>
                <w:tcPr>
                  <w:tcW w:w="715" w:type="dxa"/>
                  <w:vMerge w:val="continue"/>
                  <w:noWrap w:val="0"/>
                  <w:vAlign w:val="center"/>
                </w:tcPr>
                <w:p w14:paraId="3BBE19D0">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r>
            <w:tr w14:paraId="589B0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640" w:type="dxa"/>
                  <w:vMerge w:val="continue"/>
                  <w:noWrap w:val="0"/>
                  <w:tcMar>
                    <w:left w:w="28" w:type="dxa"/>
                    <w:right w:w="28" w:type="dxa"/>
                  </w:tcMar>
                  <w:vAlign w:val="center"/>
                </w:tcPr>
                <w:p w14:paraId="0C83696E">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1155" w:type="dxa"/>
                  <w:vMerge w:val="continue"/>
                  <w:noWrap w:val="0"/>
                  <w:tcMar>
                    <w:left w:w="28" w:type="dxa"/>
                    <w:right w:w="28" w:type="dxa"/>
                  </w:tcMar>
                  <w:vAlign w:val="center"/>
                </w:tcPr>
                <w:p w14:paraId="6FA0A060">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1277" w:type="dxa"/>
                  <w:noWrap w:val="0"/>
                  <w:tcMar>
                    <w:left w:w="28" w:type="dxa"/>
                    <w:right w:w="28" w:type="dxa"/>
                  </w:tcMar>
                  <w:vAlign w:val="center"/>
                </w:tcPr>
                <w:p w14:paraId="758DE67D">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废矿物油及废油桶</w:t>
                  </w:r>
                </w:p>
              </w:tc>
              <w:tc>
                <w:tcPr>
                  <w:tcW w:w="4148" w:type="dxa"/>
                  <w:noWrap w:val="0"/>
                  <w:tcMar>
                    <w:left w:w="28" w:type="dxa"/>
                    <w:right w:w="28" w:type="dxa"/>
                  </w:tcMar>
                  <w:vAlign w:val="center"/>
                </w:tcPr>
                <w:p w14:paraId="14CDE79F">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设备维修运营过程中产生的危险废物废矿物油及废油桶暂存于新建的10㎡危废库中，定期交由有资质单位进行处置。</w:t>
                  </w:r>
                </w:p>
              </w:tc>
              <w:tc>
                <w:tcPr>
                  <w:tcW w:w="715" w:type="dxa"/>
                  <w:vMerge w:val="continue"/>
                  <w:noWrap w:val="0"/>
                  <w:vAlign w:val="center"/>
                </w:tcPr>
                <w:p w14:paraId="38975218">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r>
            <w:tr w14:paraId="48745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40" w:type="dxa"/>
                  <w:vMerge w:val="continue"/>
                  <w:noWrap w:val="0"/>
                  <w:tcMar>
                    <w:left w:w="28" w:type="dxa"/>
                    <w:right w:w="28" w:type="dxa"/>
                  </w:tcMar>
                  <w:vAlign w:val="center"/>
                </w:tcPr>
                <w:p w14:paraId="2851BCB1">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p>
              </w:tc>
              <w:tc>
                <w:tcPr>
                  <w:tcW w:w="1155" w:type="dxa"/>
                  <w:noWrap w:val="0"/>
                  <w:tcMar>
                    <w:left w:w="28" w:type="dxa"/>
                    <w:right w:w="28" w:type="dxa"/>
                  </w:tcMar>
                  <w:vAlign w:val="center"/>
                </w:tcPr>
                <w:p w14:paraId="033D86F0">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噪声</w:t>
                  </w:r>
                </w:p>
              </w:tc>
              <w:tc>
                <w:tcPr>
                  <w:tcW w:w="5425" w:type="dxa"/>
                  <w:gridSpan w:val="2"/>
                  <w:noWrap w:val="0"/>
                  <w:tcMar>
                    <w:left w:w="28" w:type="dxa"/>
                    <w:right w:w="28" w:type="dxa"/>
                  </w:tcMar>
                  <w:vAlign w:val="center"/>
                </w:tcPr>
                <w:p w14:paraId="2909FBFE">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采用减振、消声、隔音等措施。</w:t>
                  </w:r>
                </w:p>
              </w:tc>
              <w:tc>
                <w:tcPr>
                  <w:tcW w:w="715" w:type="dxa"/>
                  <w:noWrap w:val="0"/>
                  <w:vAlign w:val="center"/>
                </w:tcPr>
                <w:p w14:paraId="472A3399">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新建</w:t>
                  </w:r>
                </w:p>
              </w:tc>
            </w:tr>
            <w:tr w14:paraId="1D806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 w:hRule="atLeast"/>
                <w:jc w:val="center"/>
              </w:trPr>
              <w:tc>
                <w:tcPr>
                  <w:tcW w:w="1795" w:type="dxa"/>
                  <w:gridSpan w:val="2"/>
                  <w:vMerge w:val="restart"/>
                  <w:noWrap w:val="0"/>
                  <w:tcMar>
                    <w:left w:w="28" w:type="dxa"/>
                    <w:right w:w="28" w:type="dxa"/>
                  </w:tcMar>
                  <w:vAlign w:val="center"/>
                </w:tcPr>
                <w:p w14:paraId="33A52FBE">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防渗</w:t>
                  </w:r>
                </w:p>
              </w:tc>
              <w:tc>
                <w:tcPr>
                  <w:tcW w:w="1277" w:type="dxa"/>
                  <w:noWrap w:val="0"/>
                  <w:tcMar>
                    <w:left w:w="28" w:type="dxa"/>
                    <w:right w:w="28" w:type="dxa"/>
                  </w:tcMar>
                  <w:vAlign w:val="center"/>
                </w:tcPr>
                <w:p w14:paraId="2482BFF0">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重点防渗区</w:t>
                  </w:r>
                </w:p>
              </w:tc>
              <w:tc>
                <w:tcPr>
                  <w:tcW w:w="4148" w:type="dxa"/>
                  <w:noWrap w:val="0"/>
                  <w:tcMar>
                    <w:left w:w="28" w:type="dxa"/>
                    <w:right w:w="28" w:type="dxa"/>
                  </w:tcMar>
                  <w:vAlign w:val="center"/>
                </w:tcPr>
                <w:p w14:paraId="12D6E75D">
                  <w:pPr>
                    <w:keepNext w:val="0"/>
                    <w:keepLines w:val="0"/>
                    <w:pageBreakBefore w:val="0"/>
                    <w:widowControl w:val="0"/>
                    <w:numPr>
                      <w:ilvl w:val="0"/>
                      <w:numId w:val="0"/>
                    </w:numPr>
                    <w:kinsoku/>
                    <w:wordWrap/>
                    <w:overflowPunct/>
                    <w:topLinePunct w:val="0"/>
                    <w:autoSpaceDE/>
                    <w:bidi w:val="0"/>
                    <w:snapToGrid w:val="0"/>
                    <w:spacing w:line="320" w:lineRule="exact"/>
                    <w:jc w:val="left"/>
                    <w:textAlignment w:val="auto"/>
                    <w:rPr>
                      <w:rFonts w:hint="default" w:ascii="Times New Roman" w:hAnsi="Times New Roman"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危废库</w:t>
                  </w:r>
                  <w:r>
                    <w:rPr>
                      <w:rFonts w:hint="default" w:ascii="Times New Roman" w:hAnsi="Times New Roman" w:eastAsia="宋体" w:cs="Times New Roman"/>
                      <w:color w:val="auto"/>
                      <w:szCs w:val="21"/>
                      <w:highlight w:val="none"/>
                      <w:lang w:val="en-US" w:eastAsia="zh-CN"/>
                    </w:rPr>
                    <w:t>为本项目重点防渗区，按照《危险废物贮存污染控制标准》（GB18597-2023）要求进行建设。</w:t>
                  </w:r>
                  <w:r>
                    <w:rPr>
                      <w:rFonts w:hint="eastAsia" w:ascii="Times New Roman" w:hAnsi="Times New Roman" w:eastAsia="宋体" w:cs="Times New Roman"/>
                      <w:color w:val="auto"/>
                      <w:szCs w:val="21"/>
                      <w:highlight w:val="none"/>
                      <w:lang w:val="en-US" w:eastAsia="zh-CN"/>
                    </w:rPr>
                    <w:t>危废库</w:t>
                  </w:r>
                  <w:r>
                    <w:rPr>
                      <w:rFonts w:hint="default" w:ascii="Times New Roman" w:hAnsi="Times New Roman" w:eastAsia="宋体" w:cs="Times New Roman"/>
                      <w:color w:val="auto"/>
                      <w:szCs w:val="21"/>
                      <w:highlight w:val="none"/>
                      <w:lang w:val="en-US" w:eastAsia="zh-CN"/>
                    </w:rPr>
                    <w:t>地面与裙脚应采取表面防渗措施，还应进行基础防渗，</w:t>
                  </w:r>
                  <w:r>
                    <w:rPr>
                      <w:rFonts w:hint="eastAsia" w:cs="Times New Roman"/>
                      <w:color w:val="0000FF"/>
                      <w:szCs w:val="21"/>
                      <w:highlight w:val="none"/>
                      <w:lang w:val="en-US" w:eastAsia="zh-CN"/>
                    </w:rPr>
                    <w:t>防渗措施为防渗层为至少1m厚黏土层（渗透系数≤10</w:t>
                  </w:r>
                  <w:r>
                    <w:rPr>
                      <w:rFonts w:hint="eastAsia" w:cs="Times New Roman"/>
                      <w:color w:val="0000FF"/>
                      <w:szCs w:val="21"/>
                      <w:highlight w:val="none"/>
                      <w:vertAlign w:val="superscript"/>
                      <w:lang w:val="en-US" w:eastAsia="zh-CN"/>
                    </w:rPr>
                    <w:t>-7</w:t>
                  </w:r>
                  <w:r>
                    <w:rPr>
                      <w:rFonts w:hint="eastAsia" w:cs="Times New Roman"/>
                      <w:color w:val="0000FF"/>
                      <w:szCs w:val="21"/>
                      <w:highlight w:val="none"/>
                      <w:lang w:val="en-US" w:eastAsia="zh-CN"/>
                    </w:rPr>
                    <w:t>cm/s），或至少2mm厚高密度聚乙烯膜等人工防渗材料（渗透系数≤10</w:t>
                  </w:r>
                  <w:r>
                    <w:rPr>
                      <w:rFonts w:hint="eastAsia" w:cs="Times New Roman"/>
                      <w:color w:val="0000FF"/>
                      <w:szCs w:val="21"/>
                      <w:highlight w:val="none"/>
                      <w:vertAlign w:val="superscript"/>
                      <w:lang w:val="en-US" w:eastAsia="zh-CN"/>
                    </w:rPr>
                    <w:t>-10</w:t>
                  </w:r>
                  <w:r>
                    <w:rPr>
                      <w:rFonts w:hint="eastAsia" w:cs="Times New Roman"/>
                      <w:color w:val="0000FF"/>
                      <w:szCs w:val="21"/>
                      <w:highlight w:val="none"/>
                      <w:lang w:val="en-US" w:eastAsia="zh-CN"/>
                    </w:rPr>
                    <w:t>cm/s），或其他防渗性能等效的材料。</w:t>
                  </w:r>
                </w:p>
              </w:tc>
              <w:tc>
                <w:tcPr>
                  <w:tcW w:w="715" w:type="dxa"/>
                  <w:vMerge w:val="restart"/>
                  <w:noWrap w:val="0"/>
                  <w:vAlign w:val="center"/>
                </w:tcPr>
                <w:p w14:paraId="6A80B9CE">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新建</w:t>
                  </w:r>
                </w:p>
              </w:tc>
            </w:tr>
            <w:tr w14:paraId="1CE9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1795" w:type="dxa"/>
                  <w:gridSpan w:val="2"/>
                  <w:vMerge w:val="continue"/>
                  <w:noWrap w:val="0"/>
                  <w:tcMar>
                    <w:left w:w="28" w:type="dxa"/>
                    <w:right w:w="28" w:type="dxa"/>
                  </w:tcMar>
                  <w:vAlign w:val="center"/>
                </w:tcPr>
                <w:p w14:paraId="6C2E1C4A">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p>
              </w:tc>
              <w:tc>
                <w:tcPr>
                  <w:tcW w:w="1277" w:type="dxa"/>
                  <w:noWrap w:val="0"/>
                  <w:tcMar>
                    <w:left w:w="28" w:type="dxa"/>
                    <w:right w:w="28" w:type="dxa"/>
                  </w:tcMar>
                  <w:vAlign w:val="center"/>
                </w:tcPr>
                <w:p w14:paraId="4ADACA34">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一般防渗区</w:t>
                  </w:r>
                </w:p>
              </w:tc>
              <w:tc>
                <w:tcPr>
                  <w:tcW w:w="4148" w:type="dxa"/>
                  <w:noWrap w:val="0"/>
                  <w:tcMar>
                    <w:left w:w="28" w:type="dxa"/>
                    <w:right w:w="28" w:type="dxa"/>
                  </w:tcMar>
                  <w:vAlign w:val="center"/>
                </w:tcPr>
                <w:p w14:paraId="7BAC1EBA">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原料堆场、商品混凝土搅拌站、沉淀池、初期雨水池、化粪池进行一般防渗，防渗技术要求等效</w:t>
                  </w:r>
                  <w:r>
                    <w:rPr>
                      <w:rFonts w:hint="eastAsia" w:cs="Times New Roman"/>
                      <w:color w:val="auto"/>
                      <w:szCs w:val="21"/>
                      <w:highlight w:val="none"/>
                      <w:lang w:val="en-US" w:eastAsia="zh-CN"/>
                    </w:rPr>
                    <w:t>粘土</w:t>
                  </w:r>
                  <w:r>
                    <w:rPr>
                      <w:rFonts w:hint="default" w:ascii="Times New Roman" w:hAnsi="Times New Roman" w:cs="Times New Roman"/>
                      <w:color w:val="auto"/>
                      <w:szCs w:val="21"/>
                      <w:highlight w:val="none"/>
                      <w:lang w:val="en-US" w:eastAsia="zh-CN"/>
                    </w:rPr>
                    <w:t>防渗层Mb</w:t>
                  </w:r>
                  <w:r>
                    <w:rPr>
                      <w:rFonts w:hint="eastAsia" w:cs="Times New Roman"/>
                      <w:color w:val="auto"/>
                      <w:szCs w:val="21"/>
                      <w:highlight w:val="none"/>
                      <w:lang w:val="en-US" w:eastAsia="zh-CN"/>
                    </w:rPr>
                    <w:t>≥</w:t>
                  </w:r>
                  <w:r>
                    <w:rPr>
                      <w:rFonts w:hint="default" w:ascii="Times New Roman" w:hAnsi="Times New Roman" w:cs="Times New Roman"/>
                      <w:color w:val="auto"/>
                      <w:szCs w:val="21"/>
                      <w:highlight w:val="none"/>
                      <w:lang w:val="en-US" w:eastAsia="zh-CN"/>
                    </w:rPr>
                    <w:t>1.5m，K</w:t>
                  </w:r>
                  <w:r>
                    <w:rPr>
                      <w:rFonts w:hint="eastAsia" w:cs="Times New Roman"/>
                      <w:color w:val="auto"/>
                      <w:szCs w:val="21"/>
                      <w:highlight w:val="none"/>
                      <w:lang w:val="en-US" w:eastAsia="zh-CN"/>
                    </w:rPr>
                    <w:t>≤</w:t>
                  </w:r>
                  <w:r>
                    <w:rPr>
                      <w:rFonts w:hint="default" w:ascii="Times New Roman" w:hAnsi="Times New Roman" w:cs="Times New Roman"/>
                      <w:color w:val="auto"/>
                      <w:szCs w:val="21"/>
                      <w:highlight w:val="none"/>
                      <w:lang w:val="en-US" w:eastAsia="zh-CN"/>
                    </w:rPr>
                    <w:t>1×10</w:t>
                  </w:r>
                  <w:r>
                    <w:rPr>
                      <w:rFonts w:hint="default" w:ascii="Times New Roman" w:hAnsi="Times New Roman" w:cs="Times New Roman"/>
                      <w:color w:val="auto"/>
                      <w:szCs w:val="21"/>
                      <w:highlight w:val="none"/>
                      <w:vertAlign w:val="superscript"/>
                      <w:lang w:val="en-US" w:eastAsia="zh-CN"/>
                    </w:rPr>
                    <w:t>-7</w:t>
                  </w:r>
                  <w:r>
                    <w:rPr>
                      <w:rFonts w:hint="default" w:ascii="Times New Roman" w:hAnsi="Times New Roman" w:cs="Times New Roman"/>
                      <w:color w:val="auto"/>
                      <w:szCs w:val="21"/>
                      <w:highlight w:val="none"/>
                      <w:lang w:val="en-US" w:eastAsia="zh-CN"/>
                    </w:rPr>
                    <w:t>cm/s。</w:t>
                  </w:r>
                </w:p>
              </w:tc>
              <w:tc>
                <w:tcPr>
                  <w:tcW w:w="715" w:type="dxa"/>
                  <w:vMerge w:val="continue"/>
                  <w:noWrap w:val="0"/>
                  <w:vAlign w:val="center"/>
                </w:tcPr>
                <w:p w14:paraId="4717E5B8">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Cs w:val="21"/>
                      <w:highlight w:val="none"/>
                      <w:lang w:val="en-US" w:eastAsia="zh-CN"/>
                    </w:rPr>
                  </w:pPr>
                </w:p>
              </w:tc>
            </w:tr>
            <w:tr w14:paraId="34721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795" w:type="dxa"/>
                  <w:gridSpan w:val="2"/>
                  <w:vMerge w:val="continue"/>
                  <w:noWrap w:val="0"/>
                  <w:tcMar>
                    <w:left w:w="28" w:type="dxa"/>
                    <w:right w:w="28" w:type="dxa"/>
                  </w:tcMar>
                  <w:vAlign w:val="center"/>
                </w:tcPr>
                <w:p w14:paraId="69C350DD">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rPr>
                  </w:pPr>
                </w:p>
              </w:tc>
              <w:tc>
                <w:tcPr>
                  <w:tcW w:w="1277" w:type="dxa"/>
                  <w:noWrap w:val="0"/>
                  <w:tcMar>
                    <w:left w:w="28" w:type="dxa"/>
                    <w:right w:w="28" w:type="dxa"/>
                  </w:tcMar>
                  <w:vAlign w:val="center"/>
                </w:tcPr>
                <w:p w14:paraId="0A99F299">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简单防渗区</w:t>
                  </w:r>
                </w:p>
              </w:tc>
              <w:tc>
                <w:tcPr>
                  <w:tcW w:w="4148" w:type="dxa"/>
                  <w:noWrap w:val="0"/>
                  <w:tcMar>
                    <w:left w:w="28" w:type="dxa"/>
                    <w:right w:w="28" w:type="dxa"/>
                  </w:tcMar>
                  <w:vAlign w:val="center"/>
                </w:tcPr>
                <w:p w14:paraId="515DD028">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办公区、厂区内路面进行水泥硬化简单防渗。</w:t>
                  </w:r>
                </w:p>
              </w:tc>
              <w:tc>
                <w:tcPr>
                  <w:tcW w:w="715" w:type="dxa"/>
                  <w:vMerge w:val="continue"/>
                  <w:noWrap w:val="0"/>
                  <w:vAlign w:val="center"/>
                </w:tcPr>
                <w:p w14:paraId="5C06E9F0">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color w:val="auto"/>
                      <w:szCs w:val="21"/>
                      <w:highlight w:val="none"/>
                      <w:lang w:val="en-US" w:eastAsia="zh-CN"/>
                    </w:rPr>
                  </w:pPr>
                </w:p>
              </w:tc>
            </w:tr>
          </w:tbl>
          <w:p w14:paraId="7E789D40">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3.项目主要设备</w:t>
            </w:r>
          </w:p>
          <w:p w14:paraId="0AA76D8D">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本项目主要设备见表2-2。</w:t>
            </w:r>
          </w:p>
          <w:p w14:paraId="422FC145">
            <w:pPr>
              <w:bidi w:val="0"/>
              <w:ind w:left="0" w:leftChars="0" w:firstLine="0" w:firstLineChars="0"/>
              <w:jc w:val="center"/>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表2-2主要设备组成一览表</w:t>
            </w:r>
          </w:p>
          <w:tbl>
            <w:tblPr>
              <w:tblStyle w:val="18"/>
              <w:tblW w:w="7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2476"/>
              <w:gridCol w:w="1066"/>
              <w:gridCol w:w="2384"/>
              <w:gridCol w:w="1229"/>
            </w:tblGrid>
            <w:tr w14:paraId="12839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0" w:type="dxa"/>
                  <w:noWrap w:val="0"/>
                  <w:vAlign w:val="center"/>
                </w:tcPr>
                <w:p w14:paraId="36A94D6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序号</w:t>
                  </w:r>
                </w:p>
              </w:tc>
              <w:tc>
                <w:tcPr>
                  <w:tcW w:w="2476" w:type="dxa"/>
                  <w:noWrap w:val="0"/>
                  <w:vAlign w:val="center"/>
                </w:tcPr>
                <w:p w14:paraId="5EE7016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名称</w:t>
                  </w:r>
                </w:p>
              </w:tc>
              <w:tc>
                <w:tcPr>
                  <w:tcW w:w="1066" w:type="dxa"/>
                  <w:noWrap w:val="0"/>
                  <w:vAlign w:val="center"/>
                </w:tcPr>
                <w:p w14:paraId="369508E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数量</w:t>
                  </w:r>
                </w:p>
              </w:tc>
              <w:tc>
                <w:tcPr>
                  <w:tcW w:w="2384" w:type="dxa"/>
                  <w:noWrap w:val="0"/>
                  <w:vAlign w:val="center"/>
                </w:tcPr>
                <w:p w14:paraId="7EBFF26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型号规格</w:t>
                  </w:r>
                </w:p>
              </w:tc>
              <w:tc>
                <w:tcPr>
                  <w:tcW w:w="1229" w:type="dxa"/>
                  <w:noWrap w:val="0"/>
                  <w:vAlign w:val="center"/>
                </w:tcPr>
                <w:p w14:paraId="4E7FADB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备注</w:t>
                  </w:r>
                </w:p>
              </w:tc>
            </w:tr>
            <w:tr w14:paraId="5294E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noWrap w:val="0"/>
                  <w:vAlign w:val="center"/>
                </w:tcPr>
                <w:p w14:paraId="4AB7BA4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w:t>
                  </w:r>
                </w:p>
              </w:tc>
              <w:tc>
                <w:tcPr>
                  <w:tcW w:w="2476" w:type="dxa"/>
                  <w:noWrap w:val="0"/>
                  <w:vAlign w:val="center"/>
                </w:tcPr>
                <w:p w14:paraId="39A9D99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eastAsia="宋体" w:cs="Times New Roman"/>
                      <w:lang w:val="en-US" w:eastAsia="zh-CN"/>
                    </w:rPr>
                    <w:t>商品混凝土搅拌站</w:t>
                  </w:r>
                </w:p>
              </w:tc>
              <w:tc>
                <w:tcPr>
                  <w:tcW w:w="1066" w:type="dxa"/>
                  <w:noWrap w:val="0"/>
                  <w:vAlign w:val="center"/>
                </w:tcPr>
                <w:p w14:paraId="723D7F4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w:t>
                  </w:r>
                  <w:r>
                    <w:rPr>
                      <w:rFonts w:hint="eastAsia" w:cs="Times New Roman"/>
                      <w:color w:val="auto"/>
                      <w:lang w:val="en-US" w:eastAsia="zh-CN"/>
                    </w:rPr>
                    <w:t>座</w:t>
                  </w:r>
                </w:p>
              </w:tc>
              <w:tc>
                <w:tcPr>
                  <w:tcW w:w="2384" w:type="dxa"/>
                  <w:noWrap w:val="0"/>
                  <w:vAlign w:val="center"/>
                </w:tcPr>
                <w:p w14:paraId="5215D6F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HZS180</w:t>
                  </w:r>
                </w:p>
              </w:tc>
              <w:tc>
                <w:tcPr>
                  <w:tcW w:w="1229" w:type="dxa"/>
                  <w:noWrap w:val="0"/>
                  <w:vAlign w:val="center"/>
                </w:tcPr>
                <w:p w14:paraId="684D4FA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r>
            <w:tr w14:paraId="5914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noWrap w:val="0"/>
                  <w:vAlign w:val="center"/>
                </w:tcPr>
                <w:p w14:paraId="11B191C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2</w:t>
                  </w:r>
                </w:p>
              </w:tc>
              <w:tc>
                <w:tcPr>
                  <w:tcW w:w="2476" w:type="dxa"/>
                  <w:noWrap w:val="0"/>
                  <w:vAlign w:val="center"/>
                </w:tcPr>
                <w:p w14:paraId="1DBB65A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eastAsia="宋体" w:cs="Times New Roman"/>
                      <w:lang w:val="en-US" w:eastAsia="zh-CN"/>
                    </w:rPr>
                    <w:t>商品混凝土搅拌站</w:t>
                  </w:r>
                </w:p>
              </w:tc>
              <w:tc>
                <w:tcPr>
                  <w:tcW w:w="1066" w:type="dxa"/>
                  <w:noWrap w:val="0"/>
                  <w:vAlign w:val="center"/>
                </w:tcPr>
                <w:p w14:paraId="5449AE0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1座</w:t>
                  </w:r>
                </w:p>
              </w:tc>
              <w:tc>
                <w:tcPr>
                  <w:tcW w:w="2384" w:type="dxa"/>
                  <w:noWrap w:val="0"/>
                  <w:vAlign w:val="center"/>
                </w:tcPr>
                <w:p w14:paraId="2B5C005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eastAsia="宋体" w:cs="Times New Roman"/>
                      <w:lang w:val="en-US" w:eastAsia="zh-CN"/>
                    </w:rPr>
                    <w:t>HZS240</w:t>
                  </w:r>
                </w:p>
              </w:tc>
              <w:tc>
                <w:tcPr>
                  <w:tcW w:w="1229" w:type="dxa"/>
                  <w:noWrap w:val="0"/>
                  <w:vAlign w:val="center"/>
                </w:tcPr>
                <w:p w14:paraId="1A05B7C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w:t>
                  </w:r>
                </w:p>
              </w:tc>
            </w:tr>
            <w:tr w14:paraId="7F14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noWrap w:val="0"/>
                  <w:vAlign w:val="center"/>
                </w:tcPr>
                <w:p w14:paraId="167AEB2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3</w:t>
                  </w:r>
                </w:p>
              </w:tc>
              <w:tc>
                <w:tcPr>
                  <w:tcW w:w="2476" w:type="dxa"/>
                  <w:noWrap w:val="0"/>
                  <w:vAlign w:val="center"/>
                </w:tcPr>
                <w:p w14:paraId="598E05C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搅拌主机除尘器</w:t>
                  </w:r>
                  <w:r>
                    <w:rPr>
                      <w:rFonts w:hint="eastAsia" w:cs="Times New Roman"/>
                      <w:lang w:val="en-US" w:eastAsia="zh-CN"/>
                    </w:rPr>
                    <w:t>（</w:t>
                  </w:r>
                  <w:r>
                    <w:rPr>
                      <w:rFonts w:hint="eastAsia" w:ascii="Times New Roman" w:hAnsi="Times New Roman" w:eastAsia="宋体" w:cs="Times New Roman"/>
                      <w:lang w:val="en-US" w:eastAsia="zh-CN"/>
                    </w:rPr>
                    <w:t>脉冲式袋式除尘器</w:t>
                  </w:r>
                  <w:r>
                    <w:rPr>
                      <w:rFonts w:hint="eastAsia" w:cs="Times New Roman"/>
                      <w:lang w:val="en-US" w:eastAsia="zh-CN"/>
                    </w:rPr>
                    <w:t>）</w:t>
                  </w:r>
                </w:p>
              </w:tc>
              <w:tc>
                <w:tcPr>
                  <w:tcW w:w="1066" w:type="dxa"/>
                  <w:noWrap w:val="0"/>
                  <w:vAlign w:val="center"/>
                </w:tcPr>
                <w:p w14:paraId="7532036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color w:val="auto"/>
                      <w:lang w:val="en-US" w:eastAsia="zh-CN"/>
                    </w:rPr>
                  </w:pPr>
                  <w:r>
                    <w:rPr>
                      <w:rFonts w:hint="eastAsia" w:cs="Times New Roman"/>
                      <w:color w:val="auto"/>
                      <w:lang w:val="en-US" w:eastAsia="zh-CN"/>
                    </w:rPr>
                    <w:t>2台</w:t>
                  </w:r>
                </w:p>
              </w:tc>
              <w:tc>
                <w:tcPr>
                  <w:tcW w:w="2384" w:type="dxa"/>
                  <w:noWrap w:val="0"/>
                  <w:vAlign w:val="center"/>
                </w:tcPr>
                <w:p w14:paraId="623165B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PC96-6</w:t>
                  </w:r>
                  <w:r>
                    <w:rPr>
                      <w:rFonts w:hint="eastAsia" w:ascii="Times New Roman" w:hAnsi="Times New Roman" w:eastAsia="宋体" w:cs="Times New Roman"/>
                      <w:lang w:val="en-US" w:eastAsia="zh-CN"/>
                    </w:rPr>
                    <w:t>、DMC-120</w:t>
                  </w:r>
                </w:p>
              </w:tc>
              <w:tc>
                <w:tcPr>
                  <w:tcW w:w="1229" w:type="dxa"/>
                  <w:noWrap w:val="0"/>
                  <w:vAlign w:val="center"/>
                </w:tcPr>
                <w:p w14:paraId="456DD3A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p>
              </w:tc>
            </w:tr>
            <w:tr w14:paraId="4BD0F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noWrap w:val="0"/>
                  <w:vAlign w:val="center"/>
                </w:tcPr>
                <w:p w14:paraId="0375535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4</w:t>
                  </w:r>
                </w:p>
              </w:tc>
              <w:tc>
                <w:tcPr>
                  <w:tcW w:w="2476" w:type="dxa"/>
                  <w:noWrap w:val="0"/>
                  <w:vAlign w:val="center"/>
                </w:tcPr>
                <w:p w14:paraId="50F7E45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水泥筒仓</w:t>
                  </w:r>
                </w:p>
              </w:tc>
              <w:tc>
                <w:tcPr>
                  <w:tcW w:w="1066" w:type="dxa"/>
                  <w:noWrap w:val="0"/>
                  <w:vAlign w:val="center"/>
                </w:tcPr>
                <w:p w14:paraId="6C0A72A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4个</w:t>
                  </w:r>
                </w:p>
              </w:tc>
              <w:tc>
                <w:tcPr>
                  <w:tcW w:w="2384" w:type="dxa"/>
                  <w:noWrap w:val="0"/>
                  <w:vAlign w:val="center"/>
                </w:tcPr>
                <w:p w14:paraId="0BC60E1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3</w:t>
                  </w:r>
                  <w:r>
                    <w:rPr>
                      <w:rFonts w:hint="default" w:ascii="Times New Roman" w:hAnsi="Times New Roman" w:cs="Times New Roman"/>
                      <w:color w:val="auto"/>
                      <w:lang w:val="en-US" w:eastAsia="zh-CN"/>
                    </w:rPr>
                    <w:t>00t，H=15m</w:t>
                  </w:r>
                </w:p>
              </w:tc>
              <w:tc>
                <w:tcPr>
                  <w:tcW w:w="1229" w:type="dxa"/>
                  <w:noWrap w:val="0"/>
                  <w:vAlign w:val="center"/>
                </w:tcPr>
                <w:p w14:paraId="6FDF82B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r>
            <w:tr w14:paraId="533B3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noWrap w:val="0"/>
                  <w:vAlign w:val="center"/>
                </w:tcPr>
                <w:p w14:paraId="220B7D1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5</w:t>
                  </w:r>
                </w:p>
              </w:tc>
              <w:tc>
                <w:tcPr>
                  <w:tcW w:w="2476" w:type="dxa"/>
                  <w:noWrap w:val="0"/>
                  <w:vAlign w:val="center"/>
                </w:tcPr>
                <w:p w14:paraId="147DEAC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粉煤灰筒仓</w:t>
                  </w:r>
                </w:p>
              </w:tc>
              <w:tc>
                <w:tcPr>
                  <w:tcW w:w="1066" w:type="dxa"/>
                  <w:noWrap w:val="0"/>
                  <w:vAlign w:val="center"/>
                </w:tcPr>
                <w:p w14:paraId="7D26A26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4个</w:t>
                  </w:r>
                </w:p>
              </w:tc>
              <w:tc>
                <w:tcPr>
                  <w:tcW w:w="2384" w:type="dxa"/>
                  <w:noWrap w:val="0"/>
                  <w:vAlign w:val="center"/>
                </w:tcPr>
                <w:p w14:paraId="5188CC5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3</w:t>
                  </w:r>
                  <w:r>
                    <w:rPr>
                      <w:rFonts w:hint="default" w:ascii="Times New Roman" w:hAnsi="Times New Roman" w:cs="Times New Roman"/>
                      <w:color w:val="auto"/>
                      <w:lang w:val="en-US" w:eastAsia="zh-CN"/>
                    </w:rPr>
                    <w:t>00t，H=15m</w:t>
                  </w:r>
                </w:p>
              </w:tc>
              <w:tc>
                <w:tcPr>
                  <w:tcW w:w="1229" w:type="dxa"/>
                  <w:noWrap w:val="0"/>
                  <w:vAlign w:val="center"/>
                </w:tcPr>
                <w:p w14:paraId="4FC583D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r>
            <w:tr w14:paraId="01880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noWrap w:val="0"/>
                  <w:vAlign w:val="center"/>
                </w:tcPr>
                <w:p w14:paraId="7B1869A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6</w:t>
                  </w:r>
                </w:p>
              </w:tc>
              <w:tc>
                <w:tcPr>
                  <w:tcW w:w="2476" w:type="dxa"/>
                  <w:noWrap w:val="0"/>
                  <w:vAlign w:val="center"/>
                </w:tcPr>
                <w:p w14:paraId="0791882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yellow"/>
                      <w:lang w:val="en-US" w:eastAsia="zh-CN"/>
                    </w:rPr>
                  </w:pPr>
                  <w:r>
                    <w:rPr>
                      <w:rFonts w:hint="eastAsia" w:cs="Times New Roman"/>
                      <w:color w:val="0000FF"/>
                      <w:highlight w:val="none"/>
                      <w:lang w:val="en-US" w:eastAsia="zh-CN"/>
                    </w:rPr>
                    <w:t>筒仓除尘器（布袋除尘器）</w:t>
                  </w:r>
                </w:p>
              </w:tc>
              <w:tc>
                <w:tcPr>
                  <w:tcW w:w="1066" w:type="dxa"/>
                  <w:noWrap w:val="0"/>
                  <w:vAlign w:val="center"/>
                </w:tcPr>
                <w:p w14:paraId="7C2B2C9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color w:val="auto"/>
                      <w:highlight w:val="yellow"/>
                      <w:lang w:val="en-US" w:eastAsia="zh-CN"/>
                    </w:rPr>
                  </w:pPr>
                  <w:r>
                    <w:rPr>
                      <w:rFonts w:hint="eastAsia" w:cs="Times New Roman"/>
                      <w:color w:val="auto"/>
                      <w:highlight w:val="yellow"/>
                      <w:lang w:val="en-US" w:eastAsia="zh-CN"/>
                    </w:rPr>
                    <w:t>8个</w:t>
                  </w:r>
                </w:p>
              </w:tc>
              <w:tc>
                <w:tcPr>
                  <w:tcW w:w="2384" w:type="dxa"/>
                  <w:noWrap w:val="0"/>
                  <w:vAlign w:val="center"/>
                </w:tcPr>
                <w:p w14:paraId="7AC4039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cs="Times New Roman"/>
                      <w:color w:val="auto"/>
                      <w:highlight w:val="yellow"/>
                      <w:lang w:val="en-US" w:eastAsia="zh-CN"/>
                    </w:rPr>
                  </w:pPr>
                  <w:r>
                    <w:rPr>
                      <w:rFonts w:hint="eastAsia" w:cs="Times New Roman"/>
                      <w:color w:val="auto"/>
                      <w:highlight w:val="none"/>
                      <w:lang w:val="en-US" w:eastAsia="zh-CN"/>
                    </w:rPr>
                    <w:t>DMC-48</w:t>
                  </w:r>
                </w:p>
              </w:tc>
              <w:tc>
                <w:tcPr>
                  <w:tcW w:w="1229" w:type="dxa"/>
                  <w:noWrap w:val="0"/>
                  <w:vAlign w:val="center"/>
                </w:tcPr>
                <w:p w14:paraId="1C1DF15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w:t>
                  </w:r>
                </w:p>
              </w:tc>
            </w:tr>
            <w:tr w14:paraId="17523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790" w:type="dxa"/>
                  <w:noWrap w:val="0"/>
                  <w:vAlign w:val="center"/>
                </w:tcPr>
                <w:p w14:paraId="6273BDA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7</w:t>
                  </w:r>
                </w:p>
              </w:tc>
              <w:tc>
                <w:tcPr>
                  <w:tcW w:w="2476" w:type="dxa"/>
                  <w:noWrap w:val="0"/>
                  <w:vAlign w:val="center"/>
                </w:tcPr>
                <w:p w14:paraId="65C5EEC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yellow"/>
                      <w:lang w:val="en-US" w:eastAsia="zh-CN"/>
                    </w:rPr>
                  </w:pPr>
                  <w:r>
                    <w:rPr>
                      <w:rFonts w:hint="default" w:ascii="Times New Roman" w:hAnsi="Times New Roman" w:cs="Times New Roman"/>
                      <w:color w:val="auto"/>
                      <w:highlight w:val="none"/>
                      <w:lang w:val="en-US" w:eastAsia="zh-CN"/>
                    </w:rPr>
                    <w:t>外加剂（液态）储存罐</w:t>
                  </w:r>
                </w:p>
              </w:tc>
              <w:tc>
                <w:tcPr>
                  <w:tcW w:w="1066" w:type="dxa"/>
                  <w:noWrap w:val="0"/>
                  <w:vAlign w:val="center"/>
                </w:tcPr>
                <w:p w14:paraId="19B5EC2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w:t>
                  </w:r>
                  <w:r>
                    <w:rPr>
                      <w:rFonts w:hint="eastAsia" w:cs="Times New Roman"/>
                      <w:color w:val="auto"/>
                      <w:lang w:val="en-US" w:eastAsia="zh-CN"/>
                    </w:rPr>
                    <w:t>个</w:t>
                  </w:r>
                </w:p>
              </w:tc>
              <w:tc>
                <w:tcPr>
                  <w:tcW w:w="2384" w:type="dxa"/>
                  <w:noWrap w:val="0"/>
                  <w:vAlign w:val="center"/>
                </w:tcPr>
                <w:p w14:paraId="7E52752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单个容量为8t</w:t>
                  </w:r>
                </w:p>
              </w:tc>
              <w:tc>
                <w:tcPr>
                  <w:tcW w:w="1229" w:type="dxa"/>
                  <w:noWrap w:val="0"/>
                  <w:vAlign w:val="center"/>
                </w:tcPr>
                <w:p w14:paraId="0B908FC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r>
            <w:tr w14:paraId="38920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noWrap w:val="0"/>
                  <w:vAlign w:val="center"/>
                </w:tcPr>
                <w:p w14:paraId="7F32F9D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8</w:t>
                  </w:r>
                </w:p>
              </w:tc>
              <w:tc>
                <w:tcPr>
                  <w:tcW w:w="2476" w:type="dxa"/>
                  <w:noWrap w:val="0"/>
                  <w:vAlign w:val="center"/>
                </w:tcPr>
                <w:p w14:paraId="08D8669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罐车</w:t>
                  </w:r>
                </w:p>
              </w:tc>
              <w:tc>
                <w:tcPr>
                  <w:tcW w:w="1066" w:type="dxa"/>
                  <w:noWrap w:val="0"/>
                  <w:vAlign w:val="center"/>
                </w:tcPr>
                <w:p w14:paraId="071CDC1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5辆</w:t>
                  </w:r>
                </w:p>
              </w:tc>
              <w:tc>
                <w:tcPr>
                  <w:tcW w:w="2384" w:type="dxa"/>
                  <w:noWrap w:val="0"/>
                  <w:vAlign w:val="center"/>
                </w:tcPr>
                <w:p w14:paraId="0B6EE06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50m³</w:t>
                  </w:r>
                  <w:r>
                    <w:rPr>
                      <w:rFonts w:hint="eastAsia" w:cs="Times New Roman"/>
                      <w:color w:val="auto"/>
                      <w:lang w:val="en-US" w:eastAsia="zh-CN"/>
                    </w:rPr>
                    <w:t>/个</w:t>
                  </w:r>
                </w:p>
              </w:tc>
              <w:tc>
                <w:tcPr>
                  <w:tcW w:w="1229" w:type="dxa"/>
                  <w:noWrap w:val="0"/>
                  <w:vAlign w:val="center"/>
                </w:tcPr>
                <w:p w14:paraId="18A90A9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r>
            <w:tr w14:paraId="04878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noWrap w:val="0"/>
                  <w:vAlign w:val="center"/>
                </w:tcPr>
                <w:p w14:paraId="680D744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color w:val="auto"/>
                      <w:lang w:val="en-US" w:eastAsia="zh-CN"/>
                    </w:rPr>
                  </w:pPr>
                  <w:r>
                    <w:rPr>
                      <w:rFonts w:hint="eastAsia" w:cs="Times New Roman"/>
                      <w:color w:val="auto"/>
                      <w:lang w:val="en-US" w:eastAsia="zh-CN"/>
                    </w:rPr>
                    <w:t>9</w:t>
                  </w:r>
                </w:p>
              </w:tc>
              <w:tc>
                <w:tcPr>
                  <w:tcW w:w="2476" w:type="dxa"/>
                  <w:noWrap w:val="0"/>
                  <w:vAlign w:val="center"/>
                </w:tcPr>
                <w:p w14:paraId="27BE111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粉料卸料和输送</w:t>
                  </w:r>
                  <w:r>
                    <w:rPr>
                      <w:rFonts w:hint="eastAsia" w:cs="Times New Roman"/>
                      <w:color w:val="auto"/>
                      <w:lang w:val="en-US" w:eastAsia="zh-CN"/>
                    </w:rPr>
                    <w:t>皮带</w:t>
                  </w:r>
                </w:p>
              </w:tc>
              <w:tc>
                <w:tcPr>
                  <w:tcW w:w="1066" w:type="dxa"/>
                  <w:noWrap w:val="0"/>
                  <w:vAlign w:val="center"/>
                </w:tcPr>
                <w:p w14:paraId="202394B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color w:val="auto"/>
                      <w:lang w:val="en-US" w:eastAsia="zh-CN"/>
                    </w:rPr>
                  </w:pPr>
                  <w:r>
                    <w:rPr>
                      <w:rFonts w:hint="eastAsia" w:cs="Times New Roman"/>
                      <w:color w:val="auto"/>
                      <w:lang w:val="en-US" w:eastAsia="zh-CN"/>
                    </w:rPr>
                    <w:t>1条</w:t>
                  </w:r>
                </w:p>
              </w:tc>
              <w:tc>
                <w:tcPr>
                  <w:tcW w:w="2384" w:type="dxa"/>
                  <w:noWrap w:val="0"/>
                  <w:vAlign w:val="center"/>
                </w:tcPr>
                <w:p w14:paraId="2A8B265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Φ323*9.8米</w:t>
                  </w:r>
                </w:p>
              </w:tc>
              <w:tc>
                <w:tcPr>
                  <w:tcW w:w="1229" w:type="dxa"/>
                  <w:noWrap w:val="0"/>
                  <w:vAlign w:val="center"/>
                </w:tcPr>
                <w:p w14:paraId="768382F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w:t>
                  </w:r>
                </w:p>
              </w:tc>
            </w:tr>
            <w:tr w14:paraId="6E749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noWrap w:val="0"/>
                  <w:vAlign w:val="center"/>
                </w:tcPr>
                <w:p w14:paraId="5226824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color w:val="auto"/>
                      <w:lang w:val="en-US" w:eastAsia="zh-CN"/>
                    </w:rPr>
                  </w:pPr>
                  <w:r>
                    <w:rPr>
                      <w:rFonts w:hint="eastAsia" w:cs="Times New Roman"/>
                      <w:color w:val="auto"/>
                      <w:lang w:val="en-US" w:eastAsia="zh-CN"/>
                    </w:rPr>
                    <w:t>10</w:t>
                  </w:r>
                </w:p>
              </w:tc>
              <w:tc>
                <w:tcPr>
                  <w:tcW w:w="2476" w:type="dxa"/>
                  <w:noWrap w:val="0"/>
                  <w:vAlign w:val="center"/>
                </w:tcPr>
                <w:p w14:paraId="50F4A36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骨料卸料和输送</w:t>
                  </w:r>
                  <w:r>
                    <w:rPr>
                      <w:rFonts w:hint="eastAsia" w:cs="Times New Roman"/>
                      <w:color w:val="auto"/>
                      <w:lang w:val="en-US" w:eastAsia="zh-CN"/>
                    </w:rPr>
                    <w:t>皮带</w:t>
                  </w:r>
                </w:p>
              </w:tc>
              <w:tc>
                <w:tcPr>
                  <w:tcW w:w="1066" w:type="dxa"/>
                  <w:noWrap w:val="0"/>
                  <w:vAlign w:val="center"/>
                </w:tcPr>
                <w:p w14:paraId="3855FAB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cs="Times New Roman"/>
                      <w:color w:val="auto"/>
                      <w:lang w:val="en-US" w:eastAsia="zh-CN"/>
                    </w:rPr>
                  </w:pPr>
                  <w:r>
                    <w:rPr>
                      <w:rFonts w:hint="eastAsia" w:cs="Times New Roman"/>
                      <w:color w:val="auto"/>
                      <w:lang w:val="en-US" w:eastAsia="zh-CN"/>
                    </w:rPr>
                    <w:t>1条</w:t>
                  </w:r>
                </w:p>
              </w:tc>
              <w:tc>
                <w:tcPr>
                  <w:tcW w:w="2384" w:type="dxa"/>
                  <w:noWrap w:val="0"/>
                  <w:vAlign w:val="center"/>
                </w:tcPr>
                <w:p w14:paraId="3D8E43D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Φ273*9.8米</w:t>
                  </w:r>
                </w:p>
              </w:tc>
              <w:tc>
                <w:tcPr>
                  <w:tcW w:w="1229" w:type="dxa"/>
                  <w:noWrap w:val="0"/>
                  <w:vAlign w:val="center"/>
                </w:tcPr>
                <w:p w14:paraId="59A8603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w:t>
                  </w:r>
                </w:p>
              </w:tc>
            </w:tr>
          </w:tbl>
          <w:p w14:paraId="0BC79921">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4.产品方案</w:t>
            </w:r>
          </w:p>
          <w:p w14:paraId="23C277D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本项目年产16万m³/a（比重按2.3</w:t>
            </w:r>
            <w:r>
              <w:rPr>
                <w:rFonts w:hint="eastAsia" w:ascii="Times New Roman" w:hAnsi="Times New Roman" w:cs="Times New Roman"/>
                <w:lang w:val="en-US" w:eastAsia="zh-CN"/>
              </w:rPr>
              <w:t>5</w:t>
            </w:r>
            <w:r>
              <w:rPr>
                <w:rFonts w:hint="default" w:ascii="Times New Roman" w:hAnsi="Times New Roman" w:cs="Times New Roman"/>
                <w:lang w:val="en-US" w:eastAsia="zh-CN"/>
              </w:rPr>
              <w:t>t/m³）商品混凝土，约</w:t>
            </w:r>
            <w:r>
              <w:rPr>
                <w:rFonts w:hint="eastAsia" w:ascii="Times New Roman" w:hAnsi="Times New Roman" w:cs="Times New Roman"/>
                <w:lang w:val="en-US" w:eastAsia="zh-CN"/>
              </w:rPr>
              <w:t>37.6</w:t>
            </w:r>
            <w:r>
              <w:rPr>
                <w:rFonts w:hint="default" w:ascii="Times New Roman" w:hAnsi="Times New Roman" w:cs="Times New Roman"/>
                <w:lang w:val="en-US" w:eastAsia="zh-CN"/>
              </w:rPr>
              <w:t>万t/a。</w:t>
            </w:r>
          </w:p>
          <w:p w14:paraId="587F0DB3">
            <w:pPr>
              <w:bidi w:val="0"/>
              <w:ind w:left="0" w:leftChars="0" w:firstLine="0" w:firstLineChars="0"/>
              <w:jc w:val="center"/>
              <w:rPr>
                <w:rFonts w:hint="default" w:ascii="Times New Roman" w:hAnsi="Times New Roman" w:cs="Times New Roman"/>
                <w:b/>
                <w:bCs/>
                <w:color w:val="auto"/>
                <w:vertAlign w:val="baseline"/>
                <w:lang w:val="en-US" w:eastAsia="zh-CN"/>
              </w:rPr>
            </w:pPr>
            <w:r>
              <w:rPr>
                <w:rFonts w:hint="default" w:ascii="Times New Roman" w:hAnsi="Times New Roman" w:cs="Times New Roman"/>
                <w:b/>
                <w:bCs/>
                <w:color w:val="auto"/>
                <w:lang w:val="en-US" w:eastAsia="zh-CN"/>
              </w:rPr>
              <w:t>表2-3本项目产品方案一览表</w:t>
            </w:r>
          </w:p>
          <w:tbl>
            <w:tblPr>
              <w:tblStyle w:val="18"/>
              <w:tblW w:w="79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2902"/>
              <w:gridCol w:w="4187"/>
            </w:tblGrid>
            <w:tr w14:paraId="74D38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838" w:type="dxa"/>
                  <w:noWrap w:val="0"/>
                  <w:vAlign w:val="center"/>
                </w:tcPr>
                <w:p w14:paraId="270D717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b w:val="0"/>
                      <w:bCs w:val="0"/>
                      <w:color w:val="auto"/>
                      <w:vertAlign w:val="baseline"/>
                      <w:lang w:val="en-US" w:eastAsia="zh-CN"/>
                    </w:rPr>
                  </w:pPr>
                  <w:r>
                    <w:rPr>
                      <w:rFonts w:hint="default" w:ascii="Times New Roman" w:hAnsi="Times New Roman" w:cs="Times New Roman"/>
                      <w:b w:val="0"/>
                      <w:bCs w:val="0"/>
                      <w:color w:val="auto"/>
                      <w:vertAlign w:val="baseline"/>
                      <w:lang w:val="en-US" w:eastAsia="zh-CN"/>
                    </w:rPr>
                    <w:t>序号</w:t>
                  </w:r>
                </w:p>
              </w:tc>
              <w:tc>
                <w:tcPr>
                  <w:tcW w:w="2902" w:type="dxa"/>
                  <w:noWrap w:val="0"/>
                  <w:vAlign w:val="center"/>
                </w:tcPr>
                <w:p w14:paraId="1126577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b w:val="0"/>
                      <w:bCs w:val="0"/>
                      <w:color w:val="auto"/>
                      <w:vertAlign w:val="baseline"/>
                      <w:lang w:val="en-US" w:eastAsia="zh-CN"/>
                    </w:rPr>
                  </w:pPr>
                  <w:r>
                    <w:rPr>
                      <w:rFonts w:hint="default" w:ascii="Times New Roman" w:hAnsi="Times New Roman" w:cs="Times New Roman"/>
                      <w:b w:val="0"/>
                      <w:bCs w:val="0"/>
                      <w:color w:val="auto"/>
                      <w:vertAlign w:val="baseline"/>
                      <w:lang w:val="en-US" w:eastAsia="zh-CN"/>
                    </w:rPr>
                    <w:t>产品名称</w:t>
                  </w:r>
                </w:p>
              </w:tc>
              <w:tc>
                <w:tcPr>
                  <w:tcW w:w="4187" w:type="dxa"/>
                  <w:noWrap w:val="0"/>
                  <w:vAlign w:val="center"/>
                </w:tcPr>
                <w:p w14:paraId="78669B8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b w:val="0"/>
                      <w:bCs w:val="0"/>
                      <w:color w:val="auto"/>
                      <w:vertAlign w:val="baseline"/>
                      <w:lang w:val="en-US" w:eastAsia="zh-CN"/>
                    </w:rPr>
                  </w:pPr>
                  <w:r>
                    <w:rPr>
                      <w:rFonts w:hint="default" w:ascii="Times New Roman" w:hAnsi="Times New Roman" w:cs="Times New Roman"/>
                      <w:b w:val="0"/>
                      <w:bCs w:val="0"/>
                      <w:color w:val="auto"/>
                      <w:vertAlign w:val="baseline"/>
                      <w:lang w:val="en-US" w:eastAsia="zh-CN"/>
                    </w:rPr>
                    <w:t>设计产能</w:t>
                  </w:r>
                </w:p>
              </w:tc>
            </w:tr>
            <w:tr w14:paraId="29CE8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838" w:type="dxa"/>
                  <w:noWrap w:val="0"/>
                  <w:vAlign w:val="center"/>
                </w:tcPr>
                <w:p w14:paraId="64B053C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b w:val="0"/>
                      <w:bCs w:val="0"/>
                      <w:color w:val="auto"/>
                      <w:vertAlign w:val="baseline"/>
                      <w:lang w:val="en-US" w:eastAsia="zh-CN"/>
                    </w:rPr>
                  </w:pPr>
                  <w:r>
                    <w:rPr>
                      <w:rFonts w:hint="default" w:ascii="Times New Roman" w:hAnsi="Times New Roman" w:cs="Times New Roman"/>
                      <w:b w:val="0"/>
                      <w:bCs w:val="0"/>
                      <w:color w:val="auto"/>
                      <w:vertAlign w:val="baseline"/>
                      <w:lang w:val="en-US" w:eastAsia="zh-CN"/>
                    </w:rPr>
                    <w:t>1</w:t>
                  </w:r>
                </w:p>
              </w:tc>
              <w:tc>
                <w:tcPr>
                  <w:tcW w:w="2902" w:type="dxa"/>
                  <w:noWrap w:val="0"/>
                  <w:vAlign w:val="center"/>
                </w:tcPr>
                <w:p w14:paraId="7F8A20A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b w:val="0"/>
                      <w:bCs w:val="0"/>
                      <w:color w:val="auto"/>
                      <w:vertAlign w:val="baseline"/>
                      <w:lang w:val="en-US" w:eastAsia="zh-CN"/>
                    </w:rPr>
                  </w:pPr>
                  <w:r>
                    <w:rPr>
                      <w:rFonts w:hint="default" w:ascii="Times New Roman" w:hAnsi="Times New Roman" w:cs="Times New Roman"/>
                      <w:b w:val="0"/>
                      <w:bCs w:val="0"/>
                      <w:color w:val="auto"/>
                      <w:vertAlign w:val="baseline"/>
                      <w:lang w:val="en-US" w:eastAsia="zh-CN"/>
                    </w:rPr>
                    <w:t>商品混凝土（C15-C50）</w:t>
                  </w:r>
                </w:p>
              </w:tc>
              <w:tc>
                <w:tcPr>
                  <w:tcW w:w="4187" w:type="dxa"/>
                  <w:noWrap w:val="0"/>
                  <w:vAlign w:val="center"/>
                </w:tcPr>
                <w:p w14:paraId="0DE339B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b w:val="0"/>
                      <w:bCs w:val="0"/>
                      <w:color w:val="auto"/>
                      <w:vertAlign w:val="baseline"/>
                      <w:lang w:val="en-US" w:eastAsia="zh-CN"/>
                    </w:rPr>
                  </w:pPr>
                  <w:r>
                    <w:rPr>
                      <w:rFonts w:hint="default" w:ascii="Times New Roman" w:hAnsi="Times New Roman" w:eastAsia="宋体" w:cs="Times New Roman"/>
                      <w:b w:val="0"/>
                      <w:bCs w:val="0"/>
                      <w:color w:val="auto"/>
                      <w:vertAlign w:val="baseline"/>
                      <w:lang w:val="en-US" w:eastAsia="zh-CN"/>
                    </w:rPr>
                    <w:t>16万m³，约</w:t>
                  </w:r>
                  <w:r>
                    <w:rPr>
                      <w:rFonts w:hint="eastAsia" w:ascii="Times New Roman" w:hAnsi="Times New Roman" w:eastAsia="宋体" w:cs="Times New Roman"/>
                      <w:b w:val="0"/>
                      <w:bCs w:val="0"/>
                      <w:color w:val="auto"/>
                      <w:vertAlign w:val="baseline"/>
                      <w:lang w:val="en-US" w:eastAsia="zh-CN"/>
                    </w:rPr>
                    <w:t>37.6</w:t>
                  </w:r>
                  <w:r>
                    <w:rPr>
                      <w:rFonts w:hint="default" w:ascii="Times New Roman" w:hAnsi="Times New Roman" w:eastAsia="宋体" w:cs="Times New Roman"/>
                      <w:b w:val="0"/>
                      <w:bCs w:val="0"/>
                      <w:color w:val="auto"/>
                      <w:vertAlign w:val="baseline"/>
                      <w:lang w:val="en-US" w:eastAsia="zh-CN"/>
                    </w:rPr>
                    <w:t>万t/a</w:t>
                  </w:r>
                </w:p>
              </w:tc>
            </w:tr>
          </w:tbl>
          <w:p w14:paraId="1ED90819">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5.主要原辅材料及能源消耗</w:t>
            </w:r>
          </w:p>
          <w:p w14:paraId="6961D199">
            <w:pPr>
              <w:bidi w:val="0"/>
              <w:rPr>
                <w:rFonts w:hint="default" w:ascii="Times New Roman" w:hAnsi="Times New Roman" w:cs="Times New Roman"/>
                <w:color w:val="auto"/>
                <w:lang w:val="en-US" w:eastAsia="zh-CN"/>
              </w:rPr>
            </w:pPr>
            <w:r>
              <w:rPr>
                <w:rFonts w:hint="default" w:ascii="Times New Roman" w:hAnsi="Times New Roman" w:cs="Times New Roman"/>
                <w:color w:val="auto"/>
                <w:highlight w:val="none"/>
                <w:lang w:val="en-US" w:eastAsia="zh-CN"/>
              </w:rPr>
              <w:t>本项目产品为商品混凝土，主要原辅料为</w:t>
            </w:r>
            <w:r>
              <w:rPr>
                <w:rFonts w:hint="eastAsia" w:cs="Times New Roman"/>
                <w:color w:val="auto"/>
                <w:highlight w:val="none"/>
                <w:lang w:val="en-US" w:eastAsia="zh-CN"/>
              </w:rPr>
              <w:t>砂子</w:t>
            </w: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石子</w:t>
            </w:r>
            <w:r>
              <w:rPr>
                <w:rFonts w:hint="default" w:ascii="Times New Roman" w:hAnsi="Times New Roman" w:cs="Times New Roman"/>
                <w:color w:val="auto"/>
                <w:highlight w:val="none"/>
                <w:lang w:val="en-US" w:eastAsia="zh-CN"/>
              </w:rPr>
              <w:t>、水泥、粉煤灰、水、外加剂等。本项目所需原辅材料均来源于当地周边市场，原辅材料来源均为正规生产、具有合法手续的企业，尤其是</w:t>
            </w:r>
            <w:r>
              <w:rPr>
                <w:rFonts w:hint="eastAsia" w:cs="Times New Roman"/>
                <w:color w:val="auto"/>
                <w:highlight w:val="none"/>
                <w:lang w:val="en-US" w:eastAsia="zh-CN"/>
              </w:rPr>
              <w:t>砂子</w:t>
            </w: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石子</w:t>
            </w:r>
            <w:r>
              <w:rPr>
                <w:rFonts w:hint="default" w:ascii="Times New Roman" w:hAnsi="Times New Roman" w:cs="Times New Roman"/>
                <w:color w:val="auto"/>
                <w:highlight w:val="none"/>
                <w:lang w:val="en-US" w:eastAsia="zh-CN"/>
              </w:rPr>
              <w:t>来源合法，不会造成私挖滥采，原辅材料来源合法。主要原辅材料及能源消</w:t>
            </w:r>
            <w:r>
              <w:rPr>
                <w:rFonts w:hint="default" w:ascii="Times New Roman" w:hAnsi="Times New Roman" w:cs="Times New Roman"/>
                <w:color w:val="auto"/>
                <w:lang w:val="en-US" w:eastAsia="zh-CN"/>
              </w:rPr>
              <w:t>耗详见表2-4。</w:t>
            </w:r>
          </w:p>
          <w:p w14:paraId="76E594EE">
            <w:pPr>
              <w:bidi w:val="0"/>
              <w:jc w:val="center"/>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表2-4主要原辅材料及能源消耗一览表（单位：万t/a）</w:t>
            </w:r>
          </w:p>
          <w:tbl>
            <w:tblPr>
              <w:tblStyle w:val="17"/>
              <w:tblW w:w="7997" w:type="dxa"/>
              <w:tblInd w:w="-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
            <w:tblGrid>
              <w:gridCol w:w="5"/>
              <w:gridCol w:w="526"/>
              <w:gridCol w:w="1438"/>
              <w:gridCol w:w="962"/>
              <w:gridCol w:w="1175"/>
              <w:gridCol w:w="1063"/>
              <w:gridCol w:w="987"/>
              <w:gridCol w:w="1841"/>
            </w:tblGrid>
            <w:tr w14:paraId="7A17E2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gridBefore w:val="1"/>
                <w:wBefore w:w="5" w:type="dxa"/>
                <w:trHeight w:val="624" w:hRule="atLeast"/>
              </w:trPr>
              <w:tc>
                <w:tcPr>
                  <w:tcW w:w="1964" w:type="dxa"/>
                  <w:gridSpan w:val="2"/>
                  <w:shd w:val="clear" w:color="auto" w:fill="auto"/>
                  <w:noWrap/>
                  <w:vAlign w:val="center"/>
                </w:tcPr>
                <w:p w14:paraId="6FA3D9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lang w:val="en-US" w:eastAsia="zh-CN"/>
                    </w:rPr>
                    <w:t>名称</w:t>
                  </w:r>
                </w:p>
              </w:tc>
              <w:tc>
                <w:tcPr>
                  <w:tcW w:w="962" w:type="dxa"/>
                  <w:shd w:val="clear" w:color="auto" w:fill="auto"/>
                  <w:noWrap/>
                  <w:vAlign w:val="center"/>
                </w:tcPr>
                <w:p w14:paraId="7463F8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lang w:val="en-US" w:eastAsia="zh-CN"/>
                    </w:rPr>
                    <w:t>年消耗量</w:t>
                  </w:r>
                  <w:r>
                    <w:rPr>
                      <w:rFonts w:hint="eastAsia" w:cs="Times New Roman"/>
                      <w:lang w:val="en-US" w:eastAsia="zh-CN"/>
                    </w:rPr>
                    <w:t>（</w:t>
                  </w:r>
                  <w:r>
                    <w:rPr>
                      <w:rFonts w:hint="default" w:ascii="Times New Roman" w:hAnsi="Times New Roman" w:cs="Times New Roman"/>
                      <w:lang w:val="en-US" w:eastAsia="zh-CN"/>
                    </w:rPr>
                    <w:t>t/a</w:t>
                  </w:r>
                  <w:r>
                    <w:rPr>
                      <w:rFonts w:hint="eastAsia" w:cs="Times New Roman"/>
                      <w:lang w:val="en-US" w:eastAsia="zh-CN"/>
                    </w:rPr>
                    <w:t>）</w:t>
                  </w:r>
                </w:p>
              </w:tc>
              <w:tc>
                <w:tcPr>
                  <w:tcW w:w="1175" w:type="dxa"/>
                  <w:shd w:val="clear" w:color="auto" w:fill="auto"/>
                  <w:noWrap/>
                  <w:vAlign w:val="center"/>
                </w:tcPr>
                <w:p w14:paraId="026BBB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lang w:val="en-US" w:eastAsia="zh-CN"/>
                    </w:rPr>
                    <w:t>来源</w:t>
                  </w:r>
                </w:p>
              </w:tc>
              <w:tc>
                <w:tcPr>
                  <w:tcW w:w="1063" w:type="dxa"/>
                  <w:shd w:val="clear" w:color="auto" w:fill="auto"/>
                  <w:noWrap/>
                  <w:vAlign w:val="center"/>
                </w:tcPr>
                <w:p w14:paraId="6B46C0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lang w:val="en-US" w:eastAsia="zh-CN"/>
                    </w:rPr>
                    <w:t>存储方式</w:t>
                  </w:r>
                </w:p>
              </w:tc>
              <w:tc>
                <w:tcPr>
                  <w:tcW w:w="987" w:type="dxa"/>
                  <w:shd w:val="clear" w:color="auto" w:fill="auto"/>
                  <w:noWrap/>
                  <w:vAlign w:val="center"/>
                </w:tcPr>
                <w:p w14:paraId="24CE30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最大储存量</w:t>
                  </w:r>
                </w:p>
              </w:tc>
              <w:tc>
                <w:tcPr>
                  <w:tcW w:w="1841" w:type="dxa"/>
                  <w:shd w:val="clear" w:color="auto" w:fill="auto"/>
                  <w:noWrap/>
                  <w:vAlign w:val="center"/>
                </w:tcPr>
                <w:p w14:paraId="2D2D00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lang w:val="en-US" w:eastAsia="zh-CN"/>
                    </w:rPr>
                    <w:t>单方用量吨</w:t>
                  </w:r>
                </w:p>
              </w:tc>
            </w:tr>
            <w:tr w14:paraId="60C5B2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63" w:hRule="atLeast"/>
              </w:trPr>
              <w:tc>
                <w:tcPr>
                  <w:tcW w:w="531" w:type="dxa"/>
                  <w:gridSpan w:val="2"/>
                  <w:vMerge w:val="restart"/>
                  <w:shd w:val="clear" w:color="auto" w:fill="auto"/>
                  <w:noWrap/>
                  <w:vAlign w:val="center"/>
                </w:tcPr>
                <w:p w14:paraId="712E0B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lang w:val="en-US" w:eastAsia="zh-CN"/>
                    </w:rPr>
                    <w:t>原辅材料</w:t>
                  </w:r>
                </w:p>
              </w:tc>
              <w:tc>
                <w:tcPr>
                  <w:tcW w:w="1438" w:type="dxa"/>
                  <w:shd w:val="clear" w:color="auto" w:fill="auto"/>
                  <w:noWrap/>
                  <w:vAlign w:val="center"/>
                </w:tcPr>
                <w:p w14:paraId="48ADB7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lang w:val="en-US"/>
                    </w:rPr>
                  </w:pPr>
                  <w:r>
                    <w:rPr>
                      <w:rFonts w:hint="default" w:ascii="Times New Roman" w:hAnsi="Times New Roman" w:cs="Times New Roman"/>
                      <w:lang w:val="en-US" w:eastAsia="zh-CN"/>
                    </w:rPr>
                    <w:t>砂</w:t>
                  </w:r>
                  <w:r>
                    <w:rPr>
                      <w:rFonts w:hint="eastAsia" w:ascii="Times New Roman" w:hAnsi="Times New Roman" w:cs="Times New Roman"/>
                      <w:lang w:val="en-US" w:eastAsia="zh-CN"/>
                    </w:rPr>
                    <w:t>子</w:t>
                  </w:r>
                  <w:r>
                    <w:rPr>
                      <w:rFonts w:hint="eastAsia" w:cs="Times New Roman"/>
                      <w:lang w:val="en-US" w:eastAsia="zh-CN"/>
                    </w:rPr>
                    <w:t>（中砂）</w:t>
                  </w:r>
                </w:p>
              </w:tc>
              <w:tc>
                <w:tcPr>
                  <w:tcW w:w="962" w:type="dxa"/>
                  <w:shd w:val="clear" w:color="auto" w:fill="auto"/>
                  <w:noWrap/>
                  <w:vAlign w:val="center"/>
                </w:tcPr>
                <w:p w14:paraId="268BAD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120000</w:t>
                  </w:r>
                </w:p>
              </w:tc>
              <w:tc>
                <w:tcPr>
                  <w:tcW w:w="1175" w:type="dxa"/>
                  <w:shd w:val="clear" w:color="auto" w:fill="auto"/>
                  <w:noWrap/>
                  <w:vAlign w:val="center"/>
                </w:tcPr>
                <w:p w14:paraId="592229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lang w:val="en-US" w:eastAsia="zh-CN"/>
                    </w:rPr>
                    <w:t>外购</w:t>
                  </w:r>
                </w:p>
              </w:tc>
              <w:tc>
                <w:tcPr>
                  <w:tcW w:w="1063" w:type="dxa"/>
                  <w:shd w:val="clear" w:color="auto" w:fill="auto"/>
                  <w:noWrap/>
                  <w:vAlign w:val="center"/>
                </w:tcPr>
                <w:p w14:paraId="27B679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lang w:val="en-US" w:eastAsia="zh-CN"/>
                    </w:rPr>
                  </w:pPr>
                  <w:r>
                    <w:rPr>
                      <w:rFonts w:hint="eastAsia" w:cs="Times New Roman"/>
                      <w:lang w:val="en-US" w:eastAsia="zh-CN"/>
                    </w:rPr>
                    <w:t>原料堆场存储</w:t>
                  </w:r>
                </w:p>
              </w:tc>
              <w:tc>
                <w:tcPr>
                  <w:tcW w:w="987" w:type="dxa"/>
                  <w:shd w:val="clear" w:color="auto" w:fill="auto"/>
                  <w:noWrap/>
                  <w:vAlign w:val="center"/>
                </w:tcPr>
                <w:p w14:paraId="0CC980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eastAsia" w:cs="Times New Roman"/>
                      <w:lang w:val="en-US" w:eastAsia="zh-CN"/>
                    </w:rPr>
                    <w:t>4179t</w:t>
                  </w:r>
                </w:p>
              </w:tc>
              <w:tc>
                <w:tcPr>
                  <w:tcW w:w="1841" w:type="dxa"/>
                  <w:shd w:val="clear" w:color="auto" w:fill="auto"/>
                  <w:noWrap/>
                  <w:vAlign w:val="center"/>
                </w:tcPr>
                <w:p w14:paraId="523BF1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lang w:val="en-US"/>
                    </w:rPr>
                  </w:pPr>
                  <w:r>
                    <w:rPr>
                      <w:rFonts w:hint="default" w:ascii="Times New Roman" w:hAnsi="Times New Roman" w:cs="Times New Roman"/>
                      <w:lang w:val="en-US" w:eastAsia="zh-CN"/>
                    </w:rPr>
                    <w:t>0.75</w:t>
                  </w:r>
                  <w:r>
                    <w:rPr>
                      <w:rFonts w:hint="eastAsia" w:cs="Times New Roman"/>
                      <w:lang w:val="en-US" w:eastAsia="zh-CN"/>
                    </w:rPr>
                    <w:t>t/</w:t>
                  </w:r>
                  <w:r>
                    <w:rPr>
                      <w:rFonts w:hint="default" w:ascii="Times New Roman" w:hAnsi="Times New Roman" w:eastAsia="宋体" w:cs="Times New Roman"/>
                      <w:b w:val="0"/>
                      <w:bCs w:val="0"/>
                      <w:color w:val="auto"/>
                      <w:vertAlign w:val="baseline"/>
                      <w:lang w:val="en-US" w:eastAsia="zh-CN"/>
                    </w:rPr>
                    <w:t>m³</w:t>
                  </w:r>
                  <w:r>
                    <w:rPr>
                      <w:rFonts w:hint="eastAsia" w:cs="Times New Roman"/>
                      <w:b w:val="0"/>
                      <w:bCs w:val="0"/>
                      <w:color w:val="auto"/>
                      <w:vertAlign w:val="baseline"/>
                      <w:lang w:val="en-US" w:eastAsia="zh-CN"/>
                    </w:rPr>
                    <w:t>-</w:t>
                  </w:r>
                  <w:r>
                    <w:rPr>
                      <w:rFonts w:hint="default" w:ascii="Times New Roman" w:hAnsi="Times New Roman" w:cs="Times New Roman"/>
                      <w:b w:val="0"/>
                      <w:bCs w:val="0"/>
                      <w:color w:val="auto"/>
                      <w:vertAlign w:val="baseline"/>
                      <w:lang w:val="en-US" w:eastAsia="zh-CN"/>
                    </w:rPr>
                    <w:t>商品混凝土</w:t>
                  </w:r>
                </w:p>
              </w:tc>
            </w:tr>
            <w:tr w14:paraId="52AD27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4" w:hRule="atLeast"/>
              </w:trPr>
              <w:tc>
                <w:tcPr>
                  <w:tcW w:w="531" w:type="dxa"/>
                  <w:gridSpan w:val="2"/>
                  <w:vMerge w:val="continue"/>
                  <w:shd w:val="clear" w:color="auto" w:fill="auto"/>
                  <w:noWrap/>
                  <w:vAlign w:val="center"/>
                </w:tcPr>
                <w:p w14:paraId="070D17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p>
              </w:tc>
              <w:tc>
                <w:tcPr>
                  <w:tcW w:w="1438" w:type="dxa"/>
                  <w:shd w:val="clear" w:color="auto" w:fill="auto"/>
                  <w:noWrap/>
                  <w:vAlign w:val="center"/>
                </w:tcPr>
                <w:p w14:paraId="7DFD51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lang w:val="en-US"/>
                    </w:rPr>
                  </w:pPr>
                  <w:r>
                    <w:rPr>
                      <w:rFonts w:hint="default" w:ascii="Times New Roman" w:hAnsi="Times New Roman" w:cs="Times New Roman"/>
                      <w:lang w:val="en-US" w:eastAsia="zh-CN"/>
                    </w:rPr>
                    <w:t>石</w:t>
                  </w:r>
                  <w:r>
                    <w:rPr>
                      <w:rFonts w:hint="eastAsia" w:ascii="Times New Roman" w:hAnsi="Times New Roman" w:cs="Times New Roman"/>
                      <w:lang w:val="en-US" w:eastAsia="zh-CN"/>
                    </w:rPr>
                    <w:t>子</w:t>
                  </w:r>
                  <w:r>
                    <w:rPr>
                      <w:rFonts w:hint="eastAsia" w:cs="Times New Roman"/>
                      <w:lang w:val="en-US" w:eastAsia="zh-CN"/>
                    </w:rPr>
                    <w:t>（5-25mm）</w:t>
                  </w:r>
                </w:p>
              </w:tc>
              <w:tc>
                <w:tcPr>
                  <w:tcW w:w="962" w:type="dxa"/>
                  <w:shd w:val="clear" w:color="auto" w:fill="auto"/>
                  <w:noWrap/>
                  <w:vAlign w:val="center"/>
                </w:tcPr>
                <w:p w14:paraId="522E23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168000</w:t>
                  </w:r>
                </w:p>
              </w:tc>
              <w:tc>
                <w:tcPr>
                  <w:tcW w:w="1175" w:type="dxa"/>
                  <w:shd w:val="clear" w:color="auto" w:fill="auto"/>
                  <w:noWrap/>
                  <w:vAlign w:val="center"/>
                </w:tcPr>
                <w:p w14:paraId="181DF7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lang w:val="en-US" w:eastAsia="zh-CN"/>
                    </w:rPr>
                    <w:t>外购</w:t>
                  </w:r>
                </w:p>
              </w:tc>
              <w:tc>
                <w:tcPr>
                  <w:tcW w:w="1063" w:type="dxa"/>
                  <w:shd w:val="clear" w:color="auto" w:fill="auto"/>
                  <w:noWrap/>
                  <w:vAlign w:val="center"/>
                </w:tcPr>
                <w:p w14:paraId="4ADAAC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eastAsia" w:cs="Times New Roman"/>
                      <w:lang w:val="en-US" w:eastAsia="zh-CN"/>
                    </w:rPr>
                    <w:t>原料堆场存储</w:t>
                  </w:r>
                </w:p>
              </w:tc>
              <w:tc>
                <w:tcPr>
                  <w:tcW w:w="987" w:type="dxa"/>
                  <w:shd w:val="clear" w:color="auto" w:fill="auto"/>
                  <w:noWrap/>
                  <w:vAlign w:val="center"/>
                </w:tcPr>
                <w:p w14:paraId="56D6D9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eastAsia" w:cs="Times New Roman"/>
                      <w:lang w:val="en-US" w:eastAsia="zh-CN"/>
                    </w:rPr>
                    <w:t>5851t</w:t>
                  </w:r>
                </w:p>
              </w:tc>
              <w:tc>
                <w:tcPr>
                  <w:tcW w:w="1841" w:type="dxa"/>
                  <w:shd w:val="clear" w:color="auto" w:fill="auto"/>
                  <w:noWrap/>
                  <w:vAlign w:val="center"/>
                </w:tcPr>
                <w:p w14:paraId="086332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lang w:val="en-US" w:eastAsia="zh-CN"/>
                    </w:rPr>
                    <w:t>1.05</w:t>
                  </w:r>
                  <w:r>
                    <w:rPr>
                      <w:rFonts w:hint="eastAsia" w:cs="Times New Roman"/>
                      <w:lang w:val="en-US" w:eastAsia="zh-CN"/>
                    </w:rPr>
                    <w:t>t/</w:t>
                  </w:r>
                  <w:r>
                    <w:rPr>
                      <w:rFonts w:hint="default" w:ascii="Times New Roman" w:hAnsi="Times New Roman" w:eastAsia="宋体" w:cs="Times New Roman"/>
                      <w:b w:val="0"/>
                      <w:bCs w:val="0"/>
                      <w:color w:val="auto"/>
                      <w:vertAlign w:val="baseline"/>
                      <w:lang w:val="en-US" w:eastAsia="zh-CN"/>
                    </w:rPr>
                    <w:t>m³</w:t>
                  </w:r>
                  <w:r>
                    <w:rPr>
                      <w:rFonts w:hint="eastAsia" w:cs="Times New Roman"/>
                      <w:b w:val="0"/>
                      <w:bCs w:val="0"/>
                      <w:color w:val="auto"/>
                      <w:vertAlign w:val="baseline"/>
                      <w:lang w:val="en-US" w:eastAsia="zh-CN"/>
                    </w:rPr>
                    <w:t>-</w:t>
                  </w:r>
                  <w:r>
                    <w:rPr>
                      <w:rFonts w:hint="default" w:ascii="Times New Roman" w:hAnsi="Times New Roman" w:cs="Times New Roman"/>
                      <w:b w:val="0"/>
                      <w:bCs w:val="0"/>
                      <w:color w:val="auto"/>
                      <w:vertAlign w:val="baseline"/>
                      <w:lang w:val="en-US" w:eastAsia="zh-CN"/>
                    </w:rPr>
                    <w:t>商品混凝土</w:t>
                  </w:r>
                </w:p>
              </w:tc>
            </w:tr>
            <w:tr w14:paraId="58DE7E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624" w:hRule="atLeast"/>
              </w:trPr>
              <w:tc>
                <w:tcPr>
                  <w:tcW w:w="531" w:type="dxa"/>
                  <w:gridSpan w:val="2"/>
                  <w:vMerge w:val="continue"/>
                  <w:shd w:val="clear" w:color="auto" w:fill="auto"/>
                  <w:noWrap/>
                  <w:vAlign w:val="center"/>
                </w:tcPr>
                <w:p w14:paraId="65FCC0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p>
              </w:tc>
              <w:tc>
                <w:tcPr>
                  <w:tcW w:w="1438" w:type="dxa"/>
                  <w:shd w:val="clear" w:color="auto" w:fill="auto"/>
                  <w:noWrap/>
                  <w:vAlign w:val="center"/>
                </w:tcPr>
                <w:p w14:paraId="57D675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lang w:val="en-US" w:eastAsia="zh-CN"/>
                    </w:rPr>
                    <w:t>水泥</w:t>
                  </w:r>
                </w:p>
              </w:tc>
              <w:tc>
                <w:tcPr>
                  <w:tcW w:w="962" w:type="dxa"/>
                  <w:shd w:val="clear" w:color="auto" w:fill="auto"/>
                  <w:noWrap/>
                  <w:vAlign w:val="center"/>
                </w:tcPr>
                <w:p w14:paraId="21F8CA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44600</w:t>
                  </w:r>
                </w:p>
              </w:tc>
              <w:tc>
                <w:tcPr>
                  <w:tcW w:w="1175" w:type="dxa"/>
                  <w:shd w:val="clear" w:color="auto" w:fill="auto"/>
                  <w:noWrap/>
                  <w:vAlign w:val="center"/>
                </w:tcPr>
                <w:p w14:paraId="6E1E0D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lang w:val="en-US" w:eastAsia="zh-CN"/>
                    </w:rPr>
                    <w:t>外购</w:t>
                  </w:r>
                </w:p>
              </w:tc>
              <w:tc>
                <w:tcPr>
                  <w:tcW w:w="1063" w:type="dxa"/>
                  <w:shd w:val="clear" w:color="auto" w:fill="auto"/>
                  <w:noWrap/>
                  <w:vAlign w:val="center"/>
                </w:tcPr>
                <w:p w14:paraId="3EE16C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lang w:val="en-US" w:eastAsia="zh-CN"/>
                    </w:rPr>
                  </w:pPr>
                  <w:r>
                    <w:rPr>
                      <w:rFonts w:hint="eastAsia" w:cs="Times New Roman"/>
                      <w:lang w:val="en-US" w:eastAsia="zh-CN"/>
                    </w:rPr>
                    <w:t>300t水泥筒仓</w:t>
                  </w:r>
                </w:p>
              </w:tc>
              <w:tc>
                <w:tcPr>
                  <w:tcW w:w="987" w:type="dxa"/>
                  <w:shd w:val="clear" w:color="auto" w:fill="auto"/>
                  <w:noWrap/>
                  <w:vAlign w:val="center"/>
                </w:tcPr>
                <w:p w14:paraId="61F5B5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eastAsia" w:cs="Times New Roman"/>
                      <w:lang w:val="en-US" w:eastAsia="zh-CN"/>
                    </w:rPr>
                    <w:t>600t</w:t>
                  </w:r>
                </w:p>
              </w:tc>
              <w:tc>
                <w:tcPr>
                  <w:tcW w:w="1841" w:type="dxa"/>
                  <w:shd w:val="clear" w:color="auto" w:fill="auto"/>
                  <w:noWrap/>
                  <w:vAlign w:val="center"/>
                </w:tcPr>
                <w:p w14:paraId="3D6188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lang w:val="en-US" w:eastAsia="zh-CN"/>
                    </w:rPr>
                    <w:t>0.2</w:t>
                  </w:r>
                  <w:r>
                    <w:rPr>
                      <w:rFonts w:hint="eastAsia" w:cs="Times New Roman"/>
                      <w:lang w:val="en-US" w:eastAsia="zh-CN"/>
                    </w:rPr>
                    <w:t>8t/</w:t>
                  </w:r>
                  <w:r>
                    <w:rPr>
                      <w:rFonts w:hint="default" w:ascii="Times New Roman" w:hAnsi="Times New Roman" w:eastAsia="宋体" w:cs="Times New Roman"/>
                      <w:b w:val="0"/>
                      <w:bCs w:val="0"/>
                      <w:color w:val="auto"/>
                      <w:vertAlign w:val="baseline"/>
                      <w:lang w:val="en-US" w:eastAsia="zh-CN"/>
                    </w:rPr>
                    <w:t>m³</w:t>
                  </w:r>
                  <w:r>
                    <w:rPr>
                      <w:rFonts w:hint="eastAsia" w:cs="Times New Roman"/>
                      <w:b w:val="0"/>
                      <w:bCs w:val="0"/>
                      <w:color w:val="auto"/>
                      <w:vertAlign w:val="baseline"/>
                      <w:lang w:val="en-US" w:eastAsia="zh-CN"/>
                    </w:rPr>
                    <w:t>-</w:t>
                  </w:r>
                  <w:r>
                    <w:rPr>
                      <w:rFonts w:hint="default" w:ascii="Times New Roman" w:hAnsi="Times New Roman" w:cs="Times New Roman"/>
                      <w:b w:val="0"/>
                      <w:bCs w:val="0"/>
                      <w:color w:val="auto"/>
                      <w:vertAlign w:val="baseline"/>
                      <w:lang w:val="en-US" w:eastAsia="zh-CN"/>
                    </w:rPr>
                    <w:t>商品混凝土</w:t>
                  </w:r>
                </w:p>
              </w:tc>
            </w:tr>
            <w:tr w14:paraId="1A3BC8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4" w:hRule="atLeast"/>
              </w:trPr>
              <w:tc>
                <w:tcPr>
                  <w:tcW w:w="531" w:type="dxa"/>
                  <w:gridSpan w:val="2"/>
                  <w:vMerge w:val="continue"/>
                  <w:shd w:val="clear" w:color="auto" w:fill="auto"/>
                  <w:noWrap/>
                  <w:vAlign w:val="center"/>
                </w:tcPr>
                <w:p w14:paraId="6D37BF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p>
              </w:tc>
              <w:tc>
                <w:tcPr>
                  <w:tcW w:w="1438" w:type="dxa"/>
                  <w:shd w:val="clear" w:color="auto" w:fill="auto"/>
                  <w:noWrap/>
                  <w:vAlign w:val="center"/>
                </w:tcPr>
                <w:p w14:paraId="0AD145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lang w:val="en-US" w:eastAsia="zh-CN"/>
                    </w:rPr>
                    <w:t>粉煤灰</w:t>
                  </w:r>
                </w:p>
              </w:tc>
              <w:tc>
                <w:tcPr>
                  <w:tcW w:w="962" w:type="dxa"/>
                  <w:shd w:val="clear" w:color="auto" w:fill="auto"/>
                  <w:noWrap/>
                  <w:vAlign w:val="center"/>
                </w:tcPr>
                <w:p w14:paraId="4EABD3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19000</w:t>
                  </w:r>
                </w:p>
              </w:tc>
              <w:tc>
                <w:tcPr>
                  <w:tcW w:w="1175" w:type="dxa"/>
                  <w:shd w:val="clear" w:color="auto" w:fill="auto"/>
                  <w:noWrap/>
                  <w:vAlign w:val="center"/>
                </w:tcPr>
                <w:p w14:paraId="1436FE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lang w:val="en-US" w:eastAsia="zh-CN"/>
                    </w:rPr>
                    <w:t>外购</w:t>
                  </w:r>
                </w:p>
              </w:tc>
              <w:tc>
                <w:tcPr>
                  <w:tcW w:w="1063" w:type="dxa"/>
                  <w:shd w:val="clear" w:color="auto" w:fill="auto"/>
                  <w:noWrap/>
                  <w:vAlign w:val="center"/>
                </w:tcPr>
                <w:p w14:paraId="604E07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lang w:val="en-US" w:eastAsia="zh-CN"/>
                    </w:rPr>
                  </w:pPr>
                  <w:r>
                    <w:rPr>
                      <w:rFonts w:hint="eastAsia" w:cs="Times New Roman"/>
                      <w:lang w:val="en-US" w:eastAsia="zh-CN"/>
                    </w:rPr>
                    <w:t>300t粉煤灰筒仓存储</w:t>
                  </w:r>
                </w:p>
              </w:tc>
              <w:tc>
                <w:tcPr>
                  <w:tcW w:w="987" w:type="dxa"/>
                  <w:shd w:val="clear" w:color="auto" w:fill="auto"/>
                  <w:noWrap/>
                  <w:vAlign w:val="center"/>
                </w:tcPr>
                <w:p w14:paraId="1B19F3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eastAsia" w:cs="Times New Roman"/>
                      <w:lang w:val="en-US" w:eastAsia="zh-CN"/>
                    </w:rPr>
                    <w:t>600t</w:t>
                  </w:r>
                </w:p>
              </w:tc>
              <w:tc>
                <w:tcPr>
                  <w:tcW w:w="1841" w:type="dxa"/>
                  <w:shd w:val="clear" w:color="auto" w:fill="auto"/>
                  <w:noWrap/>
                  <w:vAlign w:val="center"/>
                </w:tcPr>
                <w:p w14:paraId="7B3FF6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lang w:val="en-US" w:eastAsia="zh-CN"/>
                    </w:rPr>
                    <w:t>0.1</w:t>
                  </w:r>
                  <w:r>
                    <w:rPr>
                      <w:rFonts w:hint="eastAsia" w:cs="Times New Roman"/>
                      <w:lang w:val="en-US" w:eastAsia="zh-CN"/>
                    </w:rPr>
                    <w:t>2t/</w:t>
                  </w:r>
                  <w:r>
                    <w:rPr>
                      <w:rFonts w:hint="default" w:ascii="Times New Roman" w:hAnsi="Times New Roman" w:eastAsia="宋体" w:cs="Times New Roman"/>
                      <w:b w:val="0"/>
                      <w:bCs w:val="0"/>
                      <w:color w:val="auto"/>
                      <w:vertAlign w:val="baseline"/>
                      <w:lang w:val="en-US" w:eastAsia="zh-CN"/>
                    </w:rPr>
                    <w:t>m³</w:t>
                  </w:r>
                  <w:r>
                    <w:rPr>
                      <w:rFonts w:hint="eastAsia" w:cs="Times New Roman"/>
                      <w:b w:val="0"/>
                      <w:bCs w:val="0"/>
                      <w:color w:val="auto"/>
                      <w:vertAlign w:val="baseline"/>
                      <w:lang w:val="en-US" w:eastAsia="zh-CN"/>
                    </w:rPr>
                    <w:t>-</w:t>
                  </w:r>
                  <w:r>
                    <w:rPr>
                      <w:rFonts w:hint="default" w:ascii="Times New Roman" w:hAnsi="Times New Roman" w:cs="Times New Roman"/>
                      <w:b w:val="0"/>
                      <w:bCs w:val="0"/>
                      <w:color w:val="auto"/>
                      <w:vertAlign w:val="baseline"/>
                      <w:lang w:val="en-US" w:eastAsia="zh-CN"/>
                    </w:rPr>
                    <w:t>商品混凝土</w:t>
                  </w:r>
                </w:p>
              </w:tc>
            </w:tr>
            <w:tr w14:paraId="4AE880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4" w:hRule="atLeast"/>
              </w:trPr>
              <w:tc>
                <w:tcPr>
                  <w:tcW w:w="531" w:type="dxa"/>
                  <w:gridSpan w:val="2"/>
                  <w:vMerge w:val="continue"/>
                  <w:shd w:val="clear" w:color="auto" w:fill="auto"/>
                  <w:noWrap/>
                  <w:vAlign w:val="center"/>
                </w:tcPr>
                <w:p w14:paraId="281409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p>
              </w:tc>
              <w:tc>
                <w:tcPr>
                  <w:tcW w:w="1438" w:type="dxa"/>
                  <w:shd w:val="clear" w:color="auto" w:fill="auto"/>
                  <w:noWrap/>
                  <w:vAlign w:val="center"/>
                </w:tcPr>
                <w:p w14:paraId="72503F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lang w:val="en-US" w:eastAsia="zh-CN"/>
                    </w:rPr>
                    <w:t>外加剂</w:t>
                  </w:r>
                </w:p>
              </w:tc>
              <w:tc>
                <w:tcPr>
                  <w:tcW w:w="962" w:type="dxa"/>
                  <w:shd w:val="clear" w:color="auto" w:fill="auto"/>
                  <w:noWrap/>
                  <w:vAlign w:val="center"/>
                </w:tcPr>
                <w:p w14:paraId="374AA3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400</w:t>
                  </w:r>
                </w:p>
              </w:tc>
              <w:tc>
                <w:tcPr>
                  <w:tcW w:w="1175" w:type="dxa"/>
                  <w:shd w:val="clear" w:color="auto" w:fill="auto"/>
                  <w:noWrap/>
                  <w:vAlign w:val="center"/>
                </w:tcPr>
                <w:p w14:paraId="4E94FE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lang w:val="en-US" w:eastAsia="zh-CN"/>
                    </w:rPr>
                    <w:t>外购</w:t>
                  </w:r>
                </w:p>
              </w:tc>
              <w:tc>
                <w:tcPr>
                  <w:tcW w:w="1063" w:type="dxa"/>
                  <w:shd w:val="clear" w:color="auto" w:fill="auto"/>
                  <w:noWrap/>
                  <w:vAlign w:val="center"/>
                </w:tcPr>
                <w:p w14:paraId="378F6C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lang w:val="en-US" w:eastAsia="zh-CN"/>
                    </w:rPr>
                  </w:pPr>
                  <w:r>
                    <w:rPr>
                      <w:rFonts w:hint="eastAsia" w:cs="Times New Roman"/>
                      <w:lang w:val="en-US" w:eastAsia="zh-CN"/>
                    </w:rPr>
                    <w:t>外加剂储存罐</w:t>
                  </w:r>
                </w:p>
              </w:tc>
              <w:tc>
                <w:tcPr>
                  <w:tcW w:w="987" w:type="dxa"/>
                  <w:shd w:val="clear" w:color="auto" w:fill="auto"/>
                  <w:noWrap/>
                  <w:vAlign w:val="center"/>
                </w:tcPr>
                <w:p w14:paraId="70230E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eastAsia" w:cs="Times New Roman"/>
                      <w:lang w:val="en-US" w:eastAsia="zh-CN"/>
                    </w:rPr>
                    <w:t>袋装</w:t>
                  </w:r>
                </w:p>
              </w:tc>
              <w:tc>
                <w:tcPr>
                  <w:tcW w:w="1841" w:type="dxa"/>
                  <w:shd w:val="clear" w:color="auto" w:fill="auto"/>
                  <w:noWrap/>
                  <w:vAlign w:val="center"/>
                </w:tcPr>
                <w:p w14:paraId="0944A6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lang w:val="en-US" w:eastAsia="zh-CN"/>
                    </w:rPr>
                    <w:t>0.00</w:t>
                  </w:r>
                  <w:r>
                    <w:rPr>
                      <w:rFonts w:hint="eastAsia" w:cs="Times New Roman"/>
                      <w:lang w:val="en-US" w:eastAsia="zh-CN"/>
                    </w:rPr>
                    <w:t>2</w:t>
                  </w:r>
                  <w:r>
                    <w:rPr>
                      <w:rFonts w:hint="default" w:ascii="Times New Roman" w:hAnsi="Times New Roman" w:cs="Times New Roman"/>
                      <w:lang w:val="en-US" w:eastAsia="zh-CN"/>
                    </w:rPr>
                    <w:t>5</w:t>
                  </w:r>
                  <w:r>
                    <w:rPr>
                      <w:rFonts w:hint="eastAsia" w:cs="Times New Roman"/>
                      <w:lang w:val="en-US" w:eastAsia="zh-CN"/>
                    </w:rPr>
                    <w:t>t/</w:t>
                  </w:r>
                  <w:r>
                    <w:rPr>
                      <w:rFonts w:hint="default" w:ascii="Times New Roman" w:hAnsi="Times New Roman" w:eastAsia="宋体" w:cs="Times New Roman"/>
                      <w:b w:val="0"/>
                      <w:bCs w:val="0"/>
                      <w:color w:val="auto"/>
                      <w:vertAlign w:val="baseline"/>
                      <w:lang w:val="en-US" w:eastAsia="zh-CN"/>
                    </w:rPr>
                    <w:t>m³</w:t>
                  </w:r>
                  <w:r>
                    <w:rPr>
                      <w:rFonts w:hint="eastAsia" w:cs="Times New Roman"/>
                      <w:b w:val="0"/>
                      <w:bCs w:val="0"/>
                      <w:color w:val="auto"/>
                      <w:vertAlign w:val="baseline"/>
                      <w:lang w:val="en-US" w:eastAsia="zh-CN"/>
                    </w:rPr>
                    <w:t>-</w:t>
                  </w:r>
                  <w:r>
                    <w:rPr>
                      <w:rFonts w:hint="default" w:ascii="Times New Roman" w:hAnsi="Times New Roman" w:cs="Times New Roman"/>
                      <w:b w:val="0"/>
                      <w:bCs w:val="0"/>
                      <w:color w:val="auto"/>
                      <w:vertAlign w:val="baseline"/>
                      <w:lang w:val="en-US" w:eastAsia="zh-CN"/>
                    </w:rPr>
                    <w:t>商品混凝土</w:t>
                  </w:r>
                </w:p>
              </w:tc>
            </w:tr>
            <w:tr w14:paraId="281A6C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24" w:hRule="atLeast"/>
              </w:trPr>
              <w:tc>
                <w:tcPr>
                  <w:tcW w:w="531" w:type="dxa"/>
                  <w:gridSpan w:val="2"/>
                  <w:vMerge w:val="continue"/>
                  <w:shd w:val="clear" w:color="auto" w:fill="auto"/>
                  <w:noWrap/>
                  <w:vAlign w:val="center"/>
                </w:tcPr>
                <w:p w14:paraId="13654B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p>
              </w:tc>
              <w:tc>
                <w:tcPr>
                  <w:tcW w:w="1438" w:type="dxa"/>
                  <w:shd w:val="clear" w:color="auto" w:fill="auto"/>
                  <w:noWrap/>
                  <w:vAlign w:val="center"/>
                </w:tcPr>
                <w:p w14:paraId="13309A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highlight w:val="none"/>
                    </w:rPr>
                  </w:pPr>
                  <w:r>
                    <w:rPr>
                      <w:rFonts w:hint="eastAsia" w:cs="Times New Roman"/>
                      <w:highlight w:val="none"/>
                      <w:lang w:val="en-US" w:eastAsia="zh-CN"/>
                    </w:rPr>
                    <w:t>搅拌</w:t>
                  </w:r>
                  <w:r>
                    <w:rPr>
                      <w:rFonts w:hint="default" w:ascii="Times New Roman" w:hAnsi="Times New Roman" w:cs="Times New Roman"/>
                      <w:highlight w:val="none"/>
                      <w:lang w:val="en-US" w:eastAsia="zh-CN"/>
                    </w:rPr>
                    <w:t>用水</w:t>
                  </w:r>
                </w:p>
              </w:tc>
              <w:tc>
                <w:tcPr>
                  <w:tcW w:w="962" w:type="dxa"/>
                  <w:shd w:val="clear" w:color="auto" w:fill="auto"/>
                  <w:noWrap/>
                  <w:vAlign w:val="center"/>
                </w:tcPr>
                <w:p w14:paraId="4A85C1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24000</w:t>
                  </w:r>
                </w:p>
              </w:tc>
              <w:tc>
                <w:tcPr>
                  <w:tcW w:w="1175" w:type="dxa"/>
                  <w:shd w:val="clear" w:color="auto" w:fill="auto"/>
                  <w:noWrap/>
                  <w:vAlign w:val="center"/>
                </w:tcPr>
                <w:p w14:paraId="775520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highlight w:val="yellow"/>
                    </w:rPr>
                  </w:pPr>
                  <w:r>
                    <w:rPr>
                      <w:rFonts w:hint="default" w:ascii="Times New Roman" w:hAnsi="Times New Roman" w:cs="Times New Roman"/>
                      <w:color w:val="0000FF"/>
                      <w:highlight w:val="none"/>
                      <w:lang w:val="en-US" w:eastAsia="zh-CN"/>
                    </w:rPr>
                    <w:t>伊金霍洛旗上善蒙苏园区供水有限责任公司提供</w:t>
                  </w:r>
                </w:p>
              </w:tc>
              <w:tc>
                <w:tcPr>
                  <w:tcW w:w="1063" w:type="dxa"/>
                  <w:shd w:val="clear" w:color="auto" w:fill="auto"/>
                  <w:noWrap/>
                  <w:vAlign w:val="center"/>
                </w:tcPr>
                <w:p w14:paraId="21DE12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lang w:val="en-US" w:eastAsia="zh-CN"/>
                    </w:rPr>
                  </w:pPr>
                  <w:r>
                    <w:rPr>
                      <w:rFonts w:hint="eastAsia" w:cs="Times New Roman"/>
                      <w:lang w:val="en-US" w:eastAsia="zh-CN"/>
                    </w:rPr>
                    <w:t>储水罐</w:t>
                  </w:r>
                </w:p>
              </w:tc>
              <w:tc>
                <w:tcPr>
                  <w:tcW w:w="987" w:type="dxa"/>
                  <w:shd w:val="clear" w:color="auto" w:fill="auto"/>
                  <w:noWrap/>
                  <w:vAlign w:val="center"/>
                </w:tcPr>
                <w:p w14:paraId="1DF309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eastAsia" w:cs="Times New Roman"/>
                      <w:lang w:val="en-US" w:eastAsia="zh-CN"/>
                    </w:rPr>
                    <w:t>100m³</w:t>
                  </w:r>
                </w:p>
              </w:tc>
              <w:tc>
                <w:tcPr>
                  <w:tcW w:w="1841" w:type="dxa"/>
                  <w:shd w:val="clear" w:color="auto" w:fill="auto"/>
                  <w:noWrap/>
                  <w:vAlign w:val="center"/>
                </w:tcPr>
                <w:p w14:paraId="68841C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lang w:val="en-US" w:eastAsia="zh-CN"/>
                    </w:rPr>
                    <w:t>0.</w:t>
                  </w:r>
                  <w:r>
                    <w:rPr>
                      <w:rFonts w:hint="eastAsia" w:cs="Times New Roman"/>
                      <w:lang w:val="en-US" w:eastAsia="zh-CN"/>
                    </w:rPr>
                    <w:t>15t/</w:t>
                  </w:r>
                  <w:r>
                    <w:rPr>
                      <w:rFonts w:hint="default" w:ascii="Times New Roman" w:hAnsi="Times New Roman" w:eastAsia="宋体" w:cs="Times New Roman"/>
                      <w:b w:val="0"/>
                      <w:bCs w:val="0"/>
                      <w:color w:val="auto"/>
                      <w:vertAlign w:val="baseline"/>
                      <w:lang w:val="en-US" w:eastAsia="zh-CN"/>
                    </w:rPr>
                    <w:t>m³</w:t>
                  </w:r>
                  <w:r>
                    <w:rPr>
                      <w:rFonts w:hint="eastAsia" w:cs="Times New Roman"/>
                      <w:b w:val="0"/>
                      <w:bCs w:val="0"/>
                      <w:color w:val="auto"/>
                      <w:vertAlign w:val="baseline"/>
                      <w:lang w:val="en-US" w:eastAsia="zh-CN"/>
                    </w:rPr>
                    <w:t>-</w:t>
                  </w:r>
                  <w:r>
                    <w:rPr>
                      <w:rFonts w:hint="default" w:ascii="Times New Roman" w:hAnsi="Times New Roman" w:cs="Times New Roman"/>
                      <w:b w:val="0"/>
                      <w:bCs w:val="0"/>
                      <w:color w:val="auto"/>
                      <w:vertAlign w:val="baseline"/>
                      <w:lang w:val="en-US" w:eastAsia="zh-CN"/>
                    </w:rPr>
                    <w:t>商品混凝土</w:t>
                  </w:r>
                </w:p>
              </w:tc>
            </w:tr>
            <w:tr w14:paraId="1D0F14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453" w:hRule="atLeast"/>
              </w:trPr>
              <w:tc>
                <w:tcPr>
                  <w:tcW w:w="531" w:type="dxa"/>
                  <w:gridSpan w:val="2"/>
                  <w:vMerge w:val="restart"/>
                  <w:shd w:val="clear" w:color="auto" w:fill="auto"/>
                  <w:noWrap/>
                  <w:vAlign w:val="center"/>
                </w:tcPr>
                <w:p w14:paraId="3FD078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lang w:val="en-US" w:eastAsia="zh-CN"/>
                    </w:rPr>
                    <w:t>能源消耗</w:t>
                  </w:r>
                </w:p>
              </w:tc>
              <w:tc>
                <w:tcPr>
                  <w:tcW w:w="1438" w:type="dxa"/>
                  <w:shd w:val="clear" w:color="auto" w:fill="auto"/>
                  <w:noWrap/>
                  <w:vAlign w:val="center"/>
                </w:tcPr>
                <w:p w14:paraId="3D7488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lang w:val="en-US" w:eastAsia="zh-CN"/>
                    </w:rPr>
                    <w:t>电</w:t>
                  </w:r>
                </w:p>
              </w:tc>
              <w:tc>
                <w:tcPr>
                  <w:tcW w:w="962" w:type="dxa"/>
                  <w:shd w:val="clear" w:color="auto" w:fill="auto"/>
                  <w:noWrap/>
                  <w:vAlign w:val="center"/>
                </w:tcPr>
                <w:p w14:paraId="2F840C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150万kWh</w:t>
                  </w:r>
                </w:p>
              </w:tc>
              <w:tc>
                <w:tcPr>
                  <w:tcW w:w="1175" w:type="dxa"/>
                  <w:shd w:val="clear" w:color="auto" w:fill="auto"/>
                  <w:noWrap/>
                  <w:vAlign w:val="center"/>
                </w:tcPr>
                <w:p w14:paraId="133A9B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lang w:val="en-US" w:eastAsia="zh-CN"/>
                    </w:rPr>
                    <w:t>接入市政电网</w:t>
                  </w:r>
                </w:p>
              </w:tc>
              <w:tc>
                <w:tcPr>
                  <w:tcW w:w="1063" w:type="dxa"/>
                  <w:shd w:val="clear" w:color="auto" w:fill="auto"/>
                  <w:noWrap/>
                  <w:vAlign w:val="center"/>
                </w:tcPr>
                <w:p w14:paraId="1DD74B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lang w:val="en-US" w:eastAsia="zh-CN"/>
                    </w:rPr>
                  </w:pPr>
                  <w:r>
                    <w:rPr>
                      <w:rFonts w:hint="eastAsia" w:cs="Times New Roman"/>
                      <w:lang w:val="en-US" w:eastAsia="zh-CN"/>
                    </w:rPr>
                    <w:t>/</w:t>
                  </w:r>
                </w:p>
              </w:tc>
              <w:tc>
                <w:tcPr>
                  <w:tcW w:w="987" w:type="dxa"/>
                  <w:shd w:val="clear" w:color="auto" w:fill="auto"/>
                  <w:noWrap/>
                  <w:vAlign w:val="center"/>
                </w:tcPr>
                <w:p w14:paraId="46B5A3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lang w:val="en-US" w:eastAsia="zh-CN"/>
                    </w:rPr>
                  </w:pPr>
                  <w:r>
                    <w:rPr>
                      <w:rFonts w:hint="eastAsia" w:cs="Times New Roman"/>
                      <w:lang w:val="en-US" w:eastAsia="zh-CN"/>
                    </w:rPr>
                    <w:t>/</w:t>
                  </w:r>
                </w:p>
              </w:tc>
              <w:tc>
                <w:tcPr>
                  <w:tcW w:w="1841" w:type="dxa"/>
                  <w:shd w:val="clear" w:color="auto" w:fill="auto"/>
                  <w:noWrap/>
                  <w:vAlign w:val="center"/>
                </w:tcPr>
                <w:p w14:paraId="536801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lang w:val="en-US" w:eastAsia="zh-CN"/>
                    </w:rPr>
                  </w:pPr>
                  <w:r>
                    <w:rPr>
                      <w:rFonts w:hint="eastAsia" w:cs="Times New Roman"/>
                      <w:lang w:val="en-US" w:eastAsia="zh-CN"/>
                    </w:rPr>
                    <w:t>/</w:t>
                  </w:r>
                </w:p>
              </w:tc>
            </w:tr>
            <w:tr w14:paraId="00748A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796" w:hRule="atLeast"/>
              </w:trPr>
              <w:tc>
                <w:tcPr>
                  <w:tcW w:w="531" w:type="dxa"/>
                  <w:gridSpan w:val="2"/>
                  <w:vMerge w:val="continue"/>
                  <w:shd w:val="clear" w:color="auto" w:fill="auto"/>
                  <w:noWrap/>
                  <w:vAlign w:val="center"/>
                </w:tcPr>
                <w:p w14:paraId="3D16ED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p>
              </w:tc>
              <w:tc>
                <w:tcPr>
                  <w:tcW w:w="1438" w:type="dxa"/>
                  <w:shd w:val="clear" w:color="auto" w:fill="auto"/>
                  <w:noWrap/>
                  <w:vAlign w:val="center"/>
                </w:tcPr>
                <w:p w14:paraId="04D1E3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lang w:val="en-US" w:eastAsia="zh-CN"/>
                    </w:rPr>
                    <w:t>生活用水</w:t>
                  </w:r>
                </w:p>
              </w:tc>
              <w:tc>
                <w:tcPr>
                  <w:tcW w:w="962" w:type="dxa"/>
                  <w:shd w:val="clear" w:color="auto" w:fill="auto"/>
                  <w:noWrap/>
                  <w:vAlign w:val="center"/>
                </w:tcPr>
                <w:p w14:paraId="58E181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lang w:val="en-US"/>
                    </w:rPr>
                  </w:pPr>
                  <w:r>
                    <w:rPr>
                      <w:rFonts w:hint="default" w:ascii="Times New Roman" w:hAnsi="Times New Roman" w:cs="Times New Roman"/>
                      <w:lang w:val="en-US" w:eastAsia="zh-CN"/>
                    </w:rPr>
                    <w:t>156.78m³/a</w:t>
                  </w:r>
                </w:p>
              </w:tc>
              <w:tc>
                <w:tcPr>
                  <w:tcW w:w="1175" w:type="dxa"/>
                  <w:shd w:val="clear" w:color="auto" w:fill="auto"/>
                  <w:noWrap/>
                  <w:vAlign w:val="center"/>
                </w:tcPr>
                <w:p w14:paraId="6DC44F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lang w:val="en-US" w:eastAsia="zh-CN"/>
                    </w:rPr>
                  </w:pPr>
                  <w:r>
                    <w:rPr>
                      <w:rFonts w:hint="eastAsia" w:cs="Times New Roman"/>
                      <w:lang w:val="en-US" w:eastAsia="zh-CN"/>
                    </w:rPr>
                    <w:t>外购桶装水</w:t>
                  </w:r>
                </w:p>
              </w:tc>
              <w:tc>
                <w:tcPr>
                  <w:tcW w:w="1063" w:type="dxa"/>
                  <w:shd w:val="clear" w:color="auto" w:fill="auto"/>
                  <w:noWrap/>
                  <w:vAlign w:val="center"/>
                </w:tcPr>
                <w:p w14:paraId="3813D9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lang w:val="en-US" w:eastAsia="zh-CN"/>
                    </w:rPr>
                  </w:pPr>
                  <w:r>
                    <w:rPr>
                      <w:rFonts w:hint="eastAsia" w:cs="Times New Roman"/>
                      <w:lang w:val="en-US" w:eastAsia="zh-CN"/>
                    </w:rPr>
                    <w:t>/</w:t>
                  </w:r>
                </w:p>
              </w:tc>
              <w:tc>
                <w:tcPr>
                  <w:tcW w:w="987" w:type="dxa"/>
                  <w:shd w:val="clear" w:color="auto" w:fill="auto"/>
                  <w:noWrap/>
                  <w:vAlign w:val="center"/>
                </w:tcPr>
                <w:p w14:paraId="4E259C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lang w:val="en-US" w:eastAsia="zh-CN"/>
                    </w:rPr>
                  </w:pPr>
                  <w:r>
                    <w:rPr>
                      <w:rFonts w:hint="eastAsia" w:cs="Times New Roman"/>
                      <w:lang w:val="en-US" w:eastAsia="zh-CN"/>
                    </w:rPr>
                    <w:t>0.2m³</w:t>
                  </w:r>
                </w:p>
              </w:tc>
              <w:tc>
                <w:tcPr>
                  <w:tcW w:w="1841" w:type="dxa"/>
                  <w:shd w:val="clear" w:color="auto" w:fill="auto"/>
                  <w:noWrap/>
                  <w:vAlign w:val="center"/>
                </w:tcPr>
                <w:p w14:paraId="24B2BE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color w:val="auto"/>
                      <w:lang w:val="en-US" w:eastAsia="zh-CN"/>
                    </w:rPr>
                    <w:t>60</w:t>
                  </w:r>
                  <w:r>
                    <w:rPr>
                      <w:rFonts w:hint="default" w:ascii="Times New Roman" w:hAnsi="Times New Roman" w:eastAsia="宋体" w:cs="Times New Roman"/>
                      <w:color w:val="auto"/>
                      <w:lang w:val="en-US" w:eastAsia="zh-CN"/>
                    </w:rPr>
                    <w:t>L/人·d</w:t>
                  </w:r>
                </w:p>
              </w:tc>
            </w:tr>
          </w:tbl>
          <w:p w14:paraId="090CFDEF">
            <w:pPr>
              <w:bidi w:val="0"/>
              <w:rPr>
                <w:rFonts w:hint="eastAsia" w:cs="Times New Roman"/>
                <w:b/>
                <w:bCs/>
                <w:color w:val="auto"/>
                <w:lang w:val="en-US" w:eastAsia="zh-CN"/>
              </w:rPr>
            </w:pPr>
            <w:r>
              <w:rPr>
                <w:rFonts w:hint="eastAsia" w:cs="Times New Roman"/>
                <w:b/>
                <w:bCs/>
                <w:color w:val="auto"/>
                <w:lang w:val="en-US" w:eastAsia="zh-CN"/>
              </w:rPr>
              <w:t>原辅材料理化性质</w:t>
            </w:r>
          </w:p>
          <w:p w14:paraId="2C536ABB">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（1）砂子</w:t>
            </w:r>
          </w:p>
          <w:p w14:paraId="071B6E0E">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砂子（主要成分为SiO</w:t>
            </w:r>
            <w:r>
              <w:rPr>
                <w:rFonts w:hint="default" w:ascii="Times New Roman" w:hAnsi="Times New Roman" w:cs="Times New Roman"/>
                <w:color w:val="auto"/>
                <w:vertAlign w:val="subscript"/>
                <w:lang w:val="en-US" w:eastAsia="zh-CN"/>
              </w:rPr>
              <w:t>2</w:t>
            </w:r>
            <w:r>
              <w:rPr>
                <w:rFonts w:hint="default" w:ascii="Times New Roman" w:hAnsi="Times New Roman" w:cs="Times New Roman"/>
                <w:color w:val="auto"/>
                <w:lang w:val="en-US" w:eastAsia="zh-CN"/>
              </w:rPr>
              <w:t>），多为人工制造，或是人工从某些石块上打磨下来的，颗粒相对更大一些，饱满感更强一些，拿在手中能清晰地感觉到有颗粒存在。</w:t>
            </w:r>
          </w:p>
          <w:p w14:paraId="562E3A7D">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（2）石子</w:t>
            </w:r>
          </w:p>
          <w:p w14:paraId="0F6880FE">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破碎的小块</w:t>
            </w:r>
            <w:r>
              <w:rPr>
                <w:rFonts w:hint="default" w:ascii="Times New Roman" w:hAnsi="Times New Roman" w:cs="Times New Roman"/>
                <w:color w:val="auto"/>
                <w:lang w:val="en-US" w:eastAsia="zh-CN"/>
              </w:rPr>
              <w:fldChar w:fldCharType="begin"/>
            </w:r>
            <w:r>
              <w:rPr>
                <w:rFonts w:hint="default" w:ascii="Times New Roman" w:hAnsi="Times New Roman" w:cs="Times New Roman"/>
                <w:color w:val="auto"/>
                <w:lang w:val="en-US" w:eastAsia="zh-CN"/>
              </w:rPr>
              <w:instrText xml:space="preserve"> HYPERLINK "https://baike.so.com/doc/53428-55964.html" \t "https://baike.so.com/doc/_blank" </w:instrText>
            </w:r>
            <w:r>
              <w:rPr>
                <w:rFonts w:hint="default" w:ascii="Times New Roman" w:hAnsi="Times New Roman" w:cs="Times New Roman"/>
                <w:color w:val="auto"/>
                <w:lang w:val="en-US" w:eastAsia="zh-CN"/>
              </w:rPr>
              <w:fldChar w:fldCharType="separate"/>
            </w:r>
            <w:r>
              <w:rPr>
                <w:rFonts w:hint="default" w:ascii="Times New Roman" w:hAnsi="Times New Roman" w:cs="Times New Roman"/>
                <w:color w:val="auto"/>
                <w:lang w:val="en-US" w:eastAsia="zh-CN"/>
              </w:rPr>
              <w:t>岩石</w:t>
            </w:r>
            <w:r>
              <w:rPr>
                <w:rFonts w:hint="default" w:ascii="Times New Roman" w:hAnsi="Times New Roman" w:cs="Times New Roman"/>
                <w:color w:val="auto"/>
                <w:lang w:val="en-US" w:eastAsia="zh-CN"/>
              </w:rPr>
              <w:fldChar w:fldCharType="end"/>
            </w:r>
            <w:r>
              <w:rPr>
                <w:rFonts w:hint="default" w:ascii="Times New Roman" w:hAnsi="Times New Roman" w:cs="Times New Roman"/>
                <w:color w:val="auto"/>
                <w:lang w:val="en-US" w:eastAsia="zh-CN"/>
              </w:rPr>
              <w:t>，它的大小、形状及纹理都呈现不规则状态。它可能是因为天然原因，或是人为加以破坏之后产生。</w:t>
            </w:r>
          </w:p>
          <w:p w14:paraId="1091FF1F">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（3）水泥</w:t>
            </w:r>
          </w:p>
          <w:p w14:paraId="345C44C4">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水泥：粉状水硬性无机胶凝材料。加水搅拌后成浆体，能在空气中硬化或者在水中硬化，并能把砂、石等材料牢固地胶结在一起。早期石灰与火山灰的混合物与现代的石灰火山灰水泥很相似，用它胶结石子制成的商品混凝土，硬化后不但强度较高，而且还能抵抗淡水或含盐水的侵蚀。长期以来，它作为一种重要的胶凝材料，广泛应用于土木建筑、水利、国防等工程。旧时水泥又称“洋灰”。</w:t>
            </w:r>
          </w:p>
          <w:p w14:paraId="135C4F83">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（4）粉煤灰</w:t>
            </w:r>
          </w:p>
          <w:p w14:paraId="1691CB3D">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粉煤灰，是从煤燃烧后的烟气中收捕下来的细灰，粉煤灰是燃煤电厂排出的主要固体废物。我国火电厂粉煤灰的主要氧化物组成为：SiO</w:t>
            </w:r>
            <w:r>
              <w:rPr>
                <w:rFonts w:hint="default" w:ascii="Times New Roman" w:hAnsi="Times New Roman" w:cs="Times New Roman"/>
                <w:color w:val="auto"/>
                <w:vertAlign w:val="subscript"/>
                <w:lang w:val="en-US" w:eastAsia="zh-CN"/>
              </w:rPr>
              <w:t>2</w:t>
            </w:r>
            <w:r>
              <w:rPr>
                <w:rFonts w:hint="default" w:ascii="Times New Roman" w:hAnsi="Times New Roman" w:cs="Times New Roman"/>
                <w:color w:val="auto"/>
                <w:lang w:val="en-US" w:eastAsia="zh-CN"/>
              </w:rPr>
              <w:t>、Al</w:t>
            </w:r>
            <w:r>
              <w:rPr>
                <w:rFonts w:hint="default" w:ascii="Times New Roman" w:hAnsi="Times New Roman" w:cs="Times New Roman"/>
                <w:color w:val="auto"/>
                <w:vertAlign w:val="subscript"/>
                <w:lang w:val="en-US" w:eastAsia="zh-CN"/>
              </w:rPr>
              <w:t>2</w:t>
            </w:r>
            <w:r>
              <w:rPr>
                <w:rFonts w:hint="default" w:ascii="Times New Roman" w:hAnsi="Times New Roman" w:cs="Times New Roman"/>
                <w:color w:val="auto"/>
                <w:lang w:val="en-US" w:eastAsia="zh-CN"/>
              </w:rPr>
              <w:t>O</w:t>
            </w:r>
            <w:r>
              <w:rPr>
                <w:rFonts w:hint="default" w:ascii="Times New Roman" w:hAnsi="Times New Roman" w:cs="Times New Roman"/>
                <w:color w:val="auto"/>
                <w:vertAlign w:val="subscript"/>
                <w:lang w:val="en-US" w:eastAsia="zh-CN"/>
              </w:rPr>
              <w:t>3</w:t>
            </w:r>
            <w:r>
              <w:rPr>
                <w:rFonts w:hint="default" w:ascii="Times New Roman" w:hAnsi="Times New Roman" w:cs="Times New Roman"/>
                <w:color w:val="auto"/>
                <w:lang w:val="en-US" w:eastAsia="zh-CN"/>
              </w:rPr>
              <w:t>、FeO、Fe</w:t>
            </w:r>
            <w:r>
              <w:rPr>
                <w:rFonts w:hint="default" w:ascii="Times New Roman" w:hAnsi="Times New Roman" w:cs="Times New Roman"/>
                <w:color w:val="auto"/>
                <w:vertAlign w:val="subscript"/>
                <w:lang w:val="en-US" w:eastAsia="zh-CN"/>
              </w:rPr>
              <w:t>2</w:t>
            </w:r>
            <w:r>
              <w:rPr>
                <w:rFonts w:hint="default" w:ascii="Times New Roman" w:hAnsi="Times New Roman" w:cs="Times New Roman"/>
                <w:color w:val="auto"/>
                <w:lang w:val="en-US" w:eastAsia="zh-CN"/>
              </w:rPr>
              <w:t>O</w:t>
            </w:r>
            <w:r>
              <w:rPr>
                <w:rFonts w:hint="default" w:ascii="Times New Roman" w:hAnsi="Times New Roman" w:cs="Times New Roman"/>
                <w:color w:val="auto"/>
                <w:vertAlign w:val="subscript"/>
                <w:lang w:val="en-US" w:eastAsia="zh-CN"/>
              </w:rPr>
              <w:t>3</w:t>
            </w:r>
            <w:r>
              <w:rPr>
                <w:rFonts w:hint="default" w:ascii="Times New Roman" w:hAnsi="Times New Roman" w:cs="Times New Roman"/>
                <w:color w:val="auto"/>
                <w:lang w:val="en-US" w:eastAsia="zh-CN"/>
              </w:rPr>
              <w:t>、CaO、TiO</w:t>
            </w:r>
            <w:r>
              <w:rPr>
                <w:rFonts w:hint="default" w:ascii="Times New Roman" w:hAnsi="Times New Roman" w:cs="Times New Roman"/>
                <w:color w:val="auto"/>
                <w:vertAlign w:val="subscript"/>
                <w:lang w:val="en-US" w:eastAsia="zh-CN"/>
              </w:rPr>
              <w:t>2</w:t>
            </w:r>
            <w:r>
              <w:rPr>
                <w:rFonts w:hint="default" w:ascii="Times New Roman" w:hAnsi="Times New Roman" w:cs="Times New Roman"/>
                <w:color w:val="auto"/>
                <w:lang w:val="en-US" w:eastAsia="zh-CN"/>
              </w:rPr>
              <w:t>等。随着电力工业的发展，燃煤电厂的粉煤灰排放量逐年增加，成为我国当前排量较大的工业废渣之一。大量的粉煤灰不加处理，就会产生扬尘，污染大气；若排入水系会造成河流淤塞，而其中的有毒化学物质还会对人体和生物造成危害。但粉煤灰可资源化利用，如作为商品混凝土的掺合料等。</w:t>
            </w:r>
          </w:p>
          <w:p w14:paraId="4213023C">
            <w:pPr>
              <w:bidi w:val="0"/>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（5）外加剂</w:t>
            </w:r>
          </w:p>
          <w:p w14:paraId="73BD38AD">
            <w:pPr>
              <w:bidi w:val="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本项目</w:t>
            </w:r>
            <w:r>
              <w:rPr>
                <w:rFonts w:hint="default" w:ascii="Times New Roman" w:hAnsi="Times New Roman" w:cs="Times New Roman"/>
                <w:color w:val="auto"/>
                <w:highlight w:val="none"/>
                <w:lang w:eastAsia="zh-CN"/>
              </w:rPr>
              <w:t>外加剂</w:t>
            </w:r>
            <w:r>
              <w:rPr>
                <w:rFonts w:hint="default" w:ascii="Times New Roman" w:hAnsi="Times New Roman" w:cs="Times New Roman"/>
                <w:color w:val="auto"/>
                <w:highlight w:val="none"/>
              </w:rPr>
              <w:t>主要为聚羧酸减水剂，聚羧酸减水剂是一种高性能减水剂，是水泥</w:t>
            </w:r>
            <w:r>
              <w:rPr>
                <w:rFonts w:hint="default" w:ascii="Times New Roman" w:hAnsi="Times New Roman" w:cs="Times New Roman"/>
                <w:color w:val="auto"/>
                <w:highlight w:val="none"/>
                <w:lang w:eastAsia="zh-CN"/>
              </w:rPr>
              <w:t>商品混凝土</w:t>
            </w:r>
            <w:r>
              <w:rPr>
                <w:rFonts w:hint="default" w:ascii="Times New Roman" w:hAnsi="Times New Roman" w:cs="Times New Roman"/>
                <w:color w:val="auto"/>
                <w:highlight w:val="none"/>
              </w:rPr>
              <w:t>运用中的一种水泥分散剂，羧酸减水剂是由聚乙烯醇单甲醚和甲基丙烯酸先酯化再和甲基丙烯酸缩合而成的大分子链化合物，聚羧酸作为高分子化合物，往往呈树脂状，有很好的强度、韧性、化学稳定性，可作为多种用途的材料。</w:t>
            </w:r>
            <w:r>
              <w:rPr>
                <w:rFonts w:hint="default" w:ascii="Times New Roman" w:hAnsi="Times New Roman" w:cs="Times New Roman"/>
                <w:color w:val="auto"/>
                <w:highlight w:val="none"/>
                <w:lang w:val="en-US" w:eastAsia="zh-CN"/>
              </w:rPr>
              <w:t>减水率比</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14%，泌水率比</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90，含气量</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3.0%，凝结时间之差/min：初凝、终凝-90+120，抗压强度比：1d</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140%、3d</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130%、7d</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125%、28d</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120%，收缩比</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135%。</w:t>
            </w:r>
          </w:p>
          <w:p w14:paraId="15D30079">
            <w:pPr>
              <w:bidi w:val="0"/>
              <w:rPr>
                <w:rFonts w:hint="default" w:ascii="Times New Roman" w:hAnsi="Times New Roman" w:cs="Times New Roman"/>
                <w:b/>
                <w:bCs/>
                <w:color w:val="auto"/>
                <w:lang w:val="en-US" w:eastAsia="zh-CN"/>
              </w:rPr>
            </w:pPr>
            <w:r>
              <w:rPr>
                <w:rFonts w:hint="eastAsia" w:cs="Times New Roman"/>
                <w:b/>
                <w:bCs/>
                <w:color w:val="auto"/>
                <w:lang w:val="en-US" w:eastAsia="zh-CN"/>
              </w:rPr>
              <w:t>6</w:t>
            </w:r>
            <w:r>
              <w:rPr>
                <w:rFonts w:hint="default" w:ascii="Times New Roman" w:hAnsi="Times New Roman" w:cs="Times New Roman"/>
                <w:b/>
                <w:bCs/>
                <w:color w:val="auto"/>
                <w:lang w:val="en-US" w:eastAsia="zh-CN"/>
              </w:rPr>
              <w:t>.公用工程</w:t>
            </w:r>
          </w:p>
          <w:p w14:paraId="4CE7159A">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（1）供水工程</w:t>
            </w:r>
          </w:p>
          <w:p w14:paraId="2461B04B">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lang w:val="en-US" w:eastAsia="zh-CN"/>
              </w:rPr>
              <w:t>本项目用水主要为生活用水及生产用水</w:t>
            </w:r>
            <w:r>
              <w:rPr>
                <w:rFonts w:hint="default" w:ascii="Times New Roman" w:hAnsi="Times New Roman" w:cs="Times New Roman"/>
                <w:color w:val="auto"/>
                <w:highlight w:val="none"/>
                <w:lang w:val="en-US" w:eastAsia="zh-CN"/>
              </w:rPr>
              <w:t>，生产用水外购鄂尔多斯市圣圆水务集团有限责任公司中水供给，生活用水为外购桶装水。</w:t>
            </w:r>
          </w:p>
          <w:p w14:paraId="46D9122D">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①生活用水</w:t>
            </w:r>
          </w:p>
          <w:p w14:paraId="63D79980">
            <w:pPr>
              <w:bidi w:val="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lang w:val="en-US" w:eastAsia="zh-CN"/>
              </w:rPr>
              <w:t>本项目劳动定员</w:t>
            </w:r>
            <w:r>
              <w:rPr>
                <w:rFonts w:hint="eastAsia" w:cs="Times New Roman"/>
                <w:color w:val="auto"/>
                <w:lang w:val="en-US" w:eastAsia="zh-CN"/>
              </w:rPr>
              <w:t>13</w:t>
            </w:r>
            <w:r>
              <w:rPr>
                <w:rFonts w:hint="default" w:ascii="Times New Roman" w:hAnsi="Times New Roman" w:cs="Times New Roman"/>
                <w:color w:val="auto"/>
                <w:lang w:val="en-US" w:eastAsia="zh-CN"/>
              </w:rPr>
              <w:t>人，根据《行业用水定额》（DB15/T385-2020），职工生活用水量按60</w:t>
            </w:r>
            <w:r>
              <w:rPr>
                <w:rFonts w:hint="default" w:ascii="Times New Roman" w:hAnsi="Times New Roman" w:eastAsia="宋体" w:cs="Times New Roman"/>
                <w:color w:val="auto"/>
                <w:lang w:val="en-US" w:eastAsia="zh-CN"/>
              </w:rPr>
              <w:t>L/人·d计，则用水量为</w:t>
            </w:r>
            <w:r>
              <w:rPr>
                <w:rFonts w:hint="eastAsia" w:cs="Times New Roman"/>
                <w:color w:val="auto"/>
                <w:lang w:val="en-US" w:eastAsia="zh-CN"/>
              </w:rPr>
              <w:t>0.78</w:t>
            </w:r>
            <w:r>
              <w:rPr>
                <w:rFonts w:hint="default" w:ascii="Times New Roman" w:hAnsi="Times New Roman" w:eastAsia="宋体" w:cs="Times New Roman"/>
                <w:color w:val="auto"/>
                <w:lang w:val="en-US" w:eastAsia="zh-CN"/>
              </w:rPr>
              <w:t>m³/d，本项目年工</w:t>
            </w:r>
            <w:r>
              <w:rPr>
                <w:rFonts w:hint="default" w:ascii="Times New Roman" w:hAnsi="Times New Roman" w:eastAsia="宋体" w:cs="Times New Roman"/>
                <w:color w:val="auto"/>
                <w:highlight w:val="none"/>
                <w:lang w:val="en-US" w:eastAsia="zh-CN"/>
              </w:rPr>
              <w:t>作</w:t>
            </w:r>
            <w:r>
              <w:rPr>
                <w:rFonts w:hint="eastAsia" w:cs="Times New Roman"/>
                <w:color w:val="auto"/>
                <w:highlight w:val="none"/>
                <w:lang w:val="en-US" w:eastAsia="zh-CN"/>
              </w:rPr>
              <w:t>201</w:t>
            </w:r>
            <w:r>
              <w:rPr>
                <w:rFonts w:hint="default" w:ascii="Times New Roman" w:hAnsi="Times New Roman" w:eastAsia="宋体" w:cs="Times New Roman"/>
                <w:color w:val="auto"/>
                <w:highlight w:val="none"/>
                <w:lang w:val="en-US" w:eastAsia="zh-CN"/>
              </w:rPr>
              <w:t>天，则生活用水量为</w:t>
            </w:r>
            <w:r>
              <w:rPr>
                <w:rFonts w:hint="eastAsia" w:cs="Times New Roman"/>
                <w:color w:val="auto"/>
                <w:highlight w:val="none"/>
                <w:lang w:val="en-US" w:eastAsia="zh-CN"/>
              </w:rPr>
              <w:t>156.78</w:t>
            </w:r>
            <w:r>
              <w:rPr>
                <w:rFonts w:hint="default" w:ascii="Times New Roman" w:hAnsi="Times New Roman" w:eastAsia="宋体" w:cs="Times New Roman"/>
                <w:color w:val="auto"/>
                <w:highlight w:val="none"/>
                <w:lang w:val="en-US" w:eastAsia="zh-CN"/>
              </w:rPr>
              <w:t>m³/a。</w:t>
            </w:r>
          </w:p>
          <w:p w14:paraId="65A054B3">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②生产用水</w:t>
            </w:r>
          </w:p>
          <w:p w14:paraId="7946EDEC">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生产用水主要为原料堆场抑尘用水</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搅拌混合用水、搅拌机清洗用水、罐车清洗用水及绿化用水。</w:t>
            </w:r>
          </w:p>
          <w:p w14:paraId="165CFECF">
            <w:pPr>
              <w:bidi w:val="0"/>
              <w:rPr>
                <w:rFonts w:hint="default" w:ascii="Times New Roman" w:hAnsi="Times New Roman" w:cs="Times New Roman"/>
                <w:b/>
                <w:bCs/>
                <w:color w:val="auto"/>
                <w:lang w:val="en-US" w:eastAsia="zh-CN"/>
              </w:rPr>
            </w:pPr>
            <w:r>
              <w:rPr>
                <w:rFonts w:hint="eastAsia" w:cs="Times New Roman"/>
                <w:b/>
                <w:bCs/>
                <w:color w:val="auto"/>
                <w:lang w:val="en-US" w:eastAsia="zh-CN"/>
              </w:rPr>
              <w:t>A</w:t>
            </w:r>
            <w:r>
              <w:rPr>
                <w:rFonts w:hint="default" w:ascii="Times New Roman" w:hAnsi="Times New Roman" w:cs="Times New Roman"/>
                <w:b/>
                <w:bCs/>
                <w:color w:val="auto"/>
                <w:lang w:val="en-US" w:eastAsia="zh-CN"/>
              </w:rPr>
              <w:t>原料堆场抑尘用水</w:t>
            </w:r>
          </w:p>
          <w:p w14:paraId="5A0A4E3D">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原料堆场占地面</w:t>
            </w:r>
            <w:r>
              <w:rPr>
                <w:rFonts w:hint="default" w:ascii="Times New Roman" w:hAnsi="Times New Roman" w:cs="Times New Roman"/>
                <w:color w:val="auto"/>
                <w:highlight w:val="none"/>
                <w:lang w:val="en-US" w:eastAsia="zh-CN"/>
              </w:rPr>
              <w:t>积为</w:t>
            </w:r>
            <w:r>
              <w:rPr>
                <w:rFonts w:hint="eastAsia" w:ascii="Times New Roman" w:hAnsi="Times New Roman" w:cs="Times New Roman"/>
                <w:color w:val="auto"/>
                <w:highlight w:val="none"/>
                <w:lang w:val="en-US" w:eastAsia="zh-CN"/>
              </w:rPr>
              <w:t>1000</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lang w:val="en-US" w:eastAsia="zh-CN"/>
              </w:rPr>
              <w:t>为全封闭结构，抑尘用水定额按照0.5L/㎡·d计，则原料堆场抑尘用水量为</w:t>
            </w:r>
            <w:r>
              <w:rPr>
                <w:rFonts w:hint="eastAsia" w:ascii="Times New Roman" w:hAnsi="Times New Roman" w:cs="Times New Roman"/>
                <w:color w:val="auto"/>
                <w:lang w:val="en-US" w:eastAsia="zh-CN"/>
              </w:rPr>
              <w:t>0.5</w:t>
            </w:r>
            <w:r>
              <w:rPr>
                <w:rFonts w:hint="default" w:ascii="Times New Roman" w:hAnsi="Times New Roman" w:cs="Times New Roman"/>
                <w:color w:val="auto"/>
                <w:lang w:val="en-US" w:eastAsia="zh-CN"/>
              </w:rPr>
              <w:t>m³/d，本项目年工作</w:t>
            </w:r>
            <w:r>
              <w:rPr>
                <w:rFonts w:hint="eastAsia" w:ascii="Times New Roman" w:hAnsi="Times New Roman" w:cs="Times New Roman"/>
                <w:color w:val="auto"/>
                <w:lang w:val="en-US" w:eastAsia="zh-CN"/>
              </w:rPr>
              <w:t>201</w:t>
            </w:r>
            <w:r>
              <w:rPr>
                <w:rFonts w:hint="default" w:ascii="Times New Roman" w:hAnsi="Times New Roman" w:cs="Times New Roman"/>
                <w:color w:val="auto"/>
                <w:lang w:val="en-US" w:eastAsia="zh-CN"/>
              </w:rPr>
              <w:t>d，原料堆场扬尘抑尘年用水量为</w:t>
            </w:r>
            <w:r>
              <w:rPr>
                <w:rFonts w:hint="eastAsia" w:ascii="Times New Roman" w:hAnsi="Times New Roman" w:cs="Times New Roman"/>
                <w:color w:val="auto"/>
                <w:lang w:val="en-US" w:eastAsia="zh-CN"/>
              </w:rPr>
              <w:t>100.5</w:t>
            </w:r>
            <w:r>
              <w:rPr>
                <w:rFonts w:hint="default" w:ascii="Times New Roman" w:hAnsi="Times New Roman" w:cs="Times New Roman"/>
                <w:color w:val="auto"/>
                <w:lang w:val="en-US" w:eastAsia="zh-CN"/>
              </w:rPr>
              <w:t>m³/a。</w:t>
            </w:r>
          </w:p>
          <w:p w14:paraId="52ADEF16">
            <w:pPr>
              <w:bidi w:val="0"/>
              <w:rPr>
                <w:rFonts w:hint="default" w:ascii="Times New Roman" w:hAnsi="Times New Roman" w:cs="Times New Roman"/>
                <w:b/>
                <w:bCs/>
                <w:color w:val="auto"/>
                <w:lang w:val="en-US" w:eastAsia="zh-CN"/>
              </w:rPr>
            </w:pPr>
            <w:r>
              <w:rPr>
                <w:rFonts w:hint="eastAsia" w:cs="Times New Roman"/>
                <w:b/>
                <w:bCs/>
                <w:color w:val="auto"/>
                <w:lang w:val="en-US" w:eastAsia="zh-CN"/>
              </w:rPr>
              <w:t>B</w:t>
            </w:r>
            <w:r>
              <w:rPr>
                <w:rFonts w:hint="default" w:ascii="Times New Roman" w:hAnsi="Times New Roman" w:cs="Times New Roman"/>
                <w:b/>
                <w:bCs/>
                <w:color w:val="auto"/>
                <w:lang w:val="en-US" w:eastAsia="zh-CN"/>
              </w:rPr>
              <w:t>搅拌混合用水</w:t>
            </w:r>
          </w:p>
          <w:p w14:paraId="1CAF582D">
            <w:pPr>
              <w:bidi w:val="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商品混凝土加工需要加水，根据《行业用水定额》（DB15/T385-2020），水泥制品制造中商品砼的制造用水按0.</w:t>
            </w:r>
            <w:r>
              <w:rPr>
                <w:rFonts w:hint="eastAsia" w:cs="Times New Roman"/>
                <w:color w:val="auto"/>
                <w:lang w:val="en-US" w:eastAsia="zh-CN"/>
              </w:rPr>
              <w:t>15</w:t>
            </w:r>
            <w:r>
              <w:rPr>
                <w:rFonts w:hint="default" w:ascii="Times New Roman" w:hAnsi="Times New Roman" w:cs="Times New Roman"/>
                <w:color w:val="auto"/>
                <w:lang w:val="en-US" w:eastAsia="zh-CN"/>
              </w:rPr>
              <w:t>m³/t，本项目年生产商品混凝土1</w:t>
            </w:r>
            <w:r>
              <w:rPr>
                <w:rFonts w:hint="eastAsia" w:cs="Times New Roman"/>
                <w:color w:val="auto"/>
                <w:lang w:val="en-US" w:eastAsia="zh-CN"/>
              </w:rPr>
              <w:t>6</w:t>
            </w:r>
            <w:r>
              <w:rPr>
                <w:rFonts w:hint="default" w:ascii="Times New Roman" w:hAnsi="Times New Roman" w:cs="Times New Roman"/>
                <w:color w:val="auto"/>
                <w:lang w:val="en-US" w:eastAsia="zh-CN"/>
              </w:rPr>
              <w:t>万m³/a</w:t>
            </w:r>
            <w:r>
              <w:rPr>
                <w:rFonts w:hint="default" w:ascii="Times New Roman" w:hAnsi="Times New Roman" w:eastAsia="宋体" w:cs="Times New Roman"/>
                <w:color w:val="auto"/>
                <w:lang w:val="en-US" w:eastAsia="zh-CN"/>
              </w:rPr>
              <w:t>，本项目混凝</w:t>
            </w:r>
            <w:r>
              <w:rPr>
                <w:rFonts w:hint="default" w:ascii="Times New Roman" w:hAnsi="Times New Roman" w:cs="Times New Roman"/>
                <w:color w:val="auto"/>
                <w:lang w:val="en-US" w:eastAsia="zh-CN"/>
              </w:rPr>
              <w:t>土</w:t>
            </w:r>
            <w:r>
              <w:rPr>
                <w:rFonts w:hint="default" w:ascii="Times New Roman" w:hAnsi="Times New Roman" w:eastAsia="宋体" w:cs="Times New Roman"/>
                <w:color w:val="auto"/>
                <w:lang w:val="en-US" w:eastAsia="zh-CN"/>
              </w:rPr>
              <w:t>加工搅拌混合用水量为</w:t>
            </w:r>
            <w:r>
              <w:rPr>
                <w:rFonts w:hint="eastAsia" w:cs="Times New Roman"/>
                <w:color w:val="auto"/>
                <w:lang w:val="en-US" w:eastAsia="zh-CN"/>
              </w:rPr>
              <w:t>24</w:t>
            </w:r>
            <w:r>
              <w:rPr>
                <w:rFonts w:hint="default" w:ascii="Times New Roman" w:hAnsi="Times New Roman" w:eastAsia="宋体" w:cs="Times New Roman"/>
                <w:color w:val="auto"/>
                <w:lang w:val="en-US" w:eastAsia="zh-CN"/>
              </w:rPr>
              <w:t>000m³/a</w:t>
            </w:r>
            <w:r>
              <w:rPr>
                <w:rFonts w:hint="eastAsia" w:cs="Times New Roman"/>
                <w:color w:val="auto"/>
                <w:lang w:val="en-US" w:eastAsia="zh-CN"/>
              </w:rPr>
              <w:t>，日用水量约为119.40m³/d</w:t>
            </w:r>
            <w:r>
              <w:rPr>
                <w:rFonts w:hint="default" w:ascii="Times New Roman" w:hAnsi="Times New Roman" w:eastAsia="宋体" w:cs="Times New Roman"/>
                <w:color w:val="auto"/>
                <w:lang w:val="en-US" w:eastAsia="zh-CN"/>
              </w:rPr>
              <w:t>。</w:t>
            </w:r>
          </w:p>
          <w:p w14:paraId="3A9270C3">
            <w:pPr>
              <w:bidi w:val="0"/>
              <w:rPr>
                <w:rFonts w:hint="default" w:ascii="Times New Roman" w:hAnsi="Times New Roman" w:cs="Times New Roman"/>
                <w:b/>
                <w:bCs/>
                <w:color w:val="auto"/>
                <w:lang w:val="en-US" w:eastAsia="zh-CN"/>
              </w:rPr>
            </w:pPr>
            <w:r>
              <w:rPr>
                <w:rFonts w:hint="eastAsia" w:cs="Times New Roman"/>
                <w:b/>
                <w:bCs/>
                <w:color w:val="auto"/>
                <w:lang w:val="en-US" w:eastAsia="zh-CN"/>
              </w:rPr>
              <w:t>C</w:t>
            </w:r>
            <w:r>
              <w:rPr>
                <w:rFonts w:hint="default" w:ascii="Times New Roman" w:hAnsi="Times New Roman" w:cs="Times New Roman"/>
                <w:b/>
                <w:bCs/>
                <w:color w:val="auto"/>
                <w:lang w:val="en-US" w:eastAsia="zh-CN"/>
              </w:rPr>
              <w:t>搅拌机清洗用水</w:t>
            </w:r>
          </w:p>
          <w:p w14:paraId="02EDD545">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每天生产结束后，搅拌机需要清洗以确保正常运行。搅拌机</w:t>
            </w:r>
            <w:r>
              <w:rPr>
                <w:rFonts w:hint="eastAsia" w:cs="Times New Roman"/>
                <w:color w:val="auto"/>
                <w:lang w:val="en-US" w:eastAsia="zh-CN"/>
              </w:rPr>
              <w:t>日</w:t>
            </w:r>
            <w:r>
              <w:rPr>
                <w:rFonts w:hint="default" w:ascii="Times New Roman" w:hAnsi="Times New Roman" w:cs="Times New Roman"/>
                <w:color w:val="auto"/>
                <w:lang w:val="en-US" w:eastAsia="zh-CN"/>
              </w:rPr>
              <w:t>单次清洗用水1.0m³，则年用水量为</w:t>
            </w:r>
            <w:r>
              <w:rPr>
                <w:rFonts w:hint="eastAsia" w:cs="Times New Roman"/>
                <w:color w:val="auto"/>
                <w:lang w:val="en-US" w:eastAsia="zh-CN"/>
              </w:rPr>
              <w:t>201</w:t>
            </w:r>
            <w:r>
              <w:rPr>
                <w:rFonts w:hint="default" w:ascii="Times New Roman" w:hAnsi="Times New Roman" w:cs="Times New Roman"/>
                <w:color w:val="auto"/>
                <w:lang w:val="en-US" w:eastAsia="zh-CN"/>
              </w:rPr>
              <w:t>m³/a。</w:t>
            </w:r>
          </w:p>
          <w:p w14:paraId="31C8C230">
            <w:pPr>
              <w:bidi w:val="0"/>
              <w:rPr>
                <w:rFonts w:hint="default" w:ascii="Times New Roman" w:hAnsi="Times New Roman" w:cs="Times New Roman"/>
                <w:b/>
                <w:bCs/>
                <w:color w:val="auto"/>
                <w:lang w:val="en-US" w:eastAsia="zh-CN"/>
              </w:rPr>
            </w:pPr>
            <w:r>
              <w:rPr>
                <w:rFonts w:hint="eastAsia" w:cs="Times New Roman"/>
                <w:b/>
                <w:bCs/>
                <w:color w:val="auto"/>
                <w:lang w:val="en-US" w:eastAsia="zh-CN"/>
              </w:rPr>
              <w:t>D</w:t>
            </w:r>
            <w:r>
              <w:rPr>
                <w:rFonts w:hint="default" w:ascii="Times New Roman" w:hAnsi="Times New Roman" w:cs="Times New Roman"/>
                <w:b/>
                <w:bCs/>
                <w:color w:val="auto"/>
                <w:lang w:val="en-US" w:eastAsia="zh-CN"/>
              </w:rPr>
              <w:t>罐车清洗用水</w:t>
            </w:r>
          </w:p>
          <w:p w14:paraId="14E717AA">
            <w:pPr>
              <w:bidi w:val="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车辆连续运输不需要对其进行冲洗，在更换运输品种、停止运输时需要对运输车辆进行冲洗，每天工作完成后，运输罐车都需要进行清洗，根据《行业用水定额》（DB15/T385-2020），洗车用水定额为0.02m³/车次，</w:t>
            </w:r>
            <w:r>
              <w:rPr>
                <w:rFonts w:hint="default" w:ascii="Times New Roman" w:hAnsi="Times New Roman" w:eastAsia="宋体" w:cs="Times New Roman"/>
                <w:color w:val="auto"/>
                <w:lang w:val="en-US" w:eastAsia="zh-CN"/>
              </w:rPr>
              <w:t>日洗车数量约</w:t>
            </w:r>
            <w:r>
              <w:rPr>
                <w:rFonts w:hint="eastAsia" w:cs="Times New Roman"/>
                <w:color w:val="auto"/>
                <w:lang w:val="en-US" w:eastAsia="zh-CN"/>
              </w:rPr>
              <w:t>74</w:t>
            </w:r>
            <w:r>
              <w:rPr>
                <w:rFonts w:hint="default" w:ascii="Times New Roman" w:hAnsi="Times New Roman" w:eastAsia="宋体" w:cs="Times New Roman"/>
                <w:color w:val="auto"/>
                <w:lang w:val="en-US" w:eastAsia="zh-CN"/>
              </w:rPr>
              <w:t>辆，则日用水量为</w:t>
            </w:r>
            <w:r>
              <w:rPr>
                <w:rFonts w:hint="eastAsia" w:cs="Times New Roman"/>
                <w:color w:val="auto"/>
                <w:lang w:val="en-US" w:eastAsia="zh-CN"/>
              </w:rPr>
              <w:t>1.48</w:t>
            </w:r>
            <w:r>
              <w:rPr>
                <w:rFonts w:hint="default" w:ascii="Times New Roman" w:hAnsi="Times New Roman" w:eastAsia="宋体" w:cs="Times New Roman"/>
                <w:color w:val="auto"/>
                <w:lang w:val="en-US" w:eastAsia="zh-CN"/>
              </w:rPr>
              <w:t>m³/d，即</w:t>
            </w:r>
            <w:r>
              <w:rPr>
                <w:rFonts w:hint="eastAsia" w:cs="Times New Roman"/>
                <w:color w:val="auto"/>
                <w:highlight w:val="none"/>
                <w:lang w:val="en-US" w:eastAsia="zh-CN"/>
              </w:rPr>
              <w:t>297.48</w:t>
            </w:r>
            <w:r>
              <w:rPr>
                <w:rFonts w:hint="default" w:ascii="Times New Roman" w:hAnsi="Times New Roman" w:eastAsia="宋体" w:cs="Times New Roman"/>
                <w:color w:val="auto"/>
                <w:highlight w:val="none"/>
                <w:lang w:val="en-US" w:eastAsia="zh-CN"/>
              </w:rPr>
              <w:t>m³/a。</w:t>
            </w:r>
          </w:p>
          <w:p w14:paraId="588C7267">
            <w:pPr>
              <w:bidi w:val="0"/>
              <w:rPr>
                <w:rFonts w:hint="default" w:ascii="Times New Roman" w:hAnsi="Times New Roman" w:cs="Times New Roman"/>
                <w:b/>
                <w:bCs/>
                <w:color w:val="auto"/>
                <w:lang w:val="en-US" w:eastAsia="zh-CN"/>
              </w:rPr>
            </w:pPr>
            <w:r>
              <w:rPr>
                <w:rFonts w:hint="eastAsia" w:cs="Times New Roman"/>
                <w:b/>
                <w:bCs/>
                <w:color w:val="auto"/>
                <w:lang w:val="en-US" w:eastAsia="zh-CN"/>
              </w:rPr>
              <w:t>E</w:t>
            </w:r>
            <w:r>
              <w:rPr>
                <w:rFonts w:hint="default" w:ascii="Times New Roman" w:hAnsi="Times New Roman" w:cs="Times New Roman"/>
                <w:b/>
                <w:bCs/>
                <w:color w:val="auto"/>
                <w:lang w:val="en-US" w:eastAsia="zh-CN"/>
              </w:rPr>
              <w:t>绿化用水</w:t>
            </w:r>
          </w:p>
          <w:p w14:paraId="24AC637A">
            <w:pPr>
              <w:bidi w:val="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根据《内蒙古自治区行业用水定额》（DB15/T385-2020）</w:t>
            </w:r>
            <w:r>
              <w:rPr>
                <w:rFonts w:hint="default" w:ascii="Times New Roman" w:hAnsi="Times New Roman" w:cs="Times New Roman"/>
                <w:b w:val="0"/>
                <w:bCs w:val="0"/>
                <w:color w:val="auto"/>
                <w:lang w:val="en-US" w:eastAsia="zh-CN"/>
              </w:rPr>
              <w:t>，绿化用水指标为1.1L/d·㎡，</w:t>
            </w:r>
            <w:r>
              <w:rPr>
                <w:rFonts w:hint="default" w:ascii="Times New Roman" w:hAnsi="Times New Roman" w:cs="Times New Roman"/>
                <w:b w:val="0"/>
                <w:bCs w:val="0"/>
                <w:color w:val="auto"/>
                <w:highlight w:val="none"/>
                <w:lang w:val="en-US" w:eastAsia="zh-CN"/>
              </w:rPr>
              <w:t>绿化用水天数按60d</w:t>
            </w:r>
            <w:r>
              <w:rPr>
                <w:rFonts w:hint="default" w:ascii="Times New Roman" w:hAnsi="Times New Roman" w:eastAsia="宋体" w:cs="Times New Roman"/>
                <w:color w:val="auto"/>
                <w:highlight w:val="none"/>
                <w:lang w:val="en-US" w:eastAsia="zh-CN"/>
              </w:rPr>
              <w:t>/a，全厂绿化面积2</w:t>
            </w:r>
            <w:r>
              <w:rPr>
                <w:rFonts w:hint="eastAsia" w:cs="Times New Roman"/>
                <w:color w:val="auto"/>
                <w:highlight w:val="none"/>
                <w:lang w:val="en-US" w:eastAsia="zh-CN"/>
              </w:rPr>
              <w:t>0</w:t>
            </w:r>
            <w:r>
              <w:rPr>
                <w:rFonts w:hint="default" w:ascii="Times New Roman" w:hAnsi="Times New Roman" w:eastAsia="宋体" w:cs="Times New Roman"/>
                <w:color w:val="auto"/>
                <w:highlight w:val="none"/>
                <w:lang w:val="en-US" w:eastAsia="zh-CN"/>
              </w:rPr>
              <w:t>00㎡，</w:t>
            </w:r>
            <w:r>
              <w:rPr>
                <w:rFonts w:hint="default" w:ascii="Times New Roman" w:hAnsi="Times New Roman" w:eastAsia="宋体" w:cs="Times New Roman"/>
                <w:color w:val="auto"/>
                <w:lang w:val="en-US" w:eastAsia="zh-CN"/>
              </w:rPr>
              <w:t>则绿化用水量为</w:t>
            </w:r>
            <w:r>
              <w:rPr>
                <w:rFonts w:hint="eastAsia" w:cs="Times New Roman"/>
                <w:color w:val="auto"/>
                <w:lang w:val="en-US" w:eastAsia="zh-CN"/>
              </w:rPr>
              <w:t>2.2</w:t>
            </w:r>
            <w:r>
              <w:rPr>
                <w:rFonts w:hint="default" w:ascii="Times New Roman" w:hAnsi="Times New Roman" w:eastAsia="宋体" w:cs="Times New Roman"/>
                <w:color w:val="auto"/>
                <w:lang w:val="en-US" w:eastAsia="zh-CN"/>
              </w:rPr>
              <w:t>m³/d，即为</w:t>
            </w:r>
            <w:r>
              <w:rPr>
                <w:rFonts w:hint="default" w:ascii="Times New Roman" w:hAnsi="Times New Roman" w:cs="Times New Roman"/>
                <w:color w:val="auto"/>
                <w:lang w:val="en-US" w:eastAsia="zh-CN"/>
              </w:rPr>
              <w:t>132</w:t>
            </w:r>
            <w:r>
              <w:rPr>
                <w:rFonts w:hint="default" w:ascii="Times New Roman" w:hAnsi="Times New Roman" w:eastAsia="宋体" w:cs="Times New Roman"/>
                <w:color w:val="auto"/>
                <w:lang w:val="en-US" w:eastAsia="zh-CN"/>
              </w:rPr>
              <w:t>m³/a。</w:t>
            </w:r>
          </w:p>
          <w:p w14:paraId="69783FC7">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（2）排水工程</w:t>
            </w:r>
          </w:p>
          <w:p w14:paraId="33948A71">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①生活污水</w:t>
            </w:r>
          </w:p>
          <w:p w14:paraId="30D3F626">
            <w:pPr>
              <w:bidi w:val="0"/>
              <w:rPr>
                <w:rFonts w:hint="eastAsia" w:cs="Times New Roman"/>
                <w:color w:val="auto"/>
                <w:lang w:val="en-US" w:eastAsia="zh-CN"/>
              </w:rPr>
            </w:pPr>
            <w:r>
              <w:rPr>
                <w:rFonts w:hint="default" w:ascii="Times New Roman" w:hAnsi="Times New Roman" w:cs="Times New Roman"/>
                <w:color w:val="auto"/>
                <w:lang w:val="en-US" w:eastAsia="zh-CN"/>
              </w:rPr>
              <w:t>生活污水排放量按照用水量的80%计算，则生活污水排放量为0.</w:t>
            </w:r>
            <w:r>
              <w:rPr>
                <w:rFonts w:hint="eastAsia" w:cs="Times New Roman"/>
                <w:color w:val="auto"/>
                <w:lang w:val="en-US" w:eastAsia="zh-CN"/>
              </w:rPr>
              <w:t>624</w:t>
            </w:r>
            <w:r>
              <w:rPr>
                <w:rFonts w:hint="default" w:ascii="Times New Roman" w:hAnsi="Times New Roman" w:cs="Times New Roman"/>
                <w:color w:val="auto"/>
                <w:lang w:val="en-US" w:eastAsia="zh-CN"/>
              </w:rPr>
              <w:t>m³/d，即</w:t>
            </w:r>
            <w:r>
              <w:rPr>
                <w:rFonts w:hint="eastAsia" w:cs="Times New Roman"/>
                <w:color w:val="auto"/>
                <w:lang w:val="en-US" w:eastAsia="zh-CN"/>
              </w:rPr>
              <w:t>125.424</w:t>
            </w:r>
            <w:r>
              <w:rPr>
                <w:rFonts w:hint="default" w:ascii="Times New Roman" w:hAnsi="Times New Roman" w:cs="Times New Roman"/>
                <w:color w:val="auto"/>
                <w:lang w:val="en-US" w:eastAsia="zh-CN"/>
              </w:rPr>
              <w:t>m³/a；产生的生活污水由化粪池收集后，</w:t>
            </w:r>
            <w:r>
              <w:rPr>
                <w:rFonts w:hint="eastAsia" w:cs="Times New Roman"/>
                <w:color w:val="auto"/>
                <w:lang w:val="en-US" w:eastAsia="zh-CN"/>
              </w:rPr>
              <w:t>定期交由伊金霍洛旗澎源供水有限公司进行拉运处理。</w:t>
            </w:r>
          </w:p>
          <w:p w14:paraId="3103CD35">
            <w:pPr>
              <w:bidi w:val="0"/>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②生产废水</w:t>
            </w:r>
          </w:p>
          <w:p w14:paraId="4E544545">
            <w:pPr>
              <w:bidi w:val="0"/>
              <w:rPr>
                <w:rFonts w:hint="default" w:ascii="Times New Roman" w:hAnsi="Times New Roman" w:cs="Times New Roman"/>
                <w:b/>
                <w:bCs/>
                <w:color w:val="auto"/>
                <w:lang w:val="en-US" w:eastAsia="zh-CN"/>
              </w:rPr>
            </w:pPr>
            <w:r>
              <w:rPr>
                <w:rFonts w:hint="eastAsia" w:cs="Times New Roman"/>
                <w:b/>
                <w:bCs/>
                <w:color w:val="auto"/>
                <w:lang w:val="en-US" w:eastAsia="zh-CN"/>
              </w:rPr>
              <w:t>A</w:t>
            </w:r>
            <w:r>
              <w:rPr>
                <w:rFonts w:hint="default" w:ascii="Times New Roman" w:hAnsi="Times New Roman" w:cs="Times New Roman"/>
                <w:b/>
                <w:bCs/>
                <w:color w:val="auto"/>
                <w:lang w:val="en-US" w:eastAsia="zh-CN"/>
              </w:rPr>
              <w:t>原料堆场抑尘废水</w:t>
            </w:r>
          </w:p>
          <w:p w14:paraId="2E9952CA">
            <w:pPr>
              <w:bidi w:val="0"/>
              <w:rPr>
                <w:rFonts w:hint="default" w:ascii="Times New Roman" w:hAnsi="Times New Roman" w:cs="Times New Roman"/>
                <w:color w:val="auto"/>
                <w:highlight w:val="yellow"/>
                <w:lang w:val="en-US" w:eastAsia="zh-CN"/>
              </w:rPr>
            </w:pPr>
            <w:r>
              <w:rPr>
                <w:rFonts w:hint="default" w:ascii="Times New Roman" w:hAnsi="Times New Roman" w:cs="Times New Roman"/>
                <w:color w:val="auto"/>
                <w:lang w:val="en-US" w:eastAsia="zh-CN"/>
              </w:rPr>
              <w:t>降尘用水为雾化水，粒径在1~100微米；作为水雾最终蒸发，无废水产生。</w:t>
            </w:r>
          </w:p>
          <w:p w14:paraId="0F492772">
            <w:pPr>
              <w:bidi w:val="0"/>
              <w:rPr>
                <w:rFonts w:hint="default" w:ascii="Times New Roman" w:hAnsi="Times New Roman" w:cs="Times New Roman"/>
                <w:b/>
                <w:bCs/>
                <w:color w:val="auto"/>
                <w:lang w:val="en-US" w:eastAsia="zh-CN"/>
              </w:rPr>
            </w:pPr>
            <w:r>
              <w:rPr>
                <w:rFonts w:hint="eastAsia" w:cs="Times New Roman"/>
                <w:b/>
                <w:bCs/>
                <w:color w:val="auto"/>
                <w:lang w:val="en-US" w:eastAsia="zh-CN"/>
              </w:rPr>
              <w:t>B</w:t>
            </w:r>
            <w:r>
              <w:rPr>
                <w:rFonts w:hint="default" w:ascii="Times New Roman" w:hAnsi="Times New Roman" w:cs="Times New Roman"/>
                <w:b/>
                <w:bCs/>
                <w:color w:val="auto"/>
                <w:lang w:val="en-US" w:eastAsia="zh-CN"/>
              </w:rPr>
              <w:t>搅拌混合用水</w:t>
            </w:r>
          </w:p>
          <w:p w14:paraId="1EDF1E22">
            <w:pPr>
              <w:bidi w:val="0"/>
              <w:rPr>
                <w:rFonts w:hint="default" w:ascii="Times New Roman" w:hAnsi="Times New Roman" w:cs="Times New Roman"/>
                <w:b w:val="0"/>
                <w:bCs w:val="0"/>
                <w:color w:val="auto"/>
                <w:lang w:val="en-US" w:eastAsia="zh-CN"/>
              </w:rPr>
            </w:pPr>
            <w:r>
              <w:rPr>
                <w:rFonts w:hint="eastAsia" w:cs="Times New Roman"/>
                <w:b w:val="0"/>
                <w:bCs w:val="0"/>
                <w:color w:val="auto"/>
                <w:lang w:val="en-US" w:eastAsia="zh-CN"/>
              </w:rPr>
              <w:t>搅拌混合用水全部带入产品中，无外排废水。</w:t>
            </w:r>
          </w:p>
          <w:p w14:paraId="3471B5B6">
            <w:pPr>
              <w:bidi w:val="0"/>
              <w:rPr>
                <w:rFonts w:hint="default" w:ascii="Times New Roman" w:hAnsi="Times New Roman" w:cs="Times New Roman"/>
                <w:color w:val="auto"/>
                <w:highlight w:val="yellow"/>
                <w:lang w:val="en-US" w:eastAsia="zh-CN"/>
              </w:rPr>
            </w:pPr>
            <w:r>
              <w:rPr>
                <w:rFonts w:hint="eastAsia" w:cs="Times New Roman"/>
                <w:b/>
                <w:bCs/>
                <w:color w:val="auto"/>
                <w:lang w:val="en-US" w:eastAsia="zh-CN"/>
              </w:rPr>
              <w:t>C</w:t>
            </w:r>
            <w:r>
              <w:rPr>
                <w:rFonts w:hint="default" w:ascii="Times New Roman" w:hAnsi="Times New Roman" w:cs="Times New Roman"/>
                <w:b/>
                <w:bCs/>
                <w:color w:val="auto"/>
                <w:lang w:val="en-US" w:eastAsia="zh-CN"/>
              </w:rPr>
              <w:t>搅拌机清洗废水</w:t>
            </w:r>
          </w:p>
          <w:p w14:paraId="7563E63F">
            <w:pPr>
              <w:bidi w:val="0"/>
              <w:rPr>
                <w:rFonts w:hint="default" w:ascii="Times New Roman" w:hAnsi="Times New Roman" w:cs="Times New Roman"/>
                <w:color w:val="auto"/>
                <w:highlight w:val="yellow"/>
                <w:lang w:val="en-US" w:eastAsia="zh-CN"/>
              </w:rPr>
            </w:pPr>
            <w:r>
              <w:rPr>
                <w:rFonts w:hint="default" w:ascii="Times New Roman" w:hAnsi="Times New Roman" w:eastAsia="宋体" w:cs="Times New Roman"/>
                <w:color w:val="auto"/>
                <w:lang w:val="en-US" w:eastAsia="zh-CN"/>
              </w:rPr>
              <w:t>搅拌机清洗系统废水按用水90%计算，排水量为0.9m³/d，即</w:t>
            </w:r>
            <w:r>
              <w:rPr>
                <w:rFonts w:hint="eastAsia" w:cs="Times New Roman"/>
                <w:color w:val="auto"/>
                <w:lang w:val="en-US" w:eastAsia="zh-CN"/>
              </w:rPr>
              <w:t>180.9</w:t>
            </w:r>
            <w:r>
              <w:rPr>
                <w:rFonts w:hint="default" w:ascii="Times New Roman" w:hAnsi="Times New Roman" w:eastAsia="宋体" w:cs="Times New Roman"/>
                <w:color w:val="auto"/>
                <w:lang w:val="en-US" w:eastAsia="zh-CN"/>
              </w:rPr>
              <w:t>m³/a</w:t>
            </w:r>
            <w:r>
              <w:rPr>
                <w:rFonts w:hint="eastAsia" w:cs="Times New Roman"/>
                <w:color w:val="auto"/>
                <w:lang w:val="en-US" w:eastAsia="zh-CN"/>
              </w:rPr>
              <w:t>，</w:t>
            </w:r>
            <w:r>
              <w:rPr>
                <w:rFonts w:hint="default" w:ascii="Times New Roman" w:hAnsi="Times New Roman" w:eastAsia="宋体" w:cs="Times New Roman"/>
                <w:color w:val="0000FF"/>
                <w:lang w:val="en-US" w:eastAsia="zh-CN"/>
              </w:rPr>
              <w:t>送厂区沉淀系统处理后</w:t>
            </w:r>
            <w:r>
              <w:rPr>
                <w:rFonts w:hint="eastAsia"/>
                <w:color w:val="0000FF"/>
                <w:highlight w:val="none"/>
                <w:lang w:val="en-US" w:eastAsia="zh-CN"/>
              </w:rPr>
              <w:t>，由厂区内的废水输送管线输送至搅拌工序用于搅拌混合用水</w:t>
            </w:r>
            <w:r>
              <w:rPr>
                <w:rFonts w:hint="default"/>
                <w:color w:val="0000FF"/>
                <w:highlight w:val="none"/>
                <w:lang w:val="en-US" w:eastAsia="zh-CN"/>
              </w:rPr>
              <w:t>，不外排</w:t>
            </w:r>
            <w:r>
              <w:rPr>
                <w:rFonts w:hint="default" w:ascii="Times New Roman" w:hAnsi="Times New Roman" w:cs="Times New Roman"/>
                <w:color w:val="0000FF"/>
                <w:highlight w:val="none"/>
                <w:lang w:val="en-US" w:eastAsia="zh-CN"/>
              </w:rPr>
              <w:t>。</w:t>
            </w:r>
          </w:p>
          <w:p w14:paraId="6CC97ABE">
            <w:pPr>
              <w:bidi w:val="0"/>
              <w:rPr>
                <w:rFonts w:hint="default" w:ascii="Times New Roman" w:hAnsi="Times New Roman" w:cs="Times New Roman"/>
                <w:b/>
                <w:bCs/>
                <w:color w:val="auto"/>
                <w:lang w:val="en-US" w:eastAsia="zh-CN"/>
              </w:rPr>
            </w:pPr>
            <w:r>
              <w:rPr>
                <w:rFonts w:hint="eastAsia" w:cs="Times New Roman"/>
                <w:b/>
                <w:bCs/>
                <w:color w:val="auto"/>
                <w:lang w:val="en-US" w:eastAsia="zh-CN"/>
              </w:rPr>
              <w:t>D</w:t>
            </w:r>
            <w:r>
              <w:rPr>
                <w:rFonts w:hint="default" w:ascii="Times New Roman" w:hAnsi="Times New Roman" w:cs="Times New Roman"/>
                <w:b/>
                <w:bCs/>
                <w:color w:val="auto"/>
                <w:lang w:val="en-US" w:eastAsia="zh-CN"/>
              </w:rPr>
              <w:t>罐车清洗废水</w:t>
            </w:r>
          </w:p>
          <w:p w14:paraId="46D1DFCF">
            <w:pPr>
              <w:bidi w:val="0"/>
              <w:rPr>
                <w:rFonts w:hint="default" w:ascii="Times New Roman" w:hAnsi="Times New Roman" w:cs="Times New Roman"/>
                <w:color w:val="auto"/>
                <w:highlight w:val="yellow"/>
                <w:lang w:val="en-US" w:eastAsia="zh-CN"/>
              </w:rPr>
            </w:pPr>
            <w:r>
              <w:rPr>
                <w:rFonts w:hint="eastAsia" w:cs="Times New Roman"/>
                <w:color w:val="auto"/>
                <w:lang w:val="en-US" w:eastAsia="zh-CN"/>
              </w:rPr>
              <w:t>罐车</w:t>
            </w:r>
            <w:r>
              <w:rPr>
                <w:rFonts w:hint="default" w:ascii="Times New Roman" w:hAnsi="Times New Roman" w:cs="Times New Roman"/>
                <w:color w:val="auto"/>
                <w:lang w:val="en-US" w:eastAsia="zh-CN"/>
              </w:rPr>
              <w:t>清洗废水按用水90%计算，则排水量为</w:t>
            </w:r>
            <w:r>
              <w:rPr>
                <w:rFonts w:hint="eastAsia" w:cs="Times New Roman"/>
                <w:color w:val="auto"/>
                <w:lang w:val="en-US" w:eastAsia="zh-CN"/>
              </w:rPr>
              <w:t>1.332</w:t>
            </w:r>
            <w:r>
              <w:rPr>
                <w:rFonts w:hint="default" w:ascii="Times New Roman" w:hAnsi="Times New Roman" w:cs="Times New Roman"/>
                <w:color w:val="auto"/>
                <w:lang w:val="en-US" w:eastAsia="zh-CN"/>
              </w:rPr>
              <w:t>m³/d，即</w:t>
            </w:r>
            <w:r>
              <w:rPr>
                <w:rFonts w:hint="eastAsia" w:cs="Times New Roman"/>
                <w:color w:val="auto"/>
                <w:lang w:val="en-US" w:eastAsia="zh-CN"/>
              </w:rPr>
              <w:t>267.732</w:t>
            </w:r>
            <w:r>
              <w:rPr>
                <w:rFonts w:hint="default" w:ascii="Times New Roman" w:hAnsi="Times New Roman" w:cs="Times New Roman"/>
                <w:color w:val="auto"/>
                <w:lang w:val="en-US" w:eastAsia="zh-CN"/>
              </w:rPr>
              <w:t>m³/a；</w:t>
            </w:r>
            <w:r>
              <w:rPr>
                <w:rFonts w:hint="default" w:ascii="Times New Roman" w:hAnsi="Times New Roman" w:cs="Times New Roman"/>
                <w:color w:val="0000FF"/>
                <w:highlight w:val="none"/>
                <w:lang w:val="en-US" w:eastAsia="zh-CN"/>
              </w:rPr>
              <w:t>送</w:t>
            </w:r>
            <w:r>
              <w:rPr>
                <w:rFonts w:hint="default"/>
                <w:color w:val="0000FF"/>
                <w:highlight w:val="none"/>
                <w:lang w:val="en-US" w:eastAsia="zh-CN"/>
              </w:rPr>
              <w:t>厂区沉淀系统处理后</w:t>
            </w:r>
            <w:r>
              <w:rPr>
                <w:rFonts w:hint="eastAsia"/>
                <w:color w:val="0000FF"/>
                <w:highlight w:val="none"/>
                <w:lang w:val="en-US" w:eastAsia="zh-CN"/>
              </w:rPr>
              <w:t>，由厂区内的废水输送管线输送至搅拌工序用于搅拌混合用水</w:t>
            </w:r>
            <w:r>
              <w:rPr>
                <w:rFonts w:hint="default"/>
                <w:color w:val="0000FF"/>
                <w:highlight w:val="none"/>
                <w:lang w:val="en-US" w:eastAsia="zh-CN"/>
              </w:rPr>
              <w:t>，不外排</w:t>
            </w:r>
            <w:r>
              <w:rPr>
                <w:rFonts w:hint="default" w:ascii="Times New Roman" w:hAnsi="Times New Roman" w:cs="Times New Roman"/>
                <w:color w:val="0000FF"/>
                <w:highlight w:val="none"/>
                <w:lang w:val="en-US" w:eastAsia="zh-CN"/>
              </w:rPr>
              <w:t>。</w:t>
            </w:r>
          </w:p>
          <w:p w14:paraId="511407D5">
            <w:pPr>
              <w:bidi w:val="0"/>
              <w:rPr>
                <w:rFonts w:hint="default" w:ascii="Times New Roman" w:hAnsi="Times New Roman" w:cs="Times New Roman"/>
                <w:b/>
                <w:bCs/>
                <w:color w:val="auto"/>
                <w:lang w:val="en-US" w:eastAsia="zh-CN"/>
              </w:rPr>
            </w:pPr>
            <w:r>
              <w:rPr>
                <w:rFonts w:hint="eastAsia" w:cs="Times New Roman"/>
                <w:b/>
                <w:bCs/>
                <w:color w:val="auto"/>
                <w:lang w:val="en-US" w:eastAsia="zh-CN"/>
              </w:rPr>
              <w:t>E</w:t>
            </w:r>
            <w:r>
              <w:rPr>
                <w:rFonts w:hint="default" w:ascii="Times New Roman" w:hAnsi="Times New Roman" w:cs="Times New Roman"/>
                <w:b/>
                <w:bCs/>
                <w:color w:val="auto"/>
                <w:lang w:val="en-US" w:eastAsia="zh-CN"/>
              </w:rPr>
              <w:t>绿化</w:t>
            </w:r>
          </w:p>
          <w:p w14:paraId="56F4FB79">
            <w:pPr>
              <w:bidi w:val="0"/>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本项目绿化用水全部自然蒸发。</w:t>
            </w:r>
          </w:p>
          <w:p w14:paraId="6CA7BD6C">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本项目用水平衡一览表2-5。</w:t>
            </w:r>
          </w:p>
          <w:p w14:paraId="69E20C91">
            <w:pPr>
              <w:bidi w:val="0"/>
              <w:ind w:firstLine="0" w:firstLineChars="0"/>
              <w:jc w:val="center"/>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表2-5给排水平衡一览表</w:t>
            </w:r>
          </w:p>
          <w:tbl>
            <w:tblPr>
              <w:tblStyle w:val="18"/>
              <w:tblW w:w="78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229"/>
              <w:gridCol w:w="1185"/>
              <w:gridCol w:w="1185"/>
              <w:gridCol w:w="1050"/>
              <w:gridCol w:w="1065"/>
              <w:gridCol w:w="1115"/>
              <w:gridCol w:w="392"/>
            </w:tblGrid>
            <w:tr w14:paraId="4AAF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40" w:type="dxa"/>
                  <w:tcBorders>
                    <w:tl2br w:val="nil"/>
                    <w:tr2bl w:val="nil"/>
                  </w:tcBorders>
                  <w:noWrap w:val="0"/>
                  <w:vAlign w:val="center"/>
                </w:tcPr>
                <w:p w14:paraId="649BDF02">
                  <w:pPr>
                    <w:topLinePunct w:val="0"/>
                    <w:autoSpaceDE w:val="0"/>
                    <w:autoSpaceDN w:val="0"/>
                    <w:spacing w:line="240" w:lineRule="auto"/>
                    <w:ind w:firstLine="0" w:firstLineChars="0"/>
                    <w:rPr>
                      <w:rFonts w:hint="default" w:ascii="Times New Roman" w:hAnsi="Times New Roman" w:cs="Times New Roman"/>
                      <w:color w:val="auto"/>
                      <w:lang w:val="en-US"/>
                    </w:rPr>
                  </w:pPr>
                  <w:r>
                    <w:rPr>
                      <w:rFonts w:hint="default" w:ascii="Times New Roman" w:hAnsi="Times New Roman" w:cs="Times New Roman"/>
                      <w:color w:val="auto"/>
                      <w:lang w:val="en-US"/>
                    </w:rPr>
                    <w:t>序号</w:t>
                  </w:r>
                </w:p>
              </w:tc>
              <w:tc>
                <w:tcPr>
                  <w:tcW w:w="1229" w:type="dxa"/>
                  <w:tcBorders>
                    <w:tl2br w:val="nil"/>
                    <w:tr2bl w:val="nil"/>
                  </w:tcBorders>
                  <w:noWrap w:val="0"/>
                  <w:vAlign w:val="center"/>
                </w:tcPr>
                <w:p w14:paraId="3EB67D06">
                  <w:pPr>
                    <w:topLinePunct w:val="0"/>
                    <w:autoSpaceDE w:val="0"/>
                    <w:autoSpaceDN w:val="0"/>
                    <w:spacing w:line="240" w:lineRule="auto"/>
                    <w:ind w:firstLine="0" w:firstLineChars="0"/>
                    <w:rPr>
                      <w:rFonts w:hint="default" w:ascii="Times New Roman" w:hAnsi="Times New Roman" w:cs="Times New Roman"/>
                      <w:color w:val="auto"/>
                      <w:lang w:val="en-US"/>
                    </w:rPr>
                  </w:pPr>
                  <w:r>
                    <w:rPr>
                      <w:rFonts w:hint="default" w:ascii="Times New Roman" w:hAnsi="Times New Roman" w:cs="Times New Roman"/>
                      <w:color w:val="auto"/>
                      <w:lang w:val="en-US"/>
                    </w:rPr>
                    <w:t>用水工序</w:t>
                  </w:r>
                </w:p>
              </w:tc>
              <w:tc>
                <w:tcPr>
                  <w:tcW w:w="1185" w:type="dxa"/>
                  <w:tcBorders>
                    <w:tl2br w:val="nil"/>
                    <w:tr2bl w:val="nil"/>
                  </w:tcBorders>
                  <w:noWrap w:val="0"/>
                  <w:vAlign w:val="center"/>
                </w:tcPr>
                <w:p w14:paraId="54EF3840">
                  <w:pPr>
                    <w:topLinePunct w:val="0"/>
                    <w:autoSpaceDE w:val="0"/>
                    <w:autoSpaceDN w:val="0"/>
                    <w:spacing w:line="240" w:lineRule="auto"/>
                    <w:ind w:firstLine="0" w:firstLineChars="0"/>
                    <w:rPr>
                      <w:rFonts w:hint="default" w:ascii="Times New Roman" w:hAnsi="Times New Roman" w:cs="Times New Roman"/>
                      <w:color w:val="auto"/>
                      <w:lang w:val="en-US"/>
                    </w:rPr>
                  </w:pPr>
                  <w:r>
                    <w:rPr>
                      <w:rFonts w:hint="default" w:ascii="Times New Roman" w:hAnsi="Times New Roman" w:cs="Times New Roman"/>
                      <w:color w:val="auto"/>
                      <w:lang w:val="en-US"/>
                    </w:rPr>
                    <w:t>总用水量（</w:t>
                  </w:r>
                  <w:r>
                    <w:rPr>
                      <w:rFonts w:hint="default" w:ascii="Times New Roman" w:hAnsi="Times New Roman" w:cs="Times New Roman"/>
                      <w:color w:val="auto"/>
                      <w:lang w:val="en-US" w:eastAsia="zh-CN"/>
                    </w:rPr>
                    <w:t>m³</w:t>
                  </w:r>
                  <w:r>
                    <w:rPr>
                      <w:rFonts w:hint="default" w:ascii="Times New Roman" w:hAnsi="Times New Roman" w:cs="Times New Roman"/>
                      <w:color w:val="auto"/>
                      <w:lang w:val="en-US"/>
                    </w:rPr>
                    <w:t>/d）</w:t>
                  </w:r>
                </w:p>
              </w:tc>
              <w:tc>
                <w:tcPr>
                  <w:tcW w:w="1185" w:type="dxa"/>
                  <w:tcBorders>
                    <w:tl2br w:val="nil"/>
                    <w:tr2bl w:val="nil"/>
                  </w:tcBorders>
                  <w:noWrap w:val="0"/>
                  <w:vAlign w:val="center"/>
                </w:tcPr>
                <w:p w14:paraId="487B91F1">
                  <w:pPr>
                    <w:topLinePunct w:val="0"/>
                    <w:autoSpaceDE w:val="0"/>
                    <w:autoSpaceDN w:val="0"/>
                    <w:spacing w:line="240" w:lineRule="auto"/>
                    <w:ind w:firstLine="0" w:firstLineChars="0"/>
                    <w:rPr>
                      <w:rFonts w:hint="default" w:ascii="Times New Roman" w:hAnsi="Times New Roman" w:cs="Times New Roman"/>
                      <w:color w:val="auto"/>
                      <w:lang w:val="en-US"/>
                    </w:rPr>
                  </w:pPr>
                  <w:r>
                    <w:rPr>
                      <w:rFonts w:hint="eastAsia" w:cs="Times New Roman"/>
                      <w:color w:val="auto"/>
                      <w:lang w:val="en-US" w:eastAsia="zh-CN"/>
                    </w:rPr>
                    <w:t>回用</w:t>
                  </w:r>
                  <w:r>
                    <w:rPr>
                      <w:rFonts w:hint="default" w:ascii="Times New Roman" w:hAnsi="Times New Roman" w:cs="Times New Roman"/>
                      <w:color w:val="auto"/>
                      <w:lang w:val="en-US"/>
                    </w:rPr>
                    <w:t>水量（</w:t>
                  </w:r>
                  <w:r>
                    <w:rPr>
                      <w:rFonts w:hint="default" w:ascii="Times New Roman" w:hAnsi="Times New Roman" w:cs="Times New Roman"/>
                      <w:color w:val="auto"/>
                      <w:lang w:val="en-US" w:eastAsia="zh-CN"/>
                    </w:rPr>
                    <w:t>m³</w:t>
                  </w:r>
                  <w:r>
                    <w:rPr>
                      <w:rFonts w:hint="default" w:ascii="Times New Roman" w:hAnsi="Times New Roman" w:cs="Times New Roman"/>
                      <w:color w:val="auto"/>
                      <w:lang w:val="en-US"/>
                    </w:rPr>
                    <w:t>/d）</w:t>
                  </w:r>
                </w:p>
              </w:tc>
              <w:tc>
                <w:tcPr>
                  <w:tcW w:w="1050" w:type="dxa"/>
                  <w:tcBorders>
                    <w:tl2br w:val="nil"/>
                    <w:tr2bl w:val="nil"/>
                  </w:tcBorders>
                  <w:noWrap w:val="0"/>
                  <w:vAlign w:val="center"/>
                </w:tcPr>
                <w:p w14:paraId="463C951F">
                  <w:pPr>
                    <w:topLinePunct w:val="0"/>
                    <w:autoSpaceDE w:val="0"/>
                    <w:autoSpaceDN w:val="0"/>
                    <w:spacing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rPr>
                    <w:t>新鲜水（</w:t>
                  </w:r>
                  <w:r>
                    <w:rPr>
                      <w:rFonts w:hint="default" w:ascii="Times New Roman" w:hAnsi="Times New Roman" w:cs="Times New Roman"/>
                      <w:color w:val="auto"/>
                      <w:lang w:val="en-US" w:eastAsia="zh-CN"/>
                    </w:rPr>
                    <w:t>m³</w:t>
                  </w:r>
                  <w:r>
                    <w:rPr>
                      <w:rFonts w:hint="default" w:ascii="Times New Roman" w:hAnsi="Times New Roman" w:cs="Times New Roman"/>
                      <w:color w:val="auto"/>
                      <w:lang w:val="en-US"/>
                    </w:rPr>
                    <w:t>/d）</w:t>
                  </w:r>
                </w:p>
              </w:tc>
              <w:tc>
                <w:tcPr>
                  <w:tcW w:w="1065" w:type="dxa"/>
                  <w:tcBorders>
                    <w:tl2br w:val="nil"/>
                    <w:tr2bl w:val="nil"/>
                  </w:tcBorders>
                  <w:noWrap w:val="0"/>
                  <w:vAlign w:val="center"/>
                </w:tcPr>
                <w:p w14:paraId="36956B75">
                  <w:pPr>
                    <w:topLinePunct w:val="0"/>
                    <w:autoSpaceDE w:val="0"/>
                    <w:autoSpaceDN w:val="0"/>
                    <w:spacing w:line="240" w:lineRule="auto"/>
                    <w:ind w:firstLine="0" w:firstLineChars="0"/>
                    <w:jc w:val="center"/>
                    <w:rPr>
                      <w:rFonts w:hint="default" w:ascii="Times New Roman" w:hAnsi="Times New Roman" w:cs="Times New Roman"/>
                      <w:color w:val="auto"/>
                      <w:lang w:val="en-US"/>
                    </w:rPr>
                  </w:pPr>
                  <w:r>
                    <w:rPr>
                      <w:rFonts w:hint="default" w:ascii="Times New Roman" w:hAnsi="Times New Roman" w:cs="Times New Roman"/>
                      <w:color w:val="auto"/>
                      <w:lang w:val="en-US"/>
                    </w:rPr>
                    <w:t>损耗</w:t>
                  </w:r>
                </w:p>
                <w:p w14:paraId="725C2EF0">
                  <w:pPr>
                    <w:topLinePunct w:val="0"/>
                    <w:autoSpaceDE w:val="0"/>
                    <w:autoSpaceDN w:val="0"/>
                    <w:spacing w:line="240" w:lineRule="auto"/>
                    <w:ind w:firstLine="0" w:firstLineChars="0"/>
                    <w:jc w:val="center"/>
                    <w:rPr>
                      <w:rFonts w:hint="default" w:ascii="Times New Roman" w:hAnsi="Times New Roman" w:cs="Times New Roman"/>
                      <w:color w:val="auto"/>
                      <w:lang w:val="en-US"/>
                    </w:rPr>
                  </w:pPr>
                  <w:r>
                    <w:rPr>
                      <w:rFonts w:hint="default" w:ascii="Times New Roman" w:hAnsi="Times New Roman" w:cs="Times New Roman"/>
                      <w:color w:val="auto"/>
                      <w:lang w:val="en-US"/>
                    </w:rPr>
                    <w:t>（</w:t>
                  </w:r>
                  <w:r>
                    <w:rPr>
                      <w:rFonts w:hint="default" w:ascii="Times New Roman" w:hAnsi="Times New Roman" w:cs="Times New Roman"/>
                      <w:color w:val="auto"/>
                      <w:lang w:val="en-US" w:eastAsia="zh-CN"/>
                    </w:rPr>
                    <w:t>m³</w:t>
                  </w:r>
                  <w:r>
                    <w:rPr>
                      <w:rFonts w:hint="default" w:ascii="Times New Roman" w:hAnsi="Times New Roman" w:cs="Times New Roman"/>
                      <w:color w:val="auto"/>
                      <w:lang w:val="en-US"/>
                    </w:rPr>
                    <w:t>/d）</w:t>
                  </w:r>
                </w:p>
              </w:tc>
              <w:tc>
                <w:tcPr>
                  <w:tcW w:w="1115" w:type="dxa"/>
                  <w:tcBorders>
                    <w:tl2br w:val="nil"/>
                    <w:tr2bl w:val="nil"/>
                  </w:tcBorders>
                  <w:noWrap w:val="0"/>
                  <w:vAlign w:val="center"/>
                </w:tcPr>
                <w:p w14:paraId="520883E7">
                  <w:pPr>
                    <w:topLinePunct w:val="0"/>
                    <w:autoSpaceDE w:val="0"/>
                    <w:autoSpaceDN w:val="0"/>
                    <w:spacing w:line="240" w:lineRule="auto"/>
                    <w:ind w:firstLine="0" w:firstLineChars="0"/>
                    <w:jc w:val="center"/>
                    <w:rPr>
                      <w:rFonts w:hint="default" w:ascii="Times New Roman" w:hAnsi="Times New Roman" w:cs="Times New Roman"/>
                      <w:color w:val="auto"/>
                      <w:lang w:val="en-US"/>
                    </w:rPr>
                  </w:pPr>
                  <w:r>
                    <w:rPr>
                      <w:rFonts w:hint="default" w:ascii="Times New Roman" w:hAnsi="Times New Roman" w:cs="Times New Roman"/>
                      <w:color w:val="auto"/>
                      <w:lang w:val="en-US"/>
                    </w:rPr>
                    <w:t>排水量（</w:t>
                  </w:r>
                  <w:r>
                    <w:rPr>
                      <w:rFonts w:hint="default" w:ascii="Times New Roman" w:hAnsi="Times New Roman" w:cs="Times New Roman"/>
                      <w:color w:val="auto"/>
                      <w:lang w:val="en-US" w:eastAsia="zh-CN"/>
                    </w:rPr>
                    <w:t>m³</w:t>
                  </w:r>
                  <w:r>
                    <w:rPr>
                      <w:rFonts w:hint="default" w:ascii="Times New Roman" w:hAnsi="Times New Roman" w:cs="Times New Roman"/>
                      <w:color w:val="auto"/>
                      <w:lang w:val="en-US"/>
                    </w:rPr>
                    <w:t>/d）</w:t>
                  </w:r>
                </w:p>
              </w:tc>
              <w:tc>
                <w:tcPr>
                  <w:tcW w:w="392" w:type="dxa"/>
                  <w:tcBorders>
                    <w:tl2br w:val="nil"/>
                    <w:tr2bl w:val="nil"/>
                  </w:tcBorders>
                  <w:noWrap w:val="0"/>
                  <w:vAlign w:val="center"/>
                </w:tcPr>
                <w:p w14:paraId="65E69E0A">
                  <w:pPr>
                    <w:topLinePunct w:val="0"/>
                    <w:autoSpaceDE w:val="0"/>
                    <w:autoSpaceDN w:val="0"/>
                    <w:spacing w:line="240" w:lineRule="auto"/>
                    <w:ind w:firstLine="0" w:firstLineChars="0"/>
                    <w:rPr>
                      <w:rFonts w:hint="default" w:ascii="Times New Roman" w:hAnsi="Times New Roman" w:cs="Times New Roman"/>
                      <w:color w:val="auto"/>
                      <w:lang w:val="en-US"/>
                    </w:rPr>
                  </w:pPr>
                  <w:r>
                    <w:rPr>
                      <w:rFonts w:hint="default" w:ascii="Times New Roman" w:hAnsi="Times New Roman" w:cs="Times New Roman"/>
                      <w:color w:val="auto"/>
                      <w:lang w:val="en-US"/>
                    </w:rPr>
                    <w:t>备注</w:t>
                  </w:r>
                </w:p>
              </w:tc>
            </w:tr>
            <w:tr w14:paraId="61C09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40" w:type="dxa"/>
                  <w:tcBorders>
                    <w:tl2br w:val="nil"/>
                    <w:tr2bl w:val="nil"/>
                  </w:tcBorders>
                  <w:noWrap w:val="0"/>
                  <w:vAlign w:val="center"/>
                </w:tcPr>
                <w:p w14:paraId="04AFB548">
                  <w:pPr>
                    <w:topLinePunct w:val="0"/>
                    <w:autoSpaceDE w:val="0"/>
                    <w:autoSpaceDN w:val="0"/>
                    <w:spacing w:line="240" w:lineRule="auto"/>
                    <w:ind w:firstLine="0" w:firstLineChars="0"/>
                    <w:rPr>
                      <w:rFonts w:hint="default" w:ascii="Times New Roman" w:hAnsi="Times New Roman" w:cs="Times New Roman"/>
                      <w:color w:val="auto"/>
                      <w:lang w:val="en-US"/>
                    </w:rPr>
                  </w:pPr>
                  <w:r>
                    <w:rPr>
                      <w:rFonts w:hint="default" w:ascii="Times New Roman" w:hAnsi="Times New Roman" w:cs="Times New Roman"/>
                      <w:color w:val="auto"/>
                      <w:lang w:val="en-US"/>
                    </w:rPr>
                    <w:t>1</w:t>
                  </w:r>
                </w:p>
              </w:tc>
              <w:tc>
                <w:tcPr>
                  <w:tcW w:w="1229" w:type="dxa"/>
                  <w:tcBorders>
                    <w:tl2br w:val="nil"/>
                    <w:tr2bl w:val="nil"/>
                  </w:tcBorders>
                  <w:noWrap w:val="0"/>
                  <w:vAlign w:val="center"/>
                </w:tcPr>
                <w:p w14:paraId="0B44E23C">
                  <w:pPr>
                    <w:topLinePunct w:val="0"/>
                    <w:autoSpaceDE w:val="0"/>
                    <w:autoSpaceDN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生活用水</w:t>
                  </w:r>
                </w:p>
              </w:tc>
              <w:tc>
                <w:tcPr>
                  <w:tcW w:w="1185" w:type="dxa"/>
                  <w:tcBorders>
                    <w:tl2br w:val="nil"/>
                    <w:tr2bl w:val="nil"/>
                  </w:tcBorders>
                  <w:noWrap w:val="0"/>
                  <w:vAlign w:val="center"/>
                </w:tcPr>
                <w:p w14:paraId="0A229BB1">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eastAsia" w:cs="Times New Roman"/>
                      <w:color w:val="auto"/>
                      <w:lang w:val="en-US" w:eastAsia="zh-CN"/>
                    </w:rPr>
                    <w:t>0.78</w:t>
                  </w:r>
                </w:p>
              </w:tc>
              <w:tc>
                <w:tcPr>
                  <w:tcW w:w="1185" w:type="dxa"/>
                  <w:tcBorders>
                    <w:tl2br w:val="nil"/>
                    <w:tr2bl w:val="nil"/>
                  </w:tcBorders>
                  <w:noWrap w:val="0"/>
                  <w:vAlign w:val="center"/>
                </w:tcPr>
                <w:p w14:paraId="20140616">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1050" w:type="dxa"/>
                  <w:tcBorders>
                    <w:tl2br w:val="nil"/>
                    <w:tr2bl w:val="nil"/>
                  </w:tcBorders>
                  <w:noWrap w:val="0"/>
                  <w:vAlign w:val="center"/>
                </w:tcPr>
                <w:p w14:paraId="3B79EAC6">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eastAsia" w:cs="Times New Roman"/>
                      <w:color w:val="auto"/>
                      <w:lang w:val="en-US" w:eastAsia="zh-CN"/>
                    </w:rPr>
                    <w:t>0.78</w:t>
                  </w:r>
                </w:p>
              </w:tc>
              <w:tc>
                <w:tcPr>
                  <w:tcW w:w="1065" w:type="dxa"/>
                  <w:tcBorders>
                    <w:tl2br w:val="nil"/>
                    <w:tr2bl w:val="nil"/>
                  </w:tcBorders>
                  <w:noWrap w:val="0"/>
                  <w:vAlign w:val="center"/>
                </w:tcPr>
                <w:p w14:paraId="0E9C596C">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eastAsia" w:cs="Times New Roman"/>
                      <w:color w:val="auto"/>
                      <w:lang w:val="en-US" w:eastAsia="zh-CN"/>
                    </w:rPr>
                    <w:t>0.156</w:t>
                  </w:r>
                </w:p>
              </w:tc>
              <w:tc>
                <w:tcPr>
                  <w:tcW w:w="1115" w:type="dxa"/>
                  <w:tcBorders>
                    <w:tl2br w:val="nil"/>
                    <w:tr2bl w:val="nil"/>
                  </w:tcBorders>
                  <w:noWrap w:val="0"/>
                  <w:vAlign w:val="center"/>
                </w:tcPr>
                <w:p w14:paraId="7E0159A8">
                  <w:pPr>
                    <w:topLinePunct w:val="0"/>
                    <w:autoSpaceDE w:val="0"/>
                    <w:autoSpaceDN w:val="0"/>
                    <w:spacing w:line="240" w:lineRule="auto"/>
                    <w:ind w:firstLine="0" w:firstLineChars="0"/>
                    <w:jc w:val="center"/>
                    <w:rPr>
                      <w:rFonts w:hint="default" w:ascii="Times New Roman" w:hAnsi="Times New Roman" w:eastAsia="宋体" w:cs="Times New Roman"/>
                      <w:color w:val="auto"/>
                      <w:lang w:val="en-US" w:eastAsia="zh-CN"/>
                    </w:rPr>
                  </w:pPr>
                  <w:r>
                    <w:rPr>
                      <w:rFonts w:hint="eastAsia" w:cs="Times New Roman"/>
                      <w:color w:val="auto"/>
                      <w:lang w:val="en-US" w:eastAsia="zh-CN"/>
                    </w:rPr>
                    <w:t>0.624</w:t>
                  </w:r>
                </w:p>
              </w:tc>
              <w:tc>
                <w:tcPr>
                  <w:tcW w:w="392" w:type="dxa"/>
                  <w:tcBorders>
                    <w:tl2br w:val="nil"/>
                    <w:tr2bl w:val="nil"/>
                  </w:tcBorders>
                  <w:noWrap w:val="0"/>
                  <w:vAlign w:val="center"/>
                </w:tcPr>
                <w:p w14:paraId="13251818">
                  <w:pPr>
                    <w:topLinePunct w:val="0"/>
                    <w:autoSpaceDE w:val="0"/>
                    <w:autoSpaceDN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r>
            <w:tr w14:paraId="08C4C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40" w:type="dxa"/>
                  <w:tcBorders>
                    <w:tl2br w:val="nil"/>
                    <w:tr2bl w:val="nil"/>
                  </w:tcBorders>
                  <w:shd w:val="clear" w:color="auto" w:fill="auto"/>
                  <w:noWrap w:val="0"/>
                  <w:vAlign w:val="center"/>
                </w:tcPr>
                <w:p w14:paraId="2251CB7D">
                  <w:pPr>
                    <w:topLinePunct w:val="0"/>
                    <w:autoSpaceDE w:val="0"/>
                    <w:autoSpaceDN w:val="0"/>
                    <w:spacing w:line="240" w:lineRule="auto"/>
                    <w:ind w:firstLine="0" w:firstLineChars="0"/>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cs="Times New Roman"/>
                      <w:color w:val="auto"/>
                      <w:lang w:val="en-US" w:eastAsia="zh-CN"/>
                    </w:rPr>
                    <w:t>3</w:t>
                  </w:r>
                </w:p>
              </w:tc>
              <w:tc>
                <w:tcPr>
                  <w:tcW w:w="1229" w:type="dxa"/>
                  <w:tcBorders>
                    <w:tl2br w:val="nil"/>
                    <w:tr2bl w:val="nil"/>
                  </w:tcBorders>
                  <w:shd w:val="clear" w:color="auto" w:fill="auto"/>
                  <w:noWrap w:val="0"/>
                  <w:vAlign w:val="center"/>
                </w:tcPr>
                <w:p w14:paraId="21A2333B">
                  <w:pPr>
                    <w:topLinePunct w:val="0"/>
                    <w:autoSpaceDE w:val="0"/>
                    <w:autoSpaceDN w:val="0"/>
                    <w:spacing w:line="240" w:lineRule="auto"/>
                    <w:ind w:firstLine="0" w:firstLineChars="0"/>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lang w:val="en-US" w:eastAsia="zh-CN"/>
                    </w:rPr>
                    <w:t>原料堆场抑尘用水</w:t>
                  </w:r>
                </w:p>
              </w:tc>
              <w:tc>
                <w:tcPr>
                  <w:tcW w:w="1185" w:type="dxa"/>
                  <w:tcBorders>
                    <w:tl2br w:val="nil"/>
                    <w:tr2bl w:val="nil"/>
                  </w:tcBorders>
                  <w:shd w:val="clear" w:color="auto" w:fill="auto"/>
                  <w:noWrap w:val="0"/>
                  <w:vAlign w:val="center"/>
                </w:tcPr>
                <w:p w14:paraId="58A8AD5F">
                  <w:pPr>
                    <w:topLinePunct w:val="0"/>
                    <w:autoSpaceDE w:val="0"/>
                    <w:autoSpaceDN w:val="0"/>
                    <w:spacing w:line="240" w:lineRule="auto"/>
                    <w:ind w:firstLine="0" w:firstLineChars="0"/>
                    <w:jc w:val="center"/>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cs="Times New Roman"/>
                      <w:color w:val="auto"/>
                      <w:lang w:val="en-US" w:eastAsia="zh-CN"/>
                    </w:rPr>
                    <w:t>0.5</w:t>
                  </w:r>
                </w:p>
              </w:tc>
              <w:tc>
                <w:tcPr>
                  <w:tcW w:w="1185" w:type="dxa"/>
                  <w:tcBorders>
                    <w:tl2br w:val="nil"/>
                    <w:tr2bl w:val="nil"/>
                  </w:tcBorders>
                  <w:shd w:val="clear" w:color="auto" w:fill="auto"/>
                  <w:noWrap w:val="0"/>
                  <w:vAlign w:val="center"/>
                </w:tcPr>
                <w:p w14:paraId="4F590E13">
                  <w:pPr>
                    <w:topLinePunct w:val="0"/>
                    <w:autoSpaceDE w:val="0"/>
                    <w:autoSpaceDN w:val="0"/>
                    <w:spacing w:line="240" w:lineRule="auto"/>
                    <w:ind w:firstLine="0" w:firstLineChars="0"/>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cs="Times New Roman"/>
                      <w:color w:val="auto"/>
                      <w:lang w:val="en-US" w:eastAsia="zh-CN"/>
                    </w:rPr>
                    <w:t>/</w:t>
                  </w:r>
                </w:p>
              </w:tc>
              <w:tc>
                <w:tcPr>
                  <w:tcW w:w="1050" w:type="dxa"/>
                  <w:tcBorders>
                    <w:tl2br w:val="nil"/>
                    <w:tr2bl w:val="nil"/>
                  </w:tcBorders>
                  <w:shd w:val="clear" w:color="auto" w:fill="auto"/>
                  <w:noWrap w:val="0"/>
                  <w:vAlign w:val="center"/>
                </w:tcPr>
                <w:p w14:paraId="436CD5A5">
                  <w:pPr>
                    <w:topLinePunct w:val="0"/>
                    <w:autoSpaceDE w:val="0"/>
                    <w:autoSpaceDN w:val="0"/>
                    <w:spacing w:line="240" w:lineRule="auto"/>
                    <w:ind w:firstLine="0" w:firstLineChars="0"/>
                    <w:jc w:val="center"/>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cs="Times New Roman"/>
                      <w:color w:val="auto"/>
                      <w:lang w:val="en-US" w:eastAsia="zh-CN"/>
                    </w:rPr>
                    <w:t>0.5</w:t>
                  </w:r>
                </w:p>
              </w:tc>
              <w:tc>
                <w:tcPr>
                  <w:tcW w:w="1065" w:type="dxa"/>
                  <w:tcBorders>
                    <w:tl2br w:val="nil"/>
                    <w:tr2bl w:val="nil"/>
                  </w:tcBorders>
                  <w:shd w:val="clear" w:color="auto" w:fill="auto"/>
                  <w:noWrap w:val="0"/>
                  <w:vAlign w:val="center"/>
                </w:tcPr>
                <w:p w14:paraId="5C349040">
                  <w:pPr>
                    <w:topLinePunct w:val="0"/>
                    <w:autoSpaceDE w:val="0"/>
                    <w:autoSpaceDN w:val="0"/>
                    <w:spacing w:line="240" w:lineRule="auto"/>
                    <w:ind w:firstLine="0" w:firstLineChars="0"/>
                    <w:jc w:val="center"/>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cs="Times New Roman"/>
                      <w:color w:val="auto"/>
                      <w:lang w:val="en-US" w:eastAsia="zh-CN"/>
                    </w:rPr>
                    <w:t>0.5</w:t>
                  </w:r>
                </w:p>
              </w:tc>
              <w:tc>
                <w:tcPr>
                  <w:tcW w:w="1115" w:type="dxa"/>
                  <w:tcBorders>
                    <w:tl2br w:val="nil"/>
                    <w:tr2bl w:val="nil"/>
                  </w:tcBorders>
                  <w:shd w:val="clear" w:color="auto" w:fill="auto"/>
                  <w:noWrap w:val="0"/>
                  <w:vAlign w:val="center"/>
                </w:tcPr>
                <w:p w14:paraId="26142D05">
                  <w:pPr>
                    <w:topLinePunct w:val="0"/>
                    <w:autoSpaceDE w:val="0"/>
                    <w:autoSpaceDN w:val="0"/>
                    <w:spacing w:line="240" w:lineRule="auto"/>
                    <w:ind w:firstLine="0" w:firstLineChars="0"/>
                    <w:jc w:val="center"/>
                    <w:rPr>
                      <w:rFonts w:hint="eastAsia" w:ascii="Times New Roman" w:hAnsi="Times New Roman" w:eastAsia="宋体" w:cs="Times New Roman"/>
                      <w:color w:val="auto"/>
                      <w:kern w:val="2"/>
                      <w:sz w:val="24"/>
                      <w:szCs w:val="24"/>
                      <w:lang w:val="en-US" w:eastAsia="zh-CN" w:bidi="ar-SA"/>
                    </w:rPr>
                  </w:pPr>
                  <w:r>
                    <w:rPr>
                      <w:rFonts w:hint="default" w:ascii="Times New Roman" w:hAnsi="Times New Roman" w:cs="Times New Roman"/>
                      <w:color w:val="auto"/>
                      <w:lang w:val="en-US" w:eastAsia="zh-CN"/>
                    </w:rPr>
                    <w:t>0</w:t>
                  </w:r>
                </w:p>
              </w:tc>
              <w:tc>
                <w:tcPr>
                  <w:tcW w:w="392" w:type="dxa"/>
                  <w:tcBorders>
                    <w:tl2br w:val="nil"/>
                    <w:tr2bl w:val="nil"/>
                  </w:tcBorders>
                  <w:shd w:val="clear" w:color="auto" w:fill="auto"/>
                  <w:noWrap w:val="0"/>
                  <w:vAlign w:val="center"/>
                </w:tcPr>
                <w:p w14:paraId="448BD456">
                  <w:pPr>
                    <w:topLinePunct w:val="0"/>
                    <w:autoSpaceDE w:val="0"/>
                    <w:autoSpaceDN w:val="0"/>
                    <w:spacing w:line="240" w:lineRule="auto"/>
                    <w:ind w:firstLine="0" w:firstLineChars="0"/>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cs="Times New Roman"/>
                      <w:color w:val="auto"/>
                      <w:lang w:val="en-US" w:eastAsia="zh-CN"/>
                    </w:rPr>
                    <w:t>/</w:t>
                  </w:r>
                </w:p>
              </w:tc>
            </w:tr>
            <w:tr w14:paraId="16694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40" w:type="dxa"/>
                  <w:tcBorders>
                    <w:tl2br w:val="nil"/>
                    <w:tr2bl w:val="nil"/>
                  </w:tcBorders>
                  <w:noWrap w:val="0"/>
                  <w:vAlign w:val="center"/>
                </w:tcPr>
                <w:p w14:paraId="5CD68FD2">
                  <w:pPr>
                    <w:topLinePunct w:val="0"/>
                    <w:autoSpaceDE w:val="0"/>
                    <w:autoSpaceDN w:val="0"/>
                    <w:spacing w:line="240" w:lineRule="auto"/>
                    <w:ind w:firstLine="0" w:firstLineChars="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w:t>
                  </w:r>
                </w:p>
              </w:tc>
              <w:tc>
                <w:tcPr>
                  <w:tcW w:w="1229" w:type="dxa"/>
                  <w:tcBorders>
                    <w:tl2br w:val="nil"/>
                    <w:tr2bl w:val="nil"/>
                  </w:tcBorders>
                  <w:noWrap w:val="0"/>
                  <w:vAlign w:val="center"/>
                </w:tcPr>
                <w:p w14:paraId="503C0BA2">
                  <w:pPr>
                    <w:topLinePunct w:val="0"/>
                    <w:autoSpaceDE w:val="0"/>
                    <w:autoSpaceDN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搅拌混合用水</w:t>
                  </w:r>
                </w:p>
              </w:tc>
              <w:tc>
                <w:tcPr>
                  <w:tcW w:w="1185" w:type="dxa"/>
                  <w:tcBorders>
                    <w:tl2br w:val="nil"/>
                    <w:tr2bl w:val="nil"/>
                  </w:tcBorders>
                  <w:noWrap w:val="0"/>
                  <w:vAlign w:val="center"/>
                </w:tcPr>
                <w:p w14:paraId="29B7812F">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eastAsia" w:cs="Times New Roman"/>
                      <w:color w:val="auto"/>
                      <w:lang w:val="en-US" w:eastAsia="zh-CN"/>
                    </w:rPr>
                    <w:t>119.40</w:t>
                  </w:r>
                </w:p>
              </w:tc>
              <w:tc>
                <w:tcPr>
                  <w:tcW w:w="1185" w:type="dxa"/>
                  <w:tcBorders>
                    <w:tl2br w:val="nil"/>
                    <w:tr2bl w:val="nil"/>
                  </w:tcBorders>
                  <w:noWrap w:val="0"/>
                  <w:vAlign w:val="center"/>
                </w:tcPr>
                <w:p w14:paraId="756B98F2">
                  <w:pPr>
                    <w:topLinePunct w:val="0"/>
                    <w:autoSpaceDE w:val="0"/>
                    <w:autoSpaceDN w:val="0"/>
                    <w:spacing w:line="240" w:lineRule="auto"/>
                    <w:ind w:firstLine="0" w:firstLineChars="0"/>
                    <w:jc w:val="center"/>
                    <w:rPr>
                      <w:rFonts w:hint="default" w:ascii="Times New Roman" w:hAnsi="Times New Roman" w:eastAsia="宋体" w:cs="Times New Roman"/>
                      <w:color w:val="auto"/>
                      <w:lang w:val="en-US" w:eastAsia="zh-CN"/>
                    </w:rPr>
                  </w:pPr>
                  <w:r>
                    <w:rPr>
                      <w:rFonts w:hint="eastAsia" w:cs="Times New Roman"/>
                      <w:color w:val="auto"/>
                      <w:lang w:val="en-US" w:eastAsia="zh-CN"/>
                    </w:rPr>
                    <w:t>2.232</w:t>
                  </w:r>
                </w:p>
              </w:tc>
              <w:tc>
                <w:tcPr>
                  <w:tcW w:w="1050" w:type="dxa"/>
                  <w:tcBorders>
                    <w:tl2br w:val="nil"/>
                    <w:tr2bl w:val="nil"/>
                  </w:tcBorders>
                  <w:noWrap w:val="0"/>
                  <w:vAlign w:val="center"/>
                </w:tcPr>
                <w:p w14:paraId="20883673">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eastAsia" w:cs="Times New Roman"/>
                      <w:color w:val="auto"/>
                      <w:lang w:val="en-US" w:eastAsia="zh-CN"/>
                    </w:rPr>
                    <w:t>117.168</w:t>
                  </w:r>
                </w:p>
              </w:tc>
              <w:tc>
                <w:tcPr>
                  <w:tcW w:w="1065" w:type="dxa"/>
                  <w:tcBorders>
                    <w:tl2br w:val="nil"/>
                    <w:tr2bl w:val="nil"/>
                  </w:tcBorders>
                  <w:noWrap w:val="0"/>
                  <w:vAlign w:val="center"/>
                </w:tcPr>
                <w:p w14:paraId="1D1E806A">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eastAsia" w:cs="Times New Roman"/>
                      <w:color w:val="auto"/>
                      <w:lang w:val="en-US" w:eastAsia="zh-CN"/>
                    </w:rPr>
                    <w:t>119.40</w:t>
                  </w:r>
                </w:p>
              </w:tc>
              <w:tc>
                <w:tcPr>
                  <w:tcW w:w="1115" w:type="dxa"/>
                  <w:tcBorders>
                    <w:tl2br w:val="nil"/>
                    <w:tr2bl w:val="nil"/>
                  </w:tcBorders>
                  <w:noWrap w:val="0"/>
                  <w:vAlign w:val="center"/>
                </w:tcPr>
                <w:p w14:paraId="2758CD98">
                  <w:pPr>
                    <w:topLinePunct w:val="0"/>
                    <w:autoSpaceDE w:val="0"/>
                    <w:autoSpaceDN w:val="0"/>
                    <w:spacing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w:t>
                  </w:r>
                </w:p>
              </w:tc>
              <w:tc>
                <w:tcPr>
                  <w:tcW w:w="392" w:type="dxa"/>
                  <w:tcBorders>
                    <w:tl2br w:val="nil"/>
                    <w:tr2bl w:val="nil"/>
                  </w:tcBorders>
                  <w:noWrap w:val="0"/>
                  <w:vAlign w:val="center"/>
                </w:tcPr>
                <w:p w14:paraId="60C268F5">
                  <w:pPr>
                    <w:topLinePunct w:val="0"/>
                    <w:autoSpaceDE w:val="0"/>
                    <w:autoSpaceDN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r>
            <w:tr w14:paraId="201D3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40" w:type="dxa"/>
                  <w:tcBorders>
                    <w:tl2br w:val="nil"/>
                    <w:tr2bl w:val="nil"/>
                  </w:tcBorders>
                  <w:noWrap w:val="0"/>
                  <w:vAlign w:val="center"/>
                </w:tcPr>
                <w:p w14:paraId="22C441EC">
                  <w:pPr>
                    <w:topLinePunct w:val="0"/>
                    <w:autoSpaceDE w:val="0"/>
                    <w:autoSpaceDN w:val="0"/>
                    <w:spacing w:line="240" w:lineRule="auto"/>
                    <w:ind w:firstLine="0" w:firstLineChars="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w:t>
                  </w:r>
                </w:p>
              </w:tc>
              <w:tc>
                <w:tcPr>
                  <w:tcW w:w="1229" w:type="dxa"/>
                  <w:tcBorders>
                    <w:tl2br w:val="nil"/>
                    <w:tr2bl w:val="nil"/>
                  </w:tcBorders>
                  <w:noWrap w:val="0"/>
                  <w:vAlign w:val="center"/>
                </w:tcPr>
                <w:p w14:paraId="0D4C77D0">
                  <w:pPr>
                    <w:topLinePunct w:val="0"/>
                    <w:autoSpaceDE w:val="0"/>
                    <w:autoSpaceDN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搅拌机清洗用水</w:t>
                  </w:r>
                </w:p>
              </w:tc>
              <w:tc>
                <w:tcPr>
                  <w:tcW w:w="1185" w:type="dxa"/>
                  <w:tcBorders>
                    <w:tl2br w:val="nil"/>
                    <w:tr2bl w:val="nil"/>
                  </w:tcBorders>
                  <w:noWrap w:val="0"/>
                  <w:vAlign w:val="center"/>
                </w:tcPr>
                <w:p w14:paraId="0D11B8B7">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w:t>
                  </w:r>
                </w:p>
              </w:tc>
              <w:tc>
                <w:tcPr>
                  <w:tcW w:w="1185" w:type="dxa"/>
                  <w:tcBorders>
                    <w:tl2br w:val="nil"/>
                    <w:tr2bl w:val="nil"/>
                  </w:tcBorders>
                  <w:noWrap w:val="0"/>
                  <w:vAlign w:val="center"/>
                </w:tcPr>
                <w:p w14:paraId="55E6A4CF">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1050" w:type="dxa"/>
                  <w:tcBorders>
                    <w:tl2br w:val="nil"/>
                    <w:tr2bl w:val="nil"/>
                  </w:tcBorders>
                  <w:noWrap w:val="0"/>
                  <w:vAlign w:val="center"/>
                </w:tcPr>
                <w:p w14:paraId="25603E59">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w:t>
                  </w:r>
                </w:p>
              </w:tc>
              <w:tc>
                <w:tcPr>
                  <w:tcW w:w="1065" w:type="dxa"/>
                  <w:tcBorders>
                    <w:tl2br w:val="nil"/>
                    <w:tr2bl w:val="nil"/>
                  </w:tcBorders>
                  <w:noWrap w:val="0"/>
                  <w:vAlign w:val="center"/>
                </w:tcPr>
                <w:p w14:paraId="1CE593A2">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0.10</w:t>
                  </w:r>
                </w:p>
              </w:tc>
              <w:tc>
                <w:tcPr>
                  <w:tcW w:w="1115" w:type="dxa"/>
                  <w:tcBorders>
                    <w:tl2br w:val="nil"/>
                    <w:tr2bl w:val="nil"/>
                  </w:tcBorders>
                  <w:noWrap w:val="0"/>
                  <w:vAlign w:val="center"/>
                </w:tcPr>
                <w:p w14:paraId="6121795B">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0.90</w:t>
                  </w:r>
                </w:p>
              </w:tc>
              <w:tc>
                <w:tcPr>
                  <w:tcW w:w="392" w:type="dxa"/>
                  <w:tcBorders>
                    <w:tl2br w:val="nil"/>
                    <w:tr2bl w:val="nil"/>
                  </w:tcBorders>
                  <w:noWrap w:val="0"/>
                  <w:vAlign w:val="center"/>
                </w:tcPr>
                <w:p w14:paraId="458C179B">
                  <w:pPr>
                    <w:topLinePunct w:val="0"/>
                    <w:autoSpaceDE w:val="0"/>
                    <w:autoSpaceDN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r>
            <w:tr w14:paraId="432D5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0" w:type="dxa"/>
                  <w:tcBorders>
                    <w:tl2br w:val="nil"/>
                    <w:tr2bl w:val="nil"/>
                  </w:tcBorders>
                  <w:noWrap w:val="0"/>
                  <w:vAlign w:val="center"/>
                </w:tcPr>
                <w:p w14:paraId="30BEB173">
                  <w:pPr>
                    <w:topLinePunct w:val="0"/>
                    <w:autoSpaceDE w:val="0"/>
                    <w:autoSpaceDN w:val="0"/>
                    <w:spacing w:line="240" w:lineRule="auto"/>
                    <w:ind w:firstLine="0" w:firstLineChars="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w:t>
                  </w:r>
                </w:p>
              </w:tc>
              <w:tc>
                <w:tcPr>
                  <w:tcW w:w="1229" w:type="dxa"/>
                  <w:tcBorders>
                    <w:tl2br w:val="nil"/>
                    <w:tr2bl w:val="nil"/>
                  </w:tcBorders>
                  <w:noWrap w:val="0"/>
                  <w:vAlign w:val="center"/>
                </w:tcPr>
                <w:p w14:paraId="24AD7F09">
                  <w:pPr>
                    <w:topLinePunct w:val="0"/>
                    <w:autoSpaceDE w:val="0"/>
                    <w:autoSpaceDN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罐车清洗用水</w:t>
                  </w:r>
                </w:p>
              </w:tc>
              <w:tc>
                <w:tcPr>
                  <w:tcW w:w="1185" w:type="dxa"/>
                  <w:tcBorders>
                    <w:tl2br w:val="nil"/>
                    <w:tr2bl w:val="nil"/>
                  </w:tcBorders>
                  <w:noWrap w:val="0"/>
                  <w:vAlign w:val="center"/>
                </w:tcPr>
                <w:p w14:paraId="675CE231">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eastAsia" w:cs="Times New Roman"/>
                      <w:color w:val="auto"/>
                      <w:lang w:val="en-US" w:eastAsia="zh-CN"/>
                    </w:rPr>
                    <w:t>1.48</w:t>
                  </w:r>
                </w:p>
              </w:tc>
              <w:tc>
                <w:tcPr>
                  <w:tcW w:w="1185" w:type="dxa"/>
                  <w:tcBorders>
                    <w:tl2br w:val="nil"/>
                    <w:tr2bl w:val="nil"/>
                  </w:tcBorders>
                  <w:noWrap w:val="0"/>
                  <w:vAlign w:val="center"/>
                </w:tcPr>
                <w:p w14:paraId="36CA8578">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1050" w:type="dxa"/>
                  <w:tcBorders>
                    <w:tl2br w:val="nil"/>
                    <w:tr2bl w:val="nil"/>
                  </w:tcBorders>
                  <w:noWrap w:val="0"/>
                  <w:vAlign w:val="center"/>
                </w:tcPr>
                <w:p w14:paraId="75C92A55">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eastAsia" w:cs="Times New Roman"/>
                      <w:color w:val="auto"/>
                      <w:lang w:val="en-US" w:eastAsia="zh-CN"/>
                    </w:rPr>
                    <w:t>1.48</w:t>
                  </w:r>
                </w:p>
              </w:tc>
              <w:tc>
                <w:tcPr>
                  <w:tcW w:w="1065" w:type="dxa"/>
                  <w:tcBorders>
                    <w:tl2br w:val="nil"/>
                    <w:tr2bl w:val="nil"/>
                  </w:tcBorders>
                  <w:noWrap w:val="0"/>
                  <w:vAlign w:val="center"/>
                </w:tcPr>
                <w:p w14:paraId="0FCCF070">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eastAsia" w:cs="Times New Roman"/>
                      <w:color w:val="auto"/>
                      <w:lang w:val="en-US" w:eastAsia="zh-CN"/>
                    </w:rPr>
                    <w:t>0.148</w:t>
                  </w:r>
                </w:p>
              </w:tc>
              <w:tc>
                <w:tcPr>
                  <w:tcW w:w="1115" w:type="dxa"/>
                  <w:tcBorders>
                    <w:tl2br w:val="nil"/>
                    <w:tr2bl w:val="nil"/>
                  </w:tcBorders>
                  <w:noWrap w:val="0"/>
                  <w:vAlign w:val="center"/>
                </w:tcPr>
                <w:p w14:paraId="5FC815D1">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eastAsia" w:cs="Times New Roman"/>
                      <w:color w:val="auto"/>
                      <w:lang w:val="en-US" w:eastAsia="zh-CN"/>
                    </w:rPr>
                    <w:t>1.332</w:t>
                  </w:r>
                </w:p>
              </w:tc>
              <w:tc>
                <w:tcPr>
                  <w:tcW w:w="392" w:type="dxa"/>
                  <w:tcBorders>
                    <w:tl2br w:val="nil"/>
                    <w:tr2bl w:val="nil"/>
                  </w:tcBorders>
                  <w:noWrap w:val="0"/>
                  <w:vAlign w:val="center"/>
                </w:tcPr>
                <w:p w14:paraId="0EDC3A0A">
                  <w:pPr>
                    <w:topLinePunct w:val="0"/>
                    <w:autoSpaceDE w:val="0"/>
                    <w:autoSpaceDN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r>
            <w:tr w14:paraId="29B50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40" w:type="dxa"/>
                  <w:tcBorders>
                    <w:tl2br w:val="nil"/>
                    <w:tr2bl w:val="nil"/>
                  </w:tcBorders>
                  <w:noWrap w:val="0"/>
                  <w:vAlign w:val="center"/>
                </w:tcPr>
                <w:p w14:paraId="70D801E2">
                  <w:pPr>
                    <w:topLinePunct w:val="0"/>
                    <w:autoSpaceDE w:val="0"/>
                    <w:autoSpaceDN w:val="0"/>
                    <w:spacing w:line="240" w:lineRule="auto"/>
                    <w:ind w:firstLine="0" w:firstLineChars="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w:t>
                  </w:r>
                </w:p>
              </w:tc>
              <w:tc>
                <w:tcPr>
                  <w:tcW w:w="1229" w:type="dxa"/>
                  <w:tcBorders>
                    <w:tl2br w:val="nil"/>
                    <w:tr2bl w:val="nil"/>
                  </w:tcBorders>
                  <w:noWrap w:val="0"/>
                  <w:vAlign w:val="center"/>
                </w:tcPr>
                <w:p w14:paraId="6290F9CF">
                  <w:pPr>
                    <w:topLinePunct w:val="0"/>
                    <w:autoSpaceDE w:val="0"/>
                    <w:autoSpaceDN w:val="0"/>
                    <w:spacing w:line="240" w:lineRule="auto"/>
                    <w:ind w:firstLine="0" w:firstLineChars="0"/>
                    <w:rPr>
                      <w:rFonts w:hint="default" w:ascii="Times New Roman" w:hAnsi="Times New Roman" w:cs="Times New Roman"/>
                    </w:rPr>
                  </w:pPr>
                  <w:r>
                    <w:rPr>
                      <w:rFonts w:hint="default" w:ascii="Times New Roman" w:hAnsi="Times New Roman" w:eastAsia="宋体" w:cs="Times New Roman"/>
                      <w:color w:val="auto"/>
                      <w:lang w:val="en-US" w:eastAsia="zh-CN"/>
                    </w:rPr>
                    <w:t>绿化用水</w:t>
                  </w:r>
                </w:p>
              </w:tc>
              <w:tc>
                <w:tcPr>
                  <w:tcW w:w="1185" w:type="dxa"/>
                  <w:tcBorders>
                    <w:tl2br w:val="nil"/>
                    <w:tr2bl w:val="nil"/>
                  </w:tcBorders>
                  <w:noWrap w:val="0"/>
                  <w:vAlign w:val="center"/>
                </w:tcPr>
                <w:p w14:paraId="4DF67649">
                  <w:pPr>
                    <w:topLinePunct w:val="0"/>
                    <w:autoSpaceDE w:val="0"/>
                    <w:autoSpaceDN w:val="0"/>
                    <w:spacing w:line="240" w:lineRule="auto"/>
                    <w:ind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2.2</w:t>
                  </w:r>
                </w:p>
              </w:tc>
              <w:tc>
                <w:tcPr>
                  <w:tcW w:w="1185" w:type="dxa"/>
                  <w:tcBorders>
                    <w:tl2br w:val="nil"/>
                    <w:tr2bl w:val="nil"/>
                  </w:tcBorders>
                  <w:noWrap w:val="0"/>
                  <w:vAlign w:val="center"/>
                </w:tcPr>
                <w:p w14:paraId="28B5E9A2">
                  <w:pPr>
                    <w:topLinePunct w:val="0"/>
                    <w:autoSpaceDE w:val="0"/>
                    <w:autoSpaceDN w:val="0"/>
                    <w:spacing w:line="240" w:lineRule="auto"/>
                    <w:ind w:firstLine="0" w:firstLineChars="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1050" w:type="dxa"/>
                  <w:tcBorders>
                    <w:tl2br w:val="nil"/>
                    <w:tr2bl w:val="nil"/>
                  </w:tcBorders>
                  <w:noWrap w:val="0"/>
                  <w:vAlign w:val="center"/>
                </w:tcPr>
                <w:p w14:paraId="650A2B2F">
                  <w:pPr>
                    <w:topLinePunct w:val="0"/>
                    <w:autoSpaceDE w:val="0"/>
                    <w:autoSpaceDN w:val="0"/>
                    <w:spacing w:line="240" w:lineRule="auto"/>
                    <w:ind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2.2</w:t>
                  </w:r>
                </w:p>
              </w:tc>
              <w:tc>
                <w:tcPr>
                  <w:tcW w:w="1065" w:type="dxa"/>
                  <w:tcBorders>
                    <w:tl2br w:val="nil"/>
                    <w:tr2bl w:val="nil"/>
                  </w:tcBorders>
                  <w:noWrap w:val="0"/>
                  <w:vAlign w:val="center"/>
                </w:tcPr>
                <w:p w14:paraId="2402020D">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eastAsia" w:cs="Times New Roman"/>
                      <w:color w:val="auto"/>
                      <w:lang w:val="en-US" w:eastAsia="zh-CN"/>
                    </w:rPr>
                    <w:t>2.2</w:t>
                  </w:r>
                </w:p>
              </w:tc>
              <w:tc>
                <w:tcPr>
                  <w:tcW w:w="1115" w:type="dxa"/>
                  <w:tcBorders>
                    <w:tl2br w:val="nil"/>
                    <w:tr2bl w:val="nil"/>
                  </w:tcBorders>
                  <w:noWrap w:val="0"/>
                  <w:vAlign w:val="center"/>
                </w:tcPr>
                <w:p w14:paraId="198D253D">
                  <w:pPr>
                    <w:topLinePunct w:val="0"/>
                    <w:autoSpaceDE w:val="0"/>
                    <w:autoSpaceDN w:val="0"/>
                    <w:spacing w:line="240" w:lineRule="auto"/>
                    <w:ind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p>
              </w:tc>
              <w:tc>
                <w:tcPr>
                  <w:tcW w:w="392" w:type="dxa"/>
                  <w:tcBorders>
                    <w:tl2br w:val="nil"/>
                    <w:tr2bl w:val="nil"/>
                  </w:tcBorders>
                  <w:noWrap w:val="0"/>
                  <w:vAlign w:val="center"/>
                </w:tcPr>
                <w:p w14:paraId="3793907C">
                  <w:pPr>
                    <w:topLinePunct w:val="0"/>
                    <w:autoSpaceDE w:val="0"/>
                    <w:autoSpaceDN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r>
            <w:tr w14:paraId="6750E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1869" w:type="dxa"/>
                  <w:gridSpan w:val="2"/>
                  <w:tcBorders>
                    <w:tl2br w:val="nil"/>
                    <w:tr2bl w:val="nil"/>
                  </w:tcBorders>
                  <w:noWrap w:val="0"/>
                  <w:vAlign w:val="center"/>
                </w:tcPr>
                <w:p w14:paraId="1D8E42F5">
                  <w:pPr>
                    <w:topLinePunct w:val="0"/>
                    <w:autoSpaceDE w:val="0"/>
                    <w:autoSpaceDN w:val="0"/>
                    <w:spacing w:line="240" w:lineRule="auto"/>
                    <w:ind w:firstLine="0" w:firstLineChars="0"/>
                    <w:jc w:val="center"/>
                    <w:rPr>
                      <w:rFonts w:hint="default" w:ascii="Times New Roman" w:hAnsi="Times New Roman" w:cs="Times New Roman"/>
                      <w:color w:val="auto"/>
                      <w:lang w:val="en-US"/>
                    </w:rPr>
                  </w:pPr>
                  <w:r>
                    <w:rPr>
                      <w:rFonts w:hint="default" w:ascii="Times New Roman" w:hAnsi="Times New Roman" w:cs="Times New Roman"/>
                      <w:color w:val="auto"/>
                      <w:lang w:val="en-US"/>
                    </w:rPr>
                    <w:t>合计</w:t>
                  </w:r>
                </w:p>
              </w:tc>
              <w:tc>
                <w:tcPr>
                  <w:tcW w:w="1185" w:type="dxa"/>
                  <w:tcBorders>
                    <w:tl2br w:val="nil"/>
                    <w:tr2bl w:val="nil"/>
                  </w:tcBorders>
                  <w:noWrap w:val="0"/>
                  <w:vAlign w:val="center"/>
                </w:tcPr>
                <w:p w14:paraId="2ED3A29D">
                  <w:pPr>
                    <w:topLinePunct w:val="0"/>
                    <w:autoSpaceDE w:val="0"/>
                    <w:autoSpaceDN w:val="0"/>
                    <w:spacing w:line="240" w:lineRule="auto"/>
                    <w:ind w:firstLine="0" w:firstLineChars="0"/>
                    <w:jc w:val="center"/>
                    <w:rPr>
                      <w:rFonts w:hint="default" w:ascii="Times New Roman" w:hAnsi="Times New Roman" w:eastAsia="宋体" w:cs="Times New Roman"/>
                      <w:color w:val="auto"/>
                      <w:lang w:val="en-US" w:eastAsia="zh-CN"/>
                    </w:rPr>
                  </w:pPr>
                  <w:r>
                    <w:rPr>
                      <w:rFonts w:hint="eastAsia" w:cs="Times New Roman"/>
                      <w:color w:val="auto"/>
                      <w:lang w:val="en-US" w:eastAsia="zh-CN"/>
                    </w:rPr>
                    <w:t>125.36</w:t>
                  </w:r>
                </w:p>
              </w:tc>
              <w:tc>
                <w:tcPr>
                  <w:tcW w:w="1185" w:type="dxa"/>
                  <w:tcBorders>
                    <w:tl2br w:val="nil"/>
                    <w:tr2bl w:val="nil"/>
                  </w:tcBorders>
                  <w:noWrap w:val="0"/>
                  <w:vAlign w:val="center"/>
                </w:tcPr>
                <w:p w14:paraId="2DBBDD50">
                  <w:pPr>
                    <w:topLinePunct w:val="0"/>
                    <w:autoSpaceDE w:val="0"/>
                    <w:autoSpaceDN w:val="0"/>
                    <w:spacing w:line="240" w:lineRule="auto"/>
                    <w:ind w:firstLine="0" w:firstLineChars="0"/>
                    <w:jc w:val="center"/>
                    <w:rPr>
                      <w:rFonts w:hint="default" w:ascii="Times New Roman" w:hAnsi="Times New Roman" w:eastAsia="宋体" w:cs="Times New Roman"/>
                      <w:color w:val="auto"/>
                      <w:lang w:val="en-US" w:eastAsia="zh-CN"/>
                    </w:rPr>
                  </w:pPr>
                  <w:r>
                    <w:rPr>
                      <w:rFonts w:hint="eastAsia" w:cs="Times New Roman"/>
                      <w:color w:val="auto"/>
                      <w:lang w:val="en-US" w:eastAsia="zh-CN"/>
                    </w:rPr>
                    <w:t>2.232</w:t>
                  </w:r>
                </w:p>
              </w:tc>
              <w:tc>
                <w:tcPr>
                  <w:tcW w:w="1050" w:type="dxa"/>
                  <w:tcBorders>
                    <w:tl2br w:val="nil"/>
                    <w:tr2bl w:val="nil"/>
                  </w:tcBorders>
                  <w:noWrap w:val="0"/>
                  <w:vAlign w:val="center"/>
                </w:tcPr>
                <w:p w14:paraId="652F9115">
                  <w:pPr>
                    <w:topLinePunct w:val="0"/>
                    <w:autoSpaceDE w:val="0"/>
                    <w:autoSpaceDN w:val="0"/>
                    <w:spacing w:line="240" w:lineRule="auto"/>
                    <w:ind w:firstLine="0" w:firstLineChars="0"/>
                    <w:jc w:val="center"/>
                    <w:rPr>
                      <w:rFonts w:hint="default" w:ascii="Times New Roman" w:hAnsi="Times New Roman" w:eastAsia="宋体" w:cs="Times New Roman"/>
                      <w:color w:val="auto"/>
                      <w:lang w:val="en-US" w:eastAsia="zh-CN"/>
                    </w:rPr>
                  </w:pPr>
                  <w:r>
                    <w:rPr>
                      <w:rFonts w:hint="eastAsia" w:cs="Times New Roman"/>
                      <w:color w:val="auto"/>
                      <w:lang w:val="en-US" w:eastAsia="zh-CN"/>
                    </w:rPr>
                    <w:t>123.128</w:t>
                  </w:r>
                </w:p>
              </w:tc>
              <w:tc>
                <w:tcPr>
                  <w:tcW w:w="1065" w:type="dxa"/>
                  <w:tcBorders>
                    <w:tl2br w:val="nil"/>
                    <w:tr2bl w:val="nil"/>
                  </w:tcBorders>
                  <w:noWrap w:val="0"/>
                  <w:vAlign w:val="center"/>
                </w:tcPr>
                <w:p w14:paraId="2E269B99">
                  <w:pPr>
                    <w:topLinePunct w:val="0"/>
                    <w:autoSpaceDE w:val="0"/>
                    <w:autoSpaceDN w:val="0"/>
                    <w:spacing w:line="240" w:lineRule="auto"/>
                    <w:ind w:firstLine="0" w:firstLineChars="0"/>
                    <w:jc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fldChar w:fldCharType="begin"/>
                  </w:r>
                  <w:r>
                    <w:rPr>
                      <w:rFonts w:hint="default" w:ascii="Times New Roman" w:hAnsi="Times New Roman" w:eastAsia="宋体" w:cs="Times New Roman"/>
                      <w:color w:val="auto"/>
                      <w:lang w:val="en-US" w:eastAsia="zh-CN"/>
                    </w:rPr>
                    <w:instrText xml:space="preserve"> = sum(F2:F7) \* MERGEFORMAT </w:instrText>
                  </w:r>
                  <w:r>
                    <w:rPr>
                      <w:rFonts w:hint="default" w:ascii="Times New Roman" w:hAnsi="Times New Roman" w:eastAsia="宋体" w:cs="Times New Roman"/>
                      <w:color w:val="auto"/>
                      <w:lang w:val="en-US" w:eastAsia="zh-CN"/>
                    </w:rPr>
                    <w:fldChar w:fldCharType="separate"/>
                  </w:r>
                  <w:r>
                    <w:rPr>
                      <w:rFonts w:hint="default" w:ascii="Times New Roman" w:hAnsi="Times New Roman" w:eastAsia="宋体" w:cs="Times New Roman"/>
                      <w:color w:val="auto"/>
                      <w:lang w:val="en-US" w:eastAsia="zh-CN"/>
                    </w:rPr>
                    <w:t>122.504</w:t>
                  </w:r>
                  <w:r>
                    <w:rPr>
                      <w:rFonts w:hint="default" w:ascii="Times New Roman" w:hAnsi="Times New Roman" w:eastAsia="宋体" w:cs="Times New Roman"/>
                      <w:color w:val="auto"/>
                      <w:lang w:val="en-US" w:eastAsia="zh-CN"/>
                    </w:rPr>
                    <w:fldChar w:fldCharType="end"/>
                  </w:r>
                </w:p>
              </w:tc>
              <w:tc>
                <w:tcPr>
                  <w:tcW w:w="1115" w:type="dxa"/>
                  <w:tcBorders>
                    <w:tl2br w:val="nil"/>
                    <w:tr2bl w:val="nil"/>
                  </w:tcBorders>
                  <w:noWrap w:val="0"/>
                  <w:vAlign w:val="center"/>
                </w:tcPr>
                <w:p w14:paraId="789DB762">
                  <w:pPr>
                    <w:topLinePunct w:val="0"/>
                    <w:autoSpaceDE w:val="0"/>
                    <w:autoSpaceDN w:val="0"/>
                    <w:spacing w:line="240" w:lineRule="auto"/>
                    <w:ind w:firstLine="0" w:firstLineChars="0"/>
                    <w:jc w:val="center"/>
                    <w:rPr>
                      <w:rFonts w:hint="default" w:ascii="Times New Roman" w:hAnsi="Times New Roman" w:eastAsia="宋体" w:cs="Times New Roman"/>
                      <w:color w:val="auto"/>
                      <w:lang w:val="en-US" w:eastAsia="zh-CN"/>
                    </w:rPr>
                  </w:pPr>
                  <w:r>
                    <w:rPr>
                      <w:rFonts w:hint="eastAsia" w:cs="Times New Roman"/>
                      <w:color w:val="auto"/>
                      <w:lang w:val="en-US" w:eastAsia="zh-CN"/>
                    </w:rPr>
                    <w:t>2.856</w:t>
                  </w:r>
                </w:p>
              </w:tc>
              <w:tc>
                <w:tcPr>
                  <w:tcW w:w="392" w:type="dxa"/>
                  <w:tcBorders>
                    <w:tl2br w:val="nil"/>
                    <w:tr2bl w:val="nil"/>
                  </w:tcBorders>
                  <w:noWrap w:val="0"/>
                  <w:vAlign w:val="center"/>
                </w:tcPr>
                <w:p w14:paraId="68C1FC6B">
                  <w:pPr>
                    <w:topLinePunct w:val="0"/>
                    <w:autoSpaceDE w:val="0"/>
                    <w:autoSpaceDN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w:t>
                  </w:r>
                </w:p>
              </w:tc>
            </w:tr>
          </w:tbl>
          <w:p w14:paraId="085B6CDF">
            <w:pPr>
              <w:bidi w:val="0"/>
              <w:ind w:firstLine="0" w:firstLineChars="0"/>
              <w:jc w:val="center"/>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drawing>
                <wp:inline distT="0" distB="0" distL="114300" distR="114300">
                  <wp:extent cx="5033645" cy="3948430"/>
                  <wp:effectExtent l="0" t="0" r="0" b="0"/>
                  <wp:docPr id="23" name="ECB019B1-382A-4266-B25C-5B523AA43C14-1" descr="C:/Users/Lenovo/AppData/Local/Temp/wps.bhbgDS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CB019B1-382A-4266-B25C-5B523AA43C14-1" descr="C:/Users/Lenovo/AppData/Local/Temp/wps.bhbgDSwps"/>
                          <pic:cNvPicPr>
                            <a:picLocks noChangeAspect="1"/>
                          </pic:cNvPicPr>
                        </pic:nvPicPr>
                        <pic:blipFill>
                          <a:blip r:embed="rId22"/>
                          <a:stretch>
                            <a:fillRect/>
                          </a:stretch>
                        </pic:blipFill>
                        <pic:spPr>
                          <a:xfrm>
                            <a:off x="0" y="0"/>
                            <a:ext cx="5033645" cy="3948430"/>
                          </a:xfrm>
                          <a:prstGeom prst="rect">
                            <a:avLst/>
                          </a:prstGeom>
                        </pic:spPr>
                      </pic:pic>
                    </a:graphicData>
                  </a:graphic>
                </wp:inline>
              </w:drawing>
            </w:r>
          </w:p>
          <w:p w14:paraId="04356B6D">
            <w:pPr>
              <w:bidi w:val="0"/>
              <w:jc w:val="center"/>
              <w:rPr>
                <w:rFonts w:hint="default" w:ascii="Times New Roman" w:hAnsi="Times New Roman" w:cs="Times New Roman"/>
                <w:b/>
                <w:bCs/>
                <w:color w:val="0000FF"/>
                <w:highlight w:val="none"/>
                <w:lang w:val="en-US" w:eastAsia="zh-CN"/>
              </w:rPr>
            </w:pPr>
            <w:r>
              <w:rPr>
                <w:rFonts w:hint="default" w:ascii="Times New Roman" w:hAnsi="Times New Roman" w:cs="Times New Roman"/>
                <w:b/>
                <w:bCs/>
                <w:color w:val="0000FF"/>
                <w:highlight w:val="none"/>
                <w:lang w:val="en-US" w:eastAsia="zh-CN"/>
              </w:rPr>
              <w:t>图2-</w:t>
            </w:r>
            <w:r>
              <w:rPr>
                <w:rFonts w:hint="eastAsia" w:cs="Times New Roman"/>
                <w:b/>
                <w:bCs/>
                <w:color w:val="0000FF"/>
                <w:highlight w:val="none"/>
                <w:lang w:val="en-US" w:eastAsia="zh-CN"/>
              </w:rPr>
              <w:t>1</w:t>
            </w:r>
            <w:r>
              <w:rPr>
                <w:rFonts w:hint="default" w:ascii="Times New Roman" w:hAnsi="Times New Roman" w:cs="Times New Roman"/>
                <w:b/>
                <w:bCs/>
                <w:color w:val="0000FF"/>
                <w:highlight w:val="none"/>
                <w:lang w:val="en-US" w:eastAsia="zh-CN"/>
              </w:rPr>
              <w:t>水平衡图（单位：m³/d）</w:t>
            </w:r>
          </w:p>
          <w:p w14:paraId="366B8041">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（3）供电工程</w:t>
            </w:r>
          </w:p>
          <w:p w14:paraId="68A551AC">
            <w:pPr>
              <w:bidi w:val="0"/>
              <w:rPr>
                <w:rFonts w:hint="default" w:ascii="Times New Roman" w:hAnsi="Times New Roman" w:cs="Times New Roman"/>
                <w:color w:val="auto"/>
                <w:lang w:val="en-US" w:eastAsia="zh-CN"/>
              </w:rPr>
            </w:pPr>
            <w:r>
              <w:rPr>
                <w:rFonts w:hint="default" w:ascii="Times New Roman" w:hAnsi="Times New Roman" w:cs="Times New Roman"/>
                <w:color w:val="auto"/>
                <w:szCs w:val="21"/>
                <w:highlight w:val="none"/>
                <w:lang w:val="en-US" w:eastAsia="zh-CN"/>
              </w:rPr>
              <w:t>接入市政电网，厂区设置1座配电间，年用电量约150万kWh。</w:t>
            </w:r>
          </w:p>
          <w:p w14:paraId="146F565E">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（4）供暖工程</w:t>
            </w:r>
          </w:p>
          <w:p w14:paraId="17E53C17">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本项目冬季不生产，无需供热。</w:t>
            </w:r>
          </w:p>
          <w:p w14:paraId="0DE6C460">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8.平面布置</w:t>
            </w:r>
          </w:p>
          <w:p w14:paraId="049EAD2D">
            <w:pPr>
              <w:bidi w:val="0"/>
              <w:rPr>
                <w:rFonts w:hint="default"/>
                <w:lang w:val="en-US" w:eastAsia="zh-CN"/>
              </w:rPr>
            </w:pPr>
            <w:r>
              <w:rPr>
                <w:rFonts w:hint="default"/>
              </w:rPr>
              <w:t>本项目总占地面积</w:t>
            </w:r>
            <w:r>
              <w:rPr>
                <w:rFonts w:hint="default"/>
                <w:lang w:val="en-US" w:eastAsia="zh-CN"/>
              </w:rPr>
              <w:t>33294.88㎡，出入口位于场地</w:t>
            </w:r>
            <w:r>
              <w:rPr>
                <w:rFonts w:hint="eastAsia"/>
                <w:lang w:val="en-US" w:eastAsia="zh-CN"/>
              </w:rPr>
              <w:t>东</w:t>
            </w:r>
            <w:r>
              <w:rPr>
                <w:rFonts w:hint="default"/>
                <w:lang w:val="en-US" w:eastAsia="zh-CN"/>
              </w:rPr>
              <w:t>部，搅拌机及筒仓布设于厂区中央，搅拌机东</w:t>
            </w:r>
            <w:r>
              <w:rPr>
                <w:rFonts w:hint="eastAsia"/>
                <w:lang w:val="en-US" w:eastAsia="zh-CN"/>
              </w:rPr>
              <w:t>北</w:t>
            </w:r>
            <w:r>
              <w:rPr>
                <w:rFonts w:hint="default"/>
                <w:lang w:val="en-US" w:eastAsia="zh-CN"/>
              </w:rPr>
              <w:t>侧为办公生活区，搅拌机</w:t>
            </w:r>
            <w:r>
              <w:rPr>
                <w:rFonts w:hint="eastAsia"/>
                <w:lang w:val="en-US" w:eastAsia="zh-CN"/>
              </w:rPr>
              <w:t>西</w:t>
            </w:r>
            <w:r>
              <w:rPr>
                <w:rFonts w:hint="default"/>
                <w:lang w:val="en-US" w:eastAsia="zh-CN"/>
              </w:rPr>
              <w:t>为原料堆场，水泥筒仓、粉煤灰筒仓均分布于搅拌机一侧。整个厂区建构筑物布局合理，项目具体平面布置详见附图</w:t>
            </w:r>
            <w:r>
              <w:rPr>
                <w:rFonts w:hint="eastAsia"/>
                <w:lang w:val="en-US" w:eastAsia="zh-CN"/>
              </w:rPr>
              <w:t>4</w:t>
            </w:r>
            <w:r>
              <w:rPr>
                <w:rFonts w:hint="default"/>
                <w:lang w:val="en-US" w:eastAsia="zh-CN"/>
              </w:rPr>
              <w:t>。</w:t>
            </w:r>
          </w:p>
          <w:p w14:paraId="4CE4DB72">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9.运输</w:t>
            </w:r>
          </w:p>
          <w:p w14:paraId="58DB5FE6">
            <w:pPr>
              <w:bidi w:val="0"/>
              <w:rPr>
                <w:rFonts w:hint="default" w:ascii="Times New Roman" w:hAnsi="Times New Roman" w:cs="Times New Roman"/>
                <w:color w:val="auto"/>
                <w:lang w:val="en-US" w:eastAsia="zh-CN"/>
              </w:rPr>
            </w:pPr>
            <w:r>
              <w:rPr>
                <w:rFonts w:hint="default"/>
                <w:lang w:val="en-US" w:eastAsia="zh-CN"/>
              </w:rPr>
              <w:t>按生产天数</w:t>
            </w:r>
            <w:r>
              <w:rPr>
                <w:rFonts w:hint="eastAsia"/>
                <w:lang w:val="en-US" w:eastAsia="zh-CN"/>
              </w:rPr>
              <w:t>201</w:t>
            </w:r>
            <w:r>
              <w:rPr>
                <w:rFonts w:hint="default"/>
                <w:lang w:val="en-US" w:eastAsia="zh-CN"/>
              </w:rPr>
              <w:t>d计，项目各类原辅料及产品运输情况见表2-</w:t>
            </w:r>
            <w:r>
              <w:rPr>
                <w:rFonts w:hint="eastAsia"/>
                <w:lang w:val="en-US" w:eastAsia="zh-CN"/>
              </w:rPr>
              <w:t>6</w:t>
            </w:r>
            <w:r>
              <w:rPr>
                <w:rFonts w:hint="default"/>
                <w:lang w:val="en-US" w:eastAsia="zh-CN"/>
              </w:rPr>
              <w:t>。运输车辆和运送频次取决于工程需求，每日运输车辆车次为</w:t>
            </w:r>
            <w:r>
              <w:rPr>
                <w:rFonts w:hint="eastAsia"/>
                <w:lang w:val="en-US" w:eastAsia="zh-CN"/>
              </w:rPr>
              <w:t>74</w:t>
            </w:r>
            <w:r>
              <w:rPr>
                <w:rFonts w:hint="default"/>
                <w:lang w:val="en-US" w:eastAsia="zh-CN"/>
              </w:rPr>
              <w:t>辆，夜间不进行运输。</w:t>
            </w:r>
          </w:p>
          <w:p w14:paraId="5A34B562">
            <w:pPr>
              <w:bidi w:val="0"/>
              <w:ind w:left="0" w:leftChars="0" w:firstLine="0" w:firstLineChars="0"/>
              <w:jc w:val="center"/>
              <w:rPr>
                <w:rFonts w:hint="default" w:ascii="Times New Roman" w:hAnsi="Times New Roman" w:cs="Times New Roman"/>
                <w:b/>
                <w:bCs/>
                <w:color w:val="auto"/>
                <w:vertAlign w:val="baseline"/>
                <w:lang w:val="en-US" w:eastAsia="zh-CN"/>
              </w:rPr>
            </w:pPr>
            <w:r>
              <w:rPr>
                <w:rFonts w:hint="default" w:ascii="Times New Roman" w:hAnsi="Times New Roman" w:cs="Times New Roman"/>
                <w:b/>
                <w:bCs/>
                <w:color w:val="auto"/>
                <w:lang w:val="en-US" w:eastAsia="zh-CN"/>
              </w:rPr>
              <w:t>表2-</w:t>
            </w:r>
            <w:r>
              <w:rPr>
                <w:rFonts w:hint="eastAsia" w:cs="Times New Roman"/>
                <w:b/>
                <w:bCs/>
                <w:color w:val="auto"/>
                <w:lang w:val="en-US" w:eastAsia="zh-CN"/>
              </w:rPr>
              <w:t>6</w:t>
            </w:r>
            <w:r>
              <w:rPr>
                <w:rFonts w:hint="default" w:ascii="Times New Roman" w:hAnsi="Times New Roman" w:cs="Times New Roman"/>
                <w:b/>
                <w:bCs/>
                <w:color w:val="auto"/>
                <w:lang w:val="en-US" w:eastAsia="zh-CN"/>
              </w:rPr>
              <w:t>各类原辅料及产品运输情况表</w:t>
            </w:r>
          </w:p>
          <w:tbl>
            <w:tblPr>
              <w:tblStyle w:val="18"/>
              <w:tblW w:w="794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061"/>
              <w:gridCol w:w="1238"/>
              <w:gridCol w:w="1187"/>
              <w:gridCol w:w="1263"/>
              <w:gridCol w:w="1312"/>
              <w:gridCol w:w="1184"/>
            </w:tblGrid>
            <w:tr w14:paraId="319BC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0" w:type="dxa"/>
                  <w:noWrap w:val="0"/>
                  <w:vAlign w:val="top"/>
                </w:tcPr>
                <w:p w14:paraId="37D1B93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类型</w:t>
                  </w:r>
                </w:p>
              </w:tc>
              <w:tc>
                <w:tcPr>
                  <w:tcW w:w="1061" w:type="dxa"/>
                  <w:noWrap w:val="0"/>
                  <w:vAlign w:val="top"/>
                </w:tcPr>
                <w:p w14:paraId="4253238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物料名称</w:t>
                  </w:r>
                </w:p>
              </w:tc>
              <w:tc>
                <w:tcPr>
                  <w:tcW w:w="1238" w:type="dxa"/>
                  <w:noWrap w:val="0"/>
                  <w:vAlign w:val="top"/>
                </w:tcPr>
                <w:p w14:paraId="53B70D9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年周转量</w:t>
                  </w:r>
                </w:p>
              </w:tc>
              <w:tc>
                <w:tcPr>
                  <w:tcW w:w="1187" w:type="dxa"/>
                  <w:noWrap w:val="0"/>
                  <w:vAlign w:val="top"/>
                </w:tcPr>
                <w:p w14:paraId="7EB56B9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运输车辆装载量</w:t>
                  </w:r>
                </w:p>
              </w:tc>
              <w:tc>
                <w:tcPr>
                  <w:tcW w:w="1263" w:type="dxa"/>
                  <w:noWrap w:val="0"/>
                  <w:vAlign w:val="top"/>
                </w:tcPr>
                <w:p w14:paraId="0639B2E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每天周转车辆次数</w:t>
                  </w:r>
                </w:p>
              </w:tc>
              <w:tc>
                <w:tcPr>
                  <w:tcW w:w="1312" w:type="dxa"/>
                  <w:noWrap w:val="0"/>
                  <w:vAlign w:val="top"/>
                </w:tcPr>
                <w:p w14:paraId="1AC7202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自有车辆/外来车辆</w:t>
                  </w:r>
                </w:p>
              </w:tc>
              <w:tc>
                <w:tcPr>
                  <w:tcW w:w="1184" w:type="dxa"/>
                  <w:noWrap w:val="0"/>
                  <w:vAlign w:val="top"/>
                </w:tcPr>
                <w:p w14:paraId="4678A4F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车辆类型</w:t>
                  </w:r>
                </w:p>
              </w:tc>
            </w:tr>
            <w:tr w14:paraId="4FD35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700" w:type="dxa"/>
                  <w:vMerge w:val="restart"/>
                  <w:noWrap w:val="0"/>
                  <w:vAlign w:val="top"/>
                </w:tcPr>
                <w:p w14:paraId="1E03240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原料</w:t>
                  </w:r>
                </w:p>
              </w:tc>
              <w:tc>
                <w:tcPr>
                  <w:tcW w:w="1061" w:type="dxa"/>
                  <w:noWrap w:val="0"/>
                  <w:vAlign w:val="top"/>
                </w:tcPr>
                <w:p w14:paraId="0BF1DC9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水泥</w:t>
                  </w:r>
                </w:p>
              </w:tc>
              <w:tc>
                <w:tcPr>
                  <w:tcW w:w="1238" w:type="dxa"/>
                  <w:noWrap w:val="0"/>
                  <w:vAlign w:val="top"/>
                </w:tcPr>
                <w:p w14:paraId="2BA11F8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eastAsia" w:cs="Times New Roman"/>
                      <w:color w:val="auto"/>
                      <w:vertAlign w:val="baseline"/>
                      <w:lang w:val="en-US" w:eastAsia="zh-CN"/>
                    </w:rPr>
                    <w:t>44600</w:t>
                  </w:r>
                  <w:r>
                    <w:rPr>
                      <w:rFonts w:hint="default" w:ascii="Times New Roman" w:hAnsi="Times New Roman" w:eastAsia="宋体" w:cs="Times New Roman"/>
                      <w:color w:val="auto"/>
                      <w:vertAlign w:val="baseline"/>
                      <w:lang w:val="en-US" w:eastAsia="zh-CN"/>
                    </w:rPr>
                    <w:t>t/a</w:t>
                  </w:r>
                </w:p>
              </w:tc>
              <w:tc>
                <w:tcPr>
                  <w:tcW w:w="1187" w:type="dxa"/>
                  <w:noWrap w:val="0"/>
                  <w:vAlign w:val="top"/>
                </w:tcPr>
                <w:p w14:paraId="6DF43F4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50吨车</w:t>
                  </w:r>
                </w:p>
              </w:tc>
              <w:tc>
                <w:tcPr>
                  <w:tcW w:w="1263" w:type="dxa"/>
                  <w:noWrap w:val="0"/>
                  <w:vAlign w:val="top"/>
                </w:tcPr>
                <w:p w14:paraId="62E8821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eastAsia" w:cs="Times New Roman"/>
                      <w:color w:val="auto"/>
                      <w:vertAlign w:val="baseline"/>
                      <w:lang w:val="en-US" w:eastAsia="zh-CN"/>
                    </w:rPr>
                    <w:t>5</w:t>
                  </w:r>
                  <w:r>
                    <w:rPr>
                      <w:rFonts w:hint="default" w:ascii="Times New Roman" w:hAnsi="Times New Roman" w:cs="Times New Roman"/>
                      <w:color w:val="auto"/>
                      <w:vertAlign w:val="baseline"/>
                      <w:lang w:val="en-US" w:eastAsia="zh-CN"/>
                    </w:rPr>
                    <w:t>车次/d</w:t>
                  </w:r>
                </w:p>
              </w:tc>
              <w:tc>
                <w:tcPr>
                  <w:tcW w:w="1312" w:type="dxa"/>
                  <w:noWrap w:val="0"/>
                  <w:vAlign w:val="top"/>
                </w:tcPr>
                <w:p w14:paraId="4A0606C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外来</w:t>
                  </w:r>
                </w:p>
              </w:tc>
              <w:tc>
                <w:tcPr>
                  <w:tcW w:w="1184" w:type="dxa"/>
                  <w:noWrap w:val="0"/>
                  <w:vAlign w:val="top"/>
                </w:tcPr>
                <w:p w14:paraId="2C2F708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罐车</w:t>
                  </w:r>
                </w:p>
              </w:tc>
            </w:tr>
            <w:tr w14:paraId="0603A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700" w:type="dxa"/>
                  <w:vMerge w:val="continue"/>
                  <w:noWrap w:val="0"/>
                  <w:vAlign w:val="top"/>
                </w:tcPr>
                <w:p w14:paraId="1926539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p>
              </w:tc>
              <w:tc>
                <w:tcPr>
                  <w:tcW w:w="1061" w:type="dxa"/>
                  <w:noWrap w:val="0"/>
                  <w:vAlign w:val="top"/>
                </w:tcPr>
                <w:p w14:paraId="5600494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砂子</w:t>
                  </w:r>
                </w:p>
              </w:tc>
              <w:tc>
                <w:tcPr>
                  <w:tcW w:w="1238" w:type="dxa"/>
                  <w:noWrap w:val="0"/>
                  <w:vAlign w:val="top"/>
                </w:tcPr>
                <w:p w14:paraId="3FED86F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eastAsia" w:cs="Times New Roman"/>
                      <w:color w:val="auto"/>
                      <w:vertAlign w:val="baseline"/>
                      <w:lang w:val="en-US" w:eastAsia="zh-CN"/>
                    </w:rPr>
                    <w:t>120000</w:t>
                  </w:r>
                  <w:r>
                    <w:rPr>
                      <w:rFonts w:hint="default" w:ascii="Times New Roman" w:hAnsi="Times New Roman" w:eastAsia="宋体" w:cs="Times New Roman"/>
                      <w:color w:val="auto"/>
                      <w:vertAlign w:val="baseline"/>
                      <w:lang w:val="en-US" w:eastAsia="zh-CN"/>
                    </w:rPr>
                    <w:t>t/a</w:t>
                  </w:r>
                </w:p>
              </w:tc>
              <w:tc>
                <w:tcPr>
                  <w:tcW w:w="1187" w:type="dxa"/>
                  <w:noWrap w:val="0"/>
                  <w:vAlign w:val="top"/>
                </w:tcPr>
                <w:p w14:paraId="323F733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50吨车</w:t>
                  </w:r>
                </w:p>
              </w:tc>
              <w:tc>
                <w:tcPr>
                  <w:tcW w:w="1263" w:type="dxa"/>
                  <w:noWrap w:val="0"/>
                  <w:vAlign w:val="top"/>
                </w:tcPr>
                <w:p w14:paraId="13FF372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1</w:t>
                  </w:r>
                  <w:r>
                    <w:rPr>
                      <w:rFonts w:hint="eastAsia" w:cs="Times New Roman"/>
                      <w:color w:val="auto"/>
                      <w:vertAlign w:val="baseline"/>
                      <w:lang w:val="en-US" w:eastAsia="zh-CN"/>
                    </w:rPr>
                    <w:t>2</w:t>
                  </w:r>
                  <w:r>
                    <w:rPr>
                      <w:rFonts w:hint="default" w:ascii="Times New Roman" w:hAnsi="Times New Roman" w:cs="Times New Roman"/>
                      <w:color w:val="auto"/>
                      <w:vertAlign w:val="baseline"/>
                      <w:lang w:val="en-US" w:eastAsia="zh-CN"/>
                    </w:rPr>
                    <w:t>车次/d</w:t>
                  </w:r>
                </w:p>
              </w:tc>
              <w:tc>
                <w:tcPr>
                  <w:tcW w:w="1312" w:type="dxa"/>
                  <w:noWrap w:val="0"/>
                  <w:vAlign w:val="top"/>
                </w:tcPr>
                <w:p w14:paraId="626CBCE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外来</w:t>
                  </w:r>
                </w:p>
              </w:tc>
              <w:tc>
                <w:tcPr>
                  <w:tcW w:w="1184" w:type="dxa"/>
                  <w:noWrap w:val="0"/>
                  <w:vAlign w:val="top"/>
                </w:tcPr>
                <w:p w14:paraId="310446A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卡车</w:t>
                  </w:r>
                </w:p>
              </w:tc>
            </w:tr>
            <w:tr w14:paraId="179EC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Merge w:val="continue"/>
                  <w:noWrap w:val="0"/>
                  <w:vAlign w:val="top"/>
                </w:tcPr>
                <w:p w14:paraId="3575277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p>
              </w:tc>
              <w:tc>
                <w:tcPr>
                  <w:tcW w:w="1061" w:type="dxa"/>
                  <w:noWrap w:val="0"/>
                  <w:vAlign w:val="top"/>
                </w:tcPr>
                <w:p w14:paraId="3C23C27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石子</w:t>
                  </w:r>
                </w:p>
              </w:tc>
              <w:tc>
                <w:tcPr>
                  <w:tcW w:w="1238" w:type="dxa"/>
                  <w:noWrap w:val="0"/>
                  <w:vAlign w:val="top"/>
                </w:tcPr>
                <w:p w14:paraId="59596F5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eastAsia" w:cs="Times New Roman"/>
                      <w:color w:val="auto"/>
                      <w:vertAlign w:val="baseline"/>
                      <w:lang w:val="en-US" w:eastAsia="zh-CN"/>
                    </w:rPr>
                    <w:t>168000</w:t>
                  </w:r>
                  <w:r>
                    <w:rPr>
                      <w:rFonts w:hint="default" w:ascii="Times New Roman" w:hAnsi="Times New Roman" w:eastAsia="宋体" w:cs="Times New Roman"/>
                      <w:color w:val="auto"/>
                      <w:vertAlign w:val="baseline"/>
                      <w:lang w:val="en-US" w:eastAsia="zh-CN"/>
                    </w:rPr>
                    <w:t>t/a</w:t>
                  </w:r>
                </w:p>
              </w:tc>
              <w:tc>
                <w:tcPr>
                  <w:tcW w:w="1187" w:type="dxa"/>
                  <w:noWrap w:val="0"/>
                  <w:vAlign w:val="top"/>
                </w:tcPr>
                <w:p w14:paraId="5806BF8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50吨车</w:t>
                  </w:r>
                </w:p>
              </w:tc>
              <w:tc>
                <w:tcPr>
                  <w:tcW w:w="1263" w:type="dxa"/>
                  <w:noWrap w:val="0"/>
                  <w:vAlign w:val="top"/>
                </w:tcPr>
                <w:p w14:paraId="0D31126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eastAsia" w:cs="Times New Roman"/>
                      <w:color w:val="auto"/>
                      <w:vertAlign w:val="baseline"/>
                      <w:lang w:val="en-US" w:eastAsia="zh-CN"/>
                    </w:rPr>
                    <w:t>17</w:t>
                  </w:r>
                  <w:r>
                    <w:rPr>
                      <w:rFonts w:hint="default" w:ascii="Times New Roman" w:hAnsi="Times New Roman" w:cs="Times New Roman"/>
                      <w:color w:val="auto"/>
                      <w:vertAlign w:val="baseline"/>
                      <w:lang w:val="en-US" w:eastAsia="zh-CN"/>
                    </w:rPr>
                    <w:t>车次/d</w:t>
                  </w:r>
                </w:p>
              </w:tc>
              <w:tc>
                <w:tcPr>
                  <w:tcW w:w="1312" w:type="dxa"/>
                  <w:noWrap w:val="0"/>
                  <w:vAlign w:val="top"/>
                </w:tcPr>
                <w:p w14:paraId="096C020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外来</w:t>
                  </w:r>
                </w:p>
              </w:tc>
              <w:tc>
                <w:tcPr>
                  <w:tcW w:w="1184" w:type="dxa"/>
                  <w:noWrap w:val="0"/>
                  <w:vAlign w:val="top"/>
                </w:tcPr>
                <w:p w14:paraId="42B49D4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卡车</w:t>
                  </w:r>
                </w:p>
              </w:tc>
            </w:tr>
            <w:tr w14:paraId="0C0D4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Merge w:val="continue"/>
                  <w:noWrap w:val="0"/>
                  <w:vAlign w:val="top"/>
                </w:tcPr>
                <w:p w14:paraId="47B810F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p>
              </w:tc>
              <w:tc>
                <w:tcPr>
                  <w:tcW w:w="1061" w:type="dxa"/>
                  <w:noWrap w:val="0"/>
                  <w:vAlign w:val="top"/>
                </w:tcPr>
                <w:p w14:paraId="60BAD0E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粉煤灰</w:t>
                  </w:r>
                </w:p>
              </w:tc>
              <w:tc>
                <w:tcPr>
                  <w:tcW w:w="1238" w:type="dxa"/>
                  <w:noWrap w:val="0"/>
                  <w:vAlign w:val="top"/>
                </w:tcPr>
                <w:p w14:paraId="43CF8CA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eastAsia" w:cs="Times New Roman"/>
                      <w:color w:val="auto"/>
                      <w:vertAlign w:val="baseline"/>
                      <w:lang w:val="en-US" w:eastAsia="zh-CN"/>
                    </w:rPr>
                    <w:t>19000</w:t>
                  </w:r>
                  <w:r>
                    <w:rPr>
                      <w:rFonts w:hint="default" w:ascii="Times New Roman" w:hAnsi="Times New Roman" w:eastAsia="宋体" w:cs="Times New Roman"/>
                      <w:color w:val="auto"/>
                      <w:vertAlign w:val="baseline"/>
                      <w:lang w:val="en-US" w:eastAsia="zh-CN"/>
                    </w:rPr>
                    <w:t>t/a</w:t>
                  </w:r>
                </w:p>
              </w:tc>
              <w:tc>
                <w:tcPr>
                  <w:tcW w:w="1187" w:type="dxa"/>
                  <w:noWrap w:val="0"/>
                  <w:vAlign w:val="top"/>
                </w:tcPr>
                <w:p w14:paraId="7C63F38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50吨车</w:t>
                  </w:r>
                </w:p>
              </w:tc>
              <w:tc>
                <w:tcPr>
                  <w:tcW w:w="1263" w:type="dxa"/>
                  <w:noWrap w:val="0"/>
                  <w:vAlign w:val="top"/>
                </w:tcPr>
                <w:p w14:paraId="441EF2A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eastAsia" w:cs="Times New Roman"/>
                      <w:color w:val="auto"/>
                      <w:vertAlign w:val="baseline"/>
                      <w:lang w:val="en-US" w:eastAsia="zh-CN"/>
                    </w:rPr>
                    <w:t>2</w:t>
                  </w:r>
                  <w:r>
                    <w:rPr>
                      <w:rFonts w:hint="default" w:ascii="Times New Roman" w:hAnsi="Times New Roman" w:cs="Times New Roman"/>
                      <w:color w:val="auto"/>
                      <w:vertAlign w:val="baseline"/>
                      <w:lang w:val="en-US" w:eastAsia="zh-CN"/>
                    </w:rPr>
                    <w:t>车次/d</w:t>
                  </w:r>
                </w:p>
              </w:tc>
              <w:tc>
                <w:tcPr>
                  <w:tcW w:w="1312" w:type="dxa"/>
                  <w:noWrap w:val="0"/>
                  <w:vAlign w:val="top"/>
                </w:tcPr>
                <w:p w14:paraId="29B4AE7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外来</w:t>
                  </w:r>
                </w:p>
              </w:tc>
              <w:tc>
                <w:tcPr>
                  <w:tcW w:w="1184" w:type="dxa"/>
                  <w:noWrap w:val="0"/>
                  <w:vAlign w:val="top"/>
                </w:tcPr>
                <w:p w14:paraId="4B508D5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default" w:ascii="Times New Roman" w:hAnsi="Times New Roman" w:cs="Times New Roman"/>
                      <w:color w:val="auto"/>
                      <w:lang w:val="en-US" w:eastAsia="zh-CN"/>
                    </w:rPr>
                    <w:t>罐车</w:t>
                  </w:r>
                </w:p>
              </w:tc>
            </w:tr>
            <w:tr w14:paraId="4945A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noWrap w:val="0"/>
                  <w:vAlign w:val="top"/>
                </w:tcPr>
                <w:p w14:paraId="2E4E3F0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产品</w:t>
                  </w:r>
                </w:p>
              </w:tc>
              <w:tc>
                <w:tcPr>
                  <w:tcW w:w="1061" w:type="dxa"/>
                  <w:noWrap w:val="0"/>
                  <w:vAlign w:val="top"/>
                </w:tcPr>
                <w:p w14:paraId="4FB05C9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商品混凝土</w:t>
                  </w:r>
                </w:p>
              </w:tc>
              <w:tc>
                <w:tcPr>
                  <w:tcW w:w="1238" w:type="dxa"/>
                  <w:noWrap w:val="0"/>
                  <w:vAlign w:val="top"/>
                </w:tcPr>
                <w:p w14:paraId="14E5B9B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eastAsia" w:cs="Times New Roman"/>
                      <w:color w:val="auto"/>
                      <w:vertAlign w:val="baseline"/>
                      <w:lang w:val="en-US" w:eastAsia="zh-CN"/>
                    </w:rPr>
                    <w:t>376000</w:t>
                  </w:r>
                  <w:r>
                    <w:rPr>
                      <w:rFonts w:hint="default" w:ascii="Times New Roman" w:hAnsi="Times New Roman" w:eastAsia="宋体" w:cs="Times New Roman"/>
                      <w:color w:val="auto"/>
                      <w:vertAlign w:val="baseline"/>
                      <w:lang w:val="en-US" w:eastAsia="zh-CN"/>
                    </w:rPr>
                    <w:t>t/a</w:t>
                  </w:r>
                </w:p>
              </w:tc>
              <w:tc>
                <w:tcPr>
                  <w:tcW w:w="1187" w:type="dxa"/>
                  <w:noWrap w:val="0"/>
                  <w:vAlign w:val="top"/>
                </w:tcPr>
                <w:p w14:paraId="7C4B0EA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50吨车</w:t>
                  </w:r>
                </w:p>
              </w:tc>
              <w:tc>
                <w:tcPr>
                  <w:tcW w:w="1263" w:type="dxa"/>
                  <w:noWrap w:val="0"/>
                  <w:vAlign w:val="top"/>
                </w:tcPr>
                <w:p w14:paraId="39A882C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eastAsia" w:cs="Times New Roman"/>
                      <w:color w:val="auto"/>
                      <w:vertAlign w:val="baseline"/>
                      <w:lang w:val="en-US" w:eastAsia="zh-CN"/>
                    </w:rPr>
                    <w:t>38</w:t>
                  </w:r>
                  <w:r>
                    <w:rPr>
                      <w:rFonts w:hint="default" w:ascii="Times New Roman" w:hAnsi="Times New Roman" w:cs="Times New Roman"/>
                      <w:color w:val="auto"/>
                      <w:vertAlign w:val="baseline"/>
                      <w:lang w:val="en-US" w:eastAsia="zh-CN"/>
                    </w:rPr>
                    <w:t>车次/d</w:t>
                  </w:r>
                </w:p>
              </w:tc>
              <w:tc>
                <w:tcPr>
                  <w:tcW w:w="1312" w:type="dxa"/>
                  <w:noWrap w:val="0"/>
                  <w:vAlign w:val="top"/>
                </w:tcPr>
                <w:p w14:paraId="19C0241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自有</w:t>
                  </w:r>
                </w:p>
              </w:tc>
              <w:tc>
                <w:tcPr>
                  <w:tcW w:w="1184" w:type="dxa"/>
                  <w:noWrap w:val="0"/>
                  <w:vAlign w:val="top"/>
                </w:tcPr>
                <w:p w14:paraId="72EB43C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vertAlign w:val="baseline"/>
                      <w:lang w:val="en-US" w:eastAsia="zh-CN"/>
                    </w:rPr>
                  </w:pPr>
                  <w:r>
                    <w:rPr>
                      <w:rFonts w:hint="default" w:ascii="Times New Roman" w:hAnsi="Times New Roman" w:cs="Times New Roman"/>
                      <w:color w:val="auto"/>
                      <w:vertAlign w:val="baseline"/>
                      <w:lang w:val="en-US" w:eastAsia="zh-CN"/>
                    </w:rPr>
                    <w:t>罐车</w:t>
                  </w:r>
                </w:p>
              </w:tc>
            </w:tr>
          </w:tbl>
          <w:p w14:paraId="1AE27139">
            <w:pPr>
              <w:bidi w:val="0"/>
              <w:rPr>
                <w:rFonts w:hint="default" w:ascii="Times New Roman" w:hAnsi="Times New Roman" w:eastAsia="宋体" w:cs="Times New Roman"/>
                <w:lang w:val="en-US" w:eastAsia="zh-CN"/>
              </w:rPr>
            </w:pPr>
          </w:p>
        </w:tc>
      </w:tr>
      <w:tr w14:paraId="519CDB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11" w:hRule="atLeast"/>
          <w:jc w:val="center"/>
        </w:trPr>
        <w:tc>
          <w:tcPr>
            <w:tcW w:w="823" w:type="dxa"/>
            <w:noWrap w:val="0"/>
            <w:vAlign w:val="center"/>
          </w:tcPr>
          <w:p w14:paraId="2D9823EA">
            <w:pPr>
              <w:pStyle w:val="13"/>
              <w:keepNext w:val="0"/>
              <w:keepLines w:val="0"/>
              <w:pageBreakBefore w:val="0"/>
              <w:widowControl/>
              <w:kinsoku/>
              <w:wordWrap/>
              <w:overflowPunct/>
              <w:topLinePunct w:val="0"/>
              <w:autoSpaceDE/>
              <w:autoSpaceDN/>
              <w:bidi w:val="0"/>
              <w:adjustRightInd w:val="0"/>
              <w:snapToGrid w:val="0"/>
              <w:spacing w:before="0" w:beforeAutospacing="0" w:after="0" w:afterAutospacing="0"/>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工艺流程和产排污环节</w:t>
            </w:r>
          </w:p>
        </w:tc>
        <w:tc>
          <w:tcPr>
            <w:tcW w:w="8161" w:type="dxa"/>
            <w:gridSpan w:val="2"/>
            <w:noWrap w:val="0"/>
            <w:vAlign w:val="top"/>
          </w:tcPr>
          <w:p w14:paraId="1D5B39CC">
            <w:pPr>
              <w:bidi w:val="0"/>
              <w:rPr>
                <w:rFonts w:hint="eastAsia"/>
                <w:b/>
                <w:bCs/>
                <w:lang w:val="en-US" w:eastAsia="zh-CN"/>
              </w:rPr>
            </w:pPr>
            <w:r>
              <w:rPr>
                <w:rFonts w:hint="eastAsia"/>
                <w:b/>
                <w:bCs/>
                <w:lang w:val="en-US" w:eastAsia="zh-CN"/>
              </w:rPr>
              <w:t>一、施工期工艺流程及产排污环节</w:t>
            </w:r>
          </w:p>
          <w:p w14:paraId="5159E00C">
            <w:pPr>
              <w:bidi w:val="0"/>
              <w:rPr>
                <w:rFonts w:hint="eastAsia"/>
                <w:b/>
                <w:bCs/>
                <w:lang w:val="en-US" w:eastAsia="zh-CN"/>
              </w:rPr>
            </w:pPr>
            <w:r>
              <w:rPr>
                <w:rFonts w:hint="eastAsia"/>
                <w:b/>
                <w:bCs/>
                <w:lang w:val="en-US" w:eastAsia="zh-CN"/>
              </w:rPr>
              <w:t>1.施工期工艺流程</w:t>
            </w:r>
          </w:p>
          <w:p w14:paraId="771BE9C2">
            <w:pPr>
              <w:bidi w:val="0"/>
              <w:rPr>
                <w:rFonts w:hint="eastAsia"/>
                <w:lang w:val="en-US" w:eastAsia="zh-CN"/>
              </w:rPr>
            </w:pPr>
            <w:r>
              <w:rPr>
                <w:rFonts w:hint="eastAsia"/>
                <w:lang w:val="en-US" w:eastAsia="zh-CN"/>
              </w:rPr>
              <w:t>本项目施工期间的基础工程、主体工程、设备安装、工程验收等建设工序将产生噪声、扬尘、固体废弃物、少量污水和废气等污染物。施工流程及产污节点见图2-2。</w:t>
            </w:r>
          </w:p>
          <w:p w14:paraId="161A4A5F">
            <w:pPr>
              <w:bidi w:val="0"/>
              <w:ind w:left="0" w:leftChars="0" w:firstLine="0" w:firstLineChars="0"/>
              <w:rPr>
                <w:rFonts w:hint="eastAsia"/>
                <w:lang w:val="en-US" w:eastAsia="zh-CN"/>
              </w:rPr>
            </w:pPr>
            <w:r>
              <w:rPr>
                <w:rFonts w:hint="eastAsia"/>
                <w:lang w:val="en-US" w:eastAsia="zh-CN"/>
              </w:rPr>
              <w:drawing>
                <wp:inline distT="0" distB="0" distL="114300" distR="114300">
                  <wp:extent cx="5043805" cy="1604645"/>
                  <wp:effectExtent l="0" t="0" r="4445" b="14605"/>
                  <wp:docPr id="2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3"/>
                          <pic:cNvPicPr>
                            <a:picLocks noChangeAspect="1"/>
                          </pic:cNvPicPr>
                        </pic:nvPicPr>
                        <pic:blipFill>
                          <a:blip r:embed="rId23"/>
                          <a:stretch>
                            <a:fillRect/>
                          </a:stretch>
                        </pic:blipFill>
                        <pic:spPr>
                          <a:xfrm>
                            <a:off x="0" y="0"/>
                            <a:ext cx="5043805" cy="1604645"/>
                          </a:xfrm>
                          <a:prstGeom prst="rect">
                            <a:avLst/>
                          </a:prstGeom>
                          <a:noFill/>
                          <a:ln>
                            <a:noFill/>
                          </a:ln>
                        </pic:spPr>
                      </pic:pic>
                    </a:graphicData>
                  </a:graphic>
                </wp:inline>
              </w:drawing>
            </w:r>
          </w:p>
          <w:p w14:paraId="21F86DB3">
            <w:pPr>
              <w:bidi w:val="0"/>
              <w:ind w:left="0" w:leftChars="0" w:firstLine="0" w:firstLineChars="0"/>
              <w:jc w:val="center"/>
              <w:rPr>
                <w:rFonts w:hint="default"/>
                <w:b/>
                <w:bCs/>
                <w:lang w:val="en-US" w:eastAsia="zh-CN"/>
              </w:rPr>
            </w:pPr>
            <w:r>
              <w:rPr>
                <w:rFonts w:hint="eastAsia"/>
                <w:b/>
                <w:bCs/>
                <w:lang w:val="en-US" w:eastAsia="zh-CN"/>
              </w:rPr>
              <w:t>图2-2施工期工艺流程及产排污节点图</w:t>
            </w:r>
          </w:p>
          <w:p w14:paraId="7C2606BB">
            <w:pPr>
              <w:bidi w:val="0"/>
              <w:rPr>
                <w:rFonts w:hint="eastAsia"/>
                <w:b/>
                <w:bCs/>
                <w:lang w:val="en-US" w:eastAsia="zh-CN"/>
              </w:rPr>
            </w:pPr>
            <w:r>
              <w:rPr>
                <w:rFonts w:hint="eastAsia"/>
                <w:b/>
                <w:bCs/>
                <w:lang w:val="en-US" w:eastAsia="zh-CN"/>
              </w:rPr>
              <w:t>2.施工期产排污环节</w:t>
            </w:r>
          </w:p>
          <w:p w14:paraId="4383322E">
            <w:pPr>
              <w:bidi w:val="0"/>
              <w:rPr>
                <w:rFonts w:hint="eastAsia"/>
                <w:lang w:val="en-US" w:eastAsia="zh-CN"/>
              </w:rPr>
            </w:pPr>
            <w:r>
              <w:rPr>
                <w:rFonts w:hint="eastAsia"/>
                <w:lang w:val="en-US" w:eastAsia="zh-CN"/>
              </w:rPr>
              <w:t>（1）废气：地基开挖、建筑物料、弃土堆存等在风力作用下产生的地面扬尘；</w:t>
            </w:r>
          </w:p>
          <w:p w14:paraId="0C8C37AB">
            <w:pPr>
              <w:bidi w:val="0"/>
              <w:rPr>
                <w:rFonts w:hint="eastAsia"/>
                <w:lang w:val="en-US" w:eastAsia="zh-CN"/>
              </w:rPr>
            </w:pPr>
            <w:r>
              <w:rPr>
                <w:rFonts w:hint="eastAsia"/>
                <w:lang w:val="en-US" w:eastAsia="zh-CN"/>
              </w:rPr>
              <w:t>（2）废水：施工泥浆废水、施工人员生活污水；</w:t>
            </w:r>
          </w:p>
          <w:p w14:paraId="6B245FCB">
            <w:pPr>
              <w:bidi w:val="0"/>
              <w:rPr>
                <w:rFonts w:hint="eastAsia"/>
                <w:lang w:val="en-US" w:eastAsia="zh-CN"/>
              </w:rPr>
            </w:pPr>
            <w:r>
              <w:rPr>
                <w:rFonts w:hint="eastAsia"/>
                <w:lang w:val="en-US" w:eastAsia="zh-CN"/>
              </w:rPr>
              <w:t>（3）噪声：建筑施工机械噪声及运输车辆噪声；</w:t>
            </w:r>
          </w:p>
          <w:p w14:paraId="63B6CA6C">
            <w:pPr>
              <w:bidi w:val="0"/>
              <w:rPr>
                <w:rFonts w:hint="eastAsia"/>
                <w:lang w:val="en-US" w:eastAsia="zh-CN"/>
              </w:rPr>
            </w:pPr>
            <w:r>
              <w:rPr>
                <w:rFonts w:hint="eastAsia"/>
                <w:lang w:val="en-US" w:eastAsia="zh-CN"/>
              </w:rPr>
              <w:t>（4）固体废物：主要为建筑垃圾及施工人员产生的生活垃圾；</w:t>
            </w:r>
          </w:p>
          <w:p w14:paraId="3705806F">
            <w:pPr>
              <w:bidi w:val="0"/>
              <w:rPr>
                <w:rFonts w:hint="eastAsia"/>
                <w:lang w:val="en-US" w:eastAsia="zh-CN"/>
              </w:rPr>
            </w:pPr>
            <w:r>
              <w:rPr>
                <w:rFonts w:hint="eastAsia"/>
                <w:lang w:val="en-US" w:eastAsia="zh-CN"/>
              </w:rPr>
              <w:t>（5）生态：地基开挖产生的弃土和建筑垃圾对自然景观和植被的破坏。</w:t>
            </w:r>
          </w:p>
          <w:p w14:paraId="0179A6AE">
            <w:pPr>
              <w:bidi w:val="0"/>
              <w:rPr>
                <w:rFonts w:hint="eastAsia"/>
                <w:b/>
                <w:bCs/>
                <w:lang w:val="en-US" w:eastAsia="zh-CN"/>
              </w:rPr>
            </w:pPr>
            <w:r>
              <w:rPr>
                <w:rFonts w:hint="eastAsia"/>
                <w:b/>
                <w:bCs/>
                <w:lang w:val="en-US" w:eastAsia="zh-CN"/>
              </w:rPr>
              <w:t>二、运营期工艺流程和产排污环节</w:t>
            </w:r>
          </w:p>
          <w:p w14:paraId="78516DBD">
            <w:pPr>
              <w:bidi w:val="0"/>
              <w:rPr>
                <w:rFonts w:hint="eastAsia"/>
                <w:b/>
                <w:bCs/>
                <w:lang w:val="en-US" w:eastAsia="zh-CN"/>
              </w:rPr>
            </w:pPr>
            <w:r>
              <w:rPr>
                <w:rFonts w:hint="eastAsia"/>
                <w:b/>
                <w:bCs/>
                <w:lang w:val="en-US" w:eastAsia="zh-CN"/>
              </w:rPr>
              <w:t>1.运营期工艺流程</w:t>
            </w:r>
          </w:p>
          <w:p w14:paraId="12DFA94C">
            <w:pPr>
              <w:bidi w:val="0"/>
              <w:rPr>
                <w:rFonts w:hint="eastAsia"/>
                <w:lang w:val="en-US" w:eastAsia="zh-CN"/>
              </w:rPr>
            </w:pPr>
            <w:r>
              <w:rPr>
                <w:rFonts w:hint="eastAsia"/>
                <w:lang w:val="en-US" w:eastAsia="zh-CN"/>
              </w:rPr>
              <w:t>水泥砼在生产前必须根据配比进行水泥砼的试拌工作，具体各步工艺流程如下所示：</w:t>
            </w:r>
          </w:p>
          <w:p w14:paraId="4EF5F95F">
            <w:pPr>
              <w:bidi w:val="0"/>
              <w:rPr>
                <w:rFonts w:hint="eastAsia"/>
                <w:lang w:val="en-US" w:eastAsia="zh-CN"/>
              </w:rPr>
            </w:pPr>
            <w:r>
              <w:rPr>
                <w:rFonts w:hint="eastAsia"/>
                <w:lang w:val="en-US" w:eastAsia="zh-CN"/>
              </w:rPr>
              <w:t>（1）原辅料</w:t>
            </w:r>
          </w:p>
          <w:p w14:paraId="649A093A">
            <w:pPr>
              <w:bidi w:val="0"/>
              <w:rPr>
                <w:rFonts w:hint="eastAsia"/>
                <w:lang w:val="en-US" w:eastAsia="zh-CN"/>
              </w:rPr>
            </w:pPr>
            <w:r>
              <w:rPr>
                <w:rFonts w:hint="eastAsia"/>
                <w:lang w:val="en-US" w:eastAsia="zh-CN"/>
              </w:rPr>
              <w:t>本项目生产商品混凝土所用的原料有水泥、粉煤灰、碎石、砂子、水、外加剂。其中水泥、粉煤灰、外购自周边企业，由罐车运输进厂，再由气力分别输送至水泥筒仓、粉煤灰筒仓；砂子、石子外购自周边石料厂，由汽车运输至厂内原料库暂存；外加剂为液体，由运输车辆运至厂区的外加剂贮罐中储存。本项目设一座封闭</w:t>
            </w:r>
            <w:r>
              <w:rPr>
                <w:rFonts w:hint="eastAsia"/>
                <w:color w:val="0000FF"/>
                <w:highlight w:val="none"/>
                <w:lang w:val="en-US" w:eastAsia="zh-CN"/>
              </w:rPr>
              <w:t>式原料库，用于堆放骨料砂子、石子，生产线配套8座粉料筒仓（其中包括4座水泥仓、4座粉煤灰仓）。筒仓呼吸口通过管道集气，各自采用脉冲布袋除尘器处理后无组织逸散。</w:t>
            </w:r>
          </w:p>
          <w:p w14:paraId="0FC3A232">
            <w:pPr>
              <w:bidi w:val="0"/>
              <w:rPr>
                <w:rFonts w:hint="eastAsia"/>
                <w:lang w:val="en-US" w:eastAsia="zh-CN"/>
              </w:rPr>
            </w:pPr>
            <w:r>
              <w:rPr>
                <w:rFonts w:hint="eastAsia"/>
                <w:lang w:val="en-US" w:eastAsia="zh-CN"/>
              </w:rPr>
              <w:t>（2）加料及输送</w:t>
            </w:r>
          </w:p>
          <w:p w14:paraId="3B9AA269">
            <w:pPr>
              <w:bidi w:val="0"/>
              <w:rPr>
                <w:rFonts w:hint="eastAsia"/>
                <w:lang w:val="en-US" w:eastAsia="zh-CN"/>
              </w:rPr>
            </w:pPr>
            <w:r>
              <w:rPr>
                <w:rFonts w:hint="eastAsia"/>
                <w:lang w:val="en-US" w:eastAsia="zh-CN"/>
              </w:rPr>
              <w:t>原料库堆存的砂子、石子由装载机分别送入砂石投料口，采用地漏式投料口，投料时定期洒水增加物料含水率抑尘，同时将地漏式投料口设置在砂石原料库内。</w:t>
            </w:r>
          </w:p>
          <w:p w14:paraId="03EA082C">
            <w:pPr>
              <w:bidi w:val="0"/>
              <w:rPr>
                <w:rFonts w:hint="eastAsia"/>
                <w:lang w:val="en-US" w:eastAsia="zh-CN"/>
              </w:rPr>
            </w:pPr>
            <w:r>
              <w:rPr>
                <w:rFonts w:hint="eastAsia"/>
                <w:lang w:val="en-US" w:eastAsia="zh-CN"/>
              </w:rPr>
              <w:t>砂、石投料口下部设有计量设施，经计量后的砂石通过密闭皮带输送至搅拌机投料口。水泥、粉煤灰等粉状原料则通过螺旋输送机密闭上料至搅拌机内。搅拌用水及外加剂采用压力供水及水泵上料。整个过程均采用计算机监控，全程自动化操作。</w:t>
            </w:r>
          </w:p>
          <w:p w14:paraId="2B4DD94A">
            <w:pPr>
              <w:bidi w:val="0"/>
              <w:rPr>
                <w:rFonts w:hint="eastAsia"/>
                <w:lang w:val="en-US" w:eastAsia="zh-CN"/>
              </w:rPr>
            </w:pPr>
            <w:r>
              <w:rPr>
                <w:rFonts w:hint="eastAsia"/>
                <w:lang w:val="en-US" w:eastAsia="zh-CN"/>
              </w:rPr>
              <w:t>（3）搅拌</w:t>
            </w:r>
          </w:p>
          <w:p w14:paraId="44961D18">
            <w:pPr>
              <w:bidi w:val="0"/>
              <w:rPr>
                <w:rFonts w:hint="eastAsia"/>
                <w:lang w:val="en-US" w:eastAsia="zh-CN"/>
              </w:rPr>
            </w:pPr>
            <w:r>
              <w:rPr>
                <w:rFonts w:hint="eastAsia"/>
                <w:lang w:val="en-US" w:eastAsia="zh-CN"/>
              </w:rPr>
              <w:t>各种原料经计量之后进入搅拌机进行强制搅拌。</w:t>
            </w:r>
          </w:p>
          <w:p w14:paraId="415E750A">
            <w:pPr>
              <w:bidi w:val="0"/>
              <w:rPr>
                <w:rFonts w:hint="eastAsia"/>
                <w:lang w:val="en-US" w:eastAsia="zh-CN"/>
              </w:rPr>
            </w:pPr>
            <w:r>
              <w:rPr>
                <w:rFonts w:hint="eastAsia"/>
                <w:lang w:val="en-US" w:eastAsia="zh-CN"/>
              </w:rPr>
              <w:t>搅拌机工作原理：在搅拌机内相互翻转的两根搅拌轴的搅拌下，受到桨片周向、径向、轴向力的作用，使物料一边相互产生挤压、摩擦、剪切、对流从而进行剧烈的拌合，一边向出料口推移，当物料到达机内的出料口时，各种</w:t>
            </w:r>
            <w:r>
              <w:rPr>
                <w:rFonts w:hint="eastAsia"/>
                <w:color w:val="0000FF"/>
                <w:highlight w:val="none"/>
                <w:lang w:val="en-US" w:eastAsia="zh-CN"/>
              </w:rPr>
              <w:t>物料已相互得到均匀地拌合，并具有压实所需要的含水量。为保证搅拌机处于良好的搅拌状态，根据相应的技术规程，当搅拌机停机后进行清洗。搅拌机上方设集气罩，两条生产线各自配备一套脉冲式布袋除尘器，经各自废气处理设施处理后，经各自配套的15m高排气筒排放。搅拌机清洗废水经三级沉淀池沉淀处理后回用于</w:t>
            </w:r>
            <w:r>
              <w:rPr>
                <w:rFonts w:hint="eastAsia"/>
                <w:lang w:val="en-US" w:eastAsia="zh-CN"/>
              </w:rPr>
              <w:t>搅拌工序生产用水。</w:t>
            </w:r>
          </w:p>
          <w:p w14:paraId="4FBE5655">
            <w:pPr>
              <w:bidi w:val="0"/>
              <w:rPr>
                <w:rFonts w:hint="eastAsia"/>
                <w:lang w:val="en-US" w:eastAsia="zh-CN"/>
              </w:rPr>
            </w:pPr>
            <w:r>
              <w:rPr>
                <w:rFonts w:hint="eastAsia"/>
                <w:lang w:val="en-US" w:eastAsia="zh-CN"/>
              </w:rPr>
              <w:t>（4）成品外运</w:t>
            </w:r>
          </w:p>
          <w:p w14:paraId="4AD5DF4B">
            <w:pPr>
              <w:bidi w:val="0"/>
              <w:rPr>
                <w:rFonts w:hint="eastAsia"/>
                <w:lang w:val="en-US" w:eastAsia="zh-CN"/>
              </w:rPr>
            </w:pPr>
            <w:r>
              <w:rPr>
                <w:rFonts w:hint="eastAsia"/>
                <w:lang w:val="en-US" w:eastAsia="zh-CN"/>
              </w:rPr>
              <w:t>生产出的混凝土成品由混凝土运输罐车直接装运，送往施工工地。厂区出口处建设有洗车平台对车轮及</w:t>
            </w:r>
            <w:r>
              <w:rPr>
                <w:rFonts w:hint="eastAsia"/>
                <w:color w:val="0000FF"/>
                <w:lang w:val="en-US" w:eastAsia="zh-CN"/>
              </w:rPr>
              <w:t>车体外侧携带的泥土进行冲洗，冲洗水经三级沉淀后回用于搅拌工序生产用水。</w:t>
            </w:r>
          </w:p>
          <w:p w14:paraId="659BF753">
            <w:pPr>
              <w:bidi w:val="0"/>
              <w:rPr>
                <w:rFonts w:hint="eastAsia"/>
                <w:lang w:val="en-US" w:eastAsia="zh-CN"/>
              </w:rPr>
            </w:pPr>
            <w:r>
              <w:rPr>
                <w:rFonts w:hint="eastAsia"/>
                <w:lang w:val="en-US" w:eastAsia="zh-CN"/>
              </w:rPr>
              <w:t>本项目生产工序由生产管理微机、操作台、总配电控制柜等组成。整个生产由电脑系统控制操作，从进料、计量、出料、成品等均用屏幕显示统计。</w:t>
            </w:r>
          </w:p>
          <w:p w14:paraId="5279D0F6">
            <w:pPr>
              <w:bidi w:val="0"/>
              <w:ind w:left="0" w:leftChars="0" w:firstLine="0" w:firstLineChars="0"/>
              <w:rPr>
                <w:rFonts w:hint="eastAsia" w:cs="Times New Roman"/>
                <w:b/>
                <w:bCs w:val="0"/>
                <w:sz w:val="24"/>
                <w:szCs w:val="24"/>
                <w:lang w:val="en-US" w:eastAsia="zh-CN"/>
              </w:rPr>
            </w:pPr>
            <w:r>
              <w:rPr>
                <w:rFonts w:hint="eastAsia" w:cs="Times New Roman"/>
                <w:b/>
                <w:bCs w:val="0"/>
                <w:sz w:val="24"/>
                <w:szCs w:val="24"/>
                <w:lang w:val="en-US" w:eastAsia="zh-CN"/>
              </w:rPr>
              <w:drawing>
                <wp:inline distT="0" distB="0" distL="114300" distR="114300">
                  <wp:extent cx="5053330" cy="3952240"/>
                  <wp:effectExtent l="0" t="0" r="13970" b="0"/>
                  <wp:docPr id="131" name="ECB019B1-382A-4266-B25C-5B523AA43C14-2" descr="C:/Users/Lenovo/AppData/Local/Temp/wps.xiHfek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ECB019B1-382A-4266-B25C-5B523AA43C14-2" descr="C:/Users/Lenovo/AppData/Local/Temp/wps.xiHfekwps"/>
                          <pic:cNvPicPr>
                            <a:picLocks noChangeAspect="1"/>
                          </pic:cNvPicPr>
                        </pic:nvPicPr>
                        <pic:blipFill>
                          <a:blip r:embed="rId24"/>
                          <a:stretch>
                            <a:fillRect/>
                          </a:stretch>
                        </pic:blipFill>
                        <pic:spPr>
                          <a:xfrm>
                            <a:off x="0" y="0"/>
                            <a:ext cx="5053330" cy="3952240"/>
                          </a:xfrm>
                          <a:prstGeom prst="rect">
                            <a:avLst/>
                          </a:prstGeom>
                        </pic:spPr>
                      </pic:pic>
                    </a:graphicData>
                  </a:graphic>
                </wp:inline>
              </w:drawing>
            </w:r>
          </w:p>
          <w:p w14:paraId="570C4841">
            <w:pPr>
              <w:bidi w:val="0"/>
              <w:ind w:left="0" w:leftChars="0" w:firstLine="0" w:firstLineChars="0"/>
              <w:jc w:val="center"/>
              <w:rPr>
                <w:rFonts w:hint="default" w:cs="Times New Roman"/>
                <w:b/>
                <w:bCs w:val="0"/>
                <w:sz w:val="24"/>
                <w:szCs w:val="24"/>
                <w:lang w:val="en-US" w:eastAsia="zh-CN"/>
              </w:rPr>
            </w:pPr>
            <w:r>
              <w:rPr>
                <w:rFonts w:hint="eastAsia" w:cs="Times New Roman"/>
                <w:b/>
                <w:bCs w:val="0"/>
                <w:sz w:val="24"/>
                <w:szCs w:val="24"/>
                <w:lang w:val="en-US" w:eastAsia="zh-CN"/>
              </w:rPr>
              <w:t>图2-3运营期工艺流程及产排污节点图</w:t>
            </w:r>
          </w:p>
          <w:p w14:paraId="4499B0FC">
            <w:pPr>
              <w:bidi w:val="0"/>
              <w:rPr>
                <w:rFonts w:hint="eastAsia" w:cs="Times New Roman"/>
                <w:b/>
                <w:bCs w:val="0"/>
                <w:sz w:val="24"/>
                <w:szCs w:val="24"/>
                <w:lang w:val="en-US" w:eastAsia="zh-CN"/>
              </w:rPr>
            </w:pPr>
            <w:r>
              <w:rPr>
                <w:rFonts w:hint="eastAsia" w:cs="Times New Roman"/>
                <w:b/>
                <w:bCs w:val="0"/>
                <w:sz w:val="24"/>
                <w:szCs w:val="24"/>
                <w:lang w:val="en-US" w:eastAsia="zh-CN"/>
              </w:rPr>
              <w:t>2.运营期产排污环节</w:t>
            </w:r>
          </w:p>
          <w:p w14:paraId="261DB845">
            <w:pPr>
              <w:bidi w:val="0"/>
              <w:rPr>
                <w:rFonts w:hint="default"/>
                <w:lang w:val="en-US" w:eastAsia="zh-CN"/>
              </w:rPr>
            </w:pPr>
            <w:r>
              <w:rPr>
                <w:rFonts w:hint="eastAsia"/>
                <w:lang w:val="en-US" w:eastAsia="zh-CN"/>
              </w:rPr>
              <w:t>（1）废气：砂子、石子卸料、堆存粉尘废气；水泥输送、储存过程中产生的废气；粉煤灰输送、储存过程中产生的废气；物料搅拌混合过程中产生的废气。</w:t>
            </w:r>
          </w:p>
          <w:p w14:paraId="12D30FB8">
            <w:pPr>
              <w:bidi w:val="0"/>
              <w:rPr>
                <w:rFonts w:hint="default"/>
                <w:color w:val="0000FF"/>
                <w:highlight w:val="none"/>
                <w:lang w:val="en-US" w:eastAsia="zh-CN"/>
              </w:rPr>
            </w:pPr>
            <w:r>
              <w:rPr>
                <w:rFonts w:hint="eastAsia"/>
                <w:color w:val="FF0000"/>
                <w:highlight w:val="none"/>
                <w:lang w:val="en-US" w:eastAsia="zh-CN"/>
              </w:rPr>
              <w:t>（2）废水：搅拌机清洗废水、罐车清洗废水，</w:t>
            </w:r>
            <w:r>
              <w:rPr>
                <w:rFonts w:hint="eastAsia"/>
                <w:color w:val="0000FF"/>
                <w:highlight w:val="none"/>
                <w:lang w:val="en-US" w:eastAsia="zh-CN"/>
              </w:rPr>
              <w:t>生活污水经厂区自建化粪池收集后，定期交由伊金霍洛旗澎源供水有限公司进行拉运处理。</w:t>
            </w:r>
          </w:p>
          <w:p w14:paraId="2DD2FDD8">
            <w:pPr>
              <w:bidi w:val="0"/>
              <w:rPr>
                <w:rFonts w:hint="eastAsia"/>
                <w:lang w:val="en-US" w:eastAsia="zh-CN"/>
              </w:rPr>
            </w:pPr>
            <w:r>
              <w:rPr>
                <w:rFonts w:hint="eastAsia"/>
                <w:lang w:val="en-US" w:eastAsia="zh-CN"/>
              </w:rPr>
              <w:t>（3）噪声：建筑施工机械噪声及运输车辆噪声。</w:t>
            </w:r>
          </w:p>
          <w:p w14:paraId="04D1CC4F">
            <w:pPr>
              <w:bidi w:val="0"/>
              <w:rPr>
                <w:rFonts w:hint="default" w:ascii="Times New Roman" w:hAnsi="Times New Roman" w:eastAsia="宋体" w:cs="Times New Roman"/>
                <w:bCs/>
                <w:sz w:val="24"/>
                <w:szCs w:val="24"/>
                <w:lang w:val="en-US" w:eastAsia="zh-CN"/>
              </w:rPr>
            </w:pPr>
            <w:r>
              <w:rPr>
                <w:rFonts w:hint="eastAsia"/>
                <w:lang w:val="en-US" w:eastAsia="zh-CN"/>
              </w:rPr>
              <w:t>（4）固体废物：主要为建筑垃圾及施工人员产生的生活垃圾。</w:t>
            </w:r>
          </w:p>
        </w:tc>
      </w:tr>
      <w:tr w14:paraId="4FD16F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2375" w:type="dxa"/>
            <w:gridSpan w:val="2"/>
            <w:noWrap w:val="0"/>
            <w:vAlign w:val="center"/>
          </w:tcPr>
          <w:p w14:paraId="56396BB1">
            <w:pPr>
              <w:pStyle w:val="13"/>
              <w:keepNext w:val="0"/>
              <w:keepLines w:val="0"/>
              <w:pageBreakBefore w:val="0"/>
              <w:widowControl/>
              <w:kinsoku/>
              <w:wordWrap/>
              <w:overflowPunct/>
              <w:topLinePunct w:val="0"/>
              <w:autoSpaceDE/>
              <w:autoSpaceDN/>
              <w:bidi w:val="0"/>
              <w:adjustRightInd w:val="0"/>
              <w:snapToGrid w:val="0"/>
              <w:spacing w:before="0" w:beforeAutospacing="0" w:after="0" w:afterAutospacing="0"/>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bCs/>
                <w:kern w:val="2"/>
                <w:sz w:val="24"/>
                <w:szCs w:val="24"/>
              </w:rPr>
              <w:t>与项目有关的原有环境污染问题</w:t>
            </w:r>
          </w:p>
        </w:tc>
        <w:tc>
          <w:tcPr>
            <w:tcW w:w="6609" w:type="dxa"/>
            <w:noWrap w:val="0"/>
            <w:vAlign w:val="center"/>
          </w:tcPr>
          <w:p w14:paraId="2CA59703">
            <w:pPr>
              <w:adjustRightInd w:val="0"/>
              <w:snapToGrid w:val="0"/>
              <w:jc w:val="center"/>
              <w:rPr>
                <w:rFonts w:hint="default" w:ascii="Times New Roman" w:hAnsi="Times New Roman" w:eastAsia="宋体" w:cs="Times New Roman"/>
                <w:bCs/>
                <w:sz w:val="24"/>
                <w:szCs w:val="24"/>
                <w:lang w:val="en-US" w:eastAsia="zh-CN"/>
              </w:rPr>
            </w:pPr>
            <w:r>
              <w:rPr>
                <w:rFonts w:hint="eastAsia" w:cs="Times New Roman"/>
                <w:bCs/>
                <w:sz w:val="24"/>
                <w:szCs w:val="24"/>
                <w:lang w:val="en-US" w:eastAsia="zh-CN"/>
              </w:rPr>
              <w:t>本项目为新建项目，无与项目有关的原有环境污染问题。</w:t>
            </w:r>
          </w:p>
        </w:tc>
      </w:tr>
    </w:tbl>
    <w:p w14:paraId="69710AF3">
      <w:pPr>
        <w:pStyle w:val="13"/>
        <w:jc w:val="center"/>
        <w:rPr>
          <w:rFonts w:hint="default" w:ascii="Times New Roman" w:hAnsi="Times New Roman" w:eastAsia="黑体" w:cs="Times New Roman"/>
          <w:snapToGrid w:val="0"/>
          <w:sz w:val="36"/>
          <w:szCs w:val="36"/>
        </w:rPr>
        <w:sectPr>
          <w:headerReference r:id="rId10" w:type="default"/>
          <w:footerReference r:id="rId11" w:type="default"/>
          <w:pgSz w:w="11906" w:h="16838"/>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60014D36">
      <w:pPr>
        <w:pStyle w:val="13"/>
        <w:jc w:val="center"/>
        <w:outlineLvl w:val="0"/>
        <w:rPr>
          <w:rFonts w:hint="default" w:ascii="Times New Roman" w:hAnsi="Times New Roman" w:eastAsia="黑体" w:cs="Times New Roman"/>
          <w:snapToGrid w:val="0"/>
          <w:sz w:val="30"/>
          <w:szCs w:val="30"/>
        </w:rPr>
      </w:pPr>
      <w:r>
        <w:rPr>
          <w:rFonts w:hint="default" w:ascii="Times New Roman" w:hAnsi="Times New Roman" w:eastAsia="黑体" w:cs="Times New Roman"/>
          <w:snapToGrid w:val="0"/>
          <w:sz w:val="30"/>
          <w:szCs w:val="30"/>
        </w:rPr>
        <w:t>三、区域环境质量现状、环境保护目标及评价标准</w:t>
      </w:r>
    </w:p>
    <w:tbl>
      <w:tblPr>
        <w:tblStyle w:val="17"/>
        <w:tblW w:w="899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601"/>
        <w:gridCol w:w="7589"/>
      </w:tblGrid>
      <w:tr w14:paraId="67E0F2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noWrap w:val="0"/>
            <w:vAlign w:val="center"/>
          </w:tcPr>
          <w:p w14:paraId="1E64D1E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区域</w:t>
            </w:r>
          </w:p>
          <w:p w14:paraId="605FF53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环境</w:t>
            </w:r>
          </w:p>
          <w:p w14:paraId="39B64FA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质量</w:t>
            </w:r>
          </w:p>
          <w:p w14:paraId="16A288F2">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现状</w:t>
            </w:r>
          </w:p>
        </w:tc>
        <w:tc>
          <w:tcPr>
            <w:tcW w:w="8190" w:type="dxa"/>
            <w:gridSpan w:val="2"/>
            <w:noWrap w:val="0"/>
            <w:vAlign w:val="center"/>
          </w:tcPr>
          <w:p w14:paraId="4A43E615">
            <w:pPr>
              <w:adjustRightInd w:val="0"/>
              <w:snapToGrid w:val="0"/>
              <w:jc w:val="left"/>
              <w:rPr>
                <w:rFonts w:hint="default" w:ascii="Times New Roman" w:hAnsi="Times New Roman" w:cs="Times New Roman"/>
                <w:b/>
                <w:bCs/>
                <w:kern w:val="0"/>
                <w:szCs w:val="21"/>
                <w:highlight w:val="none"/>
              </w:rPr>
            </w:pPr>
            <w:r>
              <w:rPr>
                <w:rFonts w:hint="default" w:ascii="Times New Roman" w:hAnsi="Times New Roman" w:cs="Times New Roman"/>
                <w:b/>
                <w:bCs/>
                <w:kern w:val="0"/>
                <w:szCs w:val="21"/>
                <w:highlight w:val="none"/>
                <w:lang w:val="en-US" w:eastAsia="zh-CN"/>
              </w:rPr>
              <w:t>一</w:t>
            </w:r>
            <w:r>
              <w:rPr>
                <w:rFonts w:hint="default" w:ascii="Times New Roman" w:hAnsi="Times New Roman" w:cs="Times New Roman"/>
                <w:b/>
                <w:bCs/>
                <w:kern w:val="0"/>
                <w:szCs w:val="21"/>
                <w:highlight w:val="none"/>
              </w:rPr>
              <w:t>、环境空气质量现状</w:t>
            </w:r>
          </w:p>
          <w:p w14:paraId="64BB0DAE">
            <w:pPr>
              <w:adjustRightInd w:val="0"/>
              <w:snapToGrid w:val="0"/>
              <w:jc w:val="left"/>
              <w:rPr>
                <w:rFonts w:hint="default" w:ascii="Times New Roman" w:hAnsi="Times New Roman" w:cs="Times New Roman"/>
                <w:b/>
                <w:bCs/>
                <w:kern w:val="0"/>
                <w:szCs w:val="21"/>
                <w:highlight w:val="none"/>
                <w:lang w:val="en-US" w:eastAsia="zh-CN"/>
              </w:rPr>
            </w:pPr>
            <w:r>
              <w:rPr>
                <w:rFonts w:hint="eastAsia" w:cs="Times New Roman"/>
                <w:b/>
                <w:bCs/>
                <w:kern w:val="0"/>
                <w:szCs w:val="21"/>
                <w:highlight w:val="none"/>
                <w:lang w:val="en-US" w:eastAsia="zh-CN"/>
              </w:rPr>
              <w:t>1.</w:t>
            </w:r>
            <w:r>
              <w:rPr>
                <w:rFonts w:hint="default" w:ascii="Times New Roman" w:hAnsi="Times New Roman" w:cs="Times New Roman"/>
                <w:b/>
                <w:bCs/>
                <w:kern w:val="0"/>
                <w:szCs w:val="21"/>
                <w:highlight w:val="none"/>
                <w:lang w:val="en-US" w:eastAsia="zh-CN"/>
              </w:rPr>
              <w:t>区域环境质量达标分析</w:t>
            </w:r>
          </w:p>
          <w:p w14:paraId="27D1EE12">
            <w:pPr>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根据2025年5月29日内蒙古自治区生态环境厅发布的《2024年内蒙古自治区生态环境状况公报》，2024年全区环境空气六项污染物年均浓度均达标。全区环境空气质量平均优良天数比例为89.6%，同比上升2.4个百分点；扣除异常沙尘天气等影响后，全区环境空气质量优良天数比例为90.7%，同比上升0.5个百分点，重污染天数比例为0.2%，同比持平。本项目位于鄂尔多斯市伊金霍洛旗，则项目所在区域为达标区。</w:t>
            </w:r>
          </w:p>
          <w:p w14:paraId="1217715A">
            <w:pPr>
              <w:bidi w:val="0"/>
              <w:rPr>
                <w:rFonts w:hint="default" w:ascii="Times New Roman" w:hAnsi="Times New Roman" w:cs="Times New Roman"/>
                <w:b/>
                <w:bCs/>
                <w:highlight w:val="none"/>
                <w:lang w:val="en-US" w:eastAsia="zh-CN"/>
              </w:rPr>
            </w:pPr>
            <w:r>
              <w:rPr>
                <w:rFonts w:hint="eastAsia" w:cs="Times New Roman"/>
                <w:b/>
                <w:bCs/>
                <w:highlight w:val="none"/>
                <w:lang w:val="en-US" w:eastAsia="zh-CN"/>
              </w:rPr>
              <w:t>2.</w:t>
            </w:r>
            <w:r>
              <w:rPr>
                <w:rFonts w:hint="default" w:ascii="Times New Roman" w:hAnsi="Times New Roman" w:cs="Times New Roman"/>
                <w:b/>
                <w:bCs/>
                <w:highlight w:val="none"/>
                <w:lang w:val="en-US" w:eastAsia="zh-CN"/>
              </w:rPr>
              <w:t>其他污染物环境质量现状监测</w:t>
            </w:r>
          </w:p>
          <w:p w14:paraId="555822AE">
            <w:pPr>
              <w:bidi w:val="0"/>
              <w:rPr>
                <w:rFonts w:hint="default" w:ascii="Times New Roman" w:hAnsi="Times New Roman" w:cs="Times New Roman"/>
                <w:color w:val="000000"/>
                <w:sz w:val="24"/>
                <w:szCs w:val="24"/>
                <w:highlight w:val="none"/>
                <w:lang w:eastAsia="zh-CN"/>
              </w:rPr>
            </w:pPr>
            <w:r>
              <w:rPr>
                <w:rFonts w:hint="default" w:ascii="Times New Roman" w:hAnsi="Times New Roman" w:cs="Times New Roman"/>
                <w:color w:val="000000"/>
                <w:sz w:val="24"/>
                <w:szCs w:val="24"/>
                <w:highlight w:val="none"/>
              </w:rPr>
              <w:t>根据《建设项目环境影响报告表编制技术指南（污染影响类）（试行）》排放国家、地方环境空气质量标准中有标准限值要求的特征污染物时，引用建设项目周边5千米范围内近3年的现有监测数据，无相关数据的选择当季主导风向下风向1个点位补充不少于3天的监测数据。本项目运营期特征污染物是</w:t>
            </w:r>
            <w:r>
              <w:rPr>
                <w:rFonts w:hint="default" w:ascii="Times New Roman" w:hAnsi="Times New Roman" w:cs="Times New Roman"/>
                <w:color w:val="000000"/>
                <w:sz w:val="24"/>
                <w:szCs w:val="24"/>
                <w:highlight w:val="none"/>
                <w:lang w:val="en-US" w:eastAsia="zh-CN"/>
              </w:rPr>
              <w:t>TSP</w:t>
            </w:r>
            <w:r>
              <w:rPr>
                <w:rFonts w:hint="default" w:ascii="Times New Roman" w:hAnsi="Times New Roman" w:cs="Times New Roman"/>
                <w:color w:val="000000"/>
                <w:sz w:val="24"/>
                <w:szCs w:val="24"/>
                <w:highlight w:val="none"/>
                <w:lang w:eastAsia="zh-CN"/>
              </w:rPr>
              <w:t>。</w:t>
            </w:r>
          </w:p>
          <w:p w14:paraId="3A6FD923">
            <w:pPr>
              <w:bidi w:val="0"/>
              <w:rPr>
                <w:rFonts w:hint="default"/>
                <w:lang w:val="en-US" w:eastAsia="zh-CN"/>
              </w:rPr>
            </w:pPr>
            <w:r>
              <w:rPr>
                <w:rFonts w:hint="default"/>
                <w:lang w:val="en-US" w:eastAsia="zh-CN"/>
              </w:rPr>
              <w:t>TSP引用《内蒙古禅德光热科技有限公司太阳能聚光反射镜生产基地项目环境影响报告书》中</w:t>
            </w:r>
            <w:r>
              <w:rPr>
                <w:rFonts w:hint="eastAsia"/>
                <w:lang w:val="en-US" w:eastAsia="zh-CN"/>
              </w:rPr>
              <w:t>监测数据，该数据</w:t>
            </w:r>
            <w:r>
              <w:rPr>
                <w:rFonts w:hint="default"/>
                <w:lang w:val="en-US" w:eastAsia="zh-CN"/>
              </w:rPr>
              <w:t>委托内蒙古华智鼎环保科技有限公司于2023年5月2日~2023年5月8日的现状监测数据，监测点位距本项目</w:t>
            </w:r>
            <w:r>
              <w:rPr>
                <w:rFonts w:hint="eastAsia"/>
                <w:lang w:val="en-US" w:eastAsia="zh-CN"/>
              </w:rPr>
              <w:t>WN</w:t>
            </w:r>
            <w:r>
              <w:rPr>
                <w:rFonts w:hint="default"/>
                <w:lang w:val="en-US" w:eastAsia="zh-CN"/>
              </w:rPr>
              <w:t>4927m，满足</w:t>
            </w:r>
            <w:r>
              <w:rPr>
                <w:rFonts w:hint="eastAsia"/>
                <w:lang w:val="en-US" w:eastAsia="zh-CN"/>
              </w:rPr>
              <w:t>《建设项目环境影响报告表编制技术指南污染影响类（试行）》</w:t>
            </w:r>
            <w:r>
              <w:rPr>
                <w:rFonts w:hint="default"/>
                <w:lang w:val="en-US" w:eastAsia="zh-CN"/>
              </w:rPr>
              <w:t>要求。监测点位信息见</w:t>
            </w:r>
            <w:r>
              <w:rPr>
                <w:rFonts w:hint="eastAsia"/>
                <w:lang w:val="en-US" w:eastAsia="zh-CN"/>
              </w:rPr>
              <w:t>下</w:t>
            </w:r>
            <w:r>
              <w:rPr>
                <w:rFonts w:hint="default"/>
                <w:lang w:val="en-US" w:eastAsia="zh-CN"/>
              </w:rPr>
              <w:t>表3-1。</w:t>
            </w:r>
          </w:p>
          <w:p w14:paraId="08AB4EB5">
            <w:pPr>
              <w:adjustRightInd w:val="0"/>
              <w:snapToGrid w:val="0"/>
              <w:spacing w:line="360" w:lineRule="auto"/>
              <w:jc w:val="center"/>
              <w:rPr>
                <w:b/>
                <w:bCs/>
                <w:kern w:val="0"/>
                <w:szCs w:val="21"/>
              </w:rPr>
            </w:pPr>
            <w:r>
              <w:rPr>
                <w:rFonts w:hint="eastAsia"/>
                <w:b/>
                <w:bCs/>
                <w:kern w:val="0"/>
                <w:szCs w:val="21"/>
              </w:rPr>
              <w:t>表3-1大气环境结果统计一览表</w:t>
            </w:r>
          </w:p>
          <w:tbl>
            <w:tblPr>
              <w:tblStyle w:val="17"/>
              <w:tblW w:w="8037" w:type="dxa"/>
              <w:tblInd w:w="0" w:type="dxa"/>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65"/>
              <w:gridCol w:w="1387"/>
              <w:gridCol w:w="839"/>
              <w:gridCol w:w="1175"/>
              <w:gridCol w:w="872"/>
              <w:gridCol w:w="969"/>
              <w:gridCol w:w="1830"/>
            </w:tblGrid>
            <w:tr w14:paraId="02007512">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600" w:type="pct"/>
                  <w:shd w:val="clear" w:color="auto" w:fill="auto"/>
                  <w:vAlign w:val="center"/>
                </w:tcPr>
                <w:p w14:paraId="204C4D0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lang w:val="en-US" w:eastAsia="zh-CN"/>
                    </w:rPr>
                  </w:pPr>
                  <w:r>
                    <w:rPr>
                      <w:rFonts w:hint="eastAsia"/>
                      <w:lang w:val="en-US" w:eastAsia="zh-CN"/>
                    </w:rPr>
                    <w:t>引用点位置</w:t>
                  </w:r>
                </w:p>
              </w:tc>
              <w:tc>
                <w:tcPr>
                  <w:tcW w:w="862" w:type="pct"/>
                  <w:shd w:val="clear" w:color="auto" w:fill="auto"/>
                  <w:vAlign w:val="center"/>
                </w:tcPr>
                <w:p w14:paraId="2203D8F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lang w:val="en-US" w:eastAsia="zh-CN"/>
                    </w:rPr>
                  </w:pPr>
                  <w:r>
                    <w:rPr>
                      <w:rFonts w:hint="eastAsia"/>
                      <w:lang w:val="en-US" w:eastAsia="zh-CN"/>
                    </w:rPr>
                    <w:t>与本项目位置关系</w:t>
                  </w:r>
                </w:p>
              </w:tc>
              <w:tc>
                <w:tcPr>
                  <w:tcW w:w="521" w:type="pct"/>
                  <w:shd w:val="clear" w:color="auto" w:fill="auto"/>
                  <w:vAlign w:val="center"/>
                </w:tcPr>
                <w:p w14:paraId="75F9A4E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pPr>
                  <w:r>
                    <w:rPr>
                      <w:rFonts w:hint="eastAsia"/>
                    </w:rPr>
                    <w:t>污染物</w:t>
                  </w:r>
                </w:p>
              </w:tc>
              <w:tc>
                <w:tcPr>
                  <w:tcW w:w="730" w:type="pct"/>
                  <w:shd w:val="clear" w:color="auto" w:fill="auto"/>
                  <w:vAlign w:val="center"/>
                </w:tcPr>
                <w:p w14:paraId="203935E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lang w:val="en-US" w:eastAsia="zh-CN"/>
                    </w:rPr>
                  </w:pPr>
                  <w:r>
                    <w:rPr>
                      <w:rFonts w:hint="eastAsia"/>
                    </w:rPr>
                    <w:t>浓度范围</w:t>
                  </w:r>
                  <w:r>
                    <w:t>μg/</w:t>
                  </w:r>
                  <w:r>
                    <w:rPr>
                      <w:rFonts w:hint="eastAsia"/>
                      <w:lang w:eastAsia="zh-CN"/>
                    </w:rPr>
                    <w:t>m³</w:t>
                  </w:r>
                </w:p>
              </w:tc>
              <w:tc>
                <w:tcPr>
                  <w:tcW w:w="542" w:type="pct"/>
                  <w:shd w:val="clear" w:color="auto" w:fill="auto"/>
                  <w:vAlign w:val="center"/>
                </w:tcPr>
                <w:p w14:paraId="2CEBC27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eastAsia="宋体"/>
                      <w:lang w:eastAsia="zh-CN"/>
                    </w:rPr>
                  </w:pPr>
                  <w:r>
                    <w:rPr>
                      <w:rFonts w:hint="eastAsia"/>
                    </w:rPr>
                    <w:t>标准值</w:t>
                  </w:r>
                  <w:r>
                    <w:t>μg/</w:t>
                  </w:r>
                  <w:r>
                    <w:rPr>
                      <w:rFonts w:hint="eastAsia"/>
                      <w:lang w:eastAsia="zh-CN"/>
                    </w:rPr>
                    <w:t>m³</w:t>
                  </w:r>
                </w:p>
              </w:tc>
              <w:tc>
                <w:tcPr>
                  <w:tcW w:w="602" w:type="pct"/>
                  <w:shd w:val="clear" w:color="auto" w:fill="auto"/>
                  <w:vAlign w:val="center"/>
                </w:tcPr>
                <w:p w14:paraId="0C3A4DB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pPr>
                  <w:r>
                    <w:rPr>
                      <w:rFonts w:hint="eastAsia"/>
                    </w:rPr>
                    <w:t>最大浓度占标率%</w:t>
                  </w:r>
                </w:p>
              </w:tc>
              <w:tc>
                <w:tcPr>
                  <w:tcW w:w="1138" w:type="pct"/>
                  <w:shd w:val="clear" w:color="auto" w:fill="auto"/>
                  <w:vAlign w:val="center"/>
                </w:tcPr>
                <w:p w14:paraId="7B29586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pPr>
                  <w:r>
                    <w:rPr>
                      <w:rFonts w:hint="eastAsia"/>
                    </w:rPr>
                    <w:t>执行标准</w:t>
                  </w:r>
                </w:p>
              </w:tc>
            </w:tr>
            <w:tr w14:paraId="02E8E487">
              <w:tblPrEx>
                <w:tblBorders>
                  <w:top w:val="single" w:color="auto" w:sz="4"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600" w:type="pct"/>
                  <w:shd w:val="clear" w:color="auto" w:fill="auto"/>
                  <w:vAlign w:val="center"/>
                </w:tcPr>
                <w:p w14:paraId="48368CA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pPr>
                  <w:r>
                    <w:rPr>
                      <w:rFonts w:hint="eastAsia"/>
                      <w:lang w:val="en-US" w:eastAsia="zh-CN"/>
                    </w:rPr>
                    <w:t>E</w:t>
                  </w:r>
                  <w:r>
                    <w:t>109°32′45.50″</w:t>
                  </w:r>
                  <w:r>
                    <w:rPr>
                      <w:rFonts w:hint="eastAsia"/>
                    </w:rPr>
                    <w:t>，</w:t>
                  </w:r>
                  <w:r>
                    <w:rPr>
                      <w:rFonts w:hint="eastAsia"/>
                      <w:lang w:val="en-US" w:eastAsia="zh-CN"/>
                    </w:rPr>
                    <w:t>N</w:t>
                  </w:r>
                  <w:r>
                    <w:t>39°35′6.08″</w:t>
                  </w:r>
                </w:p>
              </w:tc>
              <w:tc>
                <w:tcPr>
                  <w:tcW w:w="862" w:type="pct"/>
                  <w:shd w:val="clear" w:color="auto" w:fill="auto"/>
                  <w:vAlign w:val="center"/>
                </w:tcPr>
                <w:p w14:paraId="2EFC6D3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eastAsia="宋体"/>
                      <w:lang w:val="en-US" w:eastAsia="zh-CN"/>
                    </w:rPr>
                  </w:pPr>
                  <w:r>
                    <w:rPr>
                      <w:rFonts w:hint="eastAsia"/>
                      <w:lang w:val="en-US" w:eastAsia="zh-CN"/>
                    </w:rPr>
                    <w:t>WN4927m</w:t>
                  </w:r>
                </w:p>
              </w:tc>
              <w:tc>
                <w:tcPr>
                  <w:tcW w:w="521" w:type="pct"/>
                  <w:shd w:val="clear" w:color="auto" w:fill="auto"/>
                  <w:vAlign w:val="center"/>
                </w:tcPr>
                <w:p w14:paraId="4A3FF24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pPr>
                  <w:r>
                    <w:rPr>
                      <w:rFonts w:hint="eastAsia"/>
                    </w:rPr>
                    <w:t>TSP</w:t>
                  </w:r>
                </w:p>
              </w:tc>
              <w:tc>
                <w:tcPr>
                  <w:tcW w:w="730" w:type="pct"/>
                  <w:shd w:val="clear" w:color="auto" w:fill="auto"/>
                  <w:vAlign w:val="center"/>
                </w:tcPr>
                <w:p w14:paraId="42DB9B8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pPr>
                  <w:r>
                    <w:rPr>
                      <w:rFonts w:hint="eastAsia"/>
                    </w:rPr>
                    <w:t>167~213</w:t>
                  </w:r>
                </w:p>
              </w:tc>
              <w:tc>
                <w:tcPr>
                  <w:tcW w:w="542" w:type="pct"/>
                  <w:shd w:val="clear" w:color="auto" w:fill="auto"/>
                  <w:vAlign w:val="center"/>
                </w:tcPr>
                <w:p w14:paraId="71F0B1E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pPr>
                  <w:r>
                    <w:rPr>
                      <w:rFonts w:hint="eastAsia"/>
                    </w:rPr>
                    <w:t>3</w:t>
                  </w:r>
                  <w:r>
                    <w:t>00</w:t>
                  </w:r>
                </w:p>
              </w:tc>
              <w:tc>
                <w:tcPr>
                  <w:tcW w:w="602" w:type="pct"/>
                  <w:shd w:val="clear" w:color="auto" w:fill="auto"/>
                  <w:vAlign w:val="center"/>
                </w:tcPr>
                <w:p w14:paraId="5B68DD3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pPr>
                  <w:r>
                    <w:rPr>
                      <w:rFonts w:hint="eastAsia"/>
                    </w:rPr>
                    <w:t>71</w:t>
                  </w:r>
                </w:p>
              </w:tc>
              <w:tc>
                <w:tcPr>
                  <w:tcW w:w="1138" w:type="pct"/>
                  <w:shd w:val="clear" w:color="auto" w:fill="auto"/>
                  <w:vAlign w:val="center"/>
                </w:tcPr>
                <w:p w14:paraId="620825E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pPr>
                  <w:r>
                    <w:t>《环境空气质量标准》（GB3095-2012）中的二级标准</w:t>
                  </w:r>
                </w:p>
              </w:tc>
            </w:tr>
          </w:tbl>
          <w:p w14:paraId="715A0217">
            <w:pPr>
              <w:adjustRightInd w:val="0"/>
              <w:snapToGrid w:val="0"/>
              <w:jc w:val="left"/>
              <w:rPr>
                <w:rFonts w:hint="eastAsia" w:cs="Times New Roman"/>
                <w:highlight w:val="none"/>
                <w:lang w:val="en-US" w:eastAsia="zh-CN"/>
              </w:rPr>
            </w:pPr>
            <w:r>
              <w:rPr>
                <w:rFonts w:hint="default" w:ascii="Times New Roman" w:hAnsi="Times New Roman" w:cs="Times New Roman"/>
                <w:highlight w:val="none"/>
                <w:lang w:val="en-US" w:eastAsia="zh-CN"/>
              </w:rPr>
              <w:t>根据检测结果，本项目厂址下风向总悬浮颗粒物（TSP）日均值现状检测结果均符合《环境空气质量标准》（GB3095-2012）二级标准要求</w:t>
            </w:r>
            <w:r>
              <w:rPr>
                <w:rFonts w:hint="eastAsia" w:cs="Times New Roman"/>
                <w:highlight w:val="none"/>
                <w:lang w:val="en-US" w:eastAsia="zh-CN"/>
              </w:rPr>
              <w:t>。</w:t>
            </w:r>
          </w:p>
          <w:p w14:paraId="4F8DA137">
            <w:pPr>
              <w:bidi w:val="0"/>
              <w:ind w:left="0" w:leftChars="0" w:firstLine="0" w:firstLineChars="0"/>
              <w:rPr>
                <w:rFonts w:hint="eastAsia"/>
                <w:b/>
                <w:bCs/>
                <w:lang w:val="en-US" w:eastAsia="zh-CN"/>
              </w:rPr>
            </w:pPr>
            <w:r>
              <w:drawing>
                <wp:anchor distT="0" distB="0" distL="114300" distR="114300" simplePos="0" relativeHeight="251678720" behindDoc="0" locked="0" layoutInCell="1" allowOverlap="1">
                  <wp:simplePos x="0" y="0"/>
                  <wp:positionH relativeFrom="column">
                    <wp:posOffset>4476750</wp:posOffset>
                  </wp:positionH>
                  <wp:positionV relativeFrom="paragraph">
                    <wp:posOffset>0</wp:posOffset>
                  </wp:positionV>
                  <wp:extent cx="574675" cy="666750"/>
                  <wp:effectExtent l="0" t="0" r="15875" b="0"/>
                  <wp:wrapNone/>
                  <wp:docPr id="8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2"/>
                          <pic:cNvPicPr>
                            <a:picLocks noChangeAspect="1"/>
                          </pic:cNvPicPr>
                        </pic:nvPicPr>
                        <pic:blipFill>
                          <a:blip r:embed="rId18"/>
                          <a:stretch>
                            <a:fillRect/>
                          </a:stretch>
                        </pic:blipFill>
                        <pic:spPr>
                          <a:xfrm>
                            <a:off x="0" y="0"/>
                            <a:ext cx="574675" cy="666750"/>
                          </a:xfrm>
                          <a:prstGeom prst="rect">
                            <a:avLst/>
                          </a:prstGeom>
                          <a:noFill/>
                          <a:ln>
                            <a:noFill/>
                          </a:ln>
                        </pic:spPr>
                      </pic:pic>
                    </a:graphicData>
                  </a:graphic>
                </wp:anchor>
              </w:drawing>
            </w:r>
            <w:r>
              <w:rPr>
                <w:sz w:val="24"/>
              </w:rPr>
              <mc:AlternateContent>
                <mc:Choice Requires="wps">
                  <w:drawing>
                    <wp:anchor distT="0" distB="0" distL="114300" distR="114300" simplePos="0" relativeHeight="251673600" behindDoc="0" locked="0" layoutInCell="1" allowOverlap="1">
                      <wp:simplePos x="0" y="0"/>
                      <wp:positionH relativeFrom="column">
                        <wp:posOffset>2058035</wp:posOffset>
                      </wp:positionH>
                      <wp:positionV relativeFrom="paragraph">
                        <wp:posOffset>1495425</wp:posOffset>
                      </wp:positionV>
                      <wp:extent cx="905510" cy="327660"/>
                      <wp:effectExtent l="4445" t="4445" r="23495" b="10795"/>
                      <wp:wrapNone/>
                      <wp:docPr id="39" name="文本框 39"/>
                      <wp:cNvGraphicFramePr/>
                      <a:graphic xmlns:a="http://schemas.openxmlformats.org/drawingml/2006/main">
                        <a:graphicData uri="http://schemas.microsoft.com/office/word/2010/wordprocessingShape">
                          <wps:wsp>
                            <wps:cNvSpPr txBox="1"/>
                            <wps:spPr>
                              <a:xfrm>
                                <a:off x="0" y="0"/>
                                <a:ext cx="905510" cy="3276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30E068D">
                                  <w:pPr>
                                    <w:ind w:left="0" w:leftChars="0" w:firstLine="0" w:firstLineChars="0"/>
                                    <w:rPr>
                                      <w:rFonts w:hint="default" w:eastAsia="宋体"/>
                                      <w:sz w:val="22"/>
                                      <w:szCs w:val="22"/>
                                      <w:lang w:val="en-US" w:eastAsia="zh-CN"/>
                                    </w:rPr>
                                  </w:pPr>
                                  <w:r>
                                    <w:rPr>
                                      <w:rFonts w:hint="eastAsia"/>
                                      <w:lang w:val="en-US" w:eastAsia="zh-CN"/>
                                    </w:rPr>
                                    <w:t>WN</w:t>
                                  </w:r>
                                  <w:r>
                                    <w:rPr>
                                      <w:rFonts w:hint="default"/>
                                      <w:lang w:val="en-US" w:eastAsia="zh-CN"/>
                                    </w:rPr>
                                    <w:t>4927m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2.05pt;margin-top:117.75pt;height:25.8pt;width:71.3pt;z-index:251673600;mso-width-relative:page;mso-height-relative:page;" fillcolor="#FFFFFF [3201]" filled="t" stroked="t" coordsize="21600,21600" o:gfxdata="UEsDBAoAAAAAAIdO4kAAAAAAAAAAAAAAAAAEAAAAZHJzL1BLAwQUAAAACACHTuJAx/qXNNgAAAAL&#10;AQAADwAAAGRycy9kb3ducmV2LnhtbE2PTU/DMAyG70j8h8hI3Fj6sXVTaToJJCTEjdELt6zx2orE&#10;qZJsHf8ec4Kj7Uevn7fZX50VFwxx8qQgX2UgkHpvJhoUdB8vDzsQMWky2npCBd8YYd/e3jS6Nn6h&#10;d7wc0iA4hGKtFYwpzbWUsR/R6bjyMxLfTj44nXgMgzRBLxzurCyyrJJOT8QfRj3j84j91+HsFLxW&#10;T+kTO/NmyqL0Syf7cLJRqfu7PHsEkfCa/mD41Wd1aNnp6M9korAKymKdM6qgKDcbEEysq2oL4sib&#10;3TYH2Tbyf4f2B1BLAwQUAAAACACHTuJAubiBQVsCAAC4BAAADgAAAGRycy9lMm9Eb2MueG1srVTN&#10;bhMxEL4j8Q6W73STtAk06qYKrYKQKlqpIM6O15u18B+2k93yAPAGnLhw57n6HHz2Jukfhx7Yg3c8&#10;M/vNzDcze3LaaUU2wgdpTUmHBwNKhOG2kmZV0k8fF6/eUBIiMxVT1oiS3ohAT2cvX5y0bipGtrGq&#10;Ep4AxIRp60raxOimRRF4IzQLB9YJA2NtvWYRV78qKs9aoGtVjAaDSdFaXzlvuQgB2vPeSLeI/jmA&#10;tq4lF+eWr7UwsUf1QrGIkkIjXaCznG1dCx4v6zqISFRJUWnMJ4JAXqazmJ2w6coz10i+TYE9J4VH&#10;NWkmDYLuoc5ZZGTt5RMoLbm3wdbxgFtd9IVkRlDFcPCIm+uGOZFrAdXB7UkP/w+Wf9hceSKrkh4e&#10;U2KYRsdvf/64/fXn9vd3Ah0Ial2Ywu/awTN2b22HsdnpA5Sp7q72Or1REYEd9N7s6RVdJBzK48F4&#10;PISFw3Q4ej2ZZPqLu4+dD/GdsJokoaQe3cukss1FiEgErjuXFCtYJauFVCpf/Gp5pjzZMHR6kZ+U&#10;Iz554KYMaUs6ORwPMvIDW8LeQywV41+eIgBPGcAmTvrakxS7ZbclammrG/DkbT9qwfGFBO4FC/GK&#10;ecwWCMD2xUsctbJIxm4lShrrv/1Ln/zRclgpaTGrJQ1f18wLStR7g2E4Hh4dATbmy9H49QgXf9+y&#10;vG8xa31mQdIQe+54FpN/VDux9lZ/xpLOU1SYmOGIXdK4E89iv0FYci7m8+yEcXYsXphrxxN0aomx&#10;83W0tcytSzT13GzZw0Dn9myXL23M/Xv2uvvhzP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x/qX&#10;NNgAAAALAQAADwAAAAAAAAABACAAAAAiAAAAZHJzL2Rvd25yZXYueG1sUEsBAhQAFAAAAAgAh07i&#10;QLm4gUFbAgAAuAQAAA4AAAAAAAAAAQAgAAAAJwEAAGRycy9lMm9Eb2MueG1sUEsFBgAAAAAGAAYA&#10;WQEAAPQFAAAAAA==&#10;">
                      <v:fill on="t" focussize="0,0"/>
                      <v:stroke weight="0.5pt" color="#000000 [3204]" joinstyle="round"/>
                      <v:imagedata o:title=""/>
                      <o:lock v:ext="edit" aspectratio="f"/>
                      <v:textbox>
                        <w:txbxContent>
                          <w:p w14:paraId="430E068D">
                            <w:pPr>
                              <w:ind w:left="0" w:leftChars="0" w:firstLine="0" w:firstLineChars="0"/>
                              <w:rPr>
                                <w:rFonts w:hint="default" w:eastAsia="宋体"/>
                                <w:sz w:val="22"/>
                                <w:szCs w:val="22"/>
                                <w:lang w:val="en-US" w:eastAsia="zh-CN"/>
                              </w:rPr>
                            </w:pPr>
                            <w:r>
                              <w:rPr>
                                <w:rFonts w:hint="eastAsia"/>
                                <w:lang w:val="en-US" w:eastAsia="zh-CN"/>
                              </w:rPr>
                              <w:t>WN</w:t>
                            </w:r>
                            <w:r>
                              <w:rPr>
                                <w:rFonts w:hint="default"/>
                                <w:lang w:val="en-US" w:eastAsia="zh-CN"/>
                              </w:rPr>
                              <w:t>4927m</w:t>
                            </w:r>
                          </w:p>
                        </w:txbxContent>
                      </v:textbox>
                    </v:shape>
                  </w:pict>
                </mc:Fallback>
              </mc:AlternateContent>
            </w:r>
            <w:r>
              <w:rPr>
                <w:sz w:val="24"/>
              </w:rPr>
              <mc:AlternateContent>
                <mc:Choice Requires="wps">
                  <w:drawing>
                    <wp:anchor distT="0" distB="0" distL="114300" distR="114300" simplePos="0" relativeHeight="251672576" behindDoc="0" locked="0" layoutInCell="1" allowOverlap="1">
                      <wp:simplePos x="0" y="0"/>
                      <wp:positionH relativeFrom="column">
                        <wp:posOffset>2501265</wp:posOffset>
                      </wp:positionH>
                      <wp:positionV relativeFrom="paragraph">
                        <wp:posOffset>2787650</wp:posOffset>
                      </wp:positionV>
                      <wp:extent cx="905510" cy="327660"/>
                      <wp:effectExtent l="4445" t="4445" r="23495" b="10795"/>
                      <wp:wrapNone/>
                      <wp:docPr id="38" name="文本框 38"/>
                      <wp:cNvGraphicFramePr/>
                      <a:graphic xmlns:a="http://schemas.openxmlformats.org/drawingml/2006/main">
                        <a:graphicData uri="http://schemas.microsoft.com/office/word/2010/wordprocessingShape">
                          <wps:wsp>
                            <wps:cNvSpPr txBox="1"/>
                            <wps:spPr>
                              <a:xfrm>
                                <a:off x="0" y="0"/>
                                <a:ext cx="905510" cy="3276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D8DCC7B">
                                  <w:pPr>
                                    <w:ind w:left="0" w:leftChars="0" w:firstLine="0" w:firstLineChars="0"/>
                                    <w:rPr>
                                      <w:rFonts w:hint="default" w:eastAsia="宋体"/>
                                      <w:sz w:val="22"/>
                                      <w:szCs w:val="22"/>
                                      <w:lang w:val="en-US" w:eastAsia="zh-CN"/>
                                    </w:rPr>
                                  </w:pPr>
                                  <w:r>
                                    <w:rPr>
                                      <w:rFonts w:hint="eastAsia"/>
                                      <w:sz w:val="22"/>
                                      <w:szCs w:val="22"/>
                                      <w:lang w:val="en-US" w:eastAsia="zh-CN"/>
                                    </w:rPr>
                                    <w:t>本项目位置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6.95pt;margin-top:219.5pt;height:25.8pt;width:71.3pt;z-index:251672576;mso-width-relative:page;mso-height-relative:page;" fillcolor="#FFFFFF [3201]" filled="t" stroked="t" coordsize="21600,21600" o:gfxdata="UEsDBAoAAAAAAIdO4kAAAAAAAAAAAAAAAAAEAAAAZHJzL1BLAwQUAAAACACHTuJACuc+GNcAAAAL&#10;AQAADwAAAGRycy9kb3ducmV2LnhtbE2PwU7DMAyG70i8Q2QkbizZwipamk4CCQlxY/TCLWu8tiJx&#10;qiZbx9tjTnC0/en399e7S/DijHMaIxlYrxQIpC66kXoD7cfL3QOIlC056yOhgW9MsGuur2pbubjQ&#10;O573uRccQqmyBoacp0rK1A0YbFrFCYlvxzgHm3mce+lmu3B48HKjVCGDHYk/DHbC5wG7r/0pGHgt&#10;nvIntu7N6Y2OSyu7+eiTMbc3a/UIIuMl/8Hwq8/q0LDTIZ7IJeEN6FKXjBq41yWXYmKriy2IA29K&#10;VYBsavm/Q/MDUEsDBBQAAAAIAIdO4kD917z2WgIAALgEAAAOAAAAZHJzL2Uyb0RvYy54bWytVM1u&#10;EzEQviPxDpbvdJO0CTTqpgqtgpAqWqkgzo7Xm7XwH7aT3fIA8AacuHDnufocfPYm6R+HHtiDdzwz&#10;+83MNzN7ctppRTbCB2lNSYcHA0qE4baSZlXSTx8Xr95QEiIzFVPWiJLeiEBPZy9fnLRuKka2saoS&#10;ngDEhGnrStrE6KZFEXgjNAsH1gkDY229ZhFXvyoqz1qga1WMBoNJ0VpfOW+5CAHa895It4j+OYC2&#10;riUX55avtTCxR/VCsYiSQiNdoLOcbV0LHi/rOohIVElRacwngkBeprOYnbDpyjPXSL5NgT0nhUc1&#10;aSYNgu6hzllkZO3lEygtubfB1vGAW130hWRGUMVw8Iib64Y5kWsB1cHtSQ//D5Z/2Fx5IquSHqLv&#10;hml0/Pbnj9tff25/fyfQgaDWhSn8rh08Y/fWdhibnT5Ameruaq/TGxUR2EHvzZ5e0UXCoTwejMdD&#10;WDhMh6PXk0mmv7j72PkQ3wmrSRJK6tG9TCrbXISIROC6c0mxglWyWkil8sWvlmfKkw1Dpxf5STni&#10;kwduypC2pJPD8SAjP7Al7D3EUjH+5SkC8JQBbOKkrz1JsVt2W6KWtroBT972oxYcX0jgXrAQr5jH&#10;bIEAbF+8xFEri2TsVqKksf7bv/TJHy2HlZIWs1rS8HXNvKBEvTcYhuPh0RFgY74cjV+PcPH3Lcv7&#10;FrPWZxYkDbHnjmcx+Ue1E2tv9Wcs6TxFhYkZjtgljTvxLPYbhCXnYj7PThhnx+KFuXY8QaeWGDtf&#10;R1vL3LpEU8/Nlj0MdG7PdvnSxty/Z6+7H87s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rnPhjX&#10;AAAACwEAAA8AAAAAAAAAAQAgAAAAIgAAAGRycy9kb3ducmV2LnhtbFBLAQIUABQAAAAIAIdO4kD9&#10;17z2WgIAALgEAAAOAAAAAAAAAAEAIAAAACYBAABkcnMvZTJvRG9jLnhtbFBLBQYAAAAABgAGAFkB&#10;AADyBQAAAAA=&#10;">
                      <v:fill on="t" focussize="0,0"/>
                      <v:stroke weight="0.5pt" color="#000000 [3204]" joinstyle="round"/>
                      <v:imagedata o:title=""/>
                      <o:lock v:ext="edit" aspectratio="f"/>
                      <v:textbox>
                        <w:txbxContent>
                          <w:p w14:paraId="7D8DCC7B">
                            <w:pPr>
                              <w:ind w:left="0" w:leftChars="0" w:firstLine="0" w:firstLineChars="0"/>
                              <w:rPr>
                                <w:rFonts w:hint="default" w:eastAsia="宋体"/>
                                <w:sz w:val="22"/>
                                <w:szCs w:val="22"/>
                                <w:lang w:val="en-US" w:eastAsia="zh-CN"/>
                              </w:rPr>
                            </w:pPr>
                            <w:r>
                              <w:rPr>
                                <w:rFonts w:hint="eastAsia"/>
                                <w:sz w:val="22"/>
                                <w:szCs w:val="22"/>
                                <w:lang w:val="en-US" w:eastAsia="zh-CN"/>
                              </w:rPr>
                              <w:t>本项目位置</w:t>
                            </w:r>
                          </w:p>
                        </w:txbxContent>
                      </v:textbox>
                    </v:shape>
                  </w:pict>
                </mc:Fallback>
              </mc:AlternateContent>
            </w:r>
            <w:r>
              <w:rPr>
                <w:sz w:val="24"/>
              </w:rPr>
              <mc:AlternateContent>
                <mc:Choice Requires="wps">
                  <w:drawing>
                    <wp:anchor distT="0" distB="0" distL="114300" distR="114300" simplePos="0" relativeHeight="251671552" behindDoc="0" locked="0" layoutInCell="1" allowOverlap="1">
                      <wp:simplePos x="0" y="0"/>
                      <wp:positionH relativeFrom="column">
                        <wp:posOffset>1452245</wp:posOffset>
                      </wp:positionH>
                      <wp:positionV relativeFrom="paragraph">
                        <wp:posOffset>618490</wp:posOffset>
                      </wp:positionV>
                      <wp:extent cx="905510" cy="2110740"/>
                      <wp:effectExtent l="11430" t="5080" r="16510" b="17780"/>
                      <wp:wrapNone/>
                      <wp:docPr id="37" name="直接连接符 37"/>
                      <wp:cNvGraphicFramePr/>
                      <a:graphic xmlns:a="http://schemas.openxmlformats.org/drawingml/2006/main">
                        <a:graphicData uri="http://schemas.microsoft.com/office/word/2010/wordprocessingShape">
                          <wps:wsp>
                            <wps:cNvCnPr/>
                            <wps:spPr>
                              <a:xfrm>
                                <a:off x="2954655" y="1841500"/>
                                <a:ext cx="905510" cy="211074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14.35pt;margin-top:48.7pt;height:166.2pt;width:71.3pt;z-index:251671552;mso-width-relative:page;mso-height-relative:page;" filled="f" stroked="t" coordsize="21600,21600" o:gfxdata="UEsDBAoAAAAAAIdO4kAAAAAAAAAAAAAAAAAEAAAAZHJzL1BLAwQUAAAACACHTuJAfkTIJdcAAAAK&#10;AQAADwAAAGRycy9kb3ducmV2LnhtbE2PMU/DMBCFdyT+g3VIbNSJW5E05NIBBCOIwsDoxkeSEp+t&#10;2G3Cv8dMMJ7ep/e+q3eLHcWZpjA4RshXGQji1pmBO4T3t8ebEkSImo0eHRPCNwXYNZcXta6Mm/mV&#10;zvvYiVTCodIIfYy+kjK0PVkdVs4Tp+zTTVbHdE6dNJOeU7kdpcqyW2n1wGmh157ue2q/9ieL4N1T&#10;Oz8cn5fuGKPilw+/qNkjXl/l2R2ISEv8g+FXP6lDk5wO7sQmiBFBqbJIKMK22IBIwLrI1yAOCBu1&#10;LUE2tfz/QvMDUEsDBBQAAAAIAIdO4kBQLy0r8AEAAK4DAAAOAAAAZHJzL2Uyb0RvYy54bWytU82O&#10;0zAQviPxDpbvNElpdrtR05XYqlwQVIJ9ANdxEkv+k8fbtC/BCyBxgxNH7rwNy2MwdrK7sFz2wMUZ&#10;ez5/4++byeryqBU5CA/SmpoWs5wSYbhtpOlqev1h+2JJCQRmGqasETU9CaCX6+fPVoOrxNz2VjXC&#10;EyQxUA2upn0Irsoy4L3QDGbWCYPJ1nrNAm59lzWeDciuVTbP87NssL5x3nIBgKebMUknRv8UQtu2&#10;kouN5TdamDCyeqFYQEnQSwd0nV7btoKHd20LIhBVU1Qa0opFMN7HNVuvWNV55nrJpyewpzzhkSbN&#10;pMGi91QbFhi58fIfKi25t2DbMONWZ6OQ5AiqKPJH3rzvmRNJC1oN7t50+H+0/O1h54lsavrynBLD&#10;NHb89tP3nx+//PrxGdfbb18JZtCmwUGF6Cuz89MO3M5HzcfW6/hFNeRY0/lFuTgrS0pOOF7LRVHm&#10;k83iGAhHwEVelgU2gCNgXhT5+SIBsgcm5yG8FlaTGNRUSRNtYBU7vIGA1RF6B4nHxm6lUqmVypAB&#10;WcsFFiWc4Xy2OBcYaocawXSUMNXh4PPgEyVYJZt4PRKB7/ZXypMDw3FZbJfFq02UjuX+gsXaGwb9&#10;iEupCaYMoqNTozcx2tvmlCxL59jGxDeNXJyTP/fp9sNvtv4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fkTIJdcAAAAKAQAADwAAAAAAAAABACAAAAAiAAAAZHJzL2Rvd25yZXYueG1sUEsBAhQAFAAA&#10;AAgAh07iQFAvLSvwAQAArgMAAA4AAAAAAAAAAQAgAAAAJgEAAGRycy9lMm9Eb2MueG1sUEsFBgAA&#10;AAAGAAYAWQEAAIgFAAAAAA==&#10;">
                      <v:fill on="f" focussize="0,0"/>
                      <v:stroke weight="2pt" color="#4F81BD [3204]" joinstyle="round"/>
                      <v:imagedata o:title=""/>
                      <o:lock v:ext="edit" aspectratio="f"/>
                    </v:line>
                  </w:pict>
                </mc:Fallback>
              </mc:AlternateContent>
            </w:r>
            <w:r>
              <w:rPr>
                <w:sz w:val="24"/>
              </w:rPr>
              <mc:AlternateContent>
                <mc:Choice Requires="wps">
                  <w:drawing>
                    <wp:anchor distT="0" distB="0" distL="114300" distR="114300" simplePos="0" relativeHeight="251670528" behindDoc="0" locked="0" layoutInCell="1" allowOverlap="1">
                      <wp:simplePos x="0" y="0"/>
                      <wp:positionH relativeFrom="column">
                        <wp:posOffset>1595120</wp:posOffset>
                      </wp:positionH>
                      <wp:positionV relativeFrom="paragraph">
                        <wp:posOffset>467995</wp:posOffset>
                      </wp:positionV>
                      <wp:extent cx="1262380" cy="327660"/>
                      <wp:effectExtent l="4445" t="4445" r="9525" b="10795"/>
                      <wp:wrapNone/>
                      <wp:docPr id="36" name="文本框 36"/>
                      <wp:cNvGraphicFramePr/>
                      <a:graphic xmlns:a="http://schemas.openxmlformats.org/drawingml/2006/main">
                        <a:graphicData uri="http://schemas.microsoft.com/office/word/2010/wordprocessingShape">
                          <wps:wsp>
                            <wps:cNvSpPr txBox="1"/>
                            <wps:spPr>
                              <a:xfrm>
                                <a:off x="3097530" y="1691005"/>
                                <a:ext cx="1262380" cy="3276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AC31755">
                                  <w:pPr>
                                    <w:ind w:left="0" w:leftChars="0" w:firstLine="0" w:firstLineChars="0"/>
                                    <w:rPr>
                                      <w:rFonts w:hint="default" w:eastAsia="宋体"/>
                                      <w:sz w:val="22"/>
                                      <w:szCs w:val="22"/>
                                      <w:lang w:val="en-US" w:eastAsia="zh-CN"/>
                                    </w:rPr>
                                  </w:pPr>
                                  <w:r>
                                    <w:rPr>
                                      <w:rFonts w:hint="eastAsia"/>
                                      <w:sz w:val="22"/>
                                      <w:szCs w:val="22"/>
                                      <w:lang w:val="en-US" w:eastAsia="zh-CN"/>
                                    </w:rPr>
                                    <w:t>引用监测点位置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5.6pt;margin-top:36.85pt;height:25.8pt;width:99.4pt;z-index:251670528;mso-width-relative:page;mso-height-relative:page;" fillcolor="#FFFFFF [3201]" filled="t" stroked="t" coordsize="21600,21600" o:gfxdata="UEsDBAoAAAAAAIdO4kAAAAAAAAAAAAAAAAAEAAAAZHJzL1BLAwQUAAAACACHTuJAfHjGYtcAAAAK&#10;AQAADwAAAGRycy9kb3ducmV2LnhtbE2Py07DMBBF90j8gzWV2FE7DmlRiFMJJCTEjpINOzeeJlH9&#10;iGy3KX/PsILlaI7uPbfZXZ1lF4xpCl5BsRbA0PfBTH5Q0H2+3j8CS1l7o23wqOAbE+za25tG1yYs&#10;/gMv+zwwCvGp1grGnOea89SP6HRahxk9/Y4hOp3pjAM3US8U7iyXQmy405OnhlHP+DJif9qfnYK3&#10;zXP+ws68m1KWYel4H482KXW3KsQTsIzX/AfDrz6pQ0tOh3D2JjGrQFaFJFTBttwCI+ChEjTuQKSs&#10;SuBtw/9PaH8AUEsDBBQAAAAIAIdO4kBfZYrzZwIAAMUEAAAOAAAAZHJzL2Uyb0RvYy54bWytVMFu&#10;EzEQvSPxD5bvdDdJs22jbKrQKgipopUC4ux4vdkVXtvYTnbLB8AfcOLCne/qd/DsTdq05dADOTgz&#10;npc3njczmZ53jSRbYV2tVU4HRyklQnFd1Gqd008fF29OKXGeqYJJrUROb4Wj57PXr6atmYihrrQs&#10;hCUgUW7SmpxW3ptJkjheiYa5I22EQrDUtmEerl0nhWUt2BuZDNM0S1ptC2M1F87h9rIP0h2jfQmh&#10;Lsuai0vNN41Qvme1QjKPklxVG0dn8bVlKbi/LksnPJE5RaU+nkgCexXOZDZlk7Vlpqr57gnsJU94&#10;UlPDaoWk91SXzDOysfUzqqbmVjtd+iOum6QvJCqCKgbpE22WFTMi1gKpnbkX3f0/Wv5he2NJXeR0&#10;lFGiWIOO3/38cffrz93v7wR3EKg1bgLc0gDpu7e6w9js7x0uQ91daZvwjYoI4qP07GQ8gsi3wGZn&#10;gzQd91KLzhMeCIbZcHQKAAdiNDzJstiL5IHJWOffCd2QYOTUopVRYba9ch6vAnQPCYmdlnWxqKWM&#10;jl2vLqQlW4a2L+InpMdPHsGkIm1Os9E4jcyPYoH7nmIlGf/ynAF8UoE2CNQLESzfrbqdaitd3EI0&#10;q/u5c4YvavBeMedvmMWgQQCsor/GUUqNx+idRUml7bd/3Qc8+o8oJS0GN6fu64ZZQYl8rzAZZ4Pj&#10;Y9D66ByPT4Zw7GFkdRhRm+ZCQ6QBlt7waAa8l3uztLr5jI2dh6wIMcWRO6d+b174fp2w8VzM5xGE&#10;2TbMX6ml4YE6tETp+cbrso6tCzL12uzUw3TH9uw2MazPoR9RD/8+s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8eMZi1wAAAAoBAAAPAAAAAAAAAAEAIAAAACIAAABkcnMvZG93bnJldi54bWxQSwEC&#10;FAAUAAAACACHTuJAX2WK82cCAADFBAAADgAAAAAAAAABACAAAAAmAQAAZHJzL2Uyb0RvYy54bWxQ&#10;SwUGAAAAAAYABgBZAQAA/wUAAAAA&#10;">
                      <v:fill on="t" focussize="0,0"/>
                      <v:stroke weight="0.5pt" color="#000000 [3204]" joinstyle="round"/>
                      <v:imagedata o:title=""/>
                      <o:lock v:ext="edit" aspectratio="f"/>
                      <v:textbox>
                        <w:txbxContent>
                          <w:p w14:paraId="0AC31755">
                            <w:pPr>
                              <w:ind w:left="0" w:leftChars="0" w:firstLine="0" w:firstLineChars="0"/>
                              <w:rPr>
                                <w:rFonts w:hint="default" w:eastAsia="宋体"/>
                                <w:sz w:val="22"/>
                                <w:szCs w:val="22"/>
                                <w:lang w:val="en-US" w:eastAsia="zh-CN"/>
                              </w:rPr>
                            </w:pPr>
                            <w:r>
                              <w:rPr>
                                <w:rFonts w:hint="eastAsia"/>
                                <w:sz w:val="22"/>
                                <w:szCs w:val="22"/>
                                <w:lang w:val="en-US" w:eastAsia="zh-CN"/>
                              </w:rPr>
                              <w:t>引用监测点位置</w:t>
                            </w:r>
                          </w:p>
                        </w:txbxContent>
                      </v:textbox>
                    </v:shape>
                  </w:pict>
                </mc:Fallback>
              </mc:AlternateContent>
            </w:r>
            <w:r>
              <w:drawing>
                <wp:inline distT="0" distB="0" distL="114300" distR="114300">
                  <wp:extent cx="5057775" cy="3261995"/>
                  <wp:effectExtent l="0" t="0" r="9525" b="14605"/>
                  <wp:docPr id="3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4"/>
                          <pic:cNvPicPr>
                            <a:picLocks noChangeAspect="1"/>
                          </pic:cNvPicPr>
                        </pic:nvPicPr>
                        <pic:blipFill>
                          <a:blip r:embed="rId25"/>
                          <a:stretch>
                            <a:fillRect/>
                          </a:stretch>
                        </pic:blipFill>
                        <pic:spPr>
                          <a:xfrm>
                            <a:off x="0" y="0"/>
                            <a:ext cx="5057775" cy="3261995"/>
                          </a:xfrm>
                          <a:prstGeom prst="rect">
                            <a:avLst/>
                          </a:prstGeom>
                          <a:noFill/>
                          <a:ln>
                            <a:noFill/>
                          </a:ln>
                        </pic:spPr>
                      </pic:pic>
                    </a:graphicData>
                  </a:graphic>
                </wp:inline>
              </w:drawing>
            </w:r>
          </w:p>
          <w:p w14:paraId="2A677A23">
            <w:pPr>
              <w:bidi w:val="0"/>
              <w:rPr>
                <w:rFonts w:hint="eastAsia"/>
                <w:b/>
                <w:bCs/>
                <w:lang w:val="en-US" w:eastAsia="zh-CN"/>
              </w:rPr>
            </w:pPr>
            <w:r>
              <w:rPr>
                <w:rFonts w:hint="eastAsia"/>
                <w:b/>
                <w:bCs/>
                <w:lang w:val="en-US" w:eastAsia="zh-CN"/>
              </w:rPr>
              <w:t>二、声环境质量现状</w:t>
            </w:r>
          </w:p>
          <w:p w14:paraId="1CA77B78">
            <w:pPr>
              <w:bidi w:val="0"/>
              <w:rPr>
                <w:rFonts w:hint="eastAsia"/>
                <w:lang w:val="en-US" w:eastAsia="zh-CN"/>
              </w:rPr>
            </w:pPr>
            <w:r>
              <w:rPr>
                <w:rFonts w:hint="eastAsia"/>
                <w:lang w:val="en-US" w:eastAsia="zh-CN"/>
              </w:rPr>
              <w:t>根据《建设项目环境影响报告表编制技术指南（污染影响类）（试行）》，厂界外周边50米范围内存在声环境保护目标的建设项目，应监测保护目标声环境质量现状并评价达标情况。根据现场踏勘本项目厂界范围50米范围内无声环境保护目标，因此本次不对声环境质量现状进行评价。本项目位于内蒙古自治区鄂尔多斯市伊金霍洛旗蒙苏经济开发区零碳产业园，标准地及南部拓展区R-01-03地块，依据鄂尔多斯市伊金霍洛旗声环境功能区划图，本项目区属于3类声功能区，本项目声环境质量现状执行《声环境质量标准》（GB3096-2008）3类标准限值要求。</w:t>
            </w:r>
          </w:p>
          <w:p w14:paraId="72B2D0B1">
            <w:pPr>
              <w:bidi w:val="0"/>
              <w:rPr>
                <w:rFonts w:hint="eastAsia"/>
                <w:b/>
                <w:bCs/>
                <w:lang w:val="en-US" w:eastAsia="zh-CN"/>
              </w:rPr>
            </w:pPr>
            <w:r>
              <w:rPr>
                <w:rFonts w:hint="eastAsia"/>
                <w:b/>
                <w:bCs/>
                <w:lang w:val="en-US" w:eastAsia="zh-CN"/>
              </w:rPr>
              <w:t>三、地下水、土壤环境质量现状</w:t>
            </w:r>
          </w:p>
          <w:p w14:paraId="1BF1E247">
            <w:pPr>
              <w:bidi w:val="0"/>
              <w:rPr>
                <w:rFonts w:hint="default" w:ascii="Times New Roman" w:hAnsi="Times New Roman" w:cs="Times New Roman"/>
                <w:kern w:val="0"/>
                <w:szCs w:val="24"/>
              </w:rPr>
            </w:pPr>
            <w:r>
              <w:rPr>
                <w:rFonts w:hint="default"/>
                <w:lang w:val="en-US" w:eastAsia="zh-CN"/>
              </w:rPr>
              <w:t>根据《关于印发&lt;建设项目环境影响报告表&gt;内容、格式及编制技术指南的通知》（环办环评〔2020〕33号），原则上不开展环境质量现状调查。建设项目存在土壤、地下水环境污染途径的，应结合污染源、保护目标分布情况开展现状调查以留作背景值。</w:t>
            </w:r>
            <w:r>
              <w:rPr>
                <w:rFonts w:hint="default"/>
              </w:rPr>
              <w:t>本项目不取用地下水，且无废水排放；据分析，项目工艺、工程不存在地下水、土壤环境污染途径，一般不会对地下水、土壤环境造成不利影响，</w:t>
            </w:r>
            <w:r>
              <w:rPr>
                <w:rFonts w:hint="eastAsia"/>
                <w:lang w:val="en-US" w:eastAsia="zh-CN"/>
              </w:rPr>
              <w:t>本项目危废库为本项目重点防渗区，按照《危险废物贮存污染控制标准》（GB18597-2023）要求进行建设。危废库地面与裙脚应采取表面防渗措施，还应进行基础防渗，防渗措施为防渗层为至少1m厚黏土层（渗透系数≤10</w:t>
            </w:r>
            <w:r>
              <w:rPr>
                <w:rFonts w:hint="eastAsia"/>
                <w:vertAlign w:val="superscript"/>
                <w:lang w:val="en-US" w:eastAsia="zh-CN"/>
              </w:rPr>
              <w:t>-7</w:t>
            </w:r>
            <w:r>
              <w:rPr>
                <w:rFonts w:hint="eastAsia"/>
                <w:lang w:val="en-US" w:eastAsia="zh-CN"/>
              </w:rPr>
              <w:t>cm/s），或至少2mm厚高密度聚乙烯膜等人工防渗材料（渗透系数≤10</w:t>
            </w:r>
            <w:r>
              <w:rPr>
                <w:rFonts w:hint="eastAsia"/>
                <w:vertAlign w:val="superscript"/>
                <w:lang w:val="en-US" w:eastAsia="zh-CN"/>
              </w:rPr>
              <w:t>-10</w:t>
            </w:r>
            <w:r>
              <w:rPr>
                <w:rFonts w:hint="eastAsia"/>
                <w:lang w:val="en-US" w:eastAsia="zh-CN"/>
              </w:rPr>
              <w:t>cm/s），或其他防渗性能等效的材料。原料堆场、商品混凝土搅拌站、沉淀池、初期雨水池、化粪池进行一般防渗，防渗技术要求等效粘土防渗层Mb≥1.5m，K≤1×10</w:t>
            </w:r>
            <w:r>
              <w:rPr>
                <w:rFonts w:hint="eastAsia"/>
                <w:vertAlign w:val="superscript"/>
                <w:lang w:val="en-US" w:eastAsia="zh-CN"/>
              </w:rPr>
              <w:t>-7</w:t>
            </w:r>
            <w:r>
              <w:rPr>
                <w:rFonts w:hint="eastAsia"/>
                <w:lang w:val="en-US" w:eastAsia="zh-CN"/>
              </w:rPr>
              <w:t>cm/s。办公区、厂区内路面进行水泥硬化简单防渗。综合考虑，本次评价不开展地下水环境质量现状监测。</w:t>
            </w:r>
          </w:p>
        </w:tc>
      </w:tr>
      <w:tr w14:paraId="3B10FC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800" w:type="dxa"/>
            <w:noWrap w:val="0"/>
            <w:vAlign w:val="center"/>
          </w:tcPr>
          <w:p w14:paraId="7B154D6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环境</w:t>
            </w:r>
          </w:p>
          <w:p w14:paraId="4533162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保护</w:t>
            </w:r>
          </w:p>
          <w:p w14:paraId="199F09EA">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目标</w:t>
            </w:r>
          </w:p>
        </w:tc>
        <w:tc>
          <w:tcPr>
            <w:tcW w:w="8190" w:type="dxa"/>
            <w:gridSpan w:val="2"/>
            <w:noWrap w:val="0"/>
            <w:vAlign w:val="center"/>
          </w:tcPr>
          <w:p w14:paraId="43A67C99">
            <w:pPr>
              <w:bidi w:val="0"/>
              <w:rPr>
                <w:rFonts w:hint="default" w:ascii="Times New Roman" w:hAnsi="Times New Roman" w:cs="Times New Roman"/>
                <w:lang w:val="en-US" w:eastAsia="zh-CN"/>
              </w:rPr>
            </w:pPr>
            <w:r>
              <w:rPr>
                <w:rFonts w:hint="default" w:ascii="Times New Roman" w:hAnsi="Times New Roman" w:cs="Times New Roman"/>
              </w:rPr>
              <w:t>根据</w:t>
            </w:r>
            <w:r>
              <w:rPr>
                <w:rFonts w:hint="default" w:ascii="Times New Roman" w:hAnsi="Times New Roman" w:cs="Times New Roman"/>
                <w:lang w:eastAsia="zh-CN"/>
              </w:rPr>
              <w:t>现场勘查</w:t>
            </w:r>
            <w:r>
              <w:rPr>
                <w:rFonts w:hint="default" w:ascii="Times New Roman" w:hAnsi="Times New Roman" w:cs="Times New Roman"/>
              </w:rPr>
              <w:t>，本项目所在区域及其附近</w:t>
            </w:r>
            <w:r>
              <w:rPr>
                <w:rFonts w:hint="default" w:ascii="Times New Roman" w:hAnsi="Times New Roman" w:cs="Times New Roman"/>
                <w:lang w:val="en-US" w:eastAsia="zh-CN"/>
              </w:rPr>
              <w:t>无</w:t>
            </w:r>
            <w:r>
              <w:rPr>
                <w:rFonts w:hint="default" w:ascii="Times New Roman" w:hAnsi="Times New Roman" w:cs="Times New Roman"/>
              </w:rPr>
              <w:t>自然保护区、水源地、重点文物、珍稀动植物资源等重点保护目标。主要保护目标见表3-</w:t>
            </w:r>
            <w:r>
              <w:rPr>
                <w:rFonts w:hint="default" w:ascii="Times New Roman" w:hAnsi="Times New Roman" w:cs="Times New Roman"/>
                <w:lang w:val="en-US" w:eastAsia="zh-CN"/>
              </w:rPr>
              <w:t>5</w:t>
            </w:r>
            <w:r>
              <w:rPr>
                <w:rFonts w:hint="default" w:ascii="Times New Roman" w:hAnsi="Times New Roman" w:cs="Times New Roman"/>
              </w:rPr>
              <w:t>。</w:t>
            </w:r>
            <w:r>
              <w:rPr>
                <w:rFonts w:hint="default" w:ascii="Times New Roman" w:hAnsi="Times New Roman" w:cs="Times New Roman"/>
                <w:lang w:val="en-US" w:eastAsia="zh-CN"/>
              </w:rPr>
              <w:t>项目环境保护目标图见</w:t>
            </w:r>
            <w:r>
              <w:rPr>
                <w:rFonts w:hint="eastAsia" w:cs="Times New Roman"/>
                <w:lang w:val="en-US" w:eastAsia="zh-CN"/>
              </w:rPr>
              <w:t>附图3</w:t>
            </w:r>
            <w:r>
              <w:rPr>
                <w:rFonts w:hint="default" w:ascii="Times New Roman" w:hAnsi="Times New Roman" w:cs="Times New Roman"/>
                <w:lang w:val="en-US" w:eastAsia="zh-CN"/>
              </w:rPr>
              <w:t>。</w:t>
            </w:r>
          </w:p>
          <w:p w14:paraId="6DE73F37">
            <w:pPr>
              <w:adjustRightInd w:val="0"/>
              <w:snapToGrid w:val="0"/>
              <w:ind w:left="0" w:leftChars="0" w:firstLine="0" w:firstLineChars="0"/>
              <w:jc w:val="center"/>
              <w:rPr>
                <w:rFonts w:hint="default" w:ascii="Times New Roman" w:hAnsi="Times New Roman" w:cs="Times New Roman"/>
                <w:b/>
                <w:bCs/>
                <w:color w:val="auto"/>
                <w:kern w:val="0"/>
                <w:szCs w:val="21"/>
              </w:rPr>
            </w:pPr>
            <w:r>
              <w:rPr>
                <w:rFonts w:hint="default" w:ascii="Times New Roman" w:hAnsi="Times New Roman" w:cs="Times New Roman"/>
                <w:b/>
                <w:bCs/>
                <w:color w:val="auto"/>
                <w:kern w:val="0"/>
                <w:szCs w:val="21"/>
              </w:rPr>
              <w:t>表3-</w:t>
            </w:r>
            <w:r>
              <w:rPr>
                <w:rFonts w:hint="default" w:ascii="Times New Roman" w:hAnsi="Times New Roman" w:cs="Times New Roman"/>
                <w:b/>
                <w:bCs/>
                <w:color w:val="auto"/>
                <w:kern w:val="0"/>
                <w:szCs w:val="21"/>
                <w:lang w:val="en-US" w:eastAsia="zh-CN"/>
              </w:rPr>
              <w:t>5</w:t>
            </w:r>
            <w:r>
              <w:rPr>
                <w:rFonts w:hint="default" w:ascii="Times New Roman" w:hAnsi="Times New Roman" w:cs="Times New Roman"/>
                <w:b/>
                <w:bCs/>
                <w:color w:val="auto"/>
                <w:kern w:val="0"/>
                <w:szCs w:val="21"/>
              </w:rPr>
              <w:t>环境保护目标一览表</w:t>
            </w:r>
          </w:p>
          <w:tbl>
            <w:tblPr>
              <w:tblStyle w:val="17"/>
              <w:tblW w:w="791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1201"/>
              <w:gridCol w:w="1500"/>
              <w:gridCol w:w="788"/>
              <w:gridCol w:w="774"/>
              <w:gridCol w:w="2858"/>
            </w:tblGrid>
            <w:tr w14:paraId="4EC69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796" w:type="dxa"/>
                  <w:noWrap w:val="0"/>
                  <w:vAlign w:val="center"/>
                </w:tcPr>
                <w:p w14:paraId="292A78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环境要素</w:t>
                  </w:r>
                </w:p>
              </w:tc>
              <w:tc>
                <w:tcPr>
                  <w:tcW w:w="1201" w:type="dxa"/>
                  <w:noWrap w:val="0"/>
                  <w:vAlign w:val="center"/>
                </w:tcPr>
                <w:p w14:paraId="5D7215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名称</w:t>
                  </w:r>
                </w:p>
              </w:tc>
              <w:tc>
                <w:tcPr>
                  <w:tcW w:w="1500" w:type="dxa"/>
                  <w:noWrap w:val="0"/>
                  <w:vAlign w:val="center"/>
                </w:tcPr>
                <w:p w14:paraId="4EFE57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kern w:val="0"/>
                      <w:szCs w:val="21"/>
                      <w:lang w:val="en-US" w:eastAsia="zh-CN"/>
                    </w:rPr>
                  </w:pPr>
                  <w:r>
                    <w:rPr>
                      <w:rFonts w:hint="eastAsia" w:cs="Times New Roman"/>
                      <w:color w:val="auto"/>
                      <w:kern w:val="0"/>
                      <w:szCs w:val="21"/>
                      <w:lang w:val="en-US" w:eastAsia="zh-CN"/>
                    </w:rPr>
                    <w:t>相对位置</w:t>
                  </w:r>
                </w:p>
              </w:tc>
              <w:tc>
                <w:tcPr>
                  <w:tcW w:w="788" w:type="dxa"/>
                  <w:noWrap w:val="0"/>
                  <w:vAlign w:val="center"/>
                </w:tcPr>
                <w:p w14:paraId="538BBA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color w:val="auto"/>
                      <w:kern w:val="0"/>
                      <w:szCs w:val="21"/>
                      <w:lang w:val="en-US" w:eastAsia="zh-CN"/>
                    </w:rPr>
                  </w:pPr>
                  <w:r>
                    <w:rPr>
                      <w:rFonts w:hint="eastAsia" w:cs="Times New Roman"/>
                      <w:color w:val="auto"/>
                      <w:kern w:val="0"/>
                      <w:szCs w:val="21"/>
                      <w:lang w:val="en-US" w:eastAsia="zh-CN"/>
                    </w:rPr>
                    <w:t>保护对象</w:t>
                  </w:r>
                </w:p>
              </w:tc>
              <w:tc>
                <w:tcPr>
                  <w:tcW w:w="774" w:type="dxa"/>
                  <w:noWrap w:val="0"/>
                  <w:vAlign w:val="center"/>
                </w:tcPr>
                <w:p w14:paraId="7DDE47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kern w:val="0"/>
                      <w:szCs w:val="21"/>
                      <w:lang w:val="en-US" w:eastAsia="zh-CN"/>
                    </w:rPr>
                  </w:pPr>
                  <w:r>
                    <w:rPr>
                      <w:rFonts w:hint="eastAsia" w:cs="Times New Roman"/>
                      <w:color w:val="auto"/>
                      <w:kern w:val="0"/>
                      <w:szCs w:val="21"/>
                      <w:lang w:val="en-US" w:eastAsia="zh-CN"/>
                    </w:rPr>
                    <w:t>保护内容</w:t>
                  </w:r>
                </w:p>
              </w:tc>
              <w:tc>
                <w:tcPr>
                  <w:tcW w:w="2858" w:type="dxa"/>
                  <w:noWrap w:val="0"/>
                  <w:vAlign w:val="center"/>
                </w:tcPr>
                <w:p w14:paraId="08E2AD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环境功能区划</w:t>
                  </w:r>
                </w:p>
              </w:tc>
            </w:tr>
            <w:tr w14:paraId="0CA57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796" w:type="dxa"/>
                  <w:noWrap w:val="0"/>
                  <w:vAlign w:val="center"/>
                </w:tcPr>
                <w:p w14:paraId="4CE459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环境空气</w:t>
                  </w:r>
                </w:p>
              </w:tc>
              <w:tc>
                <w:tcPr>
                  <w:tcW w:w="1201" w:type="dxa"/>
                  <w:noWrap w:val="0"/>
                  <w:vAlign w:val="center"/>
                </w:tcPr>
                <w:p w14:paraId="39EC3E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kern w:val="0"/>
                      <w:szCs w:val="21"/>
                      <w:lang w:val="en-US" w:eastAsia="zh-CN"/>
                    </w:rPr>
                  </w:pPr>
                  <w:r>
                    <w:rPr>
                      <w:rFonts w:hint="eastAsia" w:cs="Times New Roman"/>
                      <w:color w:val="auto"/>
                      <w:kern w:val="0"/>
                      <w:szCs w:val="21"/>
                      <w:lang w:val="en-US" w:eastAsia="zh-CN"/>
                    </w:rPr>
                    <w:t>居民散户</w:t>
                  </w:r>
                </w:p>
              </w:tc>
              <w:tc>
                <w:tcPr>
                  <w:tcW w:w="1500" w:type="dxa"/>
                  <w:noWrap w:val="0"/>
                  <w:vAlign w:val="center"/>
                </w:tcPr>
                <w:p w14:paraId="6925EA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kern w:val="0"/>
                      <w:szCs w:val="21"/>
                      <w:lang w:val="en-US" w:eastAsia="zh-CN"/>
                    </w:rPr>
                  </w:pPr>
                  <w:r>
                    <w:rPr>
                      <w:rFonts w:hint="eastAsia" w:cs="Times New Roman"/>
                      <w:color w:val="auto"/>
                      <w:kern w:val="0"/>
                      <w:szCs w:val="21"/>
                      <w:lang w:val="en-US" w:eastAsia="zh-CN"/>
                    </w:rPr>
                    <w:t>WN149m</w:t>
                  </w:r>
                </w:p>
              </w:tc>
              <w:tc>
                <w:tcPr>
                  <w:tcW w:w="788" w:type="dxa"/>
                  <w:noWrap w:val="0"/>
                  <w:vAlign w:val="center"/>
                </w:tcPr>
                <w:p w14:paraId="3013B2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kern w:val="0"/>
                      <w:szCs w:val="21"/>
                      <w:lang w:val="en-US" w:eastAsia="zh-CN"/>
                    </w:rPr>
                  </w:pPr>
                  <w:r>
                    <w:rPr>
                      <w:rFonts w:hint="eastAsia" w:cs="Times New Roman"/>
                      <w:color w:val="auto"/>
                      <w:kern w:val="0"/>
                      <w:szCs w:val="21"/>
                      <w:lang w:val="en-US" w:eastAsia="zh-CN"/>
                    </w:rPr>
                    <w:t>居民</w:t>
                  </w:r>
                </w:p>
              </w:tc>
              <w:tc>
                <w:tcPr>
                  <w:tcW w:w="774" w:type="dxa"/>
                  <w:noWrap w:val="0"/>
                  <w:vAlign w:val="center"/>
                </w:tcPr>
                <w:p w14:paraId="2216A8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kern w:val="0"/>
                      <w:szCs w:val="21"/>
                      <w:lang w:val="en-US" w:eastAsia="zh-CN"/>
                    </w:rPr>
                  </w:pPr>
                  <w:r>
                    <w:rPr>
                      <w:rFonts w:hint="default" w:ascii="Times New Roman" w:hAnsi="Times New Roman" w:cs="Times New Roman"/>
                      <w:color w:val="auto"/>
                      <w:kern w:val="0"/>
                      <w:szCs w:val="21"/>
                      <w:lang w:val="en-US" w:eastAsia="zh-CN"/>
                    </w:rPr>
                    <w:t>人群健康</w:t>
                  </w:r>
                </w:p>
              </w:tc>
              <w:tc>
                <w:tcPr>
                  <w:tcW w:w="2858" w:type="dxa"/>
                  <w:noWrap w:val="0"/>
                  <w:vAlign w:val="center"/>
                </w:tcPr>
                <w:p w14:paraId="111A31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《环境空气质量标准》(GB3095-2012</w:t>
                  </w:r>
                  <w:r>
                    <w:rPr>
                      <w:rFonts w:hint="default" w:ascii="Times New Roman" w:hAnsi="Times New Roman" w:cs="Times New Roman"/>
                      <w:color w:val="auto"/>
                      <w:kern w:val="0"/>
                      <w:szCs w:val="21"/>
                      <w:lang w:eastAsia="zh-CN"/>
                    </w:rPr>
                    <w:t>）</w:t>
                  </w:r>
                  <w:r>
                    <w:rPr>
                      <w:rFonts w:hint="default" w:ascii="Times New Roman" w:hAnsi="Times New Roman" w:cs="Times New Roman"/>
                      <w:color w:val="auto"/>
                      <w:kern w:val="0"/>
                      <w:szCs w:val="21"/>
                      <w:lang w:val="en-US" w:eastAsia="zh-CN"/>
                    </w:rPr>
                    <w:t>及其修改单中的二级标准</w:t>
                  </w:r>
                </w:p>
              </w:tc>
            </w:tr>
            <w:tr w14:paraId="256F0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6" w:type="dxa"/>
                  <w:noWrap w:val="0"/>
                  <w:vAlign w:val="center"/>
                </w:tcPr>
                <w:p w14:paraId="4B63DE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声环境</w:t>
                  </w:r>
                </w:p>
              </w:tc>
              <w:tc>
                <w:tcPr>
                  <w:tcW w:w="4263" w:type="dxa"/>
                  <w:gridSpan w:val="4"/>
                  <w:noWrap w:val="0"/>
                  <w:vAlign w:val="center"/>
                </w:tcPr>
                <w:p w14:paraId="7F47C7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项目外50m范围内无声环境保护目标</w:t>
                  </w:r>
                </w:p>
              </w:tc>
              <w:tc>
                <w:tcPr>
                  <w:tcW w:w="2858" w:type="dxa"/>
                  <w:noWrap w:val="0"/>
                  <w:vAlign w:val="center"/>
                </w:tcPr>
                <w:p w14:paraId="03370D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《声环境质量标准》</w:t>
                  </w:r>
                  <w:r>
                    <w:rPr>
                      <w:rFonts w:hint="default" w:ascii="Times New Roman" w:hAnsi="Times New Roman" w:cs="Times New Roman"/>
                      <w:color w:val="auto"/>
                      <w:kern w:val="0"/>
                      <w:szCs w:val="21"/>
                      <w:lang w:eastAsia="zh-CN"/>
                    </w:rPr>
                    <w:t>（</w:t>
                  </w:r>
                  <w:r>
                    <w:rPr>
                      <w:rFonts w:hint="default" w:ascii="Times New Roman" w:hAnsi="Times New Roman" w:cs="Times New Roman"/>
                      <w:color w:val="auto"/>
                      <w:kern w:val="0"/>
                      <w:szCs w:val="21"/>
                    </w:rPr>
                    <w:t>GB3096-2008</w:t>
                  </w:r>
                  <w:r>
                    <w:rPr>
                      <w:rFonts w:hint="default" w:ascii="Times New Roman" w:hAnsi="Times New Roman" w:cs="Times New Roman"/>
                      <w:color w:val="auto"/>
                      <w:kern w:val="0"/>
                      <w:szCs w:val="21"/>
                      <w:lang w:eastAsia="zh-CN"/>
                    </w:rPr>
                    <w:t>）</w:t>
                  </w:r>
                  <w:r>
                    <w:rPr>
                      <w:rFonts w:hint="default" w:ascii="Times New Roman" w:hAnsi="Times New Roman" w:eastAsia="宋体" w:cs="Times New Roman"/>
                      <w:color w:val="auto"/>
                      <w:kern w:val="0"/>
                      <w:szCs w:val="21"/>
                      <w:lang w:val="en-US" w:eastAsia="zh-CN"/>
                    </w:rPr>
                    <w:t>2类</w:t>
                  </w:r>
                  <w:r>
                    <w:rPr>
                      <w:rFonts w:hint="default" w:ascii="Times New Roman" w:hAnsi="Times New Roman" w:eastAsia="宋体" w:cs="Times New Roman"/>
                      <w:color w:val="auto"/>
                      <w:kern w:val="0"/>
                      <w:szCs w:val="21"/>
                    </w:rPr>
                    <w:t>标</w:t>
                  </w:r>
                  <w:r>
                    <w:rPr>
                      <w:rFonts w:hint="default" w:ascii="Times New Roman" w:hAnsi="Times New Roman" w:cs="Times New Roman"/>
                      <w:color w:val="auto"/>
                      <w:kern w:val="0"/>
                      <w:szCs w:val="21"/>
                    </w:rPr>
                    <w:t>准</w:t>
                  </w:r>
                </w:p>
              </w:tc>
            </w:tr>
            <w:tr w14:paraId="73C01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796" w:type="dxa"/>
                  <w:noWrap w:val="0"/>
                  <w:vAlign w:val="center"/>
                </w:tcPr>
                <w:p w14:paraId="51A50E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lang w:val="en-US" w:eastAsia="zh-CN"/>
                    </w:rPr>
                    <w:t>地下水</w:t>
                  </w:r>
                  <w:r>
                    <w:rPr>
                      <w:rFonts w:hint="default" w:ascii="Times New Roman" w:hAnsi="Times New Roman" w:cs="Times New Roman"/>
                      <w:color w:val="auto"/>
                      <w:kern w:val="0"/>
                      <w:szCs w:val="21"/>
                    </w:rPr>
                    <w:t>环境</w:t>
                  </w:r>
                </w:p>
              </w:tc>
              <w:tc>
                <w:tcPr>
                  <w:tcW w:w="4263" w:type="dxa"/>
                  <w:gridSpan w:val="4"/>
                  <w:noWrap w:val="0"/>
                  <w:vAlign w:val="center"/>
                </w:tcPr>
                <w:p w14:paraId="68B927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项目外500m范围内无地下水集中式饮用水水源和热水、矿泉水、温水等特殊地下水资源</w:t>
                  </w:r>
                </w:p>
              </w:tc>
              <w:tc>
                <w:tcPr>
                  <w:tcW w:w="2858" w:type="dxa"/>
                  <w:noWrap w:val="0"/>
                  <w:vAlign w:val="center"/>
                </w:tcPr>
                <w:p w14:paraId="1ACD8F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kern w:val="0"/>
                      <w:szCs w:val="21"/>
                      <w:lang w:eastAsia="zh-CN"/>
                    </w:rPr>
                  </w:pPr>
                  <w:r>
                    <w:rPr>
                      <w:rFonts w:hint="default" w:ascii="Times New Roman" w:hAnsi="Times New Roman" w:cs="Times New Roman"/>
                      <w:color w:val="auto"/>
                      <w:kern w:val="0"/>
                      <w:szCs w:val="21"/>
                    </w:rPr>
                    <w:t>《地下水质量标准》（GB/T14848-2017）中Ⅲ类标准</w:t>
                  </w:r>
                  <w:r>
                    <w:rPr>
                      <w:rFonts w:hint="default" w:ascii="Times New Roman" w:hAnsi="Times New Roman" w:cs="Times New Roman"/>
                      <w:color w:val="auto"/>
                      <w:kern w:val="0"/>
                      <w:szCs w:val="21"/>
                      <w:lang w:eastAsia="zh-CN"/>
                    </w:rPr>
                    <w:t>。</w:t>
                  </w:r>
                </w:p>
              </w:tc>
            </w:tr>
          </w:tbl>
          <w:p w14:paraId="0B3D6D8B">
            <w:pPr>
              <w:adjustRightInd w:val="0"/>
              <w:snapToGrid w:val="0"/>
              <w:ind w:left="0" w:leftChars="0" w:firstLine="0" w:firstLineChars="0"/>
              <w:jc w:val="both"/>
              <w:rPr>
                <w:rFonts w:hint="default" w:ascii="Times New Roman" w:hAnsi="Times New Roman" w:cs="Times New Roman"/>
                <w:kern w:val="0"/>
                <w:sz w:val="24"/>
                <w:szCs w:val="24"/>
              </w:rPr>
            </w:pPr>
          </w:p>
        </w:tc>
      </w:tr>
      <w:tr w14:paraId="08B8A4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37" w:hRule="atLeast"/>
          <w:jc w:val="center"/>
        </w:trPr>
        <w:tc>
          <w:tcPr>
            <w:tcW w:w="800" w:type="dxa"/>
            <w:noWrap w:val="0"/>
            <w:tcMar>
              <w:left w:w="28" w:type="dxa"/>
              <w:right w:w="28" w:type="dxa"/>
            </w:tcMar>
            <w:vAlign w:val="center"/>
          </w:tcPr>
          <w:p w14:paraId="7484326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污染</w:t>
            </w:r>
          </w:p>
          <w:p w14:paraId="479CAB1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物排</w:t>
            </w:r>
          </w:p>
          <w:p w14:paraId="0B462BD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放控</w:t>
            </w:r>
          </w:p>
          <w:p w14:paraId="52CC822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制标</w:t>
            </w:r>
          </w:p>
          <w:p w14:paraId="2FAF1D5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准</w:t>
            </w:r>
          </w:p>
        </w:tc>
        <w:tc>
          <w:tcPr>
            <w:tcW w:w="8190" w:type="dxa"/>
            <w:gridSpan w:val="2"/>
            <w:noWrap w:val="0"/>
            <w:vAlign w:val="center"/>
          </w:tcPr>
          <w:p w14:paraId="03EE69A5">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1.废气</w:t>
            </w:r>
          </w:p>
          <w:p w14:paraId="0F2A4D94">
            <w:pPr>
              <w:bidi w:val="0"/>
              <w:rPr>
                <w:rFonts w:hint="eastAsia" w:cs="Times New Roman"/>
                <w:lang w:eastAsia="zh-CN"/>
              </w:rPr>
            </w:pPr>
            <w:r>
              <w:rPr>
                <w:rFonts w:hint="default" w:ascii="Times New Roman" w:hAnsi="Times New Roman" w:cs="Times New Roman"/>
              </w:rPr>
              <w:t>施工期扬尘执行《大气污染物综合排放标准》（GB16297－1996）表2中颗粒物无组织排放浓度限值，具体见表3-6</w:t>
            </w:r>
            <w:r>
              <w:rPr>
                <w:rFonts w:hint="eastAsia" w:cs="Times New Roman"/>
                <w:lang w:eastAsia="zh-CN"/>
              </w:rPr>
              <w:t>。</w:t>
            </w:r>
          </w:p>
          <w:p w14:paraId="0CBFBE8C">
            <w:pPr>
              <w:bidi w:val="0"/>
              <w:rPr>
                <w:rFonts w:hint="default" w:ascii="Times New Roman" w:hAnsi="Times New Roman" w:cs="Times New Roman"/>
              </w:rPr>
            </w:pPr>
            <w:r>
              <w:rPr>
                <w:rFonts w:hint="default" w:ascii="Times New Roman" w:hAnsi="Times New Roman" w:cs="Times New Roman"/>
              </w:rPr>
              <w:t>运营期</w:t>
            </w:r>
            <w:r>
              <w:rPr>
                <w:rFonts w:hint="default" w:ascii="Times New Roman" w:hAnsi="Times New Roman" w:cs="Times New Roman"/>
                <w:lang w:val="en-US" w:eastAsia="zh-CN"/>
              </w:rPr>
              <w:t>有组织颗粒物执行</w:t>
            </w:r>
            <w:r>
              <w:rPr>
                <w:rFonts w:hint="default" w:ascii="Times New Roman" w:hAnsi="Times New Roman" w:cs="Times New Roman"/>
              </w:rPr>
              <w:t>《水泥工业大气污染物排放标准》（GB4915-2013</w:t>
            </w:r>
            <w:r>
              <w:rPr>
                <w:rFonts w:hint="default" w:ascii="Times New Roman" w:hAnsi="Times New Roman" w:cs="Times New Roman"/>
                <w:lang w:eastAsia="zh-CN"/>
              </w:rPr>
              <w:t>）</w:t>
            </w:r>
            <w:r>
              <w:rPr>
                <w:rFonts w:hint="default" w:ascii="Times New Roman" w:hAnsi="Times New Roman" w:cs="Times New Roman"/>
              </w:rPr>
              <w:t>表1</w:t>
            </w:r>
            <w:r>
              <w:rPr>
                <w:rFonts w:hint="default" w:ascii="Times New Roman" w:hAnsi="Times New Roman" w:cs="Times New Roman"/>
                <w:lang w:val="en-US" w:eastAsia="zh-CN"/>
              </w:rPr>
              <w:t>现有与新建企业大气污染物排放限值相关要求，运营期无组织颗粒物执行《水泥工业大气污染物排放标准》（GB4915-2013）表3大气污染物无组织排放限值相关要求</w:t>
            </w:r>
            <w:r>
              <w:rPr>
                <w:rFonts w:hint="default" w:ascii="Times New Roman" w:hAnsi="Times New Roman" w:cs="Times New Roman"/>
                <w:lang w:eastAsia="zh-CN"/>
              </w:rPr>
              <w:t>，</w:t>
            </w:r>
            <w:r>
              <w:rPr>
                <w:rFonts w:hint="default" w:ascii="Times New Roman" w:hAnsi="Times New Roman" w:cs="Times New Roman"/>
              </w:rPr>
              <w:t>具体见表3-</w:t>
            </w:r>
            <w:r>
              <w:rPr>
                <w:rFonts w:hint="default" w:ascii="Times New Roman" w:hAnsi="Times New Roman" w:cs="Times New Roman"/>
                <w:lang w:val="en-US" w:eastAsia="zh-CN"/>
              </w:rPr>
              <w:t>7</w:t>
            </w:r>
            <w:r>
              <w:rPr>
                <w:rFonts w:hint="default" w:ascii="Times New Roman" w:hAnsi="Times New Roman" w:cs="Times New Roman"/>
              </w:rPr>
              <w:t>。</w:t>
            </w:r>
          </w:p>
          <w:p w14:paraId="2FD5F154">
            <w:pPr>
              <w:bidi w:val="0"/>
              <w:jc w:val="center"/>
              <w:rPr>
                <w:rFonts w:hint="default" w:ascii="Times New Roman" w:hAnsi="Times New Roman" w:eastAsia="宋体" w:cs="Times New Roman"/>
                <w:b/>
                <w:bCs/>
                <w:lang w:val="en-US" w:eastAsia="zh-CN"/>
              </w:rPr>
            </w:pPr>
            <w:r>
              <w:rPr>
                <w:rFonts w:hint="default" w:ascii="Times New Roman" w:hAnsi="Times New Roman" w:cs="Times New Roman"/>
                <w:b/>
                <w:bCs/>
              </w:rPr>
              <w:t>表3-6</w:t>
            </w:r>
            <w:r>
              <w:rPr>
                <w:rFonts w:hint="default" w:ascii="Times New Roman" w:hAnsi="Times New Roman" w:cs="Times New Roman"/>
                <w:b/>
                <w:bCs/>
                <w:lang w:val="en-US" w:eastAsia="zh-CN"/>
              </w:rPr>
              <w:t>施工期废气排放执行标准</w:t>
            </w:r>
          </w:p>
          <w:tbl>
            <w:tblPr>
              <w:tblStyle w:val="17"/>
              <w:tblW w:w="785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5"/>
              <w:gridCol w:w="3277"/>
              <w:gridCol w:w="3336"/>
            </w:tblGrid>
            <w:tr w14:paraId="6F23D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1245" w:type="dxa"/>
                  <w:noWrap w:val="0"/>
                  <w:vAlign w:val="center"/>
                </w:tcPr>
                <w:p w14:paraId="6BCBB2C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污染物</w:t>
                  </w:r>
                </w:p>
              </w:tc>
              <w:tc>
                <w:tcPr>
                  <w:tcW w:w="3277" w:type="dxa"/>
                  <w:noWrap w:val="0"/>
                  <w:vAlign w:val="center"/>
                </w:tcPr>
                <w:p w14:paraId="1936444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无组织排放监控浓度限值点（mg/</w:t>
                  </w:r>
                  <w:r>
                    <w:rPr>
                      <w:rFonts w:hint="default" w:ascii="Times New Roman" w:hAnsi="Times New Roman" w:cs="Times New Roman"/>
                      <w:lang w:eastAsia="zh-CN"/>
                    </w:rPr>
                    <w:t>m³</w:t>
                  </w:r>
                  <w:r>
                    <w:rPr>
                      <w:rFonts w:hint="default" w:ascii="Times New Roman" w:hAnsi="Times New Roman" w:cs="Times New Roman"/>
                    </w:rPr>
                    <w:t>）</w:t>
                  </w:r>
                </w:p>
              </w:tc>
              <w:tc>
                <w:tcPr>
                  <w:tcW w:w="3336" w:type="dxa"/>
                  <w:noWrap w:val="0"/>
                  <w:vAlign w:val="center"/>
                </w:tcPr>
                <w:p w14:paraId="5E87E84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执行标准</w:t>
                  </w:r>
                </w:p>
              </w:tc>
            </w:tr>
            <w:tr w14:paraId="17EC1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245" w:type="dxa"/>
                  <w:noWrap w:val="0"/>
                  <w:vAlign w:val="center"/>
                </w:tcPr>
                <w:p w14:paraId="54C22CD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颗粒物</w:t>
                  </w:r>
                </w:p>
              </w:tc>
              <w:tc>
                <w:tcPr>
                  <w:tcW w:w="3277" w:type="dxa"/>
                  <w:noWrap w:val="0"/>
                  <w:vAlign w:val="center"/>
                </w:tcPr>
                <w:p w14:paraId="1EC2873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周界外浓度最高点</w:t>
                  </w:r>
                  <w:r>
                    <w:rPr>
                      <w:rFonts w:hint="default" w:ascii="Times New Roman" w:hAnsi="Times New Roman" w:cs="Times New Roman"/>
                      <w:lang w:eastAsia="zh-CN"/>
                    </w:rPr>
                    <w:t>为</w:t>
                  </w:r>
                  <w:r>
                    <w:rPr>
                      <w:rFonts w:hint="default" w:ascii="Times New Roman" w:hAnsi="Times New Roman" w:cs="Times New Roman"/>
                    </w:rPr>
                    <w:t>1.0</w:t>
                  </w:r>
                </w:p>
              </w:tc>
              <w:tc>
                <w:tcPr>
                  <w:tcW w:w="3336" w:type="dxa"/>
                  <w:noWrap w:val="0"/>
                  <w:vAlign w:val="center"/>
                </w:tcPr>
                <w:p w14:paraId="7495F32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《大气污染物综合排放标准》（GB16297－1996）表2中颗粒物无组织排放浓度限值</w:t>
                  </w:r>
                </w:p>
              </w:tc>
            </w:tr>
          </w:tbl>
          <w:p w14:paraId="439E98A6">
            <w:pPr>
              <w:bidi w:val="0"/>
              <w:jc w:val="center"/>
              <w:rPr>
                <w:rFonts w:hint="default" w:ascii="Times New Roman" w:hAnsi="Times New Roman" w:cs="Times New Roman"/>
                <w:b/>
                <w:bCs/>
              </w:rPr>
            </w:pPr>
            <w:r>
              <w:rPr>
                <w:rFonts w:hint="default" w:ascii="Times New Roman" w:hAnsi="Times New Roman" w:cs="Times New Roman"/>
                <w:b/>
                <w:bCs/>
              </w:rPr>
              <w:t>表3-7水泥工业大气污染物排放标准</w:t>
            </w:r>
          </w:p>
          <w:tbl>
            <w:tblPr>
              <w:tblStyle w:val="17"/>
              <w:tblW w:w="797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422"/>
              <w:gridCol w:w="1708"/>
              <w:gridCol w:w="3848"/>
            </w:tblGrid>
            <w:tr w14:paraId="2FA3B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2422" w:type="dxa"/>
                  <w:noWrap w:val="0"/>
                  <w:vAlign w:val="center"/>
                </w:tcPr>
                <w:p w14:paraId="316FC63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污染物项目</w:t>
                  </w:r>
                </w:p>
              </w:tc>
              <w:tc>
                <w:tcPr>
                  <w:tcW w:w="1708" w:type="dxa"/>
                  <w:noWrap w:val="0"/>
                  <w:vAlign w:val="center"/>
                </w:tcPr>
                <w:p w14:paraId="69BDF1D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颗粒物</w:t>
                  </w:r>
                </w:p>
              </w:tc>
              <w:tc>
                <w:tcPr>
                  <w:tcW w:w="3848" w:type="dxa"/>
                  <w:noWrap w:val="0"/>
                  <w:vAlign w:val="center"/>
                </w:tcPr>
                <w:p w14:paraId="2AD72B1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执行标准</w:t>
                  </w:r>
                </w:p>
              </w:tc>
            </w:tr>
            <w:tr w14:paraId="28EFD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2422" w:type="dxa"/>
                  <w:noWrap w:val="0"/>
                  <w:vAlign w:val="center"/>
                </w:tcPr>
                <w:p w14:paraId="65C85E2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0000FF"/>
                      <w:lang w:val="en-US" w:eastAsia="zh-CN"/>
                    </w:rPr>
                  </w:pPr>
                  <w:r>
                    <w:rPr>
                      <w:rFonts w:hint="default" w:ascii="Times New Roman" w:hAnsi="Times New Roman" w:cs="Times New Roman"/>
                      <w:color w:val="0000FF"/>
                      <w:highlight w:val="none"/>
                      <w:lang w:val="en-US" w:eastAsia="zh-CN"/>
                    </w:rPr>
                    <w:t>排气筒</w:t>
                  </w:r>
                </w:p>
              </w:tc>
              <w:tc>
                <w:tcPr>
                  <w:tcW w:w="1708" w:type="dxa"/>
                  <w:noWrap w:val="0"/>
                  <w:vAlign w:val="center"/>
                </w:tcPr>
                <w:p w14:paraId="7889A17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0000FF"/>
                      <w:lang w:eastAsia="zh-CN"/>
                    </w:rPr>
                  </w:pPr>
                  <w:r>
                    <w:rPr>
                      <w:rFonts w:hint="default" w:ascii="Times New Roman" w:hAnsi="Times New Roman" w:cs="Times New Roman"/>
                      <w:color w:val="0000FF"/>
                    </w:rPr>
                    <w:t>20mg/</w:t>
                  </w:r>
                  <w:r>
                    <w:rPr>
                      <w:rFonts w:hint="default" w:ascii="Times New Roman" w:hAnsi="Times New Roman" w:cs="Times New Roman"/>
                      <w:color w:val="0000FF"/>
                      <w:lang w:eastAsia="zh-CN"/>
                    </w:rPr>
                    <w:t>m³</w:t>
                  </w:r>
                </w:p>
              </w:tc>
              <w:tc>
                <w:tcPr>
                  <w:tcW w:w="3848" w:type="dxa"/>
                  <w:noWrap w:val="0"/>
                  <w:vAlign w:val="center"/>
                </w:tcPr>
                <w:p w14:paraId="77B2431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0000FF"/>
                    </w:rPr>
                  </w:pPr>
                  <w:r>
                    <w:rPr>
                      <w:rFonts w:hint="default" w:ascii="Times New Roman" w:hAnsi="Times New Roman" w:cs="Times New Roman"/>
                      <w:color w:val="0000FF"/>
                    </w:rPr>
                    <w:t>《水泥工业大气污染物排放标准》（GB4915-2013）表1</w:t>
                  </w:r>
                  <w:r>
                    <w:rPr>
                      <w:rFonts w:hint="default" w:ascii="Times New Roman" w:hAnsi="Times New Roman" w:cs="Times New Roman"/>
                      <w:color w:val="0000FF"/>
                      <w:lang w:val="en-US" w:eastAsia="zh-CN"/>
                    </w:rPr>
                    <w:t>现有与新建企业大气污染物排放限值相关要求</w:t>
                  </w:r>
                </w:p>
              </w:tc>
            </w:tr>
            <w:tr w14:paraId="0DFFC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8" w:hRule="atLeast"/>
              </w:trPr>
              <w:tc>
                <w:tcPr>
                  <w:tcW w:w="2422" w:type="dxa"/>
                  <w:noWrap w:val="0"/>
                  <w:vAlign w:val="center"/>
                </w:tcPr>
                <w:p w14:paraId="5CE1184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厂界外20m处无组织监控点浓度</w:t>
                  </w:r>
                </w:p>
              </w:tc>
              <w:tc>
                <w:tcPr>
                  <w:tcW w:w="1708" w:type="dxa"/>
                  <w:noWrap w:val="0"/>
                  <w:vAlign w:val="center"/>
                </w:tcPr>
                <w:p w14:paraId="26C9B54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eastAsia="zh-CN"/>
                    </w:rPr>
                  </w:pPr>
                  <w:r>
                    <w:rPr>
                      <w:rFonts w:hint="default" w:ascii="Times New Roman" w:hAnsi="Times New Roman" w:cs="Times New Roman"/>
                    </w:rPr>
                    <w:t>0.5mg/</w:t>
                  </w:r>
                  <w:r>
                    <w:rPr>
                      <w:rFonts w:hint="default" w:ascii="Times New Roman" w:hAnsi="Times New Roman" w:cs="Times New Roman"/>
                      <w:lang w:eastAsia="zh-CN"/>
                    </w:rPr>
                    <w:t>m³</w:t>
                  </w:r>
                </w:p>
              </w:tc>
              <w:tc>
                <w:tcPr>
                  <w:tcW w:w="3848" w:type="dxa"/>
                  <w:noWrap w:val="0"/>
                  <w:vAlign w:val="center"/>
                </w:tcPr>
                <w:p w14:paraId="51B4474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《水泥工业大气污染物排放标准》（GB4915-2013）表3大气污染物无组织排放限值相关要求。</w:t>
                  </w:r>
                </w:p>
              </w:tc>
            </w:tr>
          </w:tbl>
          <w:p w14:paraId="58B4CA63">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2.废水</w:t>
            </w:r>
          </w:p>
          <w:p w14:paraId="1B710E0B">
            <w:pPr>
              <w:bidi w:val="0"/>
              <w:rPr>
                <w:rFonts w:hint="default" w:ascii="Times New Roman" w:hAnsi="Times New Roman" w:cs="Times New Roman"/>
              </w:rPr>
            </w:pPr>
            <w:r>
              <w:rPr>
                <w:rFonts w:hint="default" w:ascii="Times New Roman" w:hAnsi="Times New Roman" w:cs="Times New Roman"/>
              </w:rPr>
              <w:t>运营期间，生活污水执行《污水综合排放标准》（GB8978-1996）表4中的三级标准。</w:t>
            </w:r>
          </w:p>
          <w:p w14:paraId="7A03BD2C">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3.噪声</w:t>
            </w:r>
          </w:p>
          <w:p w14:paraId="4018E51A">
            <w:pPr>
              <w:bidi w:val="0"/>
              <w:rPr>
                <w:rFonts w:hint="eastAsia" w:cs="Times New Roman"/>
                <w:lang w:eastAsia="zh-CN"/>
              </w:rPr>
            </w:pPr>
            <w:r>
              <w:rPr>
                <w:rFonts w:hint="default" w:ascii="Times New Roman" w:hAnsi="Times New Roman" w:cs="Times New Roman"/>
              </w:rPr>
              <w:t>施工噪声执行《建筑施工场界环境噪声排放标准》(GB12523-2011)中的标准限值，具体</w:t>
            </w:r>
            <w:r>
              <w:rPr>
                <w:rFonts w:hint="default" w:ascii="Times New Roman" w:hAnsi="Times New Roman" w:cs="Times New Roman"/>
                <w:lang w:eastAsia="zh-CN"/>
              </w:rPr>
              <w:t>见</w:t>
            </w:r>
            <w:r>
              <w:rPr>
                <w:rFonts w:hint="default" w:ascii="Times New Roman" w:hAnsi="Times New Roman" w:cs="Times New Roman"/>
              </w:rPr>
              <w:t>表3-8</w:t>
            </w:r>
            <w:r>
              <w:rPr>
                <w:rFonts w:hint="eastAsia" w:cs="Times New Roman"/>
                <w:lang w:eastAsia="zh-CN"/>
              </w:rPr>
              <w:t>。</w:t>
            </w:r>
          </w:p>
          <w:p w14:paraId="41C7F358">
            <w:pPr>
              <w:bidi w:val="0"/>
              <w:rPr>
                <w:rFonts w:hint="default" w:ascii="Times New Roman" w:hAnsi="Times New Roman" w:cs="Times New Roman"/>
              </w:rPr>
            </w:pPr>
            <w:r>
              <w:rPr>
                <w:rFonts w:hint="default" w:ascii="Times New Roman" w:hAnsi="Times New Roman" w:cs="Times New Roman"/>
              </w:rPr>
              <w:t>运营期执行《</w:t>
            </w:r>
            <w:bookmarkStart w:id="5" w:name="_Hlk521774251"/>
            <w:r>
              <w:rPr>
                <w:rFonts w:hint="default" w:ascii="Times New Roman" w:hAnsi="Times New Roman" w:cs="Times New Roman"/>
              </w:rPr>
              <w:t>工业企业厂界环境噪声排放标准</w:t>
            </w:r>
            <w:bookmarkEnd w:id="5"/>
            <w:r>
              <w:rPr>
                <w:rFonts w:hint="default" w:ascii="Times New Roman" w:hAnsi="Times New Roman" w:cs="Times New Roman"/>
              </w:rPr>
              <w:t>》（GB12348-</w:t>
            </w:r>
            <w:r>
              <w:rPr>
                <w:rFonts w:hint="default" w:ascii="Times New Roman" w:hAnsi="Times New Roman" w:cs="Times New Roman"/>
                <w:color w:val="0000FF"/>
                <w:highlight w:val="none"/>
              </w:rPr>
              <w:t>2008）</w:t>
            </w:r>
            <w:r>
              <w:rPr>
                <w:rFonts w:hint="eastAsia" w:cs="Times New Roman"/>
                <w:color w:val="0000FF"/>
                <w:highlight w:val="none"/>
                <w:lang w:val="en-US" w:eastAsia="zh-CN"/>
              </w:rPr>
              <w:t>3</w:t>
            </w:r>
            <w:r>
              <w:rPr>
                <w:rFonts w:hint="default" w:ascii="Times New Roman" w:hAnsi="Times New Roman" w:cs="Times New Roman"/>
                <w:color w:val="0000FF"/>
                <w:highlight w:val="none"/>
              </w:rPr>
              <w:t>类</w:t>
            </w:r>
            <w:r>
              <w:rPr>
                <w:rFonts w:hint="default" w:ascii="Times New Roman" w:hAnsi="Times New Roman" w:cs="Times New Roman"/>
              </w:rPr>
              <w:t>标准，具体</w:t>
            </w:r>
            <w:r>
              <w:rPr>
                <w:rFonts w:hint="default" w:ascii="Times New Roman" w:hAnsi="Times New Roman" w:cs="Times New Roman"/>
                <w:lang w:eastAsia="zh-CN"/>
              </w:rPr>
              <w:t>见</w:t>
            </w:r>
            <w:r>
              <w:rPr>
                <w:rFonts w:hint="default" w:ascii="Times New Roman" w:hAnsi="Times New Roman" w:cs="Times New Roman"/>
              </w:rPr>
              <w:t>表3-9。</w:t>
            </w:r>
          </w:p>
          <w:p w14:paraId="1E6CBC8B">
            <w:pPr>
              <w:bidi w:val="0"/>
              <w:ind w:left="0" w:leftChars="0" w:firstLine="0" w:firstLineChars="0"/>
              <w:jc w:val="center"/>
              <w:rPr>
                <w:rFonts w:hint="default" w:ascii="Times New Roman" w:hAnsi="Times New Roman" w:cs="Times New Roman"/>
                <w:b/>
                <w:bCs/>
              </w:rPr>
            </w:pPr>
            <w:r>
              <w:rPr>
                <w:rFonts w:hint="default" w:ascii="Times New Roman" w:hAnsi="Times New Roman" w:cs="Times New Roman"/>
                <w:b/>
                <w:bCs/>
              </w:rPr>
              <w:t>表3-8建筑施工场界环境噪声排放标准</w:t>
            </w:r>
            <w:r>
              <w:rPr>
                <w:rFonts w:hint="default" w:ascii="Times New Roman" w:hAnsi="Times New Roman" w:eastAsia="宋体" w:cs="Times New Roman"/>
                <w:b/>
                <w:bCs/>
                <w:lang w:eastAsia="zh-CN"/>
              </w:rPr>
              <w:t>[</w:t>
            </w:r>
            <w:r>
              <w:rPr>
                <w:rFonts w:hint="default" w:ascii="Times New Roman" w:hAnsi="Times New Roman" w:cs="Times New Roman"/>
                <w:b/>
                <w:bCs/>
              </w:rPr>
              <w:t>单位：dB</w:t>
            </w:r>
            <w:r>
              <w:rPr>
                <w:rFonts w:hint="default" w:ascii="Times New Roman" w:hAnsi="Times New Roman" w:cs="Times New Roman"/>
                <w:b/>
                <w:bCs/>
                <w:lang w:eastAsia="zh-CN"/>
              </w:rPr>
              <w:t>（</w:t>
            </w:r>
            <w:r>
              <w:rPr>
                <w:rFonts w:hint="default" w:ascii="Times New Roman" w:hAnsi="Times New Roman" w:cs="Times New Roman"/>
                <w:b/>
                <w:bCs/>
              </w:rPr>
              <w:t>A</w:t>
            </w:r>
            <w:r>
              <w:rPr>
                <w:rFonts w:hint="default" w:ascii="Times New Roman" w:hAnsi="Times New Roman" w:cs="Times New Roman"/>
                <w:b/>
                <w:bCs/>
                <w:lang w:eastAsia="zh-CN"/>
              </w:rPr>
              <w:t>）</w:t>
            </w:r>
            <w:r>
              <w:rPr>
                <w:rFonts w:hint="default" w:ascii="Times New Roman" w:hAnsi="Times New Roman" w:eastAsia="宋体" w:cs="Times New Roman"/>
                <w:b/>
                <w:bCs/>
                <w:lang w:eastAsia="zh-CN"/>
              </w:rPr>
              <w:t>]</w:t>
            </w:r>
          </w:p>
          <w:tbl>
            <w:tblPr>
              <w:tblStyle w:val="17"/>
              <w:tblW w:w="797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7"/>
              <w:gridCol w:w="3987"/>
            </w:tblGrid>
            <w:tr w14:paraId="304F3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3987" w:type="dxa"/>
                  <w:noWrap w:val="0"/>
                  <w:vAlign w:val="center"/>
                </w:tcPr>
                <w:p w14:paraId="7586D7D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昼间</w:t>
                  </w:r>
                </w:p>
              </w:tc>
              <w:tc>
                <w:tcPr>
                  <w:tcW w:w="3987" w:type="dxa"/>
                  <w:noWrap w:val="0"/>
                  <w:vAlign w:val="center"/>
                </w:tcPr>
                <w:p w14:paraId="48E17D7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夜间</w:t>
                  </w:r>
                </w:p>
              </w:tc>
            </w:tr>
            <w:tr w14:paraId="5FC0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trPr>
              <w:tc>
                <w:tcPr>
                  <w:tcW w:w="3987" w:type="dxa"/>
                  <w:noWrap w:val="0"/>
                  <w:vAlign w:val="center"/>
                </w:tcPr>
                <w:p w14:paraId="02B3DFF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70</w:t>
                  </w:r>
                </w:p>
              </w:tc>
              <w:tc>
                <w:tcPr>
                  <w:tcW w:w="3987" w:type="dxa"/>
                  <w:noWrap w:val="0"/>
                  <w:vAlign w:val="center"/>
                </w:tcPr>
                <w:p w14:paraId="115B593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55</w:t>
                  </w:r>
                </w:p>
              </w:tc>
            </w:tr>
          </w:tbl>
          <w:p w14:paraId="47D8A42E">
            <w:pPr>
              <w:bidi w:val="0"/>
              <w:ind w:left="0" w:leftChars="0" w:firstLine="0" w:firstLineChars="0"/>
              <w:jc w:val="center"/>
              <w:rPr>
                <w:rFonts w:hint="default" w:ascii="Times New Roman" w:hAnsi="Times New Roman" w:cs="Times New Roman"/>
                <w:b/>
                <w:bCs/>
              </w:rPr>
            </w:pPr>
            <w:r>
              <w:rPr>
                <w:rFonts w:hint="default" w:ascii="Times New Roman" w:hAnsi="Times New Roman" w:cs="Times New Roman"/>
                <w:b/>
                <w:bCs/>
              </w:rPr>
              <w:t>表3-9工业企业厂界环境噪声排放标准</w:t>
            </w:r>
            <w:r>
              <w:rPr>
                <w:rFonts w:hint="default" w:ascii="Times New Roman" w:hAnsi="Times New Roman" w:eastAsia="宋体" w:cs="Times New Roman"/>
                <w:b/>
                <w:bCs/>
                <w:lang w:eastAsia="zh-CN"/>
              </w:rPr>
              <w:t>[</w:t>
            </w:r>
            <w:r>
              <w:rPr>
                <w:rFonts w:hint="default" w:ascii="Times New Roman" w:hAnsi="Times New Roman" w:cs="Times New Roman"/>
                <w:b/>
                <w:bCs/>
              </w:rPr>
              <w:t>单位：dB</w:t>
            </w:r>
            <w:r>
              <w:rPr>
                <w:rFonts w:hint="default" w:ascii="Times New Roman" w:hAnsi="Times New Roman" w:cs="Times New Roman"/>
                <w:b/>
                <w:bCs/>
                <w:lang w:eastAsia="zh-CN"/>
              </w:rPr>
              <w:t>（</w:t>
            </w:r>
            <w:r>
              <w:rPr>
                <w:rFonts w:hint="default" w:ascii="Times New Roman" w:hAnsi="Times New Roman" w:cs="Times New Roman"/>
                <w:b/>
                <w:bCs/>
              </w:rPr>
              <w:t>A</w:t>
            </w:r>
            <w:r>
              <w:rPr>
                <w:rFonts w:hint="default" w:ascii="Times New Roman" w:hAnsi="Times New Roman" w:cs="Times New Roman"/>
                <w:b/>
                <w:bCs/>
                <w:lang w:eastAsia="zh-CN"/>
              </w:rPr>
              <w:t>）</w:t>
            </w:r>
            <w:r>
              <w:rPr>
                <w:rFonts w:hint="default" w:ascii="Times New Roman" w:hAnsi="Times New Roman" w:eastAsia="宋体" w:cs="Times New Roman"/>
                <w:b/>
                <w:bCs/>
                <w:lang w:eastAsia="zh-CN"/>
              </w:rPr>
              <w:t>]</w:t>
            </w:r>
          </w:p>
          <w:tbl>
            <w:tblPr>
              <w:tblStyle w:val="17"/>
              <w:tblW w:w="79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2"/>
              <w:gridCol w:w="1477"/>
              <w:gridCol w:w="1474"/>
              <w:gridCol w:w="3961"/>
            </w:tblGrid>
            <w:tr w14:paraId="51D3B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1062" w:type="dxa"/>
                  <w:noWrap w:val="0"/>
                  <w:vAlign w:val="center"/>
                </w:tcPr>
                <w:p w14:paraId="2E98FA3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类别</w:t>
                  </w:r>
                </w:p>
              </w:tc>
              <w:tc>
                <w:tcPr>
                  <w:tcW w:w="1477" w:type="dxa"/>
                  <w:noWrap w:val="0"/>
                  <w:vAlign w:val="center"/>
                </w:tcPr>
                <w:p w14:paraId="297843F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lang w:eastAsia="zh-CN"/>
                    </w:rPr>
                  </w:pPr>
                  <w:r>
                    <w:rPr>
                      <w:rFonts w:hint="default" w:ascii="Times New Roman" w:hAnsi="Times New Roman" w:cs="Times New Roman"/>
                    </w:rPr>
                    <w:t>昼</w:t>
                  </w:r>
                  <w:r>
                    <w:rPr>
                      <w:rFonts w:hint="default" w:ascii="Times New Roman" w:hAnsi="Times New Roman" w:cs="Times New Roman"/>
                      <w:lang w:eastAsia="zh-CN"/>
                    </w:rPr>
                    <w:t>间</w:t>
                  </w:r>
                </w:p>
              </w:tc>
              <w:tc>
                <w:tcPr>
                  <w:tcW w:w="1474" w:type="dxa"/>
                  <w:noWrap w:val="0"/>
                  <w:vAlign w:val="center"/>
                </w:tcPr>
                <w:p w14:paraId="39746BD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夜间</w:t>
                  </w:r>
                </w:p>
              </w:tc>
              <w:tc>
                <w:tcPr>
                  <w:tcW w:w="3961" w:type="dxa"/>
                  <w:noWrap w:val="0"/>
                  <w:vAlign w:val="center"/>
                </w:tcPr>
                <w:p w14:paraId="6A10580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标准来源</w:t>
                  </w:r>
                </w:p>
              </w:tc>
            </w:tr>
            <w:tr w14:paraId="0DFCC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062" w:type="dxa"/>
                  <w:noWrap w:val="0"/>
                  <w:vAlign w:val="center"/>
                </w:tcPr>
                <w:p w14:paraId="5854482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eastAsia" w:cs="Times New Roman"/>
                      <w:lang w:val="en-US" w:eastAsia="zh-CN"/>
                    </w:rPr>
                    <w:t>3</w:t>
                  </w:r>
                  <w:r>
                    <w:rPr>
                      <w:rFonts w:hint="default" w:ascii="Times New Roman" w:hAnsi="Times New Roman" w:cs="Times New Roman"/>
                    </w:rPr>
                    <w:t>类</w:t>
                  </w:r>
                </w:p>
              </w:tc>
              <w:tc>
                <w:tcPr>
                  <w:tcW w:w="1477" w:type="dxa"/>
                  <w:noWrap w:val="0"/>
                  <w:vAlign w:val="center"/>
                </w:tcPr>
                <w:p w14:paraId="4D578E1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ascii="Times New Roman" w:hAnsi="Times New Roman" w:eastAsia="宋体" w:cs="Times New Roman"/>
                      <w:lang w:eastAsia="zh-CN"/>
                    </w:rPr>
                  </w:pPr>
                  <w:r>
                    <w:rPr>
                      <w:rFonts w:hint="default" w:ascii="Times New Roman" w:hAnsi="Times New Roman" w:cs="Times New Roman"/>
                    </w:rPr>
                    <w:t>6</w:t>
                  </w:r>
                  <w:r>
                    <w:rPr>
                      <w:rFonts w:hint="eastAsia" w:cs="Times New Roman"/>
                      <w:lang w:val="en-US" w:eastAsia="zh-CN"/>
                    </w:rPr>
                    <w:t>5</w:t>
                  </w:r>
                </w:p>
              </w:tc>
              <w:tc>
                <w:tcPr>
                  <w:tcW w:w="1474" w:type="dxa"/>
                  <w:noWrap w:val="0"/>
                  <w:vAlign w:val="center"/>
                </w:tcPr>
                <w:p w14:paraId="3148038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ascii="Times New Roman" w:hAnsi="Times New Roman" w:eastAsia="宋体" w:cs="Times New Roman"/>
                      <w:lang w:eastAsia="zh-CN"/>
                    </w:rPr>
                  </w:pPr>
                  <w:r>
                    <w:rPr>
                      <w:rFonts w:hint="default" w:ascii="Times New Roman" w:hAnsi="Times New Roman" w:cs="Times New Roman"/>
                    </w:rPr>
                    <w:t>5</w:t>
                  </w:r>
                  <w:r>
                    <w:rPr>
                      <w:rFonts w:hint="eastAsia" w:cs="Times New Roman"/>
                      <w:lang w:val="en-US" w:eastAsia="zh-CN"/>
                    </w:rPr>
                    <w:t>5</w:t>
                  </w:r>
                </w:p>
              </w:tc>
              <w:tc>
                <w:tcPr>
                  <w:tcW w:w="3961" w:type="dxa"/>
                  <w:noWrap w:val="0"/>
                  <w:vAlign w:val="center"/>
                </w:tcPr>
                <w:p w14:paraId="140540C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rPr>
                  </w:pPr>
                  <w:r>
                    <w:rPr>
                      <w:rFonts w:hint="default" w:ascii="Times New Roman" w:hAnsi="Times New Roman" w:cs="Times New Roman"/>
                    </w:rPr>
                    <w:t>《工业企业厂界环境噪声排放标准》（GB12348-2008）</w:t>
                  </w:r>
                </w:p>
              </w:tc>
            </w:tr>
          </w:tbl>
          <w:p w14:paraId="26F17B9E">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4.固体废弃物</w:t>
            </w:r>
          </w:p>
          <w:p w14:paraId="10B88FC8">
            <w:pPr>
              <w:bidi w:val="0"/>
              <w:rPr>
                <w:rFonts w:hint="default" w:ascii="Times New Roman" w:hAnsi="Times New Roman" w:cs="Times New Roman"/>
              </w:rPr>
            </w:pPr>
            <w:r>
              <w:rPr>
                <w:rFonts w:hint="default" w:ascii="Times New Roman" w:hAnsi="Times New Roman" w:cs="Times New Roman"/>
                <w:color w:val="0000FF"/>
                <w:highlight w:val="none"/>
              </w:rPr>
              <w:t>一般工业固废执行《一般工业固体废物贮存和填埋污染控制标准》（GB18599-2020）。危险废物执行《危险废物贮存污染控制标准》（GB18597-20</w:t>
            </w:r>
            <w:r>
              <w:rPr>
                <w:rFonts w:hint="default" w:ascii="Times New Roman" w:hAnsi="Times New Roman" w:cs="Times New Roman"/>
                <w:color w:val="0000FF"/>
                <w:highlight w:val="none"/>
                <w:lang w:val="en-US" w:eastAsia="zh-CN"/>
              </w:rPr>
              <w:t>23</w:t>
            </w:r>
            <w:r>
              <w:rPr>
                <w:rFonts w:hint="default" w:ascii="Times New Roman" w:hAnsi="Times New Roman" w:cs="Times New Roman"/>
                <w:color w:val="0000FF"/>
                <w:highlight w:val="none"/>
              </w:rPr>
              <w:t>）</w:t>
            </w:r>
            <w:r>
              <w:rPr>
                <w:rFonts w:hint="default" w:ascii="Times New Roman" w:hAnsi="Times New Roman" w:cs="Times New Roman"/>
                <w:color w:val="0000FF"/>
                <w:highlight w:val="none"/>
                <w:lang w:val="en-US" w:eastAsia="zh-CN"/>
              </w:rPr>
              <w:t>要求</w:t>
            </w:r>
            <w:r>
              <w:rPr>
                <w:rFonts w:hint="eastAsia" w:cs="Times New Roman"/>
                <w:color w:val="0000FF"/>
                <w:highlight w:val="none"/>
                <w:lang w:val="en-US" w:eastAsia="zh-CN"/>
              </w:rPr>
              <w:t>。</w:t>
            </w:r>
          </w:p>
        </w:tc>
      </w:tr>
      <w:tr w14:paraId="55E0C4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401" w:type="dxa"/>
            <w:gridSpan w:val="2"/>
            <w:noWrap w:val="0"/>
            <w:vAlign w:val="center"/>
          </w:tcPr>
          <w:p w14:paraId="0382EF8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总量控制指标</w:t>
            </w:r>
          </w:p>
        </w:tc>
        <w:tc>
          <w:tcPr>
            <w:tcW w:w="7589" w:type="dxa"/>
            <w:noWrap w:val="0"/>
            <w:vAlign w:val="center"/>
          </w:tcPr>
          <w:p w14:paraId="15F2503D">
            <w:pPr>
              <w:bidi w:val="0"/>
              <w:rPr>
                <w:rFonts w:hint="eastAsia"/>
                <w:lang w:val="en-US" w:eastAsia="zh-CN"/>
              </w:rPr>
            </w:pPr>
            <w:r>
              <w:rPr>
                <w:rFonts w:hint="eastAsia"/>
                <w:lang w:val="en-US" w:eastAsia="zh-CN"/>
              </w:rPr>
              <w:t>本项目运营期无总量控制指标内污染物排放，因此无需申请总量控制指标。</w:t>
            </w:r>
          </w:p>
        </w:tc>
      </w:tr>
    </w:tbl>
    <w:p w14:paraId="77E1AAF7">
      <w:pPr>
        <w:pStyle w:val="13"/>
        <w:jc w:val="center"/>
        <w:outlineLvl w:val="0"/>
        <w:rPr>
          <w:rFonts w:hint="default" w:ascii="Times New Roman" w:hAnsi="Times New Roman" w:eastAsia="黑体" w:cs="Times New Roman"/>
          <w:snapToGrid w:val="0"/>
          <w:sz w:val="30"/>
          <w:szCs w:val="30"/>
        </w:rPr>
      </w:pPr>
      <w:r>
        <w:rPr>
          <w:rFonts w:hint="default" w:ascii="Times New Roman" w:hAnsi="Times New Roman" w:eastAsia="黑体" w:cs="Times New Roman"/>
          <w:snapToGrid w:val="0"/>
          <w:sz w:val="36"/>
          <w:szCs w:val="36"/>
        </w:rPr>
        <w:br w:type="page"/>
      </w:r>
      <w:r>
        <w:rPr>
          <w:rFonts w:hint="default" w:ascii="Times New Roman" w:hAnsi="Times New Roman" w:eastAsia="黑体" w:cs="Times New Roman"/>
          <w:snapToGrid w:val="0"/>
          <w:sz w:val="30"/>
          <w:szCs w:val="30"/>
        </w:rPr>
        <w:t>四、主要环境影响和保护措施</w:t>
      </w:r>
    </w:p>
    <w:tbl>
      <w:tblPr>
        <w:tblStyle w:val="17"/>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14:paraId="65E018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49" w:hRule="atLeast"/>
          <w:jc w:val="center"/>
        </w:trPr>
        <w:tc>
          <w:tcPr>
            <w:tcW w:w="746" w:type="dxa"/>
            <w:noWrap w:val="0"/>
            <w:tcMar>
              <w:left w:w="28" w:type="dxa"/>
              <w:right w:w="28" w:type="dxa"/>
            </w:tcMar>
            <w:vAlign w:val="center"/>
          </w:tcPr>
          <w:p w14:paraId="420C129B">
            <w:pPr>
              <w:pStyle w:val="13"/>
              <w:keepNext w:val="0"/>
              <w:keepLines w:val="0"/>
              <w:pageBreakBefore w:val="0"/>
              <w:kinsoku/>
              <w:wordWrap/>
              <w:overflowPunct/>
              <w:topLinePunct w:val="0"/>
              <w:autoSpaceDE/>
              <w:autoSpaceDN/>
              <w:bidi w:val="0"/>
              <w:adjustRightInd w:val="0"/>
              <w:snapToGrid w:val="0"/>
              <w:spacing w:before="0" w:beforeAutospacing="0" w:after="0" w:afterAutospacing="0"/>
              <w:ind w:firstLine="0" w:firstLineChars="0"/>
              <w:jc w:val="center"/>
              <w:textAlignment w:val="auto"/>
              <w:rPr>
                <w:rFonts w:hint="default" w:ascii="Times New Roman" w:hAnsi="Times New Roman" w:cs="Times New Roman"/>
                <w:bCs/>
                <w:kern w:val="2"/>
                <w:sz w:val="24"/>
                <w:szCs w:val="24"/>
              </w:rPr>
            </w:pPr>
            <w:r>
              <w:rPr>
                <w:rFonts w:hint="default" w:ascii="Times New Roman" w:hAnsi="Times New Roman" w:cs="Times New Roman"/>
                <w:kern w:val="2"/>
                <w:sz w:val="24"/>
                <w:szCs w:val="24"/>
              </w:rPr>
              <w:t>施工期环境保护措施</w:t>
            </w:r>
          </w:p>
        </w:tc>
        <w:tc>
          <w:tcPr>
            <w:tcW w:w="8162" w:type="dxa"/>
            <w:noWrap w:val="0"/>
            <w:vAlign w:val="center"/>
          </w:tcPr>
          <w:p w14:paraId="26B8267E">
            <w:pPr>
              <w:bidi w:val="0"/>
              <w:rPr>
                <w:rFonts w:hint="default" w:ascii="Times New Roman" w:hAnsi="Times New Roman" w:cs="Times New Roman"/>
              </w:rPr>
            </w:pPr>
            <w:r>
              <w:rPr>
                <w:rFonts w:hint="default" w:ascii="Times New Roman" w:hAnsi="Times New Roman" w:cs="Times New Roman"/>
              </w:rPr>
              <w:t>施工期污染源主要为扬尘、运输汽车及燃油机械产生的机械废气、施工人员</w:t>
            </w:r>
            <w:r>
              <w:rPr>
                <w:rFonts w:hint="eastAsia" w:cs="Times New Roman"/>
                <w:lang w:eastAsia="zh-CN"/>
              </w:rPr>
              <w:t>生活污水</w:t>
            </w:r>
            <w:r>
              <w:rPr>
                <w:rFonts w:hint="default" w:ascii="Times New Roman" w:hAnsi="Times New Roman" w:cs="Times New Roman"/>
              </w:rPr>
              <w:t>、建筑施工噪声和生活垃圾、建筑垃圾等。</w:t>
            </w:r>
          </w:p>
          <w:p w14:paraId="0222A045">
            <w:pPr>
              <w:bidi w:val="0"/>
              <w:rPr>
                <w:rFonts w:hint="default" w:ascii="Times New Roman" w:hAnsi="Times New Roman" w:cs="Times New Roman"/>
                <w:b/>
                <w:bCs/>
              </w:rPr>
            </w:pPr>
            <w:r>
              <w:rPr>
                <w:rFonts w:hint="default" w:ascii="Times New Roman" w:hAnsi="Times New Roman" w:cs="Times New Roman"/>
                <w:b/>
                <w:bCs/>
              </w:rPr>
              <w:t>1</w:t>
            </w:r>
            <w:r>
              <w:rPr>
                <w:rFonts w:hint="default" w:ascii="Times New Roman" w:hAnsi="Times New Roman" w:cs="Times New Roman"/>
                <w:b/>
                <w:bCs/>
                <w:lang w:val="en-US" w:eastAsia="zh-CN"/>
              </w:rPr>
              <w:t>.</w:t>
            </w:r>
            <w:r>
              <w:rPr>
                <w:rFonts w:hint="default" w:ascii="Times New Roman" w:hAnsi="Times New Roman" w:cs="Times New Roman"/>
                <w:b/>
                <w:bCs/>
              </w:rPr>
              <w:t>大气环境影响分析</w:t>
            </w:r>
          </w:p>
          <w:p w14:paraId="58A79D4F">
            <w:pPr>
              <w:bidi w:val="0"/>
              <w:rPr>
                <w:rFonts w:hint="default" w:ascii="Times New Roman" w:hAnsi="Times New Roman" w:cs="Times New Roman"/>
              </w:rPr>
            </w:pPr>
            <w:r>
              <w:rPr>
                <w:rFonts w:hint="default" w:ascii="Times New Roman" w:hAnsi="Times New Roman" w:cs="Times New Roman"/>
              </w:rPr>
              <w:t>施工期废气污染物主要源于各类燃油动力机械设备进行场地平整、运输材料产生的粉尘和汽车尾气，主要污染物为粉尘、NO</w:t>
            </w:r>
            <w:r>
              <w:rPr>
                <w:rFonts w:hint="default" w:ascii="Times New Roman" w:hAnsi="Times New Roman" w:cs="Times New Roman"/>
                <w:vertAlign w:val="subscript"/>
                <w:lang w:val="en-US" w:eastAsia="zh-CN"/>
              </w:rPr>
              <w:t>X</w:t>
            </w:r>
            <w:r>
              <w:rPr>
                <w:rFonts w:hint="default" w:ascii="Times New Roman" w:hAnsi="Times New Roman" w:cs="Times New Roman"/>
              </w:rPr>
              <w:t>、CO</w:t>
            </w:r>
            <w:r>
              <w:rPr>
                <w:rFonts w:hint="default" w:ascii="Times New Roman" w:hAnsi="Times New Roman" w:cs="Times New Roman"/>
                <w:vertAlign w:val="subscript"/>
              </w:rPr>
              <w:t>2</w:t>
            </w:r>
            <w:r>
              <w:rPr>
                <w:rFonts w:hint="default" w:ascii="Times New Roman" w:hAnsi="Times New Roman" w:cs="Times New Roman"/>
              </w:rPr>
              <w:t>。</w:t>
            </w:r>
          </w:p>
          <w:p w14:paraId="32DA75B3">
            <w:pPr>
              <w:bidi w:val="0"/>
              <w:rPr>
                <w:rFonts w:hint="default" w:ascii="Times New Roman" w:hAnsi="Times New Roman" w:cs="Times New Roman"/>
              </w:rPr>
            </w:pPr>
            <w:r>
              <w:rPr>
                <w:rFonts w:hint="default" w:ascii="Times New Roman" w:hAnsi="Times New Roman" w:cs="Times New Roman"/>
              </w:rPr>
              <w:t>施工期间产生的粉尘污染主要取决于施工作业方式、材料的堆放</w:t>
            </w:r>
            <w:r>
              <w:rPr>
                <w:rFonts w:hint="default" w:ascii="Times New Roman" w:hAnsi="Times New Roman" w:cs="Times New Roman"/>
                <w:lang w:eastAsia="zh-CN"/>
              </w:rPr>
              <w:t>以</w:t>
            </w:r>
            <w:r>
              <w:rPr>
                <w:rFonts w:hint="default" w:ascii="Times New Roman" w:hAnsi="Times New Roman" w:cs="Times New Roman"/>
              </w:rPr>
              <w:t>及风力等因素</w:t>
            </w:r>
            <w:r>
              <w:rPr>
                <w:rFonts w:hint="default" w:ascii="Times New Roman" w:hAnsi="Times New Roman" w:cs="Times New Roman"/>
                <w:lang w:eastAsia="zh-CN"/>
              </w:rPr>
              <w:t>。</w:t>
            </w:r>
            <w:r>
              <w:rPr>
                <w:rFonts w:hint="default" w:ascii="Times New Roman" w:hAnsi="Times New Roman" w:cs="Times New Roman"/>
              </w:rPr>
              <w:t>由于项目施工内容不多，施工期较短，粉尘影响较小。</w:t>
            </w:r>
          </w:p>
          <w:p w14:paraId="049CC150">
            <w:pPr>
              <w:bidi w:val="0"/>
              <w:rPr>
                <w:rFonts w:hint="default" w:ascii="Times New Roman" w:hAnsi="Times New Roman" w:cs="Times New Roman"/>
              </w:rPr>
            </w:pPr>
            <w:r>
              <w:rPr>
                <w:rFonts w:hint="default" w:ascii="Times New Roman" w:hAnsi="Times New Roman" w:cs="Times New Roman"/>
              </w:rPr>
              <w:t>根据《内蒙古自治区人民政府办公厅关于印发大气污染防治措施方案》要求，施工工地要做到工地周边围挡、材料堆放覆盖、土方开挖</w:t>
            </w:r>
            <w:r>
              <w:rPr>
                <w:rFonts w:hint="default" w:ascii="Times New Roman" w:hAnsi="Times New Roman" w:cs="Times New Roman"/>
                <w:lang w:eastAsia="zh-CN"/>
              </w:rPr>
              <w:t>采用</w:t>
            </w:r>
            <w:r>
              <w:rPr>
                <w:rFonts w:hint="default" w:ascii="Times New Roman" w:hAnsi="Times New Roman" w:cs="Times New Roman"/>
              </w:rPr>
              <w:t>湿法作业、路面硬化、渣土车密闭运输等，本项目应积极采取以上抑尘措施，并定期对场地进行洒水抑尘，减少对周边居民生活的影响。</w:t>
            </w:r>
          </w:p>
          <w:p w14:paraId="67D17A5C">
            <w:pPr>
              <w:bidi w:val="0"/>
              <w:rPr>
                <w:rFonts w:hint="default" w:ascii="Times New Roman" w:hAnsi="Times New Roman" w:cs="Times New Roman"/>
              </w:rPr>
            </w:pPr>
            <w:r>
              <w:rPr>
                <w:rFonts w:hint="default" w:ascii="Times New Roman" w:hAnsi="Times New Roman" w:cs="Times New Roman"/>
              </w:rPr>
              <w:t>此外</w:t>
            </w:r>
            <w:r>
              <w:rPr>
                <w:rFonts w:hint="default" w:ascii="Times New Roman" w:hAnsi="Times New Roman" w:cs="Times New Roman"/>
                <w:lang w:eastAsia="zh-CN"/>
              </w:rPr>
              <w:t>，</w:t>
            </w:r>
            <w:r>
              <w:rPr>
                <w:rFonts w:hint="default" w:ascii="Times New Roman" w:hAnsi="Times New Roman" w:cs="Times New Roman"/>
              </w:rPr>
              <w:t>燃油机械设备作业时产生的尾气，污染物主要为NO</w:t>
            </w:r>
            <w:r>
              <w:rPr>
                <w:rFonts w:hint="default" w:ascii="Times New Roman" w:hAnsi="Times New Roman" w:cs="Times New Roman"/>
                <w:vertAlign w:val="subscript"/>
                <w:lang w:val="en-US" w:eastAsia="zh-CN"/>
              </w:rPr>
              <w:t>X</w:t>
            </w:r>
            <w:r>
              <w:rPr>
                <w:rFonts w:hint="default" w:ascii="Times New Roman" w:hAnsi="Times New Roman" w:cs="Times New Roman"/>
              </w:rPr>
              <w:t>、CO</w:t>
            </w:r>
            <w:r>
              <w:rPr>
                <w:rFonts w:hint="default" w:ascii="Times New Roman" w:hAnsi="Times New Roman" w:cs="Times New Roman"/>
                <w:vertAlign w:val="subscript"/>
              </w:rPr>
              <w:t>2</w:t>
            </w:r>
            <w:r>
              <w:rPr>
                <w:rFonts w:hint="default" w:ascii="Times New Roman" w:hAnsi="Times New Roman" w:cs="Times New Roman"/>
                <w:lang w:eastAsia="zh-CN"/>
              </w:rPr>
              <w:t>和</w:t>
            </w:r>
            <w:r>
              <w:rPr>
                <w:rFonts w:hint="default" w:ascii="Times New Roman" w:hAnsi="Times New Roman" w:cs="Times New Roman"/>
              </w:rPr>
              <w:t>碳</w:t>
            </w:r>
            <w:r>
              <w:rPr>
                <w:rFonts w:hint="default" w:ascii="Times New Roman" w:hAnsi="Times New Roman" w:cs="Times New Roman"/>
                <w:lang w:eastAsia="zh-CN"/>
              </w:rPr>
              <w:t>氢</w:t>
            </w:r>
            <w:r>
              <w:rPr>
                <w:rFonts w:hint="default" w:ascii="Times New Roman" w:hAnsi="Times New Roman" w:cs="Times New Roman"/>
              </w:rPr>
              <w:t>化合物等，呈无组织排放。由于燃油机械本身要求达到尾气排放标准，因此正常情况下可达标排放。随着施工活动的结束，施工废气对环境空气的影响也就随之结束。</w:t>
            </w:r>
          </w:p>
          <w:p w14:paraId="70EE38FD">
            <w:pPr>
              <w:bidi w:val="0"/>
              <w:rPr>
                <w:rFonts w:hint="default" w:ascii="Times New Roman" w:hAnsi="Times New Roman" w:cs="Times New Roman"/>
                <w:b/>
                <w:bCs/>
              </w:rPr>
            </w:pPr>
            <w:r>
              <w:rPr>
                <w:rFonts w:hint="default" w:ascii="Times New Roman" w:hAnsi="Times New Roman" w:cs="Times New Roman"/>
                <w:b/>
                <w:bCs/>
              </w:rPr>
              <w:t>2</w:t>
            </w:r>
            <w:r>
              <w:rPr>
                <w:rFonts w:hint="default" w:ascii="Times New Roman" w:hAnsi="Times New Roman" w:cs="Times New Roman"/>
                <w:b/>
                <w:bCs/>
                <w:lang w:val="en-US" w:eastAsia="zh-CN"/>
              </w:rPr>
              <w:t>.</w:t>
            </w:r>
            <w:r>
              <w:rPr>
                <w:rFonts w:hint="default" w:ascii="Times New Roman" w:hAnsi="Times New Roman" w:cs="Times New Roman"/>
                <w:b/>
                <w:bCs/>
              </w:rPr>
              <w:t>水环境影响分析</w:t>
            </w:r>
          </w:p>
          <w:p w14:paraId="255F0091">
            <w:pPr>
              <w:bidi w:val="0"/>
              <w:rPr>
                <w:rFonts w:hint="default" w:ascii="Times New Roman" w:hAnsi="Times New Roman" w:cs="Times New Roman"/>
              </w:rPr>
            </w:pPr>
            <w:r>
              <w:rPr>
                <w:rFonts w:hint="default" w:ascii="Times New Roman" w:hAnsi="Times New Roman" w:cs="Times New Roman"/>
              </w:rPr>
              <w:t>本项目施工期产生的废水主要为施工人员的日常生活污水和建筑施工废水。施工人员最大人数为10人，每人每天用水60L/d，施工期3个月，施工期生活用水量为54</w:t>
            </w:r>
            <w:r>
              <w:rPr>
                <w:rFonts w:hint="default" w:ascii="Times New Roman" w:hAnsi="Times New Roman" w:cs="Times New Roman"/>
                <w:lang w:eastAsia="zh-CN"/>
              </w:rPr>
              <w:t>m³</w:t>
            </w:r>
            <w:r>
              <w:rPr>
                <w:rFonts w:hint="default" w:ascii="Times New Roman" w:hAnsi="Times New Roman" w:cs="Times New Roman"/>
              </w:rPr>
              <w:t>，生活污水的产生量按生活用水的80%计算，每天产生0.48</w:t>
            </w:r>
            <w:r>
              <w:rPr>
                <w:rFonts w:hint="default" w:ascii="Times New Roman" w:hAnsi="Times New Roman" w:cs="Times New Roman"/>
                <w:lang w:eastAsia="zh-CN"/>
              </w:rPr>
              <w:t>m³</w:t>
            </w:r>
            <w:r>
              <w:rPr>
                <w:rFonts w:hint="default" w:ascii="Times New Roman" w:hAnsi="Times New Roman" w:cs="Times New Roman"/>
              </w:rPr>
              <w:t>/d</w:t>
            </w:r>
            <w:r>
              <w:rPr>
                <w:rFonts w:hint="default" w:ascii="Times New Roman" w:hAnsi="Times New Roman" w:cs="Times New Roman"/>
                <w:lang w:eastAsia="zh-CN"/>
              </w:rPr>
              <w:t>，</w:t>
            </w:r>
            <w:r>
              <w:rPr>
                <w:rFonts w:hint="default" w:ascii="Times New Roman" w:hAnsi="Times New Roman" w:cs="Times New Roman"/>
              </w:rPr>
              <w:t>则施工期产生的生活污水为43.2</w:t>
            </w:r>
            <w:r>
              <w:rPr>
                <w:rFonts w:hint="default" w:ascii="Times New Roman" w:hAnsi="Times New Roman" w:cs="Times New Roman"/>
                <w:lang w:eastAsia="zh-CN"/>
              </w:rPr>
              <w:t>m³</w:t>
            </w:r>
            <w:r>
              <w:rPr>
                <w:rFonts w:hint="default" w:ascii="Times New Roman" w:hAnsi="Times New Roman" w:cs="Times New Roman"/>
              </w:rPr>
              <w:t>。为减少施工期间废水的污染，施工人员</w:t>
            </w:r>
            <w:r>
              <w:rPr>
                <w:rFonts w:hint="eastAsia" w:cs="Times New Roman"/>
                <w:lang w:eastAsia="zh-CN"/>
              </w:rPr>
              <w:t>进入</w:t>
            </w:r>
            <w:r>
              <w:rPr>
                <w:rFonts w:hint="default" w:ascii="Times New Roman" w:hAnsi="Times New Roman" w:cs="Times New Roman"/>
              </w:rPr>
              <w:t>现场建设临时设施后，应设置简易沉淀池</w:t>
            </w:r>
            <w:r>
              <w:rPr>
                <w:rFonts w:hint="default" w:ascii="Times New Roman" w:hAnsi="Times New Roman" w:cs="Times New Roman"/>
                <w:lang w:eastAsia="zh-CN"/>
              </w:rPr>
              <w:t>。</w:t>
            </w:r>
            <w:r>
              <w:rPr>
                <w:rFonts w:hint="default" w:ascii="Times New Roman" w:hAnsi="Times New Roman" w:cs="Times New Roman"/>
              </w:rPr>
              <w:t>施工生产</w:t>
            </w:r>
            <w:r>
              <w:rPr>
                <w:rFonts w:hint="default" w:ascii="Times New Roman" w:hAnsi="Times New Roman" w:cs="Times New Roman"/>
                <w:lang w:eastAsia="zh-CN"/>
              </w:rPr>
              <w:t>废水</w:t>
            </w:r>
            <w:r>
              <w:rPr>
                <w:rFonts w:hint="default" w:ascii="Times New Roman" w:hAnsi="Times New Roman" w:cs="Times New Roman"/>
              </w:rPr>
              <w:t>全部用于绿化、抑尘，不对外排放。施工人员</w:t>
            </w:r>
            <w:r>
              <w:rPr>
                <w:rFonts w:hint="default" w:ascii="Times New Roman" w:hAnsi="Times New Roman" w:cs="Times New Roman"/>
                <w:lang w:eastAsia="zh-CN"/>
              </w:rPr>
              <w:t>将</w:t>
            </w:r>
            <w:r>
              <w:rPr>
                <w:rFonts w:hint="default" w:ascii="Times New Roman" w:hAnsi="Times New Roman" w:cs="Times New Roman"/>
              </w:rPr>
              <w:t>生活污水</w:t>
            </w:r>
            <w:r>
              <w:rPr>
                <w:rFonts w:hint="default" w:ascii="Times New Roman" w:hAnsi="Times New Roman" w:cs="Times New Roman"/>
                <w:lang w:val="en-US" w:eastAsia="zh-CN"/>
              </w:rPr>
              <w:t>排入周边污水处理厂进行处置</w:t>
            </w:r>
            <w:r>
              <w:rPr>
                <w:rFonts w:hint="default" w:ascii="Times New Roman" w:hAnsi="Times New Roman" w:cs="Times New Roman"/>
              </w:rPr>
              <w:t>。</w:t>
            </w:r>
          </w:p>
          <w:p w14:paraId="42B82804">
            <w:pPr>
              <w:bidi w:val="0"/>
              <w:rPr>
                <w:rFonts w:hint="default" w:ascii="Times New Roman" w:hAnsi="Times New Roman" w:cs="Times New Roman"/>
                <w:b/>
                <w:bCs/>
              </w:rPr>
            </w:pPr>
            <w:r>
              <w:rPr>
                <w:rFonts w:hint="default" w:ascii="Times New Roman" w:hAnsi="Times New Roman" w:cs="Times New Roman"/>
                <w:b/>
                <w:bCs/>
              </w:rPr>
              <w:t>3</w:t>
            </w:r>
            <w:r>
              <w:rPr>
                <w:rFonts w:hint="default" w:ascii="Times New Roman" w:hAnsi="Times New Roman" w:cs="Times New Roman"/>
                <w:b/>
                <w:bCs/>
                <w:lang w:val="en-US" w:eastAsia="zh-CN"/>
              </w:rPr>
              <w:t>.</w:t>
            </w:r>
            <w:r>
              <w:rPr>
                <w:rFonts w:hint="default" w:ascii="Times New Roman" w:hAnsi="Times New Roman" w:cs="Times New Roman"/>
                <w:b/>
                <w:bCs/>
              </w:rPr>
              <w:t>声环境影响分析</w:t>
            </w:r>
          </w:p>
          <w:p w14:paraId="0C62BCDC">
            <w:pPr>
              <w:bidi w:val="0"/>
              <w:rPr>
                <w:rFonts w:hint="default" w:ascii="Times New Roman" w:hAnsi="Times New Roman" w:cs="Times New Roman"/>
              </w:rPr>
            </w:pPr>
            <w:r>
              <w:rPr>
                <w:rFonts w:hint="default" w:ascii="Times New Roman" w:hAnsi="Times New Roman" w:cs="Times New Roman"/>
              </w:rPr>
              <w:t>施工期的噪声主要由施工机械引起，项目拟采取的噪声防治措施主要是控制噪声源强和控制噪声的持续时间。</w:t>
            </w:r>
          </w:p>
          <w:p w14:paraId="676BE36C">
            <w:pPr>
              <w:bidi w:val="0"/>
              <w:rPr>
                <w:rFonts w:hint="default" w:ascii="Times New Roman" w:hAnsi="Times New Roman" w:cs="Times New Roman"/>
              </w:rPr>
            </w:pPr>
            <w:r>
              <w:rPr>
                <w:rFonts w:hint="default" w:ascii="Times New Roman" w:hAnsi="Times New Roman" w:cs="Times New Roman"/>
              </w:rPr>
              <w:t>本项目施工期噪声防治具体措施如下：</w:t>
            </w:r>
          </w:p>
          <w:p w14:paraId="3FF891E9">
            <w:pPr>
              <w:bidi w:val="0"/>
              <w:rPr>
                <w:rFonts w:hint="default" w:ascii="Times New Roman" w:hAnsi="Times New Roman" w:cs="Times New Roman"/>
              </w:rPr>
            </w:pPr>
            <w:r>
              <w:rPr>
                <w:rFonts w:hint="default" w:ascii="Times New Roman" w:hAnsi="Times New Roman" w:cs="Times New Roman"/>
                <w:lang w:eastAsia="zh-CN"/>
              </w:rPr>
              <w:t>（</w:t>
            </w:r>
            <w:r>
              <w:rPr>
                <w:rFonts w:hint="default" w:ascii="Times New Roman" w:hAnsi="Times New Roman" w:cs="Times New Roman"/>
                <w:lang w:val="en-US" w:eastAsia="zh-CN"/>
              </w:rPr>
              <w:t>1</w:t>
            </w:r>
            <w:r>
              <w:rPr>
                <w:rFonts w:hint="default" w:ascii="Times New Roman" w:hAnsi="Times New Roman" w:cs="Times New Roman"/>
                <w:lang w:eastAsia="zh-CN"/>
              </w:rPr>
              <w:t>）</w:t>
            </w:r>
            <w:r>
              <w:rPr>
                <w:rFonts w:hint="default" w:ascii="Times New Roman" w:hAnsi="Times New Roman" w:cs="Times New Roman"/>
              </w:rPr>
              <w:t>加强施工管理，合理安排施工作业时间</w:t>
            </w:r>
            <w:r>
              <w:rPr>
                <w:rFonts w:hint="default" w:ascii="Times New Roman" w:hAnsi="Times New Roman" w:cs="Times New Roman"/>
                <w:lang w:eastAsia="zh-CN"/>
              </w:rPr>
              <w:t>；</w:t>
            </w:r>
          </w:p>
          <w:p w14:paraId="4094FE5A">
            <w:pPr>
              <w:bidi w:val="0"/>
              <w:rPr>
                <w:rFonts w:hint="default" w:ascii="Times New Roman" w:hAnsi="Times New Roman" w:cs="Times New Roman"/>
                <w:lang w:eastAsia="zh-CN"/>
              </w:rPr>
            </w:pPr>
            <w:r>
              <w:rPr>
                <w:rFonts w:hint="default" w:ascii="Times New Roman" w:hAnsi="Times New Roman" w:cs="Times New Roman"/>
                <w:lang w:eastAsia="zh-CN"/>
              </w:rPr>
              <w:t>（</w:t>
            </w:r>
            <w:r>
              <w:rPr>
                <w:rFonts w:hint="default" w:ascii="Times New Roman" w:hAnsi="Times New Roman" w:cs="Times New Roman"/>
                <w:lang w:val="en-US" w:eastAsia="zh-CN"/>
              </w:rPr>
              <w:t>2</w:t>
            </w:r>
            <w:r>
              <w:rPr>
                <w:rFonts w:hint="default" w:ascii="Times New Roman" w:hAnsi="Times New Roman" w:cs="Times New Roman"/>
                <w:lang w:eastAsia="zh-CN"/>
              </w:rPr>
              <w:t>）</w:t>
            </w:r>
            <w:r>
              <w:rPr>
                <w:rFonts w:hint="default" w:ascii="Times New Roman" w:hAnsi="Times New Roman" w:cs="Times New Roman"/>
              </w:rPr>
              <w:t>在设备选型中应选用</w:t>
            </w:r>
            <w:r>
              <w:rPr>
                <w:rFonts w:hint="eastAsia" w:cs="Times New Roman"/>
                <w:lang w:eastAsia="zh-CN"/>
              </w:rPr>
              <w:t>噪声</w:t>
            </w:r>
            <w:r>
              <w:rPr>
                <w:rFonts w:hint="default" w:ascii="Times New Roman" w:hAnsi="Times New Roman" w:cs="Times New Roman"/>
              </w:rPr>
              <w:t>低、振动小的设备。现场高产噪机械设备采取隔（消）声措施（如加装消声器、吸声屏等）和减</w:t>
            </w:r>
            <w:r>
              <w:rPr>
                <w:rFonts w:hint="default" w:ascii="Times New Roman" w:hAnsi="Times New Roman" w:cs="Times New Roman"/>
                <w:lang w:eastAsia="zh-CN"/>
              </w:rPr>
              <w:t>振</w:t>
            </w:r>
            <w:r>
              <w:rPr>
                <w:rFonts w:hint="default" w:ascii="Times New Roman" w:hAnsi="Times New Roman" w:cs="Times New Roman"/>
              </w:rPr>
              <w:t>措施（如在施工机械与设备与基础或连接部位之间采用弹簧减</w:t>
            </w:r>
            <w:r>
              <w:rPr>
                <w:rFonts w:hint="default" w:ascii="Times New Roman" w:hAnsi="Times New Roman" w:cs="Times New Roman"/>
                <w:lang w:eastAsia="zh-CN"/>
              </w:rPr>
              <w:t>振</w:t>
            </w:r>
            <w:r>
              <w:rPr>
                <w:rFonts w:hint="default" w:ascii="Times New Roman" w:hAnsi="Times New Roman" w:cs="Times New Roman"/>
              </w:rPr>
              <w:t>、橡胶减</w:t>
            </w:r>
            <w:r>
              <w:rPr>
                <w:rFonts w:hint="default" w:ascii="Times New Roman" w:hAnsi="Times New Roman" w:cs="Times New Roman"/>
                <w:lang w:eastAsia="zh-CN"/>
              </w:rPr>
              <w:t>振</w:t>
            </w:r>
            <w:r>
              <w:rPr>
                <w:rFonts w:hint="default" w:ascii="Times New Roman" w:hAnsi="Times New Roman" w:cs="Times New Roman"/>
              </w:rPr>
              <w:t>、管道减</w:t>
            </w:r>
            <w:r>
              <w:rPr>
                <w:rFonts w:hint="default" w:ascii="Times New Roman" w:hAnsi="Times New Roman" w:cs="Times New Roman"/>
                <w:lang w:eastAsia="zh-CN"/>
              </w:rPr>
              <w:t>振</w:t>
            </w:r>
            <w:r>
              <w:rPr>
                <w:rFonts w:hint="default" w:ascii="Times New Roman" w:hAnsi="Times New Roman" w:cs="Times New Roman"/>
              </w:rPr>
              <w:t>、阻尼减</w:t>
            </w:r>
            <w:r>
              <w:rPr>
                <w:rFonts w:hint="default" w:ascii="Times New Roman" w:hAnsi="Times New Roman" w:cs="Times New Roman"/>
                <w:lang w:eastAsia="zh-CN"/>
              </w:rPr>
              <w:t>振</w:t>
            </w:r>
            <w:r>
              <w:rPr>
                <w:rFonts w:hint="default" w:ascii="Times New Roman" w:hAnsi="Times New Roman" w:cs="Times New Roman"/>
              </w:rPr>
              <w:t>技术等）</w:t>
            </w:r>
            <w:r>
              <w:rPr>
                <w:rFonts w:hint="default" w:ascii="Times New Roman" w:hAnsi="Times New Roman" w:cs="Times New Roman"/>
                <w:lang w:eastAsia="zh-CN"/>
              </w:rPr>
              <w:t>；</w:t>
            </w:r>
          </w:p>
          <w:p w14:paraId="00827A6A">
            <w:pPr>
              <w:bidi w:val="0"/>
              <w:rPr>
                <w:rFonts w:hint="default" w:ascii="Times New Roman" w:hAnsi="Times New Roman" w:cs="Times New Roman"/>
              </w:rPr>
            </w:pPr>
            <w:r>
              <w:rPr>
                <w:rFonts w:hint="default" w:ascii="Times New Roman" w:hAnsi="Times New Roman" w:cs="Times New Roman"/>
                <w:lang w:eastAsia="zh-CN"/>
              </w:rPr>
              <w:t>（</w:t>
            </w:r>
            <w:r>
              <w:rPr>
                <w:rFonts w:hint="default" w:ascii="Times New Roman" w:hAnsi="Times New Roman" w:cs="Times New Roman"/>
                <w:lang w:val="en-US" w:eastAsia="zh-CN"/>
              </w:rPr>
              <w:t>3</w:t>
            </w:r>
            <w:r>
              <w:rPr>
                <w:rFonts w:hint="default" w:ascii="Times New Roman" w:hAnsi="Times New Roman" w:cs="Times New Roman"/>
                <w:lang w:eastAsia="zh-CN"/>
              </w:rPr>
              <w:t>）</w:t>
            </w:r>
            <w:r>
              <w:rPr>
                <w:rFonts w:hint="default" w:ascii="Times New Roman" w:hAnsi="Times New Roman" w:cs="Times New Roman"/>
              </w:rPr>
              <w:t>使用商品混凝土，以避免搅拌机运行产生的噪声扰民；同时，尽量采用低噪声设备进行施工，减轻</w:t>
            </w:r>
            <w:r>
              <w:rPr>
                <w:rFonts w:hint="eastAsia" w:cs="Times New Roman"/>
                <w:lang w:eastAsia="zh-CN"/>
              </w:rPr>
              <w:t>整机噪声</w:t>
            </w:r>
            <w:r>
              <w:rPr>
                <w:rFonts w:hint="default" w:ascii="Times New Roman" w:hAnsi="Times New Roman" w:cs="Times New Roman"/>
              </w:rPr>
              <w:t>的影响程度；</w:t>
            </w:r>
          </w:p>
          <w:p w14:paraId="6D319C71">
            <w:pPr>
              <w:bidi w:val="0"/>
              <w:rPr>
                <w:rFonts w:hint="default" w:ascii="Times New Roman" w:hAnsi="Times New Roman" w:cs="Times New Roman"/>
              </w:rPr>
            </w:pPr>
            <w:r>
              <w:rPr>
                <w:rFonts w:hint="default" w:ascii="Times New Roman" w:hAnsi="Times New Roman" w:cs="Times New Roman"/>
                <w:lang w:eastAsia="zh-CN"/>
              </w:rPr>
              <w:t>（</w:t>
            </w:r>
            <w:r>
              <w:rPr>
                <w:rFonts w:hint="default" w:ascii="Times New Roman" w:hAnsi="Times New Roman" w:cs="Times New Roman"/>
                <w:lang w:val="en-US" w:eastAsia="zh-CN"/>
              </w:rPr>
              <w:t>4</w:t>
            </w:r>
            <w:r>
              <w:rPr>
                <w:rFonts w:hint="default" w:ascii="Times New Roman" w:hAnsi="Times New Roman" w:cs="Times New Roman"/>
                <w:lang w:eastAsia="zh-CN"/>
              </w:rPr>
              <w:t>）</w:t>
            </w:r>
            <w:r>
              <w:rPr>
                <w:rFonts w:hint="default" w:ascii="Times New Roman" w:hAnsi="Times New Roman" w:cs="Times New Roman"/>
              </w:rPr>
              <w:t>尽量减少施工区汽车数量与行车密度，控制汽车鸣笛；</w:t>
            </w:r>
          </w:p>
          <w:p w14:paraId="18A3377E">
            <w:pPr>
              <w:bidi w:val="0"/>
              <w:rPr>
                <w:rFonts w:hint="default" w:ascii="Times New Roman" w:hAnsi="Times New Roman" w:cs="Times New Roman"/>
              </w:rPr>
            </w:pPr>
            <w:r>
              <w:rPr>
                <w:rFonts w:hint="default" w:ascii="Times New Roman" w:hAnsi="Times New Roman" w:cs="Times New Roman"/>
                <w:lang w:eastAsia="zh-CN"/>
              </w:rPr>
              <w:t>（</w:t>
            </w: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做到文明施工，特别要杜绝人为敲打、野蛮装卸等噪声现象，最大限度限制噪声扰民。</w:t>
            </w:r>
          </w:p>
          <w:p w14:paraId="23C4FE57">
            <w:pPr>
              <w:bidi w:val="0"/>
              <w:rPr>
                <w:rFonts w:hint="default" w:ascii="Times New Roman" w:hAnsi="Times New Roman" w:cs="Times New Roman"/>
              </w:rPr>
            </w:pPr>
            <w:r>
              <w:rPr>
                <w:rFonts w:hint="default" w:ascii="Times New Roman" w:hAnsi="Times New Roman" w:cs="Times New Roman"/>
              </w:rPr>
              <w:t>在采取上述措施</w:t>
            </w:r>
            <w:r>
              <w:rPr>
                <w:rFonts w:hint="default" w:ascii="Times New Roman" w:hAnsi="Times New Roman" w:cs="Times New Roman"/>
                <w:lang w:eastAsia="zh-CN"/>
              </w:rPr>
              <w:t>后，</w:t>
            </w:r>
            <w:r>
              <w:rPr>
                <w:rFonts w:hint="default" w:ascii="Times New Roman" w:hAnsi="Times New Roman" w:cs="Times New Roman"/>
              </w:rPr>
              <w:t>可有效降低施工噪声对外环境的影响。</w:t>
            </w:r>
          </w:p>
          <w:p w14:paraId="1A118BAA">
            <w:pPr>
              <w:bidi w:val="0"/>
              <w:rPr>
                <w:rFonts w:hint="default" w:ascii="Times New Roman" w:hAnsi="Times New Roman" w:cs="Times New Roman"/>
                <w:b/>
                <w:bCs/>
              </w:rPr>
            </w:pPr>
            <w:r>
              <w:rPr>
                <w:rFonts w:hint="default" w:ascii="Times New Roman" w:hAnsi="Times New Roman" w:cs="Times New Roman"/>
                <w:b/>
                <w:bCs/>
              </w:rPr>
              <w:t>4</w:t>
            </w:r>
            <w:r>
              <w:rPr>
                <w:rFonts w:hint="default" w:ascii="Times New Roman" w:hAnsi="Times New Roman" w:cs="Times New Roman"/>
                <w:b/>
                <w:bCs/>
                <w:lang w:val="en-US" w:eastAsia="zh-CN"/>
              </w:rPr>
              <w:t>.</w:t>
            </w:r>
            <w:r>
              <w:rPr>
                <w:rFonts w:hint="default" w:ascii="Times New Roman" w:hAnsi="Times New Roman" w:cs="Times New Roman"/>
                <w:b/>
                <w:bCs/>
              </w:rPr>
              <w:t>固体废弃物环境影响分析</w:t>
            </w:r>
          </w:p>
          <w:p w14:paraId="4819D422">
            <w:pPr>
              <w:bidi w:val="0"/>
              <w:rPr>
                <w:rFonts w:hint="default" w:ascii="Times New Roman" w:hAnsi="Times New Roman" w:cs="Times New Roman"/>
              </w:rPr>
            </w:pPr>
            <w:r>
              <w:rPr>
                <w:rFonts w:hint="default" w:ascii="Times New Roman" w:hAnsi="Times New Roman" w:cs="Times New Roman"/>
              </w:rPr>
              <w:t>本项目施工期产生的固体废弃物主要为建筑废料和施工人员产生的生活垃圾。</w:t>
            </w:r>
          </w:p>
          <w:p w14:paraId="1D36D13A">
            <w:pPr>
              <w:bidi w:val="0"/>
              <w:rPr>
                <w:rFonts w:hint="default" w:ascii="Times New Roman" w:hAnsi="Times New Roman" w:cs="Times New Roman"/>
              </w:rPr>
            </w:pPr>
            <w:r>
              <w:rPr>
                <w:rFonts w:hint="default" w:ascii="Times New Roman" w:hAnsi="Times New Roman" w:cs="Times New Roman"/>
              </w:rPr>
              <w:t>本项目产生的建筑垃圾主要为废弃钢材、木材、混凝土废料、含砖、石、砂的杂土等，项目施工过程中产生的建筑垃圾由施工单位运往城建部门</w:t>
            </w:r>
            <w:r>
              <w:rPr>
                <w:rFonts w:hint="default" w:ascii="Times New Roman" w:hAnsi="Times New Roman" w:cs="Times New Roman"/>
                <w:lang w:eastAsia="zh-CN"/>
              </w:rPr>
              <w:t>指</w:t>
            </w:r>
            <w:r>
              <w:rPr>
                <w:rFonts w:hint="default" w:ascii="Times New Roman" w:hAnsi="Times New Roman" w:cs="Times New Roman"/>
              </w:rPr>
              <w:t>定地点统一处理。施工期生活垃圾主要来自施工人员日常生活，施工人员</w:t>
            </w:r>
            <w:r>
              <w:rPr>
                <w:rFonts w:hint="eastAsia" w:cs="Times New Roman"/>
                <w:lang w:eastAsia="zh-CN"/>
              </w:rPr>
              <w:t>最多</w:t>
            </w:r>
            <w:r>
              <w:rPr>
                <w:rFonts w:hint="default" w:ascii="Times New Roman" w:hAnsi="Times New Roman" w:cs="Times New Roman"/>
              </w:rPr>
              <w:t>10人，每人每天产生0.5kg/d，施工期共产生生活垃圾0.45t，生活垃圾经收集后交由当地环卫部门统一处理，对环境影响较小。</w:t>
            </w:r>
          </w:p>
          <w:p w14:paraId="1A6BC057">
            <w:pPr>
              <w:bidi w:val="0"/>
              <w:rPr>
                <w:rFonts w:hint="default" w:ascii="Times New Roman" w:hAnsi="Times New Roman" w:cs="Times New Roman"/>
              </w:rPr>
            </w:pPr>
            <w:r>
              <w:rPr>
                <w:rFonts w:hint="default" w:ascii="Times New Roman" w:hAnsi="Times New Roman" w:cs="Times New Roman"/>
              </w:rPr>
              <w:t>施工期产生的固体废弃物主要为建筑垃圾及生活垃圾，本项目施工期固废防治措施具体如下：</w:t>
            </w:r>
          </w:p>
          <w:p w14:paraId="5B17ACE2">
            <w:pPr>
              <w:bidi w:val="0"/>
              <w:rPr>
                <w:rFonts w:hint="default" w:ascii="Times New Roman" w:hAnsi="Times New Roman" w:cs="Times New Roman"/>
              </w:rPr>
            </w:pPr>
            <w:r>
              <w:rPr>
                <w:rFonts w:hint="default" w:ascii="Times New Roman" w:hAnsi="Times New Roman" w:cs="Times New Roman"/>
              </w:rPr>
              <w:t>①项目施工过程中产生的建筑垃圾可回收利用的部分应回收利用，不可回收利用的部分应交由当地环卫部门处理，进行妥善处置，防止因长期堆存而产生扬尘等污染。</w:t>
            </w:r>
          </w:p>
          <w:p w14:paraId="79BA05EE">
            <w:pPr>
              <w:bidi w:val="0"/>
              <w:rPr>
                <w:rFonts w:hint="default" w:ascii="Times New Roman" w:hAnsi="Times New Roman" w:cs="Times New Roman"/>
              </w:rPr>
            </w:pPr>
            <w:r>
              <w:rPr>
                <w:rFonts w:hint="default" w:ascii="Times New Roman" w:hAnsi="Times New Roman" w:cs="Times New Roman"/>
              </w:rPr>
              <w:t>②项目产生的生活垃圾经垃圾桶收集后</w:t>
            </w:r>
            <w:r>
              <w:rPr>
                <w:rFonts w:hint="default" w:ascii="Times New Roman" w:hAnsi="Times New Roman" w:cs="Times New Roman"/>
                <w:lang w:eastAsia="zh-CN"/>
              </w:rPr>
              <w:t>，</w:t>
            </w:r>
            <w:r>
              <w:rPr>
                <w:rFonts w:hint="default" w:ascii="Times New Roman" w:hAnsi="Times New Roman" w:cs="Times New Roman"/>
              </w:rPr>
              <w:t>运至垃圾堆放</w:t>
            </w:r>
            <w:r>
              <w:rPr>
                <w:rFonts w:hint="default" w:ascii="Times New Roman" w:hAnsi="Times New Roman" w:cs="Times New Roman"/>
                <w:lang w:eastAsia="zh-CN"/>
              </w:rPr>
              <w:t>点后，交由当地环卫部门处理</w:t>
            </w:r>
            <w:r>
              <w:rPr>
                <w:rFonts w:hint="default" w:ascii="Times New Roman" w:hAnsi="Times New Roman" w:cs="Times New Roman"/>
              </w:rPr>
              <w:t>。</w:t>
            </w:r>
          </w:p>
          <w:p w14:paraId="7BF27D09">
            <w:pPr>
              <w:adjustRightInd w:val="0"/>
              <w:snapToGrid w:val="0"/>
              <w:rPr>
                <w:rFonts w:hint="default" w:ascii="Times New Roman" w:hAnsi="Times New Roman" w:cs="Times New Roman"/>
                <w:bCs/>
                <w:spacing w:val="-10"/>
                <w:sz w:val="24"/>
                <w:szCs w:val="24"/>
              </w:rPr>
            </w:pPr>
            <w:r>
              <w:rPr>
                <w:rFonts w:hint="default" w:ascii="Times New Roman" w:hAnsi="Times New Roman" w:cs="Times New Roman"/>
                <w:lang w:val="en-US" w:eastAsia="zh-CN"/>
              </w:rPr>
              <w:t>本项目位于原有厂区内，不新增占地，施工期间，不会对周边生态环境、植被造成破坏和水土流失影响。因此，施工期间应加强管理，合理安排施工时间，尽量避免在雨季和大风天气施工。</w:t>
            </w:r>
          </w:p>
        </w:tc>
      </w:tr>
      <w:tr w14:paraId="4CBBB9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55" w:hRule="atLeast"/>
          <w:jc w:val="center"/>
        </w:trPr>
        <w:tc>
          <w:tcPr>
            <w:tcW w:w="746" w:type="dxa"/>
            <w:noWrap w:val="0"/>
            <w:tcMar>
              <w:left w:w="28" w:type="dxa"/>
              <w:right w:w="28" w:type="dxa"/>
            </w:tcMar>
            <w:vAlign w:val="center"/>
          </w:tcPr>
          <w:p w14:paraId="1BBACC9B">
            <w:pPr>
              <w:keepNext w:val="0"/>
              <w:keepLines w:val="0"/>
              <w:pageBreakBefore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Cs/>
                <w:sz w:val="24"/>
                <w:szCs w:val="24"/>
              </w:rPr>
            </w:pPr>
            <w:r>
              <w:rPr>
                <w:rFonts w:hint="default" w:ascii="Times New Roman" w:hAnsi="Times New Roman" w:cs="Times New Roman"/>
                <w:bCs/>
                <w:sz w:val="24"/>
                <w:szCs w:val="24"/>
              </w:rPr>
              <w:t>运营期环境影响和保护措施</w:t>
            </w:r>
          </w:p>
        </w:tc>
        <w:tc>
          <w:tcPr>
            <w:tcW w:w="8162" w:type="dxa"/>
            <w:noWrap w:val="0"/>
            <w:vAlign w:val="center"/>
          </w:tcPr>
          <w:p w14:paraId="67513D6C">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一、大气环境影响分析及环境保护措施</w:t>
            </w:r>
          </w:p>
          <w:p w14:paraId="76C02E8F">
            <w:pPr>
              <w:bidi w:val="0"/>
              <w:rPr>
                <w:rFonts w:hint="default" w:ascii="Times New Roman" w:hAnsi="Times New Roman" w:cs="Times New Roman"/>
                <w:lang w:val="en-US" w:eastAsia="zh-CN"/>
              </w:rPr>
            </w:pPr>
            <w:r>
              <w:rPr>
                <w:rFonts w:hint="default" w:ascii="Times New Roman" w:hAnsi="Times New Roman" w:cs="Times New Roman"/>
                <w:lang w:val="en-US" w:eastAsia="zh-CN"/>
              </w:rPr>
              <w:t>本项目运营期大气污染物主要为颗粒物，颗粒物来源为原料砂子、石子装卸扬尘、堆存产生的粉尘；</w:t>
            </w:r>
            <w:r>
              <w:rPr>
                <w:rFonts w:hint="eastAsia" w:cs="Times New Roman"/>
                <w:lang w:val="en-US" w:eastAsia="zh-CN"/>
              </w:rPr>
              <w:t>水泥、粉煤灰、筒仓仓顶呼吸孔粉尘</w:t>
            </w:r>
            <w:r>
              <w:rPr>
                <w:rFonts w:hint="default" w:ascii="Times New Roman" w:hAnsi="Times New Roman" w:cs="Times New Roman"/>
                <w:lang w:val="en-US" w:eastAsia="zh-CN"/>
              </w:rPr>
              <w:t>；物料混合搅拌产生的粉尘；运输车辆动力起尘。</w:t>
            </w:r>
          </w:p>
          <w:p w14:paraId="3B6BE67E">
            <w:pPr>
              <w:bidi w:val="0"/>
              <w:rPr>
                <w:rFonts w:hint="default" w:ascii="Times New Roman" w:hAnsi="Times New Roman" w:cs="Times New Roman"/>
                <w:b/>
                <w:bCs/>
                <w:lang w:val="en-US" w:eastAsia="zh-CN"/>
              </w:rPr>
            </w:pPr>
            <w:r>
              <w:rPr>
                <w:rFonts w:hint="eastAsia" w:cs="Times New Roman"/>
                <w:b/>
                <w:bCs/>
                <w:lang w:val="en-US" w:eastAsia="zh-CN"/>
              </w:rPr>
              <w:t>1.</w:t>
            </w:r>
            <w:r>
              <w:rPr>
                <w:rFonts w:hint="default" w:ascii="Times New Roman" w:hAnsi="Times New Roman" w:cs="Times New Roman"/>
                <w:b/>
                <w:bCs/>
                <w:lang w:val="en-US" w:eastAsia="zh-CN"/>
              </w:rPr>
              <w:t>废气源强核算</w:t>
            </w:r>
          </w:p>
          <w:p w14:paraId="1CCF5326">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（1）砂子、石子装卸扬尘、堆存粉尘</w:t>
            </w:r>
          </w:p>
          <w:p w14:paraId="33AA4DE1">
            <w:pPr>
              <w:bidi w:val="0"/>
              <w:rPr>
                <w:rFonts w:hint="default" w:ascii="Times New Roman" w:hAnsi="Times New Roman" w:cs="Times New Roman"/>
                <w:lang w:val="en-US" w:eastAsia="zh-CN"/>
              </w:rPr>
            </w:pPr>
            <w:r>
              <w:rPr>
                <w:rFonts w:hint="default" w:ascii="Times New Roman" w:hAnsi="Times New Roman" w:cs="Times New Roman"/>
                <w:lang w:val="en-US" w:eastAsia="zh-CN"/>
              </w:rPr>
              <w:t>本项目将砂子、石子堆放在全封闭的原料堆场内，因此砂子、石子在装卸、堆存过程中会产生一定的扬尘。工业企业固体物料堆存颗粒物包括装卸扬尘和风蚀扬尘，根据《工业源固体物料堆场颗粒物核算系数手册》附表2，颗粒物产生量核算公式如下：</w:t>
            </w:r>
          </w:p>
          <w:p w14:paraId="70332BC9">
            <w:pPr>
              <w:bidi w:val="0"/>
              <w:jc w:val="center"/>
              <w:rPr>
                <w:rFonts w:hint="default" w:ascii="Times New Roman" w:hAnsi="Times New Roman" w:cs="Times New Roman"/>
                <w:color w:val="auto"/>
                <w:vertAlign w:val="superscript"/>
                <w:lang w:val="en-US" w:eastAsia="zh-CN"/>
              </w:rPr>
            </w:pPr>
            <w:r>
              <w:rPr>
                <w:rFonts w:hint="default" w:ascii="Times New Roman" w:hAnsi="Times New Roman" w:cs="Times New Roman"/>
                <w:color w:val="auto"/>
                <w:lang w:val="en-US" w:eastAsia="zh-CN"/>
              </w:rPr>
              <w:t>P=ZC</w:t>
            </w:r>
            <w:r>
              <w:rPr>
                <w:rFonts w:hint="default" w:ascii="Times New Roman" w:hAnsi="Times New Roman" w:cs="Times New Roman"/>
                <w:color w:val="auto"/>
                <w:vertAlign w:val="subscript"/>
                <w:lang w:val="en-US" w:eastAsia="zh-CN"/>
              </w:rPr>
              <w:t>y</w:t>
            </w:r>
            <w:r>
              <w:rPr>
                <w:rFonts w:hint="default" w:ascii="Times New Roman" w:hAnsi="Times New Roman" w:cs="Times New Roman"/>
                <w:color w:val="auto"/>
                <w:lang w:val="en-US" w:eastAsia="zh-CN"/>
              </w:rPr>
              <w:t>+FC</w:t>
            </w:r>
            <w:r>
              <w:rPr>
                <w:rFonts w:hint="default" w:ascii="Times New Roman" w:hAnsi="Times New Roman" w:cs="Times New Roman"/>
                <w:color w:val="auto"/>
                <w:vertAlign w:val="subscript"/>
                <w:lang w:val="en-US" w:eastAsia="zh-CN"/>
              </w:rPr>
              <w:t>y</w:t>
            </w:r>
            <w:r>
              <w:rPr>
                <w:rFonts w:hint="default" w:ascii="Times New Roman" w:hAnsi="Times New Roman" w:cs="Times New Roman"/>
                <w:color w:val="auto"/>
                <w:lang w:val="en-US" w:eastAsia="zh-CN"/>
              </w:rPr>
              <w:t>={N</w:t>
            </w:r>
            <w:r>
              <w:rPr>
                <w:rFonts w:hint="default" w:ascii="Times New Roman" w:hAnsi="Times New Roman" w:cs="Times New Roman"/>
                <w:color w:val="auto"/>
                <w:vertAlign w:val="subscript"/>
                <w:lang w:val="en-US" w:eastAsia="zh-CN"/>
              </w:rPr>
              <w:t>c</w:t>
            </w:r>
            <w:r>
              <w:rPr>
                <w:rFonts w:hint="default" w:ascii="Times New Roman" w:hAnsi="Times New Roman" w:cs="Times New Roman"/>
                <w:color w:val="auto"/>
                <w:lang w:val="en-US" w:eastAsia="zh-CN"/>
              </w:rPr>
              <w:t>×D×(a/b)＋2×E</w:t>
            </w:r>
            <w:r>
              <w:rPr>
                <w:rFonts w:hint="default" w:ascii="Times New Roman" w:hAnsi="Times New Roman" w:cs="Times New Roman"/>
                <w:color w:val="auto"/>
                <w:vertAlign w:val="subscript"/>
                <w:lang w:val="en-US" w:eastAsia="zh-CN"/>
              </w:rPr>
              <w:t>f</w:t>
            </w:r>
            <w:r>
              <w:rPr>
                <w:rFonts w:hint="default" w:ascii="Times New Roman" w:hAnsi="Times New Roman" w:cs="Times New Roman"/>
                <w:color w:val="auto"/>
                <w:lang w:val="en-US" w:eastAsia="zh-CN"/>
              </w:rPr>
              <w:t>×S}×10</w:t>
            </w:r>
            <w:r>
              <w:rPr>
                <w:rFonts w:hint="default" w:ascii="Times New Roman" w:hAnsi="Times New Roman" w:cs="Times New Roman"/>
                <w:color w:val="auto"/>
                <w:vertAlign w:val="superscript"/>
                <w:lang w:val="en-US" w:eastAsia="zh-CN"/>
              </w:rPr>
              <w:t>-3</w:t>
            </w:r>
          </w:p>
          <w:p w14:paraId="158D448A">
            <w:pPr>
              <w:bidi w:val="0"/>
              <w:rPr>
                <w:rFonts w:hint="default" w:ascii="Times New Roman" w:hAnsi="Times New Roman" w:cs="Times New Roman"/>
                <w:lang w:val="en-US" w:eastAsia="zh-CN"/>
              </w:rPr>
            </w:pPr>
            <w:r>
              <w:rPr>
                <w:rFonts w:hint="default" w:ascii="Times New Roman" w:hAnsi="Times New Roman" w:cs="Times New Roman"/>
                <w:lang w:val="en-US" w:eastAsia="zh-CN"/>
              </w:rPr>
              <w:t>式中：</w:t>
            </w:r>
          </w:p>
          <w:p w14:paraId="1422F15B">
            <w:pPr>
              <w:bidi w:val="0"/>
              <w:rPr>
                <w:rFonts w:hint="default" w:ascii="Times New Roman" w:hAnsi="Times New Roman" w:cs="Times New Roman"/>
                <w:lang w:val="en-US" w:eastAsia="zh-CN"/>
              </w:rPr>
            </w:pPr>
            <w:r>
              <w:rPr>
                <w:rFonts w:hint="default" w:ascii="Times New Roman" w:hAnsi="Times New Roman" w:cs="Times New Roman"/>
                <w:lang w:val="en-US" w:eastAsia="zh-CN"/>
              </w:rPr>
              <w:t>ZCy—装卸扬尘产生量，t；</w:t>
            </w:r>
          </w:p>
          <w:p w14:paraId="5427FE2C">
            <w:pPr>
              <w:bidi w:val="0"/>
              <w:rPr>
                <w:rFonts w:hint="default" w:ascii="Times New Roman" w:hAnsi="Times New Roman" w:cs="Times New Roman"/>
                <w:lang w:val="en-US" w:eastAsia="zh-CN"/>
              </w:rPr>
            </w:pPr>
            <w:r>
              <w:rPr>
                <w:rFonts w:hint="default" w:ascii="Times New Roman" w:hAnsi="Times New Roman" w:cs="Times New Roman"/>
                <w:lang w:val="en-US" w:eastAsia="zh-CN"/>
              </w:rPr>
              <w:t>FCy—风蚀扬尘产生量，t；</w:t>
            </w:r>
          </w:p>
          <w:p w14:paraId="174F994C">
            <w:pPr>
              <w:bidi w:val="0"/>
              <w:rPr>
                <w:rFonts w:hint="default" w:ascii="Times New Roman" w:hAnsi="Times New Roman" w:cs="Times New Roman"/>
                <w:lang w:val="en-US" w:eastAsia="zh-CN"/>
              </w:rPr>
            </w:pPr>
            <w:r>
              <w:rPr>
                <w:rFonts w:hint="default" w:ascii="Times New Roman" w:hAnsi="Times New Roman" w:cs="Times New Roman"/>
                <w:lang w:val="en-US" w:eastAsia="zh-CN"/>
              </w:rPr>
              <w:t>Nc—年物料运载车次，取</w:t>
            </w:r>
            <w:r>
              <w:rPr>
                <w:rFonts w:hint="eastAsia" w:cs="Times New Roman"/>
                <w:lang w:val="en-US" w:eastAsia="zh-CN"/>
              </w:rPr>
              <w:t>14874</w:t>
            </w:r>
            <w:r>
              <w:rPr>
                <w:rFonts w:hint="default" w:ascii="Times New Roman" w:hAnsi="Times New Roman" w:cs="Times New Roman"/>
                <w:lang w:val="en-US" w:eastAsia="zh-CN"/>
              </w:rPr>
              <w:t>车；</w:t>
            </w:r>
          </w:p>
          <w:p w14:paraId="1DF79009">
            <w:pPr>
              <w:bidi w:val="0"/>
              <w:rPr>
                <w:rFonts w:hint="default" w:ascii="Times New Roman" w:hAnsi="Times New Roman" w:cs="Times New Roman"/>
                <w:lang w:val="en-US" w:eastAsia="zh-CN"/>
              </w:rPr>
            </w:pPr>
            <w:r>
              <w:rPr>
                <w:rFonts w:hint="default" w:ascii="Times New Roman" w:hAnsi="Times New Roman" w:cs="Times New Roman"/>
                <w:lang w:val="en-US" w:eastAsia="zh-CN"/>
              </w:rPr>
              <w:t>D—单车平均运载量，取50t/车；</w:t>
            </w:r>
          </w:p>
          <w:p w14:paraId="222BE927">
            <w:pPr>
              <w:bidi w:val="0"/>
              <w:rPr>
                <w:rFonts w:hint="default" w:ascii="Times New Roman" w:hAnsi="Times New Roman" w:cs="Times New Roman"/>
                <w:lang w:val="en-US" w:eastAsia="zh-CN"/>
              </w:rPr>
            </w:pPr>
            <w:r>
              <w:rPr>
                <w:rFonts w:hint="default" w:ascii="Times New Roman" w:hAnsi="Times New Roman" w:cs="Times New Roman"/>
                <w:lang w:val="en-US" w:eastAsia="zh-CN"/>
              </w:rPr>
              <w:t>a—内蒙古风速概化系数，取0.0017；</w:t>
            </w:r>
          </w:p>
          <w:p w14:paraId="1F13AAF8">
            <w:pPr>
              <w:bidi w:val="0"/>
              <w:rPr>
                <w:rFonts w:hint="default" w:ascii="Times New Roman" w:hAnsi="Times New Roman" w:cs="Times New Roman"/>
                <w:lang w:val="en-US" w:eastAsia="zh-CN"/>
              </w:rPr>
            </w:pPr>
            <w:r>
              <w:rPr>
                <w:rFonts w:hint="default" w:ascii="Times New Roman" w:hAnsi="Times New Roman" w:cs="Times New Roman"/>
                <w:lang w:val="en-US" w:eastAsia="zh-CN"/>
              </w:rPr>
              <w:t>b—物料含水率概化系数，取混合矿石0.0084；</w:t>
            </w:r>
          </w:p>
          <w:p w14:paraId="2BFAB2A0">
            <w:pPr>
              <w:bidi w:val="0"/>
              <w:rPr>
                <w:rFonts w:hint="default" w:ascii="Times New Roman" w:hAnsi="Times New Roman" w:cs="Times New Roman"/>
                <w:lang w:val="en-US" w:eastAsia="zh-CN"/>
              </w:rPr>
            </w:pPr>
            <w:r>
              <w:rPr>
                <w:rFonts w:hint="default" w:ascii="Times New Roman" w:hAnsi="Times New Roman" w:cs="Times New Roman"/>
                <w:lang w:val="en-US" w:eastAsia="zh-CN"/>
              </w:rPr>
              <w:t>Ef—堆场风蚀扬尘概化系数，取混合矿石0；</w:t>
            </w:r>
          </w:p>
          <w:p w14:paraId="17BF1453">
            <w:pPr>
              <w:bidi w:val="0"/>
              <w:rPr>
                <w:rFonts w:hint="default" w:ascii="Times New Roman" w:hAnsi="Times New Roman" w:cs="Times New Roman"/>
                <w:lang w:val="en-US" w:eastAsia="zh-CN"/>
              </w:rPr>
            </w:pPr>
            <w:r>
              <w:rPr>
                <w:rFonts w:hint="default" w:ascii="Times New Roman" w:hAnsi="Times New Roman" w:cs="Times New Roman"/>
                <w:lang w:val="en-US" w:eastAsia="zh-CN"/>
              </w:rPr>
              <w:t>S—堆场占地面积，取</w:t>
            </w:r>
            <w:r>
              <w:rPr>
                <w:rFonts w:hint="eastAsia" w:cs="Times New Roman"/>
                <w:lang w:val="en-US" w:eastAsia="zh-CN"/>
              </w:rPr>
              <w:t>1000</w:t>
            </w:r>
            <w:r>
              <w:rPr>
                <w:rFonts w:hint="default" w:ascii="Times New Roman" w:hAnsi="Times New Roman" w:cs="Times New Roman"/>
                <w:lang w:val="en-US" w:eastAsia="zh-CN"/>
              </w:rPr>
              <w:t>㎡。</w:t>
            </w:r>
          </w:p>
          <w:p w14:paraId="60E7D8C2">
            <w:pPr>
              <w:bidi w:val="0"/>
              <w:rPr>
                <w:rFonts w:hint="default" w:ascii="Times New Roman" w:hAnsi="Times New Roman" w:cs="Times New Roman"/>
                <w:lang w:val="en-US" w:eastAsia="zh-CN"/>
              </w:rPr>
            </w:pPr>
            <w:r>
              <w:rPr>
                <w:rFonts w:hint="default" w:ascii="Times New Roman" w:hAnsi="Times New Roman" w:cs="Times New Roman"/>
                <w:lang w:val="en-US" w:eastAsia="zh-CN"/>
              </w:rPr>
              <w:t>根据以上公式计算可知原料储存及卸料扬尘颗粒物产生量P=</w:t>
            </w:r>
            <w:r>
              <w:rPr>
                <w:rFonts w:hint="eastAsia"/>
                <w:highlight w:val="none"/>
                <w:lang w:val="en-US" w:eastAsia="zh-CN"/>
              </w:rPr>
              <w:t>2617.39t</w:t>
            </w:r>
            <w:r>
              <w:rPr>
                <w:rFonts w:hint="default" w:ascii="Times New Roman" w:hAnsi="Times New Roman" w:cs="Times New Roman"/>
                <w:lang w:val="en-US" w:eastAsia="zh-CN"/>
              </w:rPr>
              <w:t>。颗粒物排放量按下列公式进行核算：</w:t>
            </w:r>
          </w:p>
          <w:p w14:paraId="5E28CF6C">
            <w:pPr>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U</w:t>
            </w:r>
            <w:r>
              <w:rPr>
                <w:rFonts w:hint="default" w:ascii="Times New Roman" w:hAnsi="Times New Roman" w:cs="Times New Roman"/>
                <w:color w:val="auto"/>
                <w:vertAlign w:val="subscript"/>
                <w:lang w:val="en-US" w:eastAsia="zh-CN"/>
              </w:rPr>
              <w:t>c</w:t>
            </w:r>
            <w:r>
              <w:rPr>
                <w:rFonts w:hint="default" w:ascii="Times New Roman" w:hAnsi="Times New Roman" w:cs="Times New Roman"/>
                <w:color w:val="auto"/>
                <w:lang w:val="en-US" w:eastAsia="zh-CN"/>
              </w:rPr>
              <w:t>＝P×(1-C</w:t>
            </w:r>
            <w:r>
              <w:rPr>
                <w:rFonts w:hint="default" w:ascii="Times New Roman" w:hAnsi="Times New Roman" w:cs="Times New Roman"/>
                <w:color w:val="auto"/>
                <w:vertAlign w:val="subscript"/>
                <w:lang w:val="en-US" w:eastAsia="zh-CN"/>
              </w:rPr>
              <w:t>m</w:t>
            </w:r>
            <w:r>
              <w:rPr>
                <w:rFonts w:hint="default" w:ascii="Times New Roman" w:hAnsi="Times New Roman" w:cs="Times New Roman"/>
                <w:color w:val="auto"/>
                <w:lang w:val="en-US" w:eastAsia="zh-CN"/>
              </w:rPr>
              <w:t>)×(1-T</w:t>
            </w:r>
            <w:r>
              <w:rPr>
                <w:rFonts w:hint="default" w:ascii="Times New Roman" w:hAnsi="Times New Roman" w:cs="Times New Roman"/>
                <w:color w:val="auto"/>
                <w:vertAlign w:val="subscript"/>
                <w:lang w:val="en-US" w:eastAsia="zh-CN"/>
              </w:rPr>
              <w:t>m</w:t>
            </w:r>
            <w:r>
              <w:rPr>
                <w:rFonts w:hint="default" w:ascii="Times New Roman" w:hAnsi="Times New Roman" w:cs="Times New Roman"/>
                <w:color w:val="auto"/>
                <w:lang w:val="en-US" w:eastAsia="zh-CN"/>
              </w:rPr>
              <w:t>)</w:t>
            </w:r>
          </w:p>
          <w:p w14:paraId="00478825">
            <w:pPr>
              <w:bidi w:val="0"/>
              <w:rPr>
                <w:rFonts w:hint="default" w:ascii="Times New Roman" w:hAnsi="Times New Roman" w:cs="Times New Roman"/>
                <w:lang w:val="en-US" w:eastAsia="zh-CN"/>
              </w:rPr>
            </w:pPr>
            <w:r>
              <w:rPr>
                <w:rFonts w:hint="default" w:ascii="Times New Roman" w:hAnsi="Times New Roman" w:cs="Times New Roman"/>
                <w:lang w:val="en-US" w:eastAsia="zh-CN"/>
              </w:rPr>
              <w:t>式中：Uc—c指颗粒物排放量（单位：吨）；</w:t>
            </w:r>
          </w:p>
          <w:p w14:paraId="5F99402E">
            <w:pPr>
              <w:bidi w:val="0"/>
              <w:rPr>
                <w:rFonts w:hint="default" w:ascii="Times New Roman" w:hAnsi="Times New Roman" w:cs="Times New Roman"/>
                <w:lang w:val="en-US" w:eastAsia="zh-CN"/>
              </w:rPr>
            </w:pPr>
            <w:r>
              <w:rPr>
                <w:rFonts w:hint="default" w:ascii="Times New Roman" w:hAnsi="Times New Roman" w:cs="Times New Roman"/>
                <w:lang w:val="en-US" w:eastAsia="zh-CN"/>
              </w:rPr>
              <w:t>P—颗粒物产生量，t；</w:t>
            </w:r>
          </w:p>
          <w:p w14:paraId="33A6EDBB">
            <w:pPr>
              <w:bidi w:val="0"/>
              <w:rPr>
                <w:rFonts w:hint="default" w:ascii="Times New Roman" w:hAnsi="Times New Roman" w:cs="Times New Roman"/>
                <w:lang w:val="en-US" w:eastAsia="zh-CN"/>
              </w:rPr>
            </w:pPr>
            <w:r>
              <w:rPr>
                <w:rFonts w:hint="default" w:ascii="Times New Roman" w:hAnsi="Times New Roman" w:cs="Times New Roman"/>
                <w:lang w:val="en-US" w:eastAsia="zh-CN"/>
              </w:rPr>
              <w:t>Cm—颗粒物控制措施控制效率，项目砂石堆放区上方设置喷淋设施，故取74%；</w:t>
            </w:r>
          </w:p>
          <w:p w14:paraId="06AC01AC">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Tm—堆场类型控制效率，项目砂石原料堆场采取全封闭措施</w:t>
            </w:r>
            <w:r>
              <w:rPr>
                <w:rFonts w:hint="eastAsia" w:cs="Times New Roman"/>
                <w:color w:val="auto"/>
                <w:lang w:val="en-US" w:eastAsia="zh-CN"/>
              </w:rPr>
              <w:t>，采</w:t>
            </w:r>
            <w:r>
              <w:rPr>
                <w:rFonts w:hint="default" w:ascii="Times New Roman" w:hAnsi="Times New Roman" w:cs="Times New Roman"/>
                <w:color w:val="auto"/>
                <w:lang w:val="en-US" w:eastAsia="zh-CN"/>
              </w:rPr>
              <w:t>取90%。</w:t>
            </w:r>
          </w:p>
          <w:p w14:paraId="12DD793C">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根据以上公式计算可知原料储存及卸料扬尘颗粒物排放量Uc=</w:t>
            </w:r>
            <w:r>
              <w:rPr>
                <w:rFonts w:hint="eastAsia"/>
                <w:highlight w:val="none"/>
                <w:lang w:val="en-US" w:eastAsia="zh-CN"/>
              </w:rPr>
              <w:t>6.81</w:t>
            </w:r>
            <w:r>
              <w:rPr>
                <w:rFonts w:hint="default" w:ascii="Times New Roman" w:hAnsi="Times New Roman" w:cs="Times New Roman"/>
                <w:color w:val="auto"/>
                <w:lang w:val="en-US" w:eastAsia="zh-CN"/>
              </w:rPr>
              <w:t>t/a，以无组织形式排放。</w:t>
            </w:r>
          </w:p>
          <w:p w14:paraId="38491BC7">
            <w:pPr>
              <w:bidi w:val="0"/>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（2）水泥、粉煤灰筒仓仓顶呼吸孔粉尘</w:t>
            </w:r>
          </w:p>
          <w:p w14:paraId="6A5D3895">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本项目原料水泥和粉煤灰均为粉料，储存于立式圆形封闭储罐，建设项目共配置</w:t>
            </w:r>
            <w:r>
              <w:rPr>
                <w:rFonts w:hint="eastAsia" w:cs="Times New Roman"/>
                <w:color w:val="auto"/>
                <w:lang w:val="en-US" w:eastAsia="zh-CN"/>
              </w:rPr>
              <w:t>8</w:t>
            </w:r>
            <w:r>
              <w:rPr>
                <w:rFonts w:hint="default" w:ascii="Times New Roman" w:hAnsi="Times New Roman" w:cs="Times New Roman"/>
                <w:color w:val="auto"/>
                <w:lang w:val="en-US" w:eastAsia="zh-CN"/>
              </w:rPr>
              <w:t>个</w:t>
            </w:r>
            <w:r>
              <w:rPr>
                <w:rFonts w:hint="eastAsia" w:cs="Times New Roman"/>
                <w:color w:val="auto"/>
                <w:lang w:val="en-US" w:eastAsia="zh-CN"/>
              </w:rPr>
              <w:t>筒仓</w:t>
            </w:r>
            <w:r>
              <w:rPr>
                <w:rFonts w:hint="default" w:ascii="Times New Roman" w:hAnsi="Times New Roman" w:cs="Times New Roman"/>
                <w:color w:val="auto"/>
                <w:lang w:val="en-US" w:eastAsia="zh-CN"/>
              </w:rPr>
              <w:t>，其中</w:t>
            </w:r>
            <w:r>
              <w:rPr>
                <w:rFonts w:hint="eastAsia" w:cs="Times New Roman"/>
                <w:color w:val="auto"/>
                <w:lang w:val="en-US" w:eastAsia="zh-CN"/>
              </w:rPr>
              <w:t>4</w:t>
            </w:r>
            <w:r>
              <w:rPr>
                <w:rFonts w:hint="default" w:ascii="Times New Roman" w:hAnsi="Times New Roman" w:cs="Times New Roman"/>
                <w:color w:val="auto"/>
                <w:lang w:val="en-US" w:eastAsia="zh-CN"/>
              </w:rPr>
              <w:t>个水泥筒仓、</w:t>
            </w:r>
            <w:r>
              <w:rPr>
                <w:rFonts w:hint="eastAsia" w:cs="Times New Roman"/>
                <w:color w:val="auto"/>
                <w:lang w:val="en-US" w:eastAsia="zh-CN"/>
              </w:rPr>
              <w:t>4</w:t>
            </w:r>
            <w:r>
              <w:rPr>
                <w:rFonts w:hint="default" w:ascii="Times New Roman" w:hAnsi="Times New Roman" w:cs="Times New Roman"/>
                <w:color w:val="auto"/>
                <w:lang w:val="en-US" w:eastAsia="zh-CN"/>
              </w:rPr>
              <w:t>个粉煤灰筒仓，水泥筒仓每个储罐容积均为</w:t>
            </w:r>
            <w:r>
              <w:rPr>
                <w:rFonts w:hint="eastAsia" w:cs="Times New Roman"/>
                <w:color w:val="auto"/>
                <w:lang w:val="en-US" w:eastAsia="zh-CN"/>
              </w:rPr>
              <w:t>3</w:t>
            </w:r>
            <w:r>
              <w:rPr>
                <w:rFonts w:hint="default" w:ascii="Times New Roman" w:hAnsi="Times New Roman" w:cs="Times New Roman"/>
                <w:color w:val="auto"/>
                <w:lang w:val="en-US" w:eastAsia="zh-CN"/>
              </w:rPr>
              <w:t>00t，粉煤灰筒仓每个储罐容积均为</w:t>
            </w:r>
            <w:r>
              <w:rPr>
                <w:rFonts w:hint="eastAsia" w:cs="Times New Roman"/>
                <w:color w:val="auto"/>
                <w:lang w:val="en-US" w:eastAsia="zh-CN"/>
              </w:rPr>
              <w:t>3</w:t>
            </w:r>
            <w:r>
              <w:rPr>
                <w:rFonts w:hint="default" w:ascii="Times New Roman" w:hAnsi="Times New Roman" w:cs="Times New Roman"/>
                <w:color w:val="auto"/>
                <w:lang w:val="en-US" w:eastAsia="zh-CN"/>
              </w:rPr>
              <w:t>00t。</w:t>
            </w:r>
          </w:p>
          <w:p w14:paraId="1D5C5346">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①水泥筒仓仓顶粉尘</w:t>
            </w:r>
          </w:p>
          <w:p w14:paraId="050F258B">
            <w:pPr>
              <w:bidi w:val="0"/>
              <w:rPr>
                <w:rFonts w:hint="eastAsia"/>
                <w:lang w:val="en-US" w:eastAsia="zh-CN"/>
              </w:rPr>
            </w:pPr>
            <w:r>
              <w:rPr>
                <w:rFonts w:hint="default"/>
                <w:lang w:val="en-US" w:eastAsia="zh-CN"/>
              </w:rPr>
              <w:t>本项目设置水泥筒仓</w:t>
            </w:r>
            <w:r>
              <w:rPr>
                <w:rFonts w:hint="eastAsia"/>
                <w:lang w:val="en-US" w:eastAsia="zh-CN"/>
              </w:rPr>
              <w:t>4</w:t>
            </w:r>
            <w:r>
              <w:rPr>
                <w:rFonts w:hint="default"/>
                <w:lang w:val="en-US" w:eastAsia="zh-CN"/>
              </w:rPr>
              <w:t>座，容积均为</w:t>
            </w:r>
            <w:r>
              <w:rPr>
                <w:rFonts w:hint="eastAsia"/>
                <w:lang w:val="en-US" w:eastAsia="zh-CN"/>
              </w:rPr>
              <w:t>300</w:t>
            </w:r>
            <w:r>
              <w:rPr>
                <w:rFonts w:hint="default"/>
                <w:lang w:val="en-US" w:eastAsia="zh-CN"/>
              </w:rPr>
              <w:t>t，在散装水泥从罐车送至水泥仓时，水泥仓顶部呼吸孔会产生粉尘。本项目水泥原料年用量为</w:t>
            </w:r>
            <w:r>
              <w:rPr>
                <w:rFonts w:hint="eastAsia"/>
                <w:lang w:val="en-US" w:eastAsia="zh-CN"/>
              </w:rPr>
              <w:t>44600</w:t>
            </w:r>
            <w:r>
              <w:rPr>
                <w:rFonts w:hint="default"/>
                <w:lang w:val="en-US" w:eastAsia="zh-CN"/>
              </w:rPr>
              <w:t>t，每</w:t>
            </w:r>
            <w:r>
              <w:rPr>
                <w:rFonts w:hint="eastAsia"/>
                <w:lang w:val="en-US" w:eastAsia="zh-CN"/>
              </w:rPr>
              <w:t>300</w:t>
            </w:r>
            <w:r>
              <w:rPr>
                <w:rFonts w:hint="default"/>
                <w:lang w:val="en-US" w:eastAsia="zh-CN"/>
              </w:rPr>
              <w:t>t粉状原料筒仓车打入粉料筒仓用时3h，则</w:t>
            </w:r>
            <w:r>
              <w:rPr>
                <w:rFonts w:hint="eastAsia"/>
                <w:lang w:val="en-US" w:eastAsia="zh-CN"/>
              </w:rPr>
              <w:t>4</w:t>
            </w:r>
            <w:r>
              <w:rPr>
                <w:rFonts w:hint="default"/>
                <w:lang w:val="en-US" w:eastAsia="zh-CN"/>
              </w:rPr>
              <w:t>座水泥筒仓年卸料时间为</w:t>
            </w:r>
            <w:r>
              <w:rPr>
                <w:rFonts w:hint="eastAsia"/>
                <w:lang w:val="en-US" w:eastAsia="zh-CN"/>
              </w:rPr>
              <w:t>446</w:t>
            </w:r>
            <w:r>
              <w:rPr>
                <w:rFonts w:hint="default"/>
                <w:lang w:val="en-US" w:eastAsia="zh-CN"/>
              </w:rPr>
              <w:t>h/a，在</w:t>
            </w:r>
            <w:r>
              <w:rPr>
                <w:rFonts w:hint="eastAsia"/>
                <w:lang w:val="en-US" w:eastAsia="zh-CN"/>
              </w:rPr>
              <w:t>4</w:t>
            </w:r>
            <w:r>
              <w:rPr>
                <w:rFonts w:hint="default"/>
                <w:lang w:val="en-US" w:eastAsia="zh-CN"/>
              </w:rPr>
              <w:t>座水泥筒仓顶部各安装一台脉冲式布袋除尘器（过滤风速0.6m/min，过滤面积56</w:t>
            </w:r>
            <w:r>
              <w:rPr>
                <w:rFonts w:hint="eastAsia"/>
                <w:lang w:val="en-US" w:eastAsia="zh-CN"/>
              </w:rPr>
              <w:t>㎡</w:t>
            </w:r>
            <w:r>
              <w:rPr>
                <w:rFonts w:hint="default"/>
                <w:lang w:val="en-US" w:eastAsia="zh-CN"/>
              </w:rPr>
              <w:t>），风量2000</w:t>
            </w:r>
            <w:r>
              <w:rPr>
                <w:rFonts w:hint="eastAsia"/>
                <w:lang w:val="en-US" w:eastAsia="zh-CN"/>
              </w:rPr>
              <w:t>m³</w:t>
            </w:r>
            <w:r>
              <w:rPr>
                <w:rFonts w:hint="default"/>
                <w:lang w:val="en-US" w:eastAsia="zh-CN"/>
              </w:rPr>
              <w:t>/h。根据《逸散性工业粉尘控制技术》，粉料储仓排气粉尘产生量0.36kg/t</w:t>
            </w:r>
            <w:r>
              <w:rPr>
                <w:rFonts w:hint="eastAsia"/>
                <w:lang w:val="en-US" w:eastAsia="zh-CN"/>
              </w:rPr>
              <w:t>-产品</w:t>
            </w:r>
            <w:r>
              <w:rPr>
                <w:rFonts w:hint="default"/>
                <w:lang w:val="en-US" w:eastAsia="zh-CN"/>
              </w:rPr>
              <w:t>，</w:t>
            </w:r>
            <w:r>
              <w:rPr>
                <w:rFonts w:hint="eastAsia"/>
                <w:lang w:val="en-US" w:eastAsia="zh-CN"/>
              </w:rPr>
              <w:t>4</w:t>
            </w:r>
            <w:r>
              <w:rPr>
                <w:rFonts w:hint="default"/>
                <w:lang w:val="en-US" w:eastAsia="zh-CN"/>
              </w:rPr>
              <w:t>座水泥筒仓粉尘产生量为</w:t>
            </w:r>
            <w:r>
              <w:rPr>
                <w:rFonts w:hint="eastAsia"/>
                <w:lang w:val="en-US" w:eastAsia="zh-CN"/>
              </w:rPr>
              <w:t>16.06</w:t>
            </w:r>
            <w:r>
              <w:rPr>
                <w:rFonts w:hint="default"/>
                <w:lang w:val="en-US" w:eastAsia="zh-CN"/>
              </w:rPr>
              <w:t>t/a，自带有布袋除尘器，参照《排放源统计调查产排污核算方法和系数手册》中“3021水泥制品制造行业系数手册”除尘效率按99.7%计，收到的粉尘直接落入储存罐内用于生产，同时粉仓放空口处安装自动衔接输料口，同时出料车辆接料口也相应配套自动衔接口，待每次放料结束后先关闭粉仓放料口阀门，然后出料车辆才能行驶，如此不仅加强了输接料口的密封性，同时也减少了原料的损耗，从而降低了粉尘的排放量，在此基础上，考虑粉仓除尘器除尘效率99.7</w:t>
            </w:r>
            <w:r>
              <w:rPr>
                <w:rFonts w:hint="eastAsia"/>
                <w:lang w:val="en-US" w:eastAsia="zh-CN"/>
              </w:rPr>
              <w:t>%</w:t>
            </w:r>
            <w:r>
              <w:rPr>
                <w:rFonts w:hint="default"/>
                <w:lang w:val="en-US" w:eastAsia="zh-CN"/>
              </w:rPr>
              <w:t>，仅有少量粉尘于呼吸口处逸散。</w:t>
            </w:r>
            <w:r>
              <w:rPr>
                <w:rFonts w:hint="eastAsia"/>
                <w:lang w:val="en-US" w:eastAsia="zh-CN"/>
              </w:rPr>
              <w:t>则水泥筒仓仓顶呼吸孔粉尘排放量为0.05t/a。</w:t>
            </w:r>
            <w:r>
              <w:rPr>
                <w:rFonts w:hint="eastAsia"/>
                <w:color w:val="0000FF"/>
                <w:lang w:val="en-US" w:eastAsia="zh-CN"/>
              </w:rPr>
              <w:t>废气经仓顶排放口排放。筒仓顶部设布袋除尘器及排放口，因筒仓顶不具备监测条件，按照无组织进行管控。</w:t>
            </w:r>
          </w:p>
          <w:p w14:paraId="6A07854D">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②粉煤灰筒仓仓顶粉尘</w:t>
            </w:r>
          </w:p>
          <w:p w14:paraId="3AEA931B">
            <w:pPr>
              <w:bidi w:val="0"/>
              <w:rPr>
                <w:rFonts w:hint="default"/>
                <w:lang w:val="en-US" w:eastAsia="zh-CN"/>
              </w:rPr>
            </w:pPr>
            <w:r>
              <w:rPr>
                <w:rFonts w:hint="default"/>
                <w:lang w:val="en-US" w:eastAsia="zh-CN"/>
              </w:rPr>
              <w:t>本项目设置粉煤灰筒仓</w:t>
            </w:r>
            <w:r>
              <w:rPr>
                <w:rFonts w:hint="eastAsia"/>
                <w:lang w:val="en-US" w:eastAsia="zh-CN"/>
              </w:rPr>
              <w:t>4</w:t>
            </w:r>
            <w:r>
              <w:rPr>
                <w:rFonts w:hint="default"/>
                <w:lang w:val="en-US" w:eastAsia="zh-CN"/>
              </w:rPr>
              <w:t>座，容积为</w:t>
            </w:r>
            <w:r>
              <w:rPr>
                <w:rFonts w:hint="eastAsia"/>
                <w:lang w:val="en-US" w:eastAsia="zh-CN"/>
              </w:rPr>
              <w:t>3</w:t>
            </w:r>
            <w:r>
              <w:rPr>
                <w:rFonts w:hint="default"/>
                <w:lang w:val="en-US" w:eastAsia="zh-CN"/>
              </w:rPr>
              <w:t>00t</w:t>
            </w:r>
            <w:r>
              <w:rPr>
                <w:rFonts w:hint="eastAsia"/>
                <w:lang w:val="en-US" w:eastAsia="zh-CN"/>
              </w:rPr>
              <w:t>/个</w:t>
            </w:r>
            <w:r>
              <w:rPr>
                <w:rFonts w:hint="default"/>
                <w:lang w:val="en-US" w:eastAsia="zh-CN"/>
              </w:rPr>
              <w:t>，在散装粉煤灰从罐车送至粉煤灰仓时，粉煤灰仓顶部呼吸孔会产生粉尘。本项目粉煤灰原料年用量为</w:t>
            </w:r>
            <w:r>
              <w:rPr>
                <w:rFonts w:hint="eastAsia"/>
                <w:lang w:val="en-US" w:eastAsia="zh-CN"/>
              </w:rPr>
              <w:t>190</w:t>
            </w:r>
            <w:r>
              <w:rPr>
                <w:rFonts w:hint="default"/>
                <w:lang w:val="en-US" w:eastAsia="zh-CN"/>
              </w:rPr>
              <w:t>00t，每</w:t>
            </w:r>
            <w:r>
              <w:rPr>
                <w:rFonts w:hint="eastAsia"/>
                <w:lang w:val="en-US" w:eastAsia="zh-CN"/>
              </w:rPr>
              <w:t>3</w:t>
            </w:r>
            <w:r>
              <w:rPr>
                <w:rFonts w:hint="default"/>
                <w:lang w:val="en-US" w:eastAsia="zh-CN"/>
              </w:rPr>
              <w:t>00t粉状原料筒仓车打入粉料筒仓用时3h，则粉煤灰筒仓年卸料时间为</w:t>
            </w:r>
            <w:r>
              <w:rPr>
                <w:rFonts w:hint="eastAsia"/>
                <w:lang w:val="en-US" w:eastAsia="zh-CN"/>
              </w:rPr>
              <w:t>190</w:t>
            </w:r>
            <w:r>
              <w:rPr>
                <w:rFonts w:hint="default"/>
                <w:lang w:val="en-US" w:eastAsia="zh-CN"/>
              </w:rPr>
              <w:t>h/a，在粉煤灰仓顶部安装一台脉冲式布袋除尘器（过滤风速0.6m/min，过滤面积56</w:t>
            </w:r>
            <w:r>
              <w:rPr>
                <w:rFonts w:hint="eastAsia"/>
                <w:lang w:val="en-US" w:eastAsia="zh-CN"/>
              </w:rPr>
              <w:t>㎡</w:t>
            </w:r>
            <w:r>
              <w:rPr>
                <w:rFonts w:hint="default"/>
                <w:lang w:val="en-US" w:eastAsia="zh-CN"/>
              </w:rPr>
              <w:t>），风量2000</w:t>
            </w:r>
            <w:r>
              <w:rPr>
                <w:rFonts w:hint="eastAsia"/>
                <w:lang w:val="en-US" w:eastAsia="zh-CN"/>
              </w:rPr>
              <w:t>m³</w:t>
            </w:r>
            <w:r>
              <w:rPr>
                <w:rFonts w:hint="default"/>
                <w:lang w:val="en-US" w:eastAsia="zh-CN"/>
              </w:rPr>
              <w:t>/h。根据《逸散性工业粉尘控制技术》及对同类企业的类比调查，粉料储仓排气粉尘产生量0.36kg/t</w:t>
            </w:r>
            <w:r>
              <w:rPr>
                <w:rFonts w:hint="eastAsia"/>
                <w:lang w:val="en-US" w:eastAsia="zh-CN"/>
              </w:rPr>
              <w:t>-产品</w:t>
            </w:r>
            <w:r>
              <w:rPr>
                <w:rFonts w:hint="default"/>
                <w:lang w:val="en-US" w:eastAsia="zh-CN"/>
              </w:rPr>
              <w:t>，粉煤灰筒仓粉尘产生量为</w:t>
            </w:r>
            <w:r>
              <w:rPr>
                <w:rFonts w:hint="eastAsia"/>
                <w:lang w:val="en-US" w:eastAsia="zh-CN"/>
              </w:rPr>
              <w:t>6.84</w:t>
            </w:r>
            <w:r>
              <w:rPr>
                <w:rFonts w:hint="default"/>
                <w:lang w:val="en-US" w:eastAsia="zh-CN"/>
              </w:rPr>
              <w:t>t/a，自带有布袋除尘器，参照《排放源统计调查产排污核算方法和系数手册》中“3021水泥制品制造行业系数手册”除尘效率按99.7%计，收到的粉尘直接落入储存罐内用于生产，同时粉仓放空口处安装自动衔接输料口，同时出料车辆接料口也相应配套自动衔接口，待每次放料结束后先关闭粉仓放料口阀门，然后出料车辆才能行驶，如此不仅加强了输接料口的密封性，同时也减少了原料的损耗，从而降低了粉尘的排放量，在此基础上，考虑粉仓除尘器除尘效率以99.7%计，仅有少量粉尘于呼吸口处逸散。</w:t>
            </w:r>
            <w:r>
              <w:rPr>
                <w:rFonts w:hint="eastAsia"/>
                <w:lang w:val="en-US" w:eastAsia="zh-CN"/>
              </w:rPr>
              <w:t>则粉煤灰筒仓仓顶呼吸孔粉尘排放量为0.02t/a。</w:t>
            </w:r>
            <w:r>
              <w:rPr>
                <w:rFonts w:hint="eastAsia"/>
                <w:color w:val="0000FF"/>
                <w:lang w:val="en-US" w:eastAsia="zh-CN"/>
              </w:rPr>
              <w:t>废气经仓顶排放口排放。筒仓顶部设布袋除尘器及排放口，因筒仓顶不具备监测条件，按照无组织进行管控。</w:t>
            </w:r>
          </w:p>
          <w:p w14:paraId="071D86FF">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（3）物料搅拌混合废气</w:t>
            </w:r>
          </w:p>
          <w:p w14:paraId="58D7C7DC">
            <w:pPr>
              <w:bidi w:val="0"/>
              <w:rPr>
                <w:rFonts w:hint="default" w:ascii="Times New Roman" w:hAnsi="Times New Roman" w:cs="Times New Roman"/>
                <w:lang w:val="en-US" w:eastAsia="zh-CN"/>
              </w:rPr>
            </w:pPr>
            <w:r>
              <w:rPr>
                <w:rFonts w:hint="default" w:ascii="Times New Roman" w:hAnsi="Times New Roman" w:cs="Times New Roman"/>
                <w:lang w:val="en-US" w:eastAsia="zh-CN"/>
              </w:rPr>
              <w:t>根据《排放源统计调查产排污核算方法和系数手册3021水泥制品制造（含2033砼结构构件制造、3029其他水泥类似制品制造）行业系数手册》中“混凝土制品”物料混合搅拌过程中工业废气量（工艺）的产污系数为25Nm³/t-产品，颗粒物的产污系数为0.166kg/t-产品。</w:t>
            </w:r>
          </w:p>
          <w:p w14:paraId="00984287">
            <w:pPr>
              <w:bidi w:val="0"/>
              <w:rPr>
                <w:rFonts w:hint="eastAsia" w:cs="Times New Roman"/>
                <w:lang w:val="en-US" w:eastAsia="zh-CN"/>
              </w:rPr>
            </w:pPr>
            <w:r>
              <w:rPr>
                <w:rFonts w:hint="default" w:ascii="Times New Roman" w:hAnsi="Times New Roman" w:cs="Times New Roman"/>
                <w:lang w:val="en-US" w:eastAsia="zh-CN"/>
              </w:rPr>
              <w:t>项目输送带全封闭，搅拌站</w:t>
            </w:r>
            <w:r>
              <w:rPr>
                <w:rFonts w:hint="eastAsia" w:cs="Times New Roman"/>
                <w:lang w:val="en-US" w:eastAsia="zh-CN"/>
              </w:rPr>
              <w:t>全封闭</w:t>
            </w:r>
            <w:r>
              <w:rPr>
                <w:rFonts w:hint="default" w:ascii="Times New Roman" w:hAnsi="Times New Roman" w:cs="Times New Roman"/>
                <w:lang w:val="en-US" w:eastAsia="zh-CN"/>
              </w:rPr>
              <w:t>，输送带和搅拌主机之间用帆布软连接，搅拌机配有袋式除尘器，除尘器直接安装在缓存斗盖上，缓存斗盖与搅拌机为封闭状态，经除尘后直接通过排气口排放，除尘效率为99.7%</w:t>
            </w:r>
            <w:r>
              <w:rPr>
                <w:rFonts w:hint="eastAsia" w:cs="Times New Roman"/>
                <w:lang w:val="en-US" w:eastAsia="zh-CN"/>
              </w:rPr>
              <w:t>。</w:t>
            </w:r>
          </w:p>
          <w:p w14:paraId="7B5F36BC">
            <w:pPr>
              <w:bidi w:val="0"/>
              <w:rPr>
                <w:rFonts w:hint="default" w:cs="Times New Roman"/>
                <w:lang w:val="en-US" w:eastAsia="zh-CN"/>
              </w:rPr>
            </w:pPr>
            <w:r>
              <w:rPr>
                <w:rFonts w:hint="default" w:ascii="Times New Roman" w:hAnsi="Times New Roman" w:eastAsia="宋体" w:cs="Times New Roman"/>
                <w:color w:val="auto"/>
                <w:szCs w:val="21"/>
                <w:highlight w:val="none"/>
                <w:lang w:val="en-US" w:eastAsia="zh-CN"/>
              </w:rPr>
              <w:t>HZS180型商品混凝土搅拌站</w:t>
            </w:r>
            <w:r>
              <w:rPr>
                <w:rFonts w:hint="eastAsia" w:ascii="Times New Roman" w:hAnsi="Times New Roman" w:eastAsia="宋体" w:cs="Times New Roman"/>
                <w:color w:val="auto"/>
                <w:szCs w:val="21"/>
                <w:highlight w:val="none"/>
                <w:lang w:val="en-US" w:eastAsia="zh-CN"/>
              </w:rPr>
              <w:t>年生产混凝土量为4万m³（约为94000t），</w:t>
            </w:r>
            <w:r>
              <w:rPr>
                <w:rFonts w:hint="default" w:ascii="Times New Roman" w:hAnsi="Times New Roman" w:eastAsia="宋体" w:cs="Times New Roman"/>
                <w:color w:val="auto"/>
                <w:szCs w:val="21"/>
                <w:highlight w:val="none"/>
                <w:lang w:val="en-US" w:eastAsia="zh-CN"/>
              </w:rPr>
              <w:t>HZS</w:t>
            </w:r>
            <w:r>
              <w:rPr>
                <w:rFonts w:hint="eastAsia" w:ascii="Times New Roman" w:hAnsi="Times New Roman" w:eastAsia="宋体" w:cs="Times New Roman"/>
                <w:color w:val="auto"/>
                <w:szCs w:val="21"/>
                <w:highlight w:val="none"/>
                <w:lang w:val="en-US" w:eastAsia="zh-CN"/>
              </w:rPr>
              <w:t>240</w:t>
            </w:r>
            <w:r>
              <w:rPr>
                <w:rFonts w:hint="default" w:ascii="Times New Roman" w:hAnsi="Times New Roman" w:eastAsia="宋体" w:cs="Times New Roman"/>
                <w:color w:val="auto"/>
                <w:szCs w:val="21"/>
                <w:highlight w:val="none"/>
                <w:lang w:val="en-US" w:eastAsia="zh-CN"/>
              </w:rPr>
              <w:t>型商品混凝土搅拌站</w:t>
            </w:r>
            <w:r>
              <w:rPr>
                <w:rFonts w:hint="eastAsia" w:ascii="Times New Roman" w:hAnsi="Times New Roman" w:eastAsia="宋体" w:cs="Times New Roman"/>
                <w:color w:val="auto"/>
                <w:szCs w:val="21"/>
                <w:highlight w:val="none"/>
                <w:lang w:val="en-US" w:eastAsia="zh-CN"/>
              </w:rPr>
              <w:t>年生产混凝土量为12万m³（约为282000t）。</w:t>
            </w:r>
          </w:p>
          <w:p w14:paraId="52825D5C">
            <w:pPr>
              <w:bidi w:val="0"/>
              <w:rPr>
                <w:rFonts w:hint="default" w:ascii="Times New Roman" w:hAnsi="Times New Roman" w:cs="Times New Roman"/>
                <w:lang w:val="en-US" w:eastAsia="zh-CN"/>
              </w:rPr>
            </w:pPr>
            <w:r>
              <w:rPr>
                <w:rFonts w:hint="default" w:ascii="Times New Roman" w:hAnsi="Times New Roman" w:eastAsia="宋体" w:cs="Times New Roman"/>
                <w:color w:val="auto"/>
                <w:szCs w:val="21"/>
                <w:highlight w:val="none"/>
                <w:lang w:val="en-US" w:eastAsia="zh-CN"/>
              </w:rPr>
              <w:t>HZS180型商品混凝土搅拌站</w:t>
            </w:r>
            <w:r>
              <w:rPr>
                <w:rFonts w:hint="eastAsia" w:ascii="Times New Roman" w:hAnsi="Times New Roman" w:eastAsia="宋体" w:cs="Times New Roman"/>
                <w:color w:val="auto"/>
                <w:szCs w:val="21"/>
                <w:highlight w:val="none"/>
                <w:lang w:val="en-US" w:eastAsia="zh-CN"/>
              </w:rPr>
              <w:t>物料混合搅拌废气计算：</w:t>
            </w:r>
            <w:r>
              <w:rPr>
                <w:rFonts w:hint="default" w:ascii="Times New Roman" w:hAnsi="Times New Roman" w:cs="Times New Roman"/>
                <w:lang w:val="en-US" w:eastAsia="zh-CN"/>
              </w:rPr>
              <w:t>工业废气量=25×</w:t>
            </w:r>
            <w:r>
              <w:rPr>
                <w:rFonts w:hint="eastAsia" w:cs="Times New Roman"/>
                <w:lang w:val="en-US" w:eastAsia="zh-CN"/>
              </w:rPr>
              <w:t>94000</w:t>
            </w:r>
            <w:r>
              <w:rPr>
                <w:rFonts w:hint="default" w:ascii="Times New Roman" w:hAnsi="Times New Roman" w:cs="Times New Roman"/>
                <w:vertAlign w:val="baseline"/>
                <w:lang w:val="en-US" w:eastAsia="zh-CN"/>
              </w:rPr>
              <w:t>=</w:t>
            </w:r>
            <w:r>
              <w:rPr>
                <w:rFonts w:hint="eastAsia" w:ascii="Times New Roman" w:hAnsi="Times New Roman" w:cs="Times New Roman"/>
                <w:vertAlign w:val="baseline"/>
                <w:lang w:val="en-US" w:eastAsia="zh-CN"/>
              </w:rPr>
              <w:t>235×10</w:t>
            </w:r>
            <w:r>
              <w:rPr>
                <w:rFonts w:hint="eastAsia" w:ascii="Times New Roman" w:hAnsi="Times New Roman" w:cs="Times New Roman"/>
                <w:vertAlign w:val="superscript"/>
                <w:lang w:val="en-US" w:eastAsia="zh-CN"/>
              </w:rPr>
              <w:t>4</w:t>
            </w:r>
            <w:r>
              <w:rPr>
                <w:rFonts w:hint="default" w:ascii="Times New Roman" w:hAnsi="Times New Roman" w:cs="Times New Roman"/>
                <w:lang w:val="en-US" w:eastAsia="zh-CN"/>
              </w:rPr>
              <w:t>Nm³/a，颗粒物产生量=0.166×</w:t>
            </w:r>
            <w:r>
              <w:rPr>
                <w:rFonts w:hint="eastAsia" w:ascii="Times New Roman" w:hAnsi="Times New Roman" w:eastAsia="宋体" w:cs="Times New Roman"/>
                <w:color w:val="auto"/>
                <w:szCs w:val="21"/>
                <w:highlight w:val="none"/>
                <w:lang w:val="en-US" w:eastAsia="zh-CN"/>
              </w:rPr>
              <w:t>94000</w:t>
            </w:r>
            <w:r>
              <w:rPr>
                <w:rFonts w:hint="default" w:ascii="Times New Roman" w:hAnsi="Times New Roman" w:cs="Times New Roman"/>
                <w:lang w:val="en-US" w:eastAsia="zh-CN"/>
              </w:rPr>
              <w:t>=</w:t>
            </w:r>
            <w:r>
              <w:rPr>
                <w:rFonts w:hint="eastAsia" w:cs="Times New Roman"/>
                <w:lang w:val="en-US" w:eastAsia="zh-CN"/>
              </w:rPr>
              <w:t>15.60</w:t>
            </w:r>
            <w:r>
              <w:rPr>
                <w:rFonts w:hint="default" w:ascii="Times New Roman" w:hAnsi="Times New Roman" w:cs="Times New Roman"/>
                <w:lang w:val="en-US" w:eastAsia="zh-CN"/>
              </w:rPr>
              <w:t>t/a，</w:t>
            </w:r>
            <w:r>
              <w:rPr>
                <w:rFonts w:hint="eastAsia" w:ascii="Times New Roman" w:hAnsi="Times New Roman" w:cs="Times New Roman"/>
                <w:lang w:val="en-US" w:eastAsia="zh-CN"/>
              </w:rPr>
              <w:t>经自带袋式除尘器处理后，由15m高排气筒（DA001）排放，颗粒物排放量</w:t>
            </w:r>
            <w:r>
              <w:rPr>
                <w:rFonts w:hint="eastAsia" w:cs="Times New Roman"/>
                <w:lang w:val="en-US" w:eastAsia="zh-CN"/>
              </w:rPr>
              <w:t>15.60×（1-99.7%）=0.04t/a，颗粒物排放浓度为17.02mg/m³。有组织颗粒物排放浓度</w:t>
            </w:r>
            <w:r>
              <w:rPr>
                <w:rFonts w:hint="default" w:ascii="Times New Roman" w:hAnsi="Times New Roman" w:cs="Times New Roman"/>
                <w:lang w:val="en-US" w:eastAsia="zh-CN"/>
              </w:rPr>
              <w:t>满足《水泥工业大气污染物排放标准》（GB4915-2013）表1排放限值要求（20mg/m³）。</w:t>
            </w:r>
          </w:p>
          <w:p w14:paraId="3E07B17E">
            <w:pPr>
              <w:bidi w:val="0"/>
              <w:rPr>
                <w:rFonts w:hint="default" w:ascii="Times New Roman" w:hAnsi="Times New Roman" w:cs="Times New Roman"/>
                <w:lang w:val="en-US" w:eastAsia="zh-CN"/>
              </w:rPr>
            </w:pPr>
            <w:r>
              <w:rPr>
                <w:rFonts w:hint="default" w:ascii="Times New Roman" w:hAnsi="Times New Roman" w:eastAsia="宋体" w:cs="Times New Roman"/>
                <w:color w:val="auto"/>
                <w:szCs w:val="21"/>
                <w:highlight w:val="none"/>
                <w:lang w:val="en-US" w:eastAsia="zh-CN"/>
              </w:rPr>
              <w:t>HZS</w:t>
            </w:r>
            <w:r>
              <w:rPr>
                <w:rFonts w:hint="eastAsia" w:ascii="Times New Roman" w:hAnsi="Times New Roman" w:eastAsia="宋体" w:cs="Times New Roman"/>
                <w:color w:val="auto"/>
                <w:szCs w:val="21"/>
                <w:highlight w:val="none"/>
                <w:lang w:val="en-US" w:eastAsia="zh-CN"/>
              </w:rPr>
              <w:t>240</w:t>
            </w:r>
            <w:r>
              <w:rPr>
                <w:rFonts w:hint="default" w:ascii="Times New Roman" w:hAnsi="Times New Roman" w:eastAsia="宋体" w:cs="Times New Roman"/>
                <w:color w:val="auto"/>
                <w:szCs w:val="21"/>
                <w:highlight w:val="none"/>
                <w:lang w:val="en-US" w:eastAsia="zh-CN"/>
              </w:rPr>
              <w:t>型商品混凝土搅拌站</w:t>
            </w:r>
            <w:r>
              <w:rPr>
                <w:rFonts w:hint="eastAsia" w:ascii="Times New Roman" w:hAnsi="Times New Roman" w:eastAsia="宋体" w:cs="Times New Roman"/>
                <w:color w:val="auto"/>
                <w:szCs w:val="21"/>
                <w:highlight w:val="none"/>
                <w:lang w:val="en-US" w:eastAsia="zh-CN"/>
              </w:rPr>
              <w:t>物料混合搅拌废气计算：</w:t>
            </w:r>
            <w:r>
              <w:rPr>
                <w:rFonts w:hint="default" w:ascii="Times New Roman" w:hAnsi="Times New Roman" w:cs="Times New Roman"/>
                <w:lang w:val="en-US" w:eastAsia="zh-CN"/>
              </w:rPr>
              <w:t>工业废气量=25×</w:t>
            </w:r>
            <w:r>
              <w:rPr>
                <w:rFonts w:hint="eastAsia" w:ascii="Times New Roman" w:hAnsi="Times New Roman" w:eastAsia="宋体" w:cs="Times New Roman"/>
                <w:color w:val="auto"/>
                <w:szCs w:val="21"/>
                <w:highlight w:val="none"/>
                <w:lang w:val="en-US" w:eastAsia="zh-CN"/>
              </w:rPr>
              <w:t>282000</w:t>
            </w:r>
            <w:r>
              <w:rPr>
                <w:rFonts w:hint="default" w:ascii="Times New Roman" w:hAnsi="Times New Roman" w:cs="Times New Roman"/>
                <w:vertAlign w:val="baseline"/>
                <w:lang w:val="en-US" w:eastAsia="zh-CN"/>
              </w:rPr>
              <w:t>=</w:t>
            </w:r>
            <w:r>
              <w:rPr>
                <w:rFonts w:hint="eastAsia" w:ascii="Times New Roman" w:hAnsi="Times New Roman" w:cs="Times New Roman"/>
                <w:vertAlign w:val="baseline"/>
                <w:lang w:val="en-US" w:eastAsia="zh-CN"/>
              </w:rPr>
              <w:t>705×10</w:t>
            </w:r>
            <w:r>
              <w:rPr>
                <w:rFonts w:hint="eastAsia" w:ascii="Times New Roman" w:hAnsi="Times New Roman" w:cs="Times New Roman"/>
                <w:vertAlign w:val="superscript"/>
                <w:lang w:val="en-US" w:eastAsia="zh-CN"/>
              </w:rPr>
              <w:t>4</w:t>
            </w:r>
            <w:r>
              <w:rPr>
                <w:rFonts w:hint="default" w:ascii="Times New Roman" w:hAnsi="Times New Roman" w:cs="Times New Roman"/>
                <w:lang w:val="en-US" w:eastAsia="zh-CN"/>
              </w:rPr>
              <w:t>Nm³/a，颗粒物产生量=0.166×</w:t>
            </w:r>
            <w:r>
              <w:rPr>
                <w:rFonts w:hint="eastAsia" w:ascii="Times New Roman" w:hAnsi="Times New Roman" w:eastAsia="宋体" w:cs="Times New Roman"/>
                <w:color w:val="auto"/>
                <w:szCs w:val="21"/>
                <w:highlight w:val="none"/>
                <w:lang w:val="en-US" w:eastAsia="zh-CN"/>
              </w:rPr>
              <w:t>282000</w:t>
            </w:r>
            <w:r>
              <w:rPr>
                <w:rFonts w:hint="default" w:ascii="Times New Roman" w:hAnsi="Times New Roman" w:cs="Times New Roman"/>
                <w:lang w:val="en-US" w:eastAsia="zh-CN"/>
              </w:rPr>
              <w:t>=</w:t>
            </w:r>
            <w:r>
              <w:rPr>
                <w:rFonts w:hint="eastAsia" w:cs="Times New Roman"/>
                <w:lang w:val="en-US" w:eastAsia="zh-CN"/>
              </w:rPr>
              <w:t>46.81</w:t>
            </w:r>
            <w:r>
              <w:rPr>
                <w:rFonts w:hint="default" w:ascii="Times New Roman" w:hAnsi="Times New Roman" w:cs="Times New Roman"/>
                <w:lang w:val="en-US" w:eastAsia="zh-CN"/>
              </w:rPr>
              <w:t>t/a，</w:t>
            </w:r>
            <w:r>
              <w:rPr>
                <w:rFonts w:hint="eastAsia" w:ascii="Times New Roman" w:hAnsi="Times New Roman" w:cs="Times New Roman"/>
                <w:lang w:val="en-US" w:eastAsia="zh-CN"/>
              </w:rPr>
              <w:t>经自带袋式除尘器处理后，由15m高排气筒（DA002）排放，颗粒物排放量为</w:t>
            </w:r>
            <w:r>
              <w:rPr>
                <w:rFonts w:hint="eastAsia" w:cs="Times New Roman"/>
                <w:lang w:val="en-US" w:eastAsia="zh-CN"/>
              </w:rPr>
              <w:t>46.81×（1-99.7%）=0.14t/a，颗粒物排放浓度为19.86mg/m³。有组织颗粒物排放浓度</w:t>
            </w:r>
            <w:r>
              <w:rPr>
                <w:rFonts w:hint="default" w:ascii="Times New Roman" w:hAnsi="Times New Roman" w:cs="Times New Roman"/>
                <w:lang w:val="en-US" w:eastAsia="zh-CN"/>
              </w:rPr>
              <w:t>满足《水泥工业大气污染物排放标准》（GB4915-2013）表1排放限值要求（20mg/m³）。</w:t>
            </w:r>
          </w:p>
          <w:p w14:paraId="09D144F9">
            <w:pPr>
              <w:bidi w:val="0"/>
              <w:rPr>
                <w:rFonts w:hint="default"/>
                <w:b/>
                <w:bCs/>
              </w:rPr>
            </w:pPr>
            <w:r>
              <w:rPr>
                <w:rFonts w:hint="default"/>
                <w:b/>
                <w:bCs/>
              </w:rPr>
              <w:t>（4）运输车辆动力起尘</w:t>
            </w:r>
          </w:p>
          <w:p w14:paraId="20FB01EB">
            <w:pPr>
              <w:bidi w:val="0"/>
            </w:pPr>
            <w:r>
              <w:t>本项目原料、产品运输量较大，运营期间对运输路线周围将产生一定的扬尘污染，进出场地运输路线为通过</w:t>
            </w:r>
            <w:r>
              <w:rPr>
                <w:rFonts w:hint="eastAsia"/>
                <w:lang w:val="en-US" w:eastAsia="zh-CN"/>
              </w:rPr>
              <w:t>园区柏油路</w:t>
            </w:r>
            <w:r>
              <w:t>进入厂区，</w:t>
            </w:r>
            <w:r>
              <w:rPr>
                <w:rFonts w:hint="eastAsia"/>
                <w:lang w:val="en-US" w:eastAsia="zh-CN"/>
              </w:rPr>
              <w:t>厂区大门至1#煤棚为水泥硬化路面。</w:t>
            </w:r>
            <w:r>
              <w:t>本次评价按进厂道路100m计算其产生的道路扬尘，计算公式如下：</w:t>
            </w:r>
          </w:p>
          <w:p w14:paraId="6AFD25FF">
            <w:pPr>
              <w:bidi w:val="0"/>
              <w:jc w:val="center"/>
            </w:pPr>
            <w:r>
              <w:drawing>
                <wp:inline distT="0" distB="0" distL="114300" distR="114300">
                  <wp:extent cx="2025015" cy="417830"/>
                  <wp:effectExtent l="0" t="0" r="13335" b="1270"/>
                  <wp:docPr id="32" name="图片 3"/>
                  <wp:cNvGraphicFramePr/>
                  <a:graphic xmlns:a="http://schemas.openxmlformats.org/drawingml/2006/main">
                    <a:graphicData uri="http://schemas.openxmlformats.org/drawingml/2006/picture">
                      <pic:pic xmlns:pic="http://schemas.openxmlformats.org/drawingml/2006/picture">
                        <pic:nvPicPr>
                          <pic:cNvPr id="32" name="图片 3"/>
                          <pic:cNvPicPr/>
                        </pic:nvPicPr>
                        <pic:blipFill>
                          <a:blip r:embed="rId26"/>
                          <a:stretch>
                            <a:fillRect/>
                          </a:stretch>
                        </pic:blipFill>
                        <pic:spPr>
                          <a:xfrm>
                            <a:off x="0" y="0"/>
                            <a:ext cx="2025015" cy="417830"/>
                          </a:xfrm>
                          <a:prstGeom prst="rect">
                            <a:avLst/>
                          </a:prstGeom>
                          <a:noFill/>
                          <a:ln>
                            <a:noFill/>
                          </a:ln>
                        </pic:spPr>
                      </pic:pic>
                    </a:graphicData>
                  </a:graphic>
                </wp:inline>
              </w:drawing>
            </w:r>
          </w:p>
          <w:p w14:paraId="1EB94183">
            <w:pPr>
              <w:bidi w:val="0"/>
              <w:ind w:left="0" w:leftChars="0" w:firstLine="0" w:firstLineChars="0"/>
              <w:jc w:val="center"/>
            </w:pPr>
          </w:p>
          <w:p w14:paraId="74220145">
            <w:pPr>
              <w:bidi w:val="0"/>
              <w:ind w:left="0" w:leftChars="0" w:firstLine="0" w:firstLineChars="0"/>
              <w:jc w:val="center"/>
            </w:pPr>
            <w:r>
              <w:t>Q'</w:t>
            </w:r>
            <w:r>
              <w:rPr>
                <w:vertAlign w:val="subscript"/>
              </w:rPr>
              <w:t>P</w:t>
            </w:r>
            <w:r>
              <w:t>=Q</w:t>
            </w:r>
            <w:r>
              <w:rPr>
                <w:vertAlign w:val="subscript"/>
              </w:rPr>
              <w:t>p</w:t>
            </w:r>
            <w:r>
              <w:t>•L•Q/M</w:t>
            </w:r>
          </w:p>
          <w:p w14:paraId="5FA1CB33">
            <w:pPr>
              <w:bidi w:val="0"/>
            </w:pPr>
          </w:p>
          <w:p w14:paraId="6258290F">
            <w:pPr>
              <w:bidi w:val="0"/>
            </w:pPr>
            <w:r>
              <w:t>式中：Q</w:t>
            </w:r>
            <w:r>
              <w:rPr>
                <w:vertAlign w:val="subscript"/>
              </w:rPr>
              <w:t>P</w:t>
            </w:r>
            <w:r>
              <w:t>—运输起尘量，kg/km•辆。</w:t>
            </w:r>
          </w:p>
          <w:p w14:paraId="5234E970">
            <w:pPr>
              <w:bidi w:val="0"/>
            </w:pPr>
            <w:r>
              <w:t>Q'</w:t>
            </w:r>
            <w:r>
              <w:rPr>
                <w:vertAlign w:val="subscript"/>
              </w:rPr>
              <w:t>P</w:t>
            </w:r>
            <w:r>
              <w:t>—运输途中起尘总量，kg/a。</w:t>
            </w:r>
          </w:p>
          <w:p w14:paraId="3FEE246A">
            <w:pPr>
              <w:bidi w:val="0"/>
            </w:pPr>
            <w:r>
              <w:t>V—车辆</w:t>
            </w:r>
            <w:r>
              <w:rPr>
                <w:rFonts w:hint="eastAsia"/>
                <w:lang w:eastAsia="zh-CN"/>
              </w:rPr>
              <w:t>行驶</w:t>
            </w:r>
            <w:r>
              <w:t>速度，km/h（20km/h）。</w:t>
            </w:r>
          </w:p>
          <w:p w14:paraId="58ED3CEF">
            <w:pPr>
              <w:bidi w:val="0"/>
            </w:pPr>
            <w:r>
              <w:t>M—车辆载重量，t/辆（</w:t>
            </w:r>
            <w:r>
              <w:rPr>
                <w:rFonts w:hint="eastAsia"/>
                <w:lang w:val="en-US" w:eastAsia="zh-CN"/>
              </w:rPr>
              <w:t>5</w:t>
            </w:r>
            <w:r>
              <w:t>0t/辆）。</w:t>
            </w:r>
          </w:p>
          <w:p w14:paraId="6FA21C8C">
            <w:pPr>
              <w:bidi w:val="0"/>
            </w:pPr>
            <w:r>
              <w:t>P—路面灰尘覆盖率，kg/</w:t>
            </w:r>
            <w:r>
              <w:rPr>
                <w:rFonts w:hint="eastAsia"/>
                <w:lang w:eastAsia="zh-CN"/>
              </w:rPr>
              <w:t>㎡</w:t>
            </w:r>
            <w:r>
              <w:t>（硬化，取0.1）。</w:t>
            </w:r>
          </w:p>
          <w:p w14:paraId="17886C7E">
            <w:pPr>
              <w:bidi w:val="0"/>
            </w:pPr>
            <w:r>
              <w:t>L—运输距离，km；（取0.1km）。</w:t>
            </w:r>
          </w:p>
          <w:p w14:paraId="692DACE3">
            <w:pPr>
              <w:bidi w:val="0"/>
              <w:rPr>
                <w:rFonts w:hint="default" w:eastAsia="宋体"/>
                <w:lang w:val="en-US" w:eastAsia="zh-CN"/>
              </w:rPr>
            </w:pPr>
            <w:r>
              <w:t>Q—运输量，t/a。</w:t>
            </w:r>
            <w:r>
              <w:rPr>
                <w:rFonts w:hint="eastAsia"/>
                <w:lang w:val="en-US" w:eastAsia="zh-CN"/>
              </w:rPr>
              <w:t>本项目运输量共计为37.6万t/a。</w:t>
            </w:r>
          </w:p>
          <w:p w14:paraId="74D89CBE">
            <w:pPr>
              <w:bidi w:val="0"/>
            </w:pPr>
            <w:r>
              <w:t>经计算运输道路起尘量约0.6</w:t>
            </w:r>
            <w:r>
              <w:rPr>
                <w:rFonts w:hint="eastAsia"/>
                <w:lang w:val="en-US" w:eastAsia="zh-CN"/>
              </w:rPr>
              <w:t>3</w:t>
            </w:r>
            <w:r>
              <w:t>t/a，为了最大限度减少原材料及成品运输对外环境带来的不利影响，评价要求：采取如下措施：</w:t>
            </w:r>
          </w:p>
          <w:p w14:paraId="4665B4D5">
            <w:pPr>
              <w:bidi w:val="0"/>
            </w:pPr>
            <w:r>
              <w:t>①对出厂道路进行硬化，并对厂区附近运输道路经常洒水，保持路面清洁和相对湿度；</w:t>
            </w:r>
          </w:p>
          <w:p w14:paraId="0CA3A026">
            <w:pPr>
              <w:bidi w:val="0"/>
            </w:pPr>
            <w:r>
              <w:t>②物料和产品的运输车辆须采取遮盖等封闭措施，不得超载，限速行驶。粉料采用密封罐车运输，以减少原材料的散落。</w:t>
            </w:r>
          </w:p>
          <w:p w14:paraId="6BBC176B">
            <w:pPr>
              <w:bidi w:val="0"/>
            </w:pPr>
            <w:r>
              <w:t>采取以上措施后，可使粉尘降低80%左右，即汽车运输扬尘排放量约为0.13t/a，大大降低了运输粉尘对外环境的影响。</w:t>
            </w:r>
          </w:p>
          <w:p w14:paraId="0D7B979D">
            <w:pPr>
              <w:bidi w:val="0"/>
              <w:rPr>
                <w:b/>
                <w:bCs/>
              </w:rPr>
            </w:pPr>
            <w:r>
              <w:rPr>
                <w:rFonts w:hint="eastAsia"/>
                <w:b/>
                <w:bCs/>
                <w:lang w:val="en-US" w:eastAsia="zh-CN"/>
              </w:rPr>
              <w:t>2.</w:t>
            </w:r>
            <w:r>
              <w:rPr>
                <w:b/>
                <w:bCs/>
              </w:rPr>
              <w:t>非正常工况分析</w:t>
            </w:r>
          </w:p>
          <w:p w14:paraId="353D4DB8">
            <w:pPr>
              <w:bidi w:val="0"/>
            </w:pPr>
            <w:r>
              <w:t>非正常工况排污主要包括环保设施达不到设计要求时排放的颗粒物。</w:t>
            </w:r>
          </w:p>
          <w:p w14:paraId="3ED2EDED">
            <w:pPr>
              <w:bidi w:val="0"/>
            </w:pPr>
            <w:r>
              <w:t>本项目可能发生的非正常工况为环保设施故障导致达不到设计要求。在该非正常工况下，污染物超标排放，对周边大气环境产生不利影响。</w:t>
            </w:r>
          </w:p>
          <w:p w14:paraId="5C9E1157">
            <w:pPr>
              <w:bidi w:val="0"/>
              <w:rPr>
                <w:rFonts w:hint="eastAsia" w:eastAsia="宋体"/>
                <w:lang w:eastAsia="zh-CN"/>
              </w:rPr>
            </w:pPr>
            <w:r>
              <w:t>非正常工况下的防范措施</w:t>
            </w:r>
            <w:r>
              <w:rPr>
                <w:rFonts w:hint="eastAsia"/>
                <w:lang w:eastAsia="zh-CN"/>
              </w:rPr>
              <w:t>：</w:t>
            </w:r>
          </w:p>
          <w:p w14:paraId="013AF113">
            <w:pPr>
              <w:bidi w:val="0"/>
            </w:pPr>
            <w:r>
              <w:t>本项目工艺设备和环保设施均属常规设施，投产后有一定的设备维修期，只要建设单位重视环保设施的正常检修，加强设备的运行管理，出现事故的概率较小，可避免非正常排放对环境的影响。</w:t>
            </w:r>
          </w:p>
          <w:p w14:paraId="63E38AA8">
            <w:pPr>
              <w:bidi w:val="0"/>
            </w:pPr>
            <w:r>
              <w:t>为尽量避免非正常排放发生，建设单位应采取如下防范措施：</w:t>
            </w:r>
          </w:p>
          <w:p w14:paraId="6F0B6556">
            <w:pPr>
              <w:bidi w:val="0"/>
            </w:pPr>
            <w:r>
              <w:t>①对非正常状态下排放的危害加强认识，建立一套完善的环保设施检修体制。</w:t>
            </w:r>
          </w:p>
          <w:p w14:paraId="617371ED">
            <w:pPr>
              <w:bidi w:val="0"/>
            </w:pPr>
            <w:r>
              <w:t>②建设单位应做好生产设备和环保设施的管理、维修工作，选用质量好的设备；派专人对易发生非正常排放的设备进行管理，出现异常要及时维修处理。</w:t>
            </w:r>
          </w:p>
          <w:p w14:paraId="541FADBE">
            <w:pPr>
              <w:bidi w:val="0"/>
            </w:pPr>
            <w:r>
              <w:t>③如出现严重事故情况，应立即停产，进行检修。</w:t>
            </w:r>
          </w:p>
          <w:p w14:paraId="3613F032">
            <w:pPr>
              <w:bidi w:val="0"/>
            </w:pPr>
            <w:r>
              <w:t>环保设施故障频次考虑每年一次，事故发生后，建设单位应在30min内停止产污设备运行，因此按30min进行事故排放源强计算。非正常工况排放情况见表4-5。</w:t>
            </w:r>
          </w:p>
          <w:p w14:paraId="23F400C4">
            <w:pPr>
              <w:bidi w:val="0"/>
              <w:ind w:left="0" w:leftChars="0" w:firstLine="0" w:firstLineChars="0"/>
              <w:jc w:val="center"/>
              <w:rPr>
                <w:rFonts w:hint="default"/>
                <w:b/>
                <w:bCs/>
              </w:rPr>
            </w:pPr>
            <w:r>
              <w:rPr>
                <w:rFonts w:hint="default"/>
                <w:b/>
                <w:bCs/>
              </w:rPr>
              <w:t>表4-5非正常工况下大气污染物排放情况</w:t>
            </w:r>
          </w:p>
          <w:tbl>
            <w:tblPr>
              <w:tblStyle w:val="44"/>
              <w:tblW w:w="787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20"/>
              <w:gridCol w:w="2022"/>
              <w:gridCol w:w="1251"/>
              <w:gridCol w:w="1556"/>
              <w:gridCol w:w="1530"/>
            </w:tblGrid>
            <w:tr w14:paraId="7BF1D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jc w:val="center"/>
              </w:trPr>
              <w:tc>
                <w:tcPr>
                  <w:tcW w:w="964" w:type="pct"/>
                  <w:tcBorders>
                    <w:top w:val="single" w:color="000000" w:sz="6" w:space="0"/>
                    <w:left w:val="single" w:color="000000" w:sz="6" w:space="0"/>
                    <w:bottom w:val="single" w:color="000000" w:sz="6" w:space="0"/>
                    <w:right w:val="single" w:color="000000" w:sz="6" w:space="0"/>
                  </w:tcBorders>
                  <w:noWrap w:val="0"/>
                  <w:vAlign w:val="center"/>
                </w:tcPr>
                <w:p w14:paraId="582741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t>非正常工况</w:t>
                  </w:r>
                </w:p>
              </w:tc>
              <w:tc>
                <w:tcPr>
                  <w:tcW w:w="1283" w:type="pct"/>
                  <w:tcBorders>
                    <w:top w:val="single" w:color="000000" w:sz="6" w:space="0"/>
                    <w:left w:val="single" w:color="000000" w:sz="6" w:space="0"/>
                    <w:bottom w:val="single" w:color="000000" w:sz="6" w:space="0"/>
                    <w:right w:val="single" w:color="000000" w:sz="6" w:space="0"/>
                  </w:tcBorders>
                  <w:noWrap w:val="0"/>
                  <w:vAlign w:val="center"/>
                </w:tcPr>
                <w:p w14:paraId="461D21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t>污染源位置</w:t>
                  </w:r>
                </w:p>
              </w:tc>
              <w:tc>
                <w:tcPr>
                  <w:tcW w:w="793" w:type="pct"/>
                  <w:tcBorders>
                    <w:top w:val="single" w:color="000000" w:sz="6" w:space="0"/>
                    <w:left w:val="single" w:color="000000" w:sz="6" w:space="0"/>
                    <w:bottom w:val="single" w:color="000000" w:sz="6" w:space="0"/>
                    <w:right w:val="single" w:color="000000" w:sz="6" w:space="0"/>
                  </w:tcBorders>
                  <w:noWrap w:val="0"/>
                  <w:vAlign w:val="center"/>
                </w:tcPr>
                <w:p w14:paraId="1F92CE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t>污染物</w:t>
                  </w:r>
                </w:p>
              </w:tc>
              <w:tc>
                <w:tcPr>
                  <w:tcW w:w="987" w:type="pct"/>
                  <w:tcBorders>
                    <w:top w:val="single" w:color="000000" w:sz="6" w:space="0"/>
                    <w:left w:val="single" w:color="000000" w:sz="6" w:space="0"/>
                    <w:bottom w:val="single" w:color="000000" w:sz="6" w:space="0"/>
                    <w:right w:val="single" w:color="000000" w:sz="6" w:space="0"/>
                  </w:tcBorders>
                  <w:noWrap w:val="0"/>
                  <w:vAlign w:val="center"/>
                </w:tcPr>
                <w:p w14:paraId="67896B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t>排放浓度</w:t>
                  </w:r>
                </w:p>
                <w:p w14:paraId="518161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rPr>
                      <w:rFonts w:hint="eastAsia"/>
                      <w:lang w:eastAsia="zh-CN"/>
                    </w:rPr>
                    <w:t>（</w:t>
                  </w:r>
                  <w:r>
                    <w:t>mg/</w:t>
                  </w:r>
                  <w:r>
                    <w:rPr>
                      <w:rFonts w:hint="eastAsia"/>
                      <w:lang w:eastAsia="zh-CN"/>
                    </w:rPr>
                    <w:t>m³）</w:t>
                  </w:r>
                </w:p>
              </w:tc>
              <w:tc>
                <w:tcPr>
                  <w:tcW w:w="970" w:type="pct"/>
                  <w:tcBorders>
                    <w:top w:val="single" w:color="000000" w:sz="6" w:space="0"/>
                    <w:left w:val="single" w:color="000000" w:sz="6" w:space="0"/>
                    <w:bottom w:val="single" w:color="000000" w:sz="6" w:space="0"/>
                    <w:right w:val="single" w:color="000000" w:sz="6" w:space="0"/>
                  </w:tcBorders>
                  <w:noWrap w:val="0"/>
                  <w:vAlign w:val="center"/>
                </w:tcPr>
                <w:p w14:paraId="429971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t>排放量</w:t>
                  </w:r>
                </w:p>
                <w:p w14:paraId="141B9D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rPr>
                      <w:rFonts w:hint="eastAsia"/>
                      <w:lang w:eastAsia="zh-CN"/>
                    </w:rPr>
                    <w:t>（</w:t>
                  </w:r>
                  <w:r>
                    <w:rPr>
                      <w:rFonts w:hint="eastAsia"/>
                      <w:lang w:val="en-US" w:eastAsia="zh-CN"/>
                    </w:rPr>
                    <w:t>t</w:t>
                  </w:r>
                  <w:r>
                    <w:t>/a</w:t>
                  </w:r>
                  <w:r>
                    <w:rPr>
                      <w:rFonts w:hint="eastAsia"/>
                      <w:lang w:eastAsia="zh-CN"/>
                    </w:rPr>
                    <w:t>）</w:t>
                  </w:r>
                </w:p>
              </w:tc>
            </w:tr>
            <w:tr w14:paraId="079C15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964" w:type="pct"/>
                  <w:vMerge w:val="restart"/>
                  <w:tcBorders>
                    <w:top w:val="single" w:color="000000" w:sz="6" w:space="0"/>
                    <w:left w:val="single" w:color="000000" w:sz="6" w:space="0"/>
                    <w:right w:val="single" w:color="000000" w:sz="6" w:space="0"/>
                  </w:tcBorders>
                  <w:noWrap w:val="0"/>
                  <w:vAlign w:val="center"/>
                </w:tcPr>
                <w:p w14:paraId="751D86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t>除尘器故障</w:t>
                  </w:r>
                </w:p>
              </w:tc>
              <w:tc>
                <w:tcPr>
                  <w:tcW w:w="1283" w:type="pct"/>
                  <w:tcBorders>
                    <w:top w:val="single" w:color="000000" w:sz="6" w:space="0"/>
                    <w:left w:val="single" w:color="000000" w:sz="6" w:space="0"/>
                    <w:bottom w:val="single" w:color="000000" w:sz="6" w:space="0"/>
                    <w:right w:val="single" w:color="000000" w:sz="6" w:space="0"/>
                  </w:tcBorders>
                  <w:noWrap w:val="0"/>
                  <w:vAlign w:val="center"/>
                </w:tcPr>
                <w:p w14:paraId="7FCC67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rPr>
                      <w:rFonts w:hint="default" w:ascii="Times New Roman" w:hAnsi="Times New Roman" w:eastAsia="宋体" w:cs="Times New Roman"/>
                      <w:color w:val="auto"/>
                      <w:szCs w:val="21"/>
                      <w:highlight w:val="none"/>
                      <w:lang w:val="en-US" w:eastAsia="zh-CN"/>
                    </w:rPr>
                    <w:t>HZS180型商品混凝土搅拌站</w:t>
                  </w:r>
                </w:p>
              </w:tc>
              <w:tc>
                <w:tcPr>
                  <w:tcW w:w="793" w:type="pct"/>
                  <w:tcBorders>
                    <w:top w:val="single" w:color="000000" w:sz="6" w:space="0"/>
                    <w:left w:val="single" w:color="000000" w:sz="6" w:space="0"/>
                    <w:bottom w:val="single" w:color="000000" w:sz="6" w:space="0"/>
                    <w:right w:val="single" w:color="000000" w:sz="6" w:space="0"/>
                  </w:tcBorders>
                  <w:noWrap w:val="0"/>
                  <w:vAlign w:val="center"/>
                </w:tcPr>
                <w:p w14:paraId="11EBE4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t>PM10</w:t>
                  </w:r>
                </w:p>
              </w:tc>
              <w:tc>
                <w:tcPr>
                  <w:tcW w:w="987" w:type="pct"/>
                  <w:tcBorders>
                    <w:top w:val="single" w:color="000000" w:sz="6" w:space="0"/>
                    <w:left w:val="single" w:color="000000" w:sz="6" w:space="0"/>
                    <w:bottom w:val="single" w:color="000000" w:sz="6" w:space="0"/>
                    <w:right w:val="single" w:color="000000" w:sz="6" w:space="0"/>
                  </w:tcBorders>
                  <w:noWrap w:val="0"/>
                  <w:vAlign w:val="center"/>
                </w:tcPr>
                <w:p w14:paraId="6E4F8A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lang w:val="en-US" w:eastAsia="zh-CN"/>
                    </w:rPr>
                  </w:pPr>
                  <w:r>
                    <w:rPr>
                      <w:rFonts w:hint="eastAsia"/>
                      <w:lang w:val="en-US" w:eastAsia="zh-CN"/>
                    </w:rPr>
                    <w:t>6638.30</w:t>
                  </w:r>
                </w:p>
              </w:tc>
              <w:tc>
                <w:tcPr>
                  <w:tcW w:w="970" w:type="pct"/>
                  <w:tcBorders>
                    <w:top w:val="single" w:color="000000" w:sz="6" w:space="0"/>
                    <w:left w:val="single" w:color="000000" w:sz="6" w:space="0"/>
                    <w:bottom w:val="single" w:color="000000" w:sz="6" w:space="0"/>
                    <w:right w:val="single" w:color="000000" w:sz="6" w:space="0"/>
                  </w:tcBorders>
                  <w:noWrap w:val="0"/>
                  <w:vAlign w:val="center"/>
                </w:tcPr>
                <w:p w14:paraId="0FCB8C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cs="Times New Roman"/>
                      <w:lang w:val="en-US" w:eastAsia="zh-CN"/>
                    </w:rPr>
                    <w:t>15.60</w:t>
                  </w:r>
                </w:p>
              </w:tc>
            </w:tr>
            <w:tr w14:paraId="3A7F3C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964" w:type="pct"/>
                  <w:vMerge w:val="continue"/>
                  <w:tcBorders>
                    <w:left w:val="single" w:color="000000" w:sz="6" w:space="0"/>
                    <w:bottom w:val="single" w:color="000000" w:sz="6" w:space="0"/>
                    <w:right w:val="single" w:color="000000" w:sz="6" w:space="0"/>
                  </w:tcBorders>
                  <w:noWrap w:val="0"/>
                  <w:vAlign w:val="center"/>
                </w:tcPr>
                <w:p w14:paraId="554AA4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p>
              </w:tc>
              <w:tc>
                <w:tcPr>
                  <w:tcW w:w="1283" w:type="pct"/>
                  <w:tcBorders>
                    <w:top w:val="single" w:color="000000" w:sz="6" w:space="0"/>
                    <w:left w:val="single" w:color="000000" w:sz="6" w:space="0"/>
                    <w:bottom w:val="single" w:color="000000" w:sz="6" w:space="0"/>
                    <w:right w:val="single" w:color="000000" w:sz="6" w:space="0"/>
                  </w:tcBorders>
                  <w:noWrap w:val="0"/>
                  <w:vAlign w:val="center"/>
                </w:tcPr>
                <w:p w14:paraId="6FE8E0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rPr>
                      <w:rFonts w:hint="default" w:ascii="Times New Roman" w:hAnsi="Times New Roman" w:eastAsia="宋体" w:cs="Times New Roman"/>
                      <w:color w:val="auto"/>
                      <w:szCs w:val="21"/>
                      <w:highlight w:val="none"/>
                      <w:lang w:val="en-US" w:eastAsia="zh-CN"/>
                    </w:rPr>
                    <w:t>HZS</w:t>
                  </w:r>
                  <w:r>
                    <w:rPr>
                      <w:rFonts w:hint="eastAsia" w:ascii="Times New Roman" w:hAnsi="Times New Roman" w:eastAsia="宋体" w:cs="Times New Roman"/>
                      <w:color w:val="auto"/>
                      <w:szCs w:val="21"/>
                      <w:highlight w:val="none"/>
                      <w:lang w:val="en-US" w:eastAsia="zh-CN"/>
                    </w:rPr>
                    <w:t>240</w:t>
                  </w:r>
                  <w:r>
                    <w:rPr>
                      <w:rFonts w:hint="default" w:ascii="Times New Roman" w:hAnsi="Times New Roman" w:eastAsia="宋体" w:cs="Times New Roman"/>
                      <w:color w:val="auto"/>
                      <w:szCs w:val="21"/>
                      <w:highlight w:val="none"/>
                      <w:lang w:val="en-US" w:eastAsia="zh-CN"/>
                    </w:rPr>
                    <w:t>型商品混凝土搅拌站</w:t>
                  </w:r>
                </w:p>
              </w:tc>
              <w:tc>
                <w:tcPr>
                  <w:tcW w:w="793" w:type="pct"/>
                  <w:tcBorders>
                    <w:top w:val="single" w:color="000000" w:sz="6" w:space="0"/>
                    <w:left w:val="single" w:color="000000" w:sz="6" w:space="0"/>
                    <w:bottom w:val="single" w:color="000000" w:sz="6" w:space="0"/>
                    <w:right w:val="single" w:color="000000" w:sz="6" w:space="0"/>
                  </w:tcBorders>
                  <w:noWrap w:val="0"/>
                  <w:vAlign w:val="center"/>
                </w:tcPr>
                <w:p w14:paraId="759A3E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pPr>
                  <w:r>
                    <w:t>PM10</w:t>
                  </w:r>
                </w:p>
              </w:tc>
              <w:tc>
                <w:tcPr>
                  <w:tcW w:w="987" w:type="pct"/>
                  <w:tcBorders>
                    <w:top w:val="single" w:color="000000" w:sz="6" w:space="0"/>
                    <w:left w:val="single" w:color="000000" w:sz="6" w:space="0"/>
                    <w:bottom w:val="single" w:color="000000" w:sz="6" w:space="0"/>
                    <w:right w:val="single" w:color="000000" w:sz="6" w:space="0"/>
                  </w:tcBorders>
                  <w:noWrap w:val="0"/>
                  <w:vAlign w:val="center"/>
                </w:tcPr>
                <w:p w14:paraId="19922B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lang w:val="en-US" w:eastAsia="zh-CN"/>
                    </w:rPr>
                  </w:pPr>
                  <w:r>
                    <w:rPr>
                      <w:rFonts w:hint="eastAsia"/>
                      <w:lang w:val="en-US" w:eastAsia="zh-CN"/>
                    </w:rPr>
                    <w:t>6639.72</w:t>
                  </w:r>
                </w:p>
              </w:tc>
              <w:tc>
                <w:tcPr>
                  <w:tcW w:w="970" w:type="pct"/>
                  <w:tcBorders>
                    <w:top w:val="single" w:color="000000" w:sz="6" w:space="0"/>
                    <w:left w:val="single" w:color="000000" w:sz="6" w:space="0"/>
                    <w:bottom w:val="single" w:color="000000" w:sz="6" w:space="0"/>
                    <w:right w:val="single" w:color="000000" w:sz="6" w:space="0"/>
                  </w:tcBorders>
                  <w:noWrap w:val="0"/>
                  <w:vAlign w:val="center"/>
                </w:tcPr>
                <w:p w14:paraId="0783D3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cs="Times New Roman"/>
                      <w:lang w:val="en-US" w:eastAsia="zh-CN"/>
                    </w:rPr>
                    <w:t>46.81</w:t>
                  </w:r>
                </w:p>
              </w:tc>
            </w:tr>
          </w:tbl>
          <w:p w14:paraId="04A96911">
            <w:pPr>
              <w:bidi w:val="0"/>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由上表可知，非正常工况下，搅拌主机排气筒排放的颗粒物均超标。针对非正常工况，企业日常应及时检修设备、按操作规程严格操作，并定期巡视、检修，确保废气治理设施正常运行，避免非正常工况出现。另外，企业应建立废气非正常排放应急预案，一旦废气治理措施出现故障，应立即启动反应机制，避免出现超标排放的情况。</w:t>
            </w:r>
          </w:p>
          <w:p w14:paraId="49274D41">
            <w:pPr>
              <w:bidi w:val="0"/>
              <w:rPr>
                <w:rFonts w:hint="default"/>
                <w:b/>
                <w:bCs/>
                <w:lang w:val="en-US" w:eastAsia="zh-CN"/>
              </w:rPr>
            </w:pPr>
            <w:r>
              <w:rPr>
                <w:rFonts w:hint="eastAsia"/>
                <w:b/>
                <w:bCs/>
                <w:lang w:val="en-US" w:eastAsia="zh-CN"/>
              </w:rPr>
              <w:t>3.</w:t>
            </w:r>
            <w:r>
              <w:rPr>
                <w:rFonts w:hint="default"/>
                <w:b/>
                <w:bCs/>
                <w:lang w:val="en-US" w:eastAsia="zh-CN"/>
              </w:rPr>
              <w:t>废气排放情况汇总及达标情况分析</w:t>
            </w:r>
          </w:p>
          <w:p w14:paraId="110A18E7">
            <w:pPr>
              <w:bidi w:val="0"/>
              <w:rPr>
                <w:rFonts w:hint="default"/>
                <w:lang w:val="en-US" w:eastAsia="zh-CN"/>
              </w:rPr>
            </w:pPr>
            <w:r>
              <w:rPr>
                <w:rFonts w:hint="default"/>
                <w:lang w:val="en-US" w:eastAsia="zh-CN"/>
              </w:rPr>
              <w:t>本项目废气产排放情况汇总如下表所示：</w:t>
            </w:r>
          </w:p>
          <w:p w14:paraId="04740090">
            <w:pPr>
              <w:bidi w:val="0"/>
              <w:ind w:left="0" w:leftChars="0" w:firstLine="0" w:firstLineChars="0"/>
              <w:jc w:val="center"/>
              <w:rPr>
                <w:rFonts w:hint="default"/>
                <w:b/>
                <w:bCs/>
                <w:vertAlign w:val="baseline"/>
                <w:lang w:val="en-US" w:eastAsia="zh-CN"/>
              </w:rPr>
            </w:pPr>
            <w:r>
              <w:rPr>
                <w:rFonts w:hint="default"/>
                <w:b/>
                <w:bCs/>
                <w:lang w:val="en-US" w:eastAsia="zh-CN"/>
              </w:rPr>
              <w:t>表4-6废气排放情况一览表</w:t>
            </w:r>
          </w:p>
          <w:tbl>
            <w:tblPr>
              <w:tblStyle w:val="18"/>
              <w:tblW w:w="79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4"/>
              <w:gridCol w:w="1176"/>
              <w:gridCol w:w="891"/>
              <w:gridCol w:w="1137"/>
              <w:gridCol w:w="1266"/>
              <w:gridCol w:w="1084"/>
            </w:tblGrid>
            <w:tr w14:paraId="5E8C9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2424" w:type="dxa"/>
                  <w:vMerge w:val="restart"/>
                  <w:vAlign w:val="center"/>
                </w:tcPr>
                <w:p w14:paraId="1F5905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产污环节</w:t>
                  </w:r>
                </w:p>
              </w:tc>
              <w:tc>
                <w:tcPr>
                  <w:tcW w:w="1176" w:type="dxa"/>
                  <w:vMerge w:val="restart"/>
                  <w:vAlign w:val="center"/>
                </w:tcPr>
                <w:p w14:paraId="266C4A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污染物</w:t>
                  </w:r>
                </w:p>
              </w:tc>
              <w:tc>
                <w:tcPr>
                  <w:tcW w:w="891" w:type="dxa"/>
                  <w:vMerge w:val="restart"/>
                  <w:vAlign w:val="center"/>
                </w:tcPr>
                <w:p w14:paraId="5219AD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排放量（t/a）</w:t>
                  </w:r>
                </w:p>
              </w:tc>
              <w:tc>
                <w:tcPr>
                  <w:tcW w:w="1137" w:type="dxa"/>
                  <w:vMerge w:val="restart"/>
                  <w:vAlign w:val="center"/>
                </w:tcPr>
                <w:p w14:paraId="32B449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排放浓度（mg/m³）</w:t>
                  </w:r>
                </w:p>
              </w:tc>
              <w:tc>
                <w:tcPr>
                  <w:tcW w:w="2350" w:type="dxa"/>
                  <w:gridSpan w:val="2"/>
                  <w:vAlign w:val="center"/>
                </w:tcPr>
                <w:p w14:paraId="2602F5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执行标准限值</w:t>
                  </w:r>
                </w:p>
              </w:tc>
            </w:tr>
            <w:tr w14:paraId="0F9C3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2424" w:type="dxa"/>
                  <w:vMerge w:val="continue"/>
                  <w:vAlign w:val="center"/>
                </w:tcPr>
                <w:p w14:paraId="165808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0"/>
                      <w:szCs w:val="20"/>
                    </w:rPr>
                  </w:pPr>
                </w:p>
              </w:tc>
              <w:tc>
                <w:tcPr>
                  <w:tcW w:w="1176" w:type="dxa"/>
                  <w:vMerge w:val="continue"/>
                  <w:vAlign w:val="center"/>
                </w:tcPr>
                <w:p w14:paraId="27FD92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0"/>
                      <w:szCs w:val="20"/>
                    </w:rPr>
                  </w:pPr>
                </w:p>
              </w:tc>
              <w:tc>
                <w:tcPr>
                  <w:tcW w:w="891" w:type="dxa"/>
                  <w:vMerge w:val="continue"/>
                  <w:vAlign w:val="center"/>
                </w:tcPr>
                <w:p w14:paraId="2646A8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0"/>
                      <w:szCs w:val="20"/>
                    </w:rPr>
                  </w:pPr>
                </w:p>
              </w:tc>
              <w:tc>
                <w:tcPr>
                  <w:tcW w:w="1137" w:type="dxa"/>
                  <w:vMerge w:val="continue"/>
                  <w:vAlign w:val="center"/>
                </w:tcPr>
                <w:p w14:paraId="737071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sz w:val="20"/>
                      <w:szCs w:val="20"/>
                    </w:rPr>
                  </w:pPr>
                </w:p>
              </w:tc>
              <w:tc>
                <w:tcPr>
                  <w:tcW w:w="1266" w:type="dxa"/>
                  <w:vAlign w:val="center"/>
                </w:tcPr>
                <w:p w14:paraId="7AB5DB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浓度mg/m³</w:t>
                  </w:r>
                </w:p>
              </w:tc>
              <w:tc>
                <w:tcPr>
                  <w:tcW w:w="1084" w:type="dxa"/>
                  <w:vAlign w:val="center"/>
                </w:tcPr>
                <w:p w14:paraId="6D0B06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速率kg/h</w:t>
                  </w:r>
                </w:p>
              </w:tc>
            </w:tr>
            <w:tr w14:paraId="609D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2424" w:type="dxa"/>
                  <w:vAlign w:val="center"/>
                </w:tcPr>
                <w:p w14:paraId="06BAA7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default" w:ascii="Times New Roman" w:hAnsi="Times New Roman" w:eastAsia="宋体" w:cs="Times New Roman"/>
                      <w:color w:val="auto"/>
                      <w:sz w:val="20"/>
                      <w:szCs w:val="16"/>
                      <w:highlight w:val="none"/>
                      <w:lang w:val="en-US" w:eastAsia="zh-CN"/>
                    </w:rPr>
                    <w:t>HZS180型商品混凝土搅拌站</w:t>
                  </w:r>
                  <w:r>
                    <w:rPr>
                      <w:rFonts w:hint="eastAsia" w:ascii="Times New Roman" w:hAnsi="Times New Roman" w:eastAsia="宋体" w:cs="Times New Roman"/>
                      <w:color w:val="auto"/>
                      <w:sz w:val="20"/>
                      <w:szCs w:val="16"/>
                      <w:highlight w:val="none"/>
                      <w:lang w:val="en-US" w:eastAsia="zh-CN"/>
                    </w:rPr>
                    <w:t>搅拌废气排气筒（DA001）</w:t>
                  </w:r>
                </w:p>
              </w:tc>
              <w:tc>
                <w:tcPr>
                  <w:tcW w:w="1176" w:type="dxa"/>
                  <w:vAlign w:val="center"/>
                </w:tcPr>
                <w:p w14:paraId="504C4F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颗粒物</w:t>
                  </w:r>
                </w:p>
              </w:tc>
              <w:tc>
                <w:tcPr>
                  <w:tcW w:w="891" w:type="dxa"/>
                  <w:vAlign w:val="center"/>
                </w:tcPr>
                <w:p w14:paraId="45A43B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0.04</w:t>
                  </w:r>
                </w:p>
              </w:tc>
              <w:tc>
                <w:tcPr>
                  <w:tcW w:w="1137" w:type="dxa"/>
                  <w:vAlign w:val="center"/>
                </w:tcPr>
                <w:p w14:paraId="0109FB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17.02</w:t>
                  </w:r>
                </w:p>
              </w:tc>
              <w:tc>
                <w:tcPr>
                  <w:tcW w:w="1266" w:type="dxa"/>
                  <w:vAlign w:val="center"/>
                </w:tcPr>
                <w:p w14:paraId="70FF07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20</w:t>
                  </w:r>
                </w:p>
              </w:tc>
              <w:tc>
                <w:tcPr>
                  <w:tcW w:w="1084" w:type="dxa"/>
                  <w:vAlign w:val="center"/>
                </w:tcPr>
                <w:p w14:paraId="3D989D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w:t>
                  </w:r>
                </w:p>
              </w:tc>
            </w:tr>
            <w:tr w14:paraId="14A0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424" w:type="dxa"/>
                  <w:vAlign w:val="center"/>
                </w:tcPr>
                <w:p w14:paraId="75D299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default" w:ascii="Times New Roman" w:hAnsi="Times New Roman" w:eastAsia="宋体" w:cs="Times New Roman"/>
                      <w:color w:val="auto"/>
                      <w:sz w:val="20"/>
                      <w:szCs w:val="16"/>
                      <w:highlight w:val="none"/>
                      <w:lang w:val="en-US" w:eastAsia="zh-CN"/>
                    </w:rPr>
                    <w:t>HZS</w:t>
                  </w:r>
                  <w:r>
                    <w:rPr>
                      <w:rFonts w:hint="eastAsia" w:ascii="Times New Roman" w:hAnsi="Times New Roman" w:eastAsia="宋体" w:cs="Times New Roman"/>
                      <w:color w:val="auto"/>
                      <w:sz w:val="20"/>
                      <w:szCs w:val="16"/>
                      <w:highlight w:val="none"/>
                      <w:lang w:val="en-US" w:eastAsia="zh-CN"/>
                    </w:rPr>
                    <w:t>24</w:t>
                  </w:r>
                  <w:r>
                    <w:rPr>
                      <w:rFonts w:hint="default" w:ascii="Times New Roman" w:hAnsi="Times New Roman" w:eastAsia="宋体" w:cs="Times New Roman"/>
                      <w:color w:val="auto"/>
                      <w:sz w:val="20"/>
                      <w:szCs w:val="16"/>
                      <w:highlight w:val="none"/>
                      <w:lang w:val="en-US" w:eastAsia="zh-CN"/>
                    </w:rPr>
                    <w:t>0型商品混凝土搅拌站</w:t>
                  </w:r>
                  <w:r>
                    <w:rPr>
                      <w:rFonts w:hint="eastAsia" w:ascii="Times New Roman" w:hAnsi="Times New Roman" w:eastAsia="宋体" w:cs="Times New Roman"/>
                      <w:color w:val="auto"/>
                      <w:sz w:val="20"/>
                      <w:szCs w:val="16"/>
                      <w:highlight w:val="none"/>
                      <w:lang w:val="en-US" w:eastAsia="zh-CN"/>
                    </w:rPr>
                    <w:t>搅拌废气排气筒（DA002）</w:t>
                  </w:r>
                </w:p>
              </w:tc>
              <w:tc>
                <w:tcPr>
                  <w:tcW w:w="1176" w:type="dxa"/>
                  <w:vAlign w:val="center"/>
                </w:tcPr>
                <w:p w14:paraId="16003D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颗粒物</w:t>
                  </w:r>
                </w:p>
              </w:tc>
              <w:tc>
                <w:tcPr>
                  <w:tcW w:w="891" w:type="dxa"/>
                  <w:vAlign w:val="center"/>
                </w:tcPr>
                <w:p w14:paraId="57236B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0.14</w:t>
                  </w:r>
                </w:p>
              </w:tc>
              <w:tc>
                <w:tcPr>
                  <w:tcW w:w="1137" w:type="dxa"/>
                  <w:vAlign w:val="center"/>
                </w:tcPr>
                <w:p w14:paraId="61772B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19.86</w:t>
                  </w:r>
                </w:p>
              </w:tc>
              <w:tc>
                <w:tcPr>
                  <w:tcW w:w="1266" w:type="dxa"/>
                  <w:vAlign w:val="center"/>
                </w:tcPr>
                <w:p w14:paraId="2CFA92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20</w:t>
                  </w:r>
                </w:p>
              </w:tc>
              <w:tc>
                <w:tcPr>
                  <w:tcW w:w="1084" w:type="dxa"/>
                  <w:vAlign w:val="center"/>
                </w:tcPr>
                <w:p w14:paraId="50A1D8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w:t>
                  </w:r>
                </w:p>
              </w:tc>
            </w:tr>
            <w:tr w14:paraId="6B1C0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7978" w:type="dxa"/>
                  <w:gridSpan w:val="6"/>
                  <w:vAlign w:val="center"/>
                </w:tcPr>
                <w:p w14:paraId="60F7BC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无组织</w:t>
                  </w:r>
                </w:p>
              </w:tc>
            </w:tr>
            <w:tr w14:paraId="61BA9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424" w:type="dxa"/>
                  <w:vAlign w:val="center"/>
                </w:tcPr>
                <w:p w14:paraId="3C735A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0"/>
                      <w:szCs w:val="16"/>
                      <w:highlight w:val="none"/>
                      <w:lang w:val="en-US" w:eastAsia="zh-CN"/>
                    </w:rPr>
                  </w:pPr>
                  <w:r>
                    <w:rPr>
                      <w:rFonts w:hint="default" w:ascii="Times New Roman" w:hAnsi="Times New Roman" w:eastAsia="宋体" w:cs="Times New Roman"/>
                      <w:color w:val="auto"/>
                      <w:sz w:val="20"/>
                      <w:szCs w:val="16"/>
                      <w:highlight w:val="none"/>
                      <w:lang w:val="en-US" w:eastAsia="zh-CN"/>
                    </w:rPr>
                    <w:t>砂子、石子装卸扬尘、堆存粉尘</w:t>
                  </w:r>
                </w:p>
              </w:tc>
              <w:tc>
                <w:tcPr>
                  <w:tcW w:w="1176" w:type="dxa"/>
                  <w:vAlign w:val="center"/>
                </w:tcPr>
                <w:p w14:paraId="6B6F53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0"/>
                      <w:szCs w:val="20"/>
                      <w:vertAlign w:val="baseline"/>
                      <w:lang w:val="en-US" w:eastAsia="zh-CN"/>
                    </w:rPr>
                  </w:pPr>
                  <w:r>
                    <w:rPr>
                      <w:rFonts w:hint="eastAsia"/>
                      <w:sz w:val="20"/>
                      <w:szCs w:val="20"/>
                      <w:vertAlign w:val="baseline"/>
                      <w:lang w:val="en-US" w:eastAsia="zh-CN"/>
                    </w:rPr>
                    <w:t>颗粒物</w:t>
                  </w:r>
                </w:p>
              </w:tc>
              <w:tc>
                <w:tcPr>
                  <w:tcW w:w="891" w:type="dxa"/>
                  <w:vAlign w:val="center"/>
                </w:tcPr>
                <w:p w14:paraId="55B12F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6.81</w:t>
                  </w:r>
                </w:p>
              </w:tc>
              <w:tc>
                <w:tcPr>
                  <w:tcW w:w="1137" w:type="dxa"/>
                  <w:vAlign w:val="center"/>
                </w:tcPr>
                <w:p w14:paraId="78D317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w:t>
                  </w:r>
                </w:p>
              </w:tc>
              <w:tc>
                <w:tcPr>
                  <w:tcW w:w="1266" w:type="dxa"/>
                  <w:vAlign w:val="center"/>
                </w:tcPr>
                <w:p w14:paraId="407F83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0.5</w:t>
                  </w:r>
                </w:p>
              </w:tc>
              <w:tc>
                <w:tcPr>
                  <w:tcW w:w="1084" w:type="dxa"/>
                  <w:vAlign w:val="center"/>
                </w:tcPr>
                <w:p w14:paraId="6E9B92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0"/>
                      <w:szCs w:val="20"/>
                      <w:vertAlign w:val="baseline"/>
                      <w:lang w:val="en-US" w:eastAsia="zh-CN"/>
                    </w:rPr>
                  </w:pPr>
                  <w:r>
                    <w:rPr>
                      <w:rFonts w:hint="eastAsia"/>
                      <w:sz w:val="20"/>
                      <w:szCs w:val="20"/>
                      <w:vertAlign w:val="baseline"/>
                      <w:lang w:val="en-US" w:eastAsia="zh-CN"/>
                    </w:rPr>
                    <w:t>/</w:t>
                  </w:r>
                </w:p>
              </w:tc>
            </w:tr>
            <w:tr w14:paraId="381B2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424" w:type="dxa"/>
                  <w:vAlign w:val="center"/>
                </w:tcPr>
                <w:p w14:paraId="13FCC8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0"/>
                      <w:szCs w:val="16"/>
                      <w:highlight w:val="none"/>
                      <w:lang w:val="en-US" w:eastAsia="zh-CN"/>
                    </w:rPr>
                  </w:pPr>
                  <w:r>
                    <w:rPr>
                      <w:rFonts w:hint="default" w:ascii="Times New Roman" w:hAnsi="Times New Roman" w:eastAsia="宋体" w:cs="Times New Roman"/>
                      <w:color w:val="auto"/>
                      <w:sz w:val="20"/>
                      <w:szCs w:val="16"/>
                      <w:highlight w:val="none"/>
                      <w:lang w:val="en-US" w:eastAsia="zh-CN"/>
                    </w:rPr>
                    <w:t>水泥筒仓物料输送储存产生的粉尘</w:t>
                  </w:r>
                </w:p>
              </w:tc>
              <w:tc>
                <w:tcPr>
                  <w:tcW w:w="1176" w:type="dxa"/>
                  <w:vAlign w:val="center"/>
                </w:tcPr>
                <w:p w14:paraId="4497C4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0"/>
                      <w:szCs w:val="20"/>
                      <w:vertAlign w:val="baseline"/>
                      <w:lang w:val="en-US" w:eastAsia="zh-CN"/>
                    </w:rPr>
                  </w:pPr>
                  <w:r>
                    <w:rPr>
                      <w:rFonts w:hint="eastAsia"/>
                      <w:sz w:val="20"/>
                      <w:szCs w:val="20"/>
                      <w:vertAlign w:val="baseline"/>
                      <w:lang w:val="en-US" w:eastAsia="zh-CN"/>
                    </w:rPr>
                    <w:t>颗粒物</w:t>
                  </w:r>
                </w:p>
              </w:tc>
              <w:tc>
                <w:tcPr>
                  <w:tcW w:w="891" w:type="dxa"/>
                  <w:vAlign w:val="center"/>
                </w:tcPr>
                <w:p w14:paraId="4898C5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0.05</w:t>
                  </w:r>
                </w:p>
              </w:tc>
              <w:tc>
                <w:tcPr>
                  <w:tcW w:w="1137" w:type="dxa"/>
                  <w:vAlign w:val="center"/>
                </w:tcPr>
                <w:p w14:paraId="37BCE5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w:t>
                  </w:r>
                </w:p>
              </w:tc>
              <w:tc>
                <w:tcPr>
                  <w:tcW w:w="1266" w:type="dxa"/>
                  <w:vAlign w:val="center"/>
                </w:tcPr>
                <w:p w14:paraId="6D7909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0.5</w:t>
                  </w:r>
                </w:p>
              </w:tc>
              <w:tc>
                <w:tcPr>
                  <w:tcW w:w="1084" w:type="dxa"/>
                  <w:vAlign w:val="center"/>
                </w:tcPr>
                <w:p w14:paraId="0143A2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0"/>
                      <w:szCs w:val="20"/>
                      <w:vertAlign w:val="baseline"/>
                      <w:lang w:val="en-US" w:eastAsia="zh-CN"/>
                    </w:rPr>
                  </w:pPr>
                  <w:r>
                    <w:rPr>
                      <w:rFonts w:hint="eastAsia"/>
                      <w:sz w:val="20"/>
                      <w:szCs w:val="20"/>
                      <w:vertAlign w:val="baseline"/>
                      <w:lang w:val="en-US" w:eastAsia="zh-CN"/>
                    </w:rPr>
                    <w:t>/</w:t>
                  </w:r>
                </w:p>
              </w:tc>
            </w:tr>
            <w:tr w14:paraId="448B2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424" w:type="dxa"/>
                  <w:vAlign w:val="center"/>
                </w:tcPr>
                <w:p w14:paraId="046117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0"/>
                      <w:szCs w:val="16"/>
                      <w:highlight w:val="none"/>
                      <w:lang w:val="en-US" w:eastAsia="zh-CN"/>
                    </w:rPr>
                  </w:pPr>
                  <w:r>
                    <w:rPr>
                      <w:rFonts w:hint="default" w:ascii="Times New Roman" w:hAnsi="Times New Roman" w:eastAsia="宋体" w:cs="Times New Roman"/>
                      <w:color w:val="auto"/>
                      <w:sz w:val="20"/>
                      <w:szCs w:val="16"/>
                      <w:highlight w:val="none"/>
                      <w:lang w:val="en-US" w:eastAsia="zh-CN"/>
                    </w:rPr>
                    <w:t>粉煤灰筒仓物料输送储存产生的粉尘</w:t>
                  </w:r>
                </w:p>
              </w:tc>
              <w:tc>
                <w:tcPr>
                  <w:tcW w:w="1176" w:type="dxa"/>
                  <w:vAlign w:val="center"/>
                </w:tcPr>
                <w:p w14:paraId="1577DC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0"/>
                      <w:szCs w:val="20"/>
                      <w:vertAlign w:val="baseline"/>
                      <w:lang w:val="en-US" w:eastAsia="zh-CN"/>
                    </w:rPr>
                  </w:pPr>
                  <w:r>
                    <w:rPr>
                      <w:rFonts w:hint="eastAsia"/>
                      <w:sz w:val="20"/>
                      <w:szCs w:val="20"/>
                      <w:vertAlign w:val="baseline"/>
                      <w:lang w:val="en-US" w:eastAsia="zh-CN"/>
                    </w:rPr>
                    <w:t>颗粒物</w:t>
                  </w:r>
                </w:p>
              </w:tc>
              <w:tc>
                <w:tcPr>
                  <w:tcW w:w="891" w:type="dxa"/>
                  <w:vAlign w:val="center"/>
                </w:tcPr>
                <w:p w14:paraId="18816B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0.02</w:t>
                  </w:r>
                </w:p>
              </w:tc>
              <w:tc>
                <w:tcPr>
                  <w:tcW w:w="1137" w:type="dxa"/>
                  <w:vAlign w:val="center"/>
                </w:tcPr>
                <w:p w14:paraId="4B90CC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w:t>
                  </w:r>
                </w:p>
              </w:tc>
              <w:tc>
                <w:tcPr>
                  <w:tcW w:w="1266" w:type="dxa"/>
                  <w:vAlign w:val="center"/>
                </w:tcPr>
                <w:p w14:paraId="44B5F4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0.5</w:t>
                  </w:r>
                </w:p>
              </w:tc>
              <w:tc>
                <w:tcPr>
                  <w:tcW w:w="1084" w:type="dxa"/>
                  <w:vAlign w:val="center"/>
                </w:tcPr>
                <w:p w14:paraId="6ECED2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0"/>
                      <w:szCs w:val="20"/>
                      <w:vertAlign w:val="baseline"/>
                      <w:lang w:val="en-US" w:eastAsia="zh-CN"/>
                    </w:rPr>
                  </w:pPr>
                  <w:r>
                    <w:rPr>
                      <w:rFonts w:hint="eastAsia"/>
                      <w:sz w:val="20"/>
                      <w:szCs w:val="20"/>
                      <w:vertAlign w:val="baseline"/>
                      <w:lang w:val="en-US" w:eastAsia="zh-CN"/>
                    </w:rPr>
                    <w:t>/</w:t>
                  </w:r>
                </w:p>
              </w:tc>
            </w:tr>
            <w:tr w14:paraId="1D19A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2424" w:type="dxa"/>
                  <w:vAlign w:val="center"/>
                </w:tcPr>
                <w:p w14:paraId="1F89C7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0"/>
                      <w:szCs w:val="16"/>
                      <w:highlight w:val="none"/>
                      <w:lang w:val="en-US" w:eastAsia="zh-CN"/>
                    </w:rPr>
                  </w:pPr>
                  <w:r>
                    <w:rPr>
                      <w:rFonts w:hint="default" w:ascii="Times New Roman" w:hAnsi="Times New Roman" w:eastAsia="宋体" w:cs="Times New Roman"/>
                      <w:color w:val="auto"/>
                      <w:sz w:val="20"/>
                      <w:szCs w:val="16"/>
                      <w:highlight w:val="none"/>
                      <w:lang w:val="en-US" w:eastAsia="zh-CN"/>
                    </w:rPr>
                    <w:t>运输车辆动力起尘</w:t>
                  </w:r>
                </w:p>
              </w:tc>
              <w:tc>
                <w:tcPr>
                  <w:tcW w:w="1176" w:type="dxa"/>
                  <w:vAlign w:val="center"/>
                </w:tcPr>
                <w:p w14:paraId="6972B7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0"/>
                      <w:szCs w:val="20"/>
                      <w:vertAlign w:val="baseline"/>
                      <w:lang w:val="en-US" w:eastAsia="zh-CN"/>
                    </w:rPr>
                  </w:pPr>
                  <w:r>
                    <w:rPr>
                      <w:rFonts w:hint="eastAsia"/>
                      <w:sz w:val="20"/>
                      <w:szCs w:val="20"/>
                      <w:vertAlign w:val="baseline"/>
                      <w:lang w:val="en-US" w:eastAsia="zh-CN"/>
                    </w:rPr>
                    <w:t>颗粒物</w:t>
                  </w:r>
                </w:p>
              </w:tc>
              <w:tc>
                <w:tcPr>
                  <w:tcW w:w="891" w:type="dxa"/>
                  <w:vAlign w:val="center"/>
                </w:tcPr>
                <w:p w14:paraId="2775EE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0.63</w:t>
                  </w:r>
                </w:p>
              </w:tc>
              <w:tc>
                <w:tcPr>
                  <w:tcW w:w="1137" w:type="dxa"/>
                  <w:vAlign w:val="center"/>
                </w:tcPr>
                <w:p w14:paraId="3AC44E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w:t>
                  </w:r>
                </w:p>
              </w:tc>
              <w:tc>
                <w:tcPr>
                  <w:tcW w:w="1266" w:type="dxa"/>
                  <w:vAlign w:val="center"/>
                </w:tcPr>
                <w:p w14:paraId="4CCF12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0"/>
                      <w:szCs w:val="20"/>
                      <w:vertAlign w:val="baseline"/>
                      <w:lang w:val="en-US" w:eastAsia="zh-CN"/>
                    </w:rPr>
                  </w:pPr>
                  <w:r>
                    <w:rPr>
                      <w:rFonts w:hint="eastAsia"/>
                      <w:sz w:val="20"/>
                      <w:szCs w:val="20"/>
                      <w:vertAlign w:val="baseline"/>
                      <w:lang w:val="en-US" w:eastAsia="zh-CN"/>
                    </w:rPr>
                    <w:t>0.5</w:t>
                  </w:r>
                </w:p>
              </w:tc>
              <w:tc>
                <w:tcPr>
                  <w:tcW w:w="1084" w:type="dxa"/>
                  <w:vAlign w:val="center"/>
                </w:tcPr>
                <w:p w14:paraId="787E7A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0"/>
                      <w:szCs w:val="20"/>
                      <w:vertAlign w:val="baseline"/>
                      <w:lang w:val="en-US" w:eastAsia="zh-CN"/>
                    </w:rPr>
                  </w:pPr>
                  <w:r>
                    <w:rPr>
                      <w:rFonts w:hint="eastAsia"/>
                      <w:sz w:val="20"/>
                      <w:szCs w:val="20"/>
                      <w:vertAlign w:val="baseline"/>
                      <w:lang w:val="en-US" w:eastAsia="zh-CN"/>
                    </w:rPr>
                    <w:t>/</w:t>
                  </w:r>
                </w:p>
              </w:tc>
            </w:tr>
          </w:tbl>
          <w:p w14:paraId="25754FF9">
            <w:pPr>
              <w:bidi w:val="0"/>
              <w:rPr>
                <w:rFonts w:hint="default"/>
                <w:lang w:val="en-US" w:eastAsia="zh-CN"/>
              </w:rPr>
            </w:pPr>
            <w:r>
              <w:rPr>
                <w:rFonts w:hint="default"/>
                <w:lang w:val="en-US" w:eastAsia="zh-CN"/>
              </w:rPr>
              <w:t>本项目各产污环节产生的废气均做到了有效收集，选取的污染防治设施属于排污许可技术规范认可的可行性技术，有组织排放的颗粒物可以满足《水泥工业大气污染物排放标准》</w:t>
            </w:r>
            <w:r>
              <w:rPr>
                <w:rFonts w:hint="eastAsia"/>
                <w:lang w:val="en-US" w:eastAsia="zh-CN"/>
              </w:rPr>
              <w:t>（</w:t>
            </w:r>
            <w:r>
              <w:rPr>
                <w:rFonts w:hint="default"/>
                <w:lang w:val="en-US" w:eastAsia="zh-CN"/>
              </w:rPr>
              <w:t>GB4915-2013</w:t>
            </w:r>
            <w:r>
              <w:rPr>
                <w:rFonts w:hint="eastAsia"/>
                <w:lang w:val="en-US" w:eastAsia="zh-CN"/>
              </w:rPr>
              <w:t>）</w:t>
            </w:r>
            <w:r>
              <w:rPr>
                <w:rFonts w:hint="default"/>
                <w:lang w:val="en-US" w:eastAsia="zh-CN"/>
              </w:rPr>
              <w:t>表1新建企业大气污染物排放限值（颗粒物：20mg/</w:t>
            </w:r>
            <w:r>
              <w:rPr>
                <w:rFonts w:hint="eastAsia"/>
                <w:lang w:val="en-US" w:eastAsia="zh-CN"/>
              </w:rPr>
              <w:t>m³</w:t>
            </w:r>
            <w:r>
              <w:rPr>
                <w:rFonts w:hint="default"/>
                <w:lang w:val="en-US" w:eastAsia="zh-CN"/>
              </w:rPr>
              <w:t>）。</w:t>
            </w:r>
          </w:p>
          <w:p w14:paraId="35333D96">
            <w:pPr>
              <w:bidi w:val="0"/>
              <w:rPr>
                <w:rFonts w:hint="default"/>
                <w:lang w:val="en-US" w:eastAsia="zh-CN"/>
              </w:rPr>
            </w:pPr>
            <w:r>
              <w:rPr>
                <w:rFonts w:hint="default"/>
                <w:lang w:val="en-US" w:eastAsia="zh-CN"/>
              </w:rPr>
              <w:t>项目废气排放口情况如下表：</w:t>
            </w:r>
          </w:p>
          <w:p w14:paraId="10749593">
            <w:pPr>
              <w:bidi w:val="0"/>
              <w:ind w:left="0" w:leftChars="0" w:firstLine="0" w:firstLineChars="0"/>
              <w:jc w:val="center"/>
              <w:rPr>
                <w:rFonts w:hint="default"/>
                <w:b/>
                <w:bCs/>
                <w:lang w:val="en-US" w:eastAsia="zh-CN"/>
              </w:rPr>
            </w:pPr>
            <w:r>
              <w:rPr>
                <w:rFonts w:hint="default"/>
                <w:b/>
                <w:bCs/>
                <w:lang w:val="en-US" w:eastAsia="zh-CN"/>
              </w:rPr>
              <w:t>表4-7废气排放口一览表</w:t>
            </w:r>
          </w:p>
          <w:tbl>
            <w:tblPr>
              <w:tblStyle w:val="44"/>
              <w:tblW w:w="79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79"/>
              <w:gridCol w:w="1357"/>
              <w:gridCol w:w="653"/>
              <w:gridCol w:w="584"/>
              <w:gridCol w:w="711"/>
              <w:gridCol w:w="1017"/>
              <w:gridCol w:w="1032"/>
              <w:gridCol w:w="1546"/>
            </w:tblGrid>
            <w:tr w14:paraId="4B8EF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676" w:type="pct"/>
                  <w:vMerge w:val="restart"/>
                  <w:tcBorders>
                    <w:top w:val="single" w:color="auto" w:sz="4" w:space="0"/>
                    <w:left w:val="single" w:color="000000" w:sz="2" w:space="0"/>
                    <w:bottom w:val="single" w:color="auto" w:sz="4" w:space="0"/>
                    <w:right w:val="single" w:color="auto" w:sz="4" w:space="0"/>
                  </w:tcBorders>
                  <w:noWrap w:val="0"/>
                  <w:vAlign w:val="center"/>
                </w:tcPr>
                <w:p w14:paraId="28B22D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r>
                    <w:rPr>
                      <w:rFonts w:hint="default"/>
                      <w:sz w:val="22"/>
                      <w:szCs w:val="22"/>
                      <w:lang w:val="en-US" w:eastAsia="zh-CN"/>
                    </w:rPr>
                    <w:t>排放口编号</w:t>
                  </w:r>
                </w:p>
              </w:tc>
              <w:tc>
                <w:tcPr>
                  <w:tcW w:w="850" w:type="pct"/>
                  <w:vMerge w:val="restart"/>
                  <w:tcBorders>
                    <w:top w:val="single" w:color="auto" w:sz="4" w:space="0"/>
                    <w:left w:val="single" w:color="auto" w:sz="4" w:space="0"/>
                    <w:bottom w:val="single" w:color="auto" w:sz="4" w:space="0"/>
                    <w:right w:val="single" w:color="auto" w:sz="4" w:space="0"/>
                  </w:tcBorders>
                  <w:noWrap w:val="0"/>
                  <w:vAlign w:val="center"/>
                </w:tcPr>
                <w:p w14:paraId="53151A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r>
                    <w:rPr>
                      <w:rFonts w:hint="default"/>
                      <w:sz w:val="22"/>
                      <w:szCs w:val="22"/>
                      <w:lang w:val="en-US" w:eastAsia="zh-CN"/>
                    </w:rPr>
                    <w:t>排气筒中心坐标</w:t>
                  </w:r>
                </w:p>
              </w:tc>
              <w:tc>
                <w:tcPr>
                  <w:tcW w:w="1858" w:type="pct"/>
                  <w:gridSpan w:val="4"/>
                  <w:tcBorders>
                    <w:top w:val="single" w:color="auto" w:sz="4" w:space="0"/>
                    <w:left w:val="single" w:color="auto" w:sz="4" w:space="0"/>
                    <w:bottom w:val="single" w:color="auto" w:sz="4" w:space="0"/>
                    <w:right w:val="single" w:color="auto" w:sz="4" w:space="0"/>
                  </w:tcBorders>
                  <w:noWrap w:val="0"/>
                  <w:vAlign w:val="center"/>
                </w:tcPr>
                <w:p w14:paraId="00593E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r>
                    <w:rPr>
                      <w:rFonts w:hint="default"/>
                      <w:sz w:val="22"/>
                      <w:szCs w:val="22"/>
                      <w:lang w:val="en-US" w:eastAsia="zh-CN"/>
                    </w:rPr>
                    <w:t>排气筒参数</w:t>
                  </w:r>
                </w:p>
              </w:tc>
              <w:tc>
                <w:tcPr>
                  <w:tcW w:w="646" w:type="pct"/>
                  <w:vMerge w:val="restart"/>
                  <w:tcBorders>
                    <w:top w:val="single" w:color="auto" w:sz="4" w:space="0"/>
                    <w:left w:val="single" w:color="auto" w:sz="4" w:space="0"/>
                    <w:bottom w:val="single" w:color="auto" w:sz="4" w:space="0"/>
                    <w:right w:val="single" w:color="auto" w:sz="4" w:space="0"/>
                  </w:tcBorders>
                  <w:noWrap w:val="0"/>
                  <w:vAlign w:val="center"/>
                </w:tcPr>
                <w:p w14:paraId="19C75C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r>
                    <w:rPr>
                      <w:rFonts w:hint="default"/>
                      <w:sz w:val="22"/>
                      <w:szCs w:val="22"/>
                      <w:lang w:val="en-US" w:eastAsia="zh-CN"/>
                    </w:rPr>
                    <w:t>排放口类型</w:t>
                  </w:r>
                </w:p>
              </w:tc>
              <w:tc>
                <w:tcPr>
                  <w:tcW w:w="968" w:type="pct"/>
                  <w:vMerge w:val="restart"/>
                  <w:tcBorders>
                    <w:top w:val="single" w:color="auto" w:sz="4" w:space="0"/>
                    <w:left w:val="single" w:color="auto" w:sz="4" w:space="0"/>
                    <w:bottom w:val="single" w:color="auto" w:sz="4" w:space="0"/>
                    <w:right w:val="single" w:color="auto" w:sz="4" w:space="0"/>
                  </w:tcBorders>
                  <w:noWrap w:val="0"/>
                  <w:vAlign w:val="center"/>
                </w:tcPr>
                <w:p w14:paraId="472F63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p>
                <w:p w14:paraId="38B709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r>
                    <w:rPr>
                      <w:rFonts w:hint="default"/>
                      <w:sz w:val="22"/>
                      <w:szCs w:val="22"/>
                      <w:lang w:val="en-US" w:eastAsia="zh-CN"/>
                    </w:rPr>
                    <w:t>执行标准</w:t>
                  </w:r>
                </w:p>
              </w:tc>
            </w:tr>
            <w:tr w14:paraId="03E4B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1" w:hRule="atLeast"/>
              </w:trPr>
              <w:tc>
                <w:tcPr>
                  <w:tcW w:w="676" w:type="pct"/>
                  <w:vMerge w:val="continue"/>
                  <w:tcBorders>
                    <w:top w:val="single" w:color="auto" w:sz="4" w:space="0"/>
                    <w:left w:val="single" w:color="auto" w:sz="4" w:space="0"/>
                    <w:bottom w:val="single" w:color="auto" w:sz="4" w:space="0"/>
                    <w:right w:val="single" w:color="auto" w:sz="4" w:space="0"/>
                  </w:tcBorders>
                  <w:noWrap w:val="0"/>
                  <w:vAlign w:val="center"/>
                </w:tcPr>
                <w:p w14:paraId="22F4C7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p>
              </w:tc>
              <w:tc>
                <w:tcPr>
                  <w:tcW w:w="850" w:type="pct"/>
                  <w:vMerge w:val="continue"/>
                  <w:tcBorders>
                    <w:top w:val="single" w:color="auto" w:sz="4" w:space="0"/>
                    <w:left w:val="single" w:color="auto" w:sz="4" w:space="0"/>
                    <w:bottom w:val="single" w:color="auto" w:sz="4" w:space="0"/>
                    <w:right w:val="single" w:color="auto" w:sz="4" w:space="0"/>
                  </w:tcBorders>
                  <w:noWrap w:val="0"/>
                  <w:vAlign w:val="center"/>
                </w:tcPr>
                <w:p w14:paraId="131FC1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p>
              </w:tc>
              <w:tc>
                <w:tcPr>
                  <w:tcW w:w="409" w:type="pct"/>
                  <w:tcBorders>
                    <w:top w:val="single" w:color="auto" w:sz="4" w:space="0"/>
                    <w:left w:val="single" w:color="auto" w:sz="4" w:space="0"/>
                    <w:bottom w:val="single" w:color="auto" w:sz="4" w:space="0"/>
                    <w:right w:val="single" w:color="auto" w:sz="4" w:space="0"/>
                  </w:tcBorders>
                  <w:noWrap w:val="0"/>
                  <w:vAlign w:val="center"/>
                </w:tcPr>
                <w:p w14:paraId="470074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r>
                    <w:rPr>
                      <w:rFonts w:hint="default"/>
                      <w:sz w:val="22"/>
                      <w:szCs w:val="22"/>
                      <w:lang w:val="en-US" w:eastAsia="zh-CN"/>
                    </w:rPr>
                    <w:t>高度m</w:t>
                  </w:r>
                </w:p>
              </w:tc>
              <w:tc>
                <w:tcPr>
                  <w:tcW w:w="365" w:type="pct"/>
                  <w:tcBorders>
                    <w:top w:val="single" w:color="auto" w:sz="4" w:space="0"/>
                    <w:left w:val="single" w:color="auto" w:sz="4" w:space="0"/>
                    <w:bottom w:val="single" w:color="auto" w:sz="4" w:space="0"/>
                    <w:right w:val="single" w:color="auto" w:sz="4" w:space="0"/>
                  </w:tcBorders>
                  <w:noWrap w:val="0"/>
                  <w:vAlign w:val="center"/>
                </w:tcPr>
                <w:p w14:paraId="553181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r>
                    <w:rPr>
                      <w:rFonts w:hint="default"/>
                      <w:sz w:val="22"/>
                      <w:szCs w:val="22"/>
                      <w:lang w:val="en-US" w:eastAsia="zh-CN"/>
                    </w:rPr>
                    <w:t>内径</w:t>
                  </w:r>
                </w:p>
                <w:p w14:paraId="3C7665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r>
                    <w:rPr>
                      <w:rFonts w:hint="default"/>
                      <w:sz w:val="22"/>
                      <w:szCs w:val="22"/>
                      <w:lang w:val="en-US" w:eastAsia="zh-CN"/>
                    </w:rPr>
                    <w:t>m</w:t>
                  </w:r>
                </w:p>
              </w:tc>
              <w:tc>
                <w:tcPr>
                  <w:tcW w:w="445" w:type="pct"/>
                  <w:tcBorders>
                    <w:top w:val="single" w:color="auto" w:sz="4" w:space="0"/>
                    <w:left w:val="single" w:color="auto" w:sz="4" w:space="0"/>
                    <w:bottom w:val="single" w:color="auto" w:sz="4" w:space="0"/>
                    <w:right w:val="single" w:color="auto" w:sz="4" w:space="0"/>
                  </w:tcBorders>
                  <w:noWrap w:val="0"/>
                  <w:vAlign w:val="center"/>
                </w:tcPr>
                <w:p w14:paraId="13CEEA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r>
                    <w:rPr>
                      <w:rFonts w:hint="default"/>
                      <w:sz w:val="22"/>
                      <w:szCs w:val="22"/>
                      <w:lang w:val="en-US" w:eastAsia="zh-CN"/>
                    </w:rPr>
                    <w:t>温度℃</w:t>
                  </w:r>
                </w:p>
              </w:tc>
              <w:tc>
                <w:tcPr>
                  <w:tcW w:w="637" w:type="pct"/>
                  <w:tcBorders>
                    <w:top w:val="single" w:color="auto" w:sz="4" w:space="0"/>
                    <w:left w:val="single" w:color="auto" w:sz="4" w:space="0"/>
                    <w:bottom w:val="single" w:color="auto" w:sz="4" w:space="0"/>
                    <w:right w:val="single" w:color="auto" w:sz="4" w:space="0"/>
                  </w:tcBorders>
                  <w:noWrap w:val="0"/>
                  <w:vAlign w:val="center"/>
                </w:tcPr>
                <w:p w14:paraId="15F837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r>
                    <w:rPr>
                      <w:rFonts w:hint="default"/>
                      <w:sz w:val="22"/>
                      <w:szCs w:val="22"/>
                      <w:lang w:val="en-US" w:eastAsia="zh-CN"/>
                    </w:rPr>
                    <w:t>风量</w:t>
                  </w:r>
                  <w:r>
                    <w:rPr>
                      <w:rFonts w:hint="eastAsia"/>
                      <w:sz w:val="22"/>
                      <w:szCs w:val="22"/>
                      <w:lang w:val="en-US" w:eastAsia="zh-CN"/>
                    </w:rPr>
                    <w:t>m³</w:t>
                  </w:r>
                  <w:r>
                    <w:rPr>
                      <w:rFonts w:hint="default"/>
                      <w:sz w:val="22"/>
                      <w:szCs w:val="22"/>
                      <w:lang w:val="en-US" w:eastAsia="zh-CN"/>
                    </w:rPr>
                    <w:t>/h</w:t>
                  </w:r>
                </w:p>
              </w:tc>
              <w:tc>
                <w:tcPr>
                  <w:tcW w:w="646" w:type="pct"/>
                  <w:vMerge w:val="continue"/>
                  <w:tcBorders>
                    <w:top w:val="single" w:color="auto" w:sz="4" w:space="0"/>
                    <w:left w:val="single" w:color="auto" w:sz="4" w:space="0"/>
                    <w:bottom w:val="single" w:color="auto" w:sz="4" w:space="0"/>
                    <w:right w:val="single" w:color="auto" w:sz="4" w:space="0"/>
                  </w:tcBorders>
                  <w:noWrap w:val="0"/>
                  <w:vAlign w:val="center"/>
                </w:tcPr>
                <w:p w14:paraId="25D6DA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p>
              </w:tc>
              <w:tc>
                <w:tcPr>
                  <w:tcW w:w="968" w:type="pct"/>
                  <w:vMerge w:val="continue"/>
                  <w:tcBorders>
                    <w:top w:val="single" w:color="auto" w:sz="4" w:space="0"/>
                    <w:left w:val="single" w:color="auto" w:sz="4" w:space="0"/>
                    <w:bottom w:val="single" w:color="auto" w:sz="4" w:space="0"/>
                    <w:right w:val="single" w:color="auto" w:sz="4" w:space="0"/>
                  </w:tcBorders>
                  <w:noWrap w:val="0"/>
                  <w:vAlign w:val="center"/>
                </w:tcPr>
                <w:p w14:paraId="62D12C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p>
              </w:tc>
            </w:tr>
            <w:tr w14:paraId="534C25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676" w:type="pct"/>
                  <w:tcBorders>
                    <w:top w:val="single" w:color="auto" w:sz="4" w:space="0"/>
                    <w:left w:val="single" w:color="auto" w:sz="4" w:space="0"/>
                    <w:bottom w:val="single" w:color="auto" w:sz="4" w:space="0"/>
                    <w:right w:val="single" w:color="auto" w:sz="4" w:space="0"/>
                  </w:tcBorders>
                  <w:noWrap w:val="0"/>
                  <w:vAlign w:val="center"/>
                </w:tcPr>
                <w:p w14:paraId="64DD62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r>
                    <w:rPr>
                      <w:rFonts w:hint="default"/>
                      <w:sz w:val="22"/>
                      <w:szCs w:val="22"/>
                      <w:lang w:val="en-US" w:eastAsia="zh-CN"/>
                    </w:rPr>
                    <w:t>DA001</w:t>
                  </w:r>
                </w:p>
              </w:tc>
              <w:tc>
                <w:tcPr>
                  <w:tcW w:w="850" w:type="pct"/>
                  <w:tcBorders>
                    <w:top w:val="single" w:color="auto" w:sz="4" w:space="0"/>
                    <w:left w:val="single" w:color="auto" w:sz="4" w:space="0"/>
                    <w:bottom w:val="single" w:color="auto" w:sz="4" w:space="0"/>
                    <w:right w:val="single" w:color="auto" w:sz="4" w:space="0"/>
                  </w:tcBorders>
                  <w:noWrap w:val="0"/>
                  <w:vAlign w:val="center"/>
                </w:tcPr>
                <w:p w14:paraId="27938A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r>
                    <w:rPr>
                      <w:rFonts w:hint="default"/>
                      <w:sz w:val="22"/>
                      <w:szCs w:val="22"/>
                      <w:lang w:val="en-US" w:eastAsia="zh-CN"/>
                    </w:rPr>
                    <w:t>109.56581</w:t>
                  </w:r>
                  <w:r>
                    <w:rPr>
                      <w:rFonts w:hint="eastAsia"/>
                      <w:sz w:val="22"/>
                      <w:szCs w:val="22"/>
                      <w:lang w:val="en-US" w:eastAsia="zh-CN"/>
                    </w:rPr>
                    <w:t>°，</w:t>
                  </w:r>
                  <w:r>
                    <w:rPr>
                      <w:rFonts w:hint="default"/>
                      <w:sz w:val="22"/>
                      <w:szCs w:val="22"/>
                      <w:lang w:val="en-US" w:eastAsia="zh-CN"/>
                    </w:rPr>
                    <w:t>39.54299</w:t>
                  </w:r>
                  <w:r>
                    <w:rPr>
                      <w:rFonts w:hint="eastAsia"/>
                      <w:sz w:val="22"/>
                      <w:szCs w:val="22"/>
                      <w:lang w:val="en-US" w:eastAsia="zh-CN"/>
                    </w:rPr>
                    <w:t>°</w:t>
                  </w:r>
                </w:p>
              </w:tc>
              <w:tc>
                <w:tcPr>
                  <w:tcW w:w="409" w:type="pct"/>
                  <w:tcBorders>
                    <w:top w:val="single" w:color="auto" w:sz="4" w:space="0"/>
                    <w:left w:val="single" w:color="auto" w:sz="4" w:space="0"/>
                    <w:bottom w:val="single" w:color="auto" w:sz="4" w:space="0"/>
                    <w:right w:val="single" w:color="auto" w:sz="4" w:space="0"/>
                  </w:tcBorders>
                  <w:noWrap w:val="0"/>
                  <w:vAlign w:val="center"/>
                </w:tcPr>
                <w:p w14:paraId="2D6683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r>
                    <w:rPr>
                      <w:rFonts w:hint="default"/>
                      <w:sz w:val="22"/>
                      <w:szCs w:val="22"/>
                      <w:lang w:val="en-US" w:eastAsia="zh-CN"/>
                    </w:rPr>
                    <w:t>15</w:t>
                  </w:r>
                </w:p>
              </w:tc>
              <w:tc>
                <w:tcPr>
                  <w:tcW w:w="365" w:type="pct"/>
                  <w:tcBorders>
                    <w:top w:val="single" w:color="auto" w:sz="4" w:space="0"/>
                    <w:left w:val="single" w:color="auto" w:sz="4" w:space="0"/>
                    <w:bottom w:val="single" w:color="auto" w:sz="4" w:space="0"/>
                    <w:right w:val="single" w:color="auto" w:sz="4" w:space="0"/>
                  </w:tcBorders>
                  <w:noWrap w:val="0"/>
                  <w:vAlign w:val="center"/>
                </w:tcPr>
                <w:p w14:paraId="62E50A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r>
                    <w:rPr>
                      <w:rFonts w:hint="default"/>
                      <w:sz w:val="22"/>
                      <w:szCs w:val="22"/>
                      <w:lang w:val="en-US" w:eastAsia="zh-CN"/>
                    </w:rPr>
                    <w:t>0.3</w:t>
                  </w:r>
                </w:p>
              </w:tc>
              <w:tc>
                <w:tcPr>
                  <w:tcW w:w="445" w:type="pct"/>
                  <w:tcBorders>
                    <w:top w:val="single" w:color="auto" w:sz="4" w:space="0"/>
                    <w:left w:val="single" w:color="auto" w:sz="4" w:space="0"/>
                    <w:bottom w:val="single" w:color="auto" w:sz="4" w:space="0"/>
                    <w:right w:val="single" w:color="auto" w:sz="4" w:space="0"/>
                  </w:tcBorders>
                  <w:noWrap w:val="0"/>
                  <w:vAlign w:val="center"/>
                </w:tcPr>
                <w:p w14:paraId="6DA275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r>
                    <w:rPr>
                      <w:rFonts w:hint="default"/>
                      <w:sz w:val="22"/>
                      <w:szCs w:val="22"/>
                      <w:lang w:val="en-US" w:eastAsia="zh-CN"/>
                    </w:rPr>
                    <w:t>常温</w:t>
                  </w:r>
                </w:p>
              </w:tc>
              <w:tc>
                <w:tcPr>
                  <w:tcW w:w="637" w:type="pct"/>
                  <w:tcBorders>
                    <w:top w:val="single" w:color="auto" w:sz="4" w:space="0"/>
                    <w:left w:val="single" w:color="auto" w:sz="4" w:space="0"/>
                    <w:bottom w:val="single" w:color="auto" w:sz="4" w:space="0"/>
                    <w:right w:val="single" w:color="auto" w:sz="4" w:space="0"/>
                  </w:tcBorders>
                  <w:noWrap w:val="0"/>
                  <w:vAlign w:val="center"/>
                </w:tcPr>
                <w:p w14:paraId="3B79C6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r>
                    <w:rPr>
                      <w:rFonts w:hint="default"/>
                      <w:sz w:val="22"/>
                      <w:szCs w:val="22"/>
                      <w:lang w:val="en-US" w:eastAsia="zh-CN"/>
                    </w:rPr>
                    <w:t>5000</w:t>
                  </w:r>
                </w:p>
              </w:tc>
              <w:tc>
                <w:tcPr>
                  <w:tcW w:w="646" w:type="pct"/>
                  <w:tcBorders>
                    <w:top w:val="single" w:color="auto" w:sz="4" w:space="0"/>
                    <w:left w:val="single" w:color="auto" w:sz="4" w:space="0"/>
                    <w:bottom w:val="single" w:color="auto" w:sz="4" w:space="0"/>
                    <w:right w:val="single" w:color="auto" w:sz="4" w:space="0"/>
                  </w:tcBorders>
                  <w:noWrap w:val="0"/>
                  <w:vAlign w:val="center"/>
                </w:tcPr>
                <w:p w14:paraId="06F7A7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r>
                    <w:rPr>
                      <w:rFonts w:hint="default"/>
                      <w:sz w:val="22"/>
                      <w:szCs w:val="22"/>
                      <w:lang w:val="en-US" w:eastAsia="zh-CN"/>
                    </w:rPr>
                    <w:t>一般排放口</w:t>
                  </w:r>
                </w:p>
              </w:tc>
              <w:tc>
                <w:tcPr>
                  <w:tcW w:w="968" w:type="pct"/>
                  <w:vMerge w:val="restart"/>
                  <w:tcBorders>
                    <w:top w:val="single" w:color="auto" w:sz="4" w:space="0"/>
                    <w:left w:val="single" w:color="auto" w:sz="4" w:space="0"/>
                    <w:right w:val="single" w:color="auto" w:sz="4" w:space="0"/>
                  </w:tcBorders>
                  <w:noWrap w:val="0"/>
                  <w:vAlign w:val="center"/>
                </w:tcPr>
                <w:p w14:paraId="7344F0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r>
                    <w:rPr>
                      <w:rFonts w:hint="default"/>
                      <w:sz w:val="22"/>
                      <w:szCs w:val="22"/>
                      <w:lang w:val="en-US" w:eastAsia="zh-CN"/>
                    </w:rPr>
                    <w:t>GB4915-2013</w:t>
                  </w:r>
                </w:p>
              </w:tc>
            </w:tr>
            <w:tr w14:paraId="61932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676" w:type="pct"/>
                  <w:tcBorders>
                    <w:top w:val="single" w:color="auto" w:sz="4" w:space="0"/>
                    <w:left w:val="single" w:color="auto" w:sz="4" w:space="0"/>
                    <w:bottom w:val="single" w:color="auto" w:sz="4" w:space="0"/>
                    <w:right w:val="single" w:color="auto" w:sz="4" w:space="0"/>
                  </w:tcBorders>
                  <w:noWrap w:val="0"/>
                  <w:vAlign w:val="center"/>
                </w:tcPr>
                <w:p w14:paraId="70FDAB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r>
                    <w:rPr>
                      <w:rFonts w:hint="default"/>
                      <w:sz w:val="22"/>
                      <w:szCs w:val="22"/>
                      <w:lang w:val="en-US" w:eastAsia="zh-CN"/>
                    </w:rPr>
                    <w:t>DA00</w:t>
                  </w:r>
                  <w:r>
                    <w:rPr>
                      <w:rFonts w:hint="eastAsia"/>
                      <w:sz w:val="22"/>
                      <w:szCs w:val="22"/>
                      <w:lang w:val="en-US" w:eastAsia="zh-CN"/>
                    </w:rPr>
                    <w:t>2</w:t>
                  </w:r>
                </w:p>
              </w:tc>
              <w:tc>
                <w:tcPr>
                  <w:tcW w:w="850" w:type="pct"/>
                  <w:tcBorders>
                    <w:top w:val="single" w:color="auto" w:sz="4" w:space="0"/>
                    <w:left w:val="single" w:color="auto" w:sz="4" w:space="0"/>
                    <w:bottom w:val="single" w:color="auto" w:sz="4" w:space="0"/>
                    <w:right w:val="single" w:color="auto" w:sz="4" w:space="0"/>
                  </w:tcBorders>
                  <w:noWrap w:val="0"/>
                  <w:vAlign w:val="center"/>
                </w:tcPr>
                <w:p w14:paraId="64E9F9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r>
                    <w:rPr>
                      <w:rFonts w:hint="default"/>
                      <w:sz w:val="22"/>
                      <w:szCs w:val="22"/>
                      <w:lang w:val="en-US" w:eastAsia="zh-CN"/>
                    </w:rPr>
                    <w:t>109.56594</w:t>
                  </w:r>
                  <w:r>
                    <w:rPr>
                      <w:rFonts w:hint="eastAsia"/>
                      <w:sz w:val="22"/>
                      <w:szCs w:val="22"/>
                      <w:lang w:val="en-US" w:eastAsia="zh-CN"/>
                    </w:rPr>
                    <w:t>°，</w:t>
                  </w:r>
                  <w:r>
                    <w:rPr>
                      <w:rFonts w:hint="default"/>
                      <w:sz w:val="22"/>
                      <w:szCs w:val="22"/>
                      <w:lang w:val="en-US" w:eastAsia="zh-CN"/>
                    </w:rPr>
                    <w:t>39.54263</w:t>
                  </w:r>
                  <w:r>
                    <w:rPr>
                      <w:rFonts w:hint="eastAsia"/>
                      <w:sz w:val="22"/>
                      <w:szCs w:val="22"/>
                      <w:lang w:val="en-US" w:eastAsia="zh-CN"/>
                    </w:rPr>
                    <w:t>°</w:t>
                  </w:r>
                </w:p>
              </w:tc>
              <w:tc>
                <w:tcPr>
                  <w:tcW w:w="409" w:type="pct"/>
                  <w:tcBorders>
                    <w:top w:val="single" w:color="auto" w:sz="4" w:space="0"/>
                    <w:left w:val="single" w:color="auto" w:sz="4" w:space="0"/>
                    <w:bottom w:val="single" w:color="auto" w:sz="4" w:space="0"/>
                    <w:right w:val="single" w:color="auto" w:sz="4" w:space="0"/>
                  </w:tcBorders>
                  <w:noWrap w:val="0"/>
                  <w:vAlign w:val="center"/>
                </w:tcPr>
                <w:p w14:paraId="14E224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r>
                    <w:rPr>
                      <w:rFonts w:hint="eastAsia"/>
                      <w:sz w:val="22"/>
                      <w:szCs w:val="22"/>
                      <w:lang w:val="en-US" w:eastAsia="zh-CN"/>
                    </w:rPr>
                    <w:t>15</w:t>
                  </w:r>
                </w:p>
              </w:tc>
              <w:tc>
                <w:tcPr>
                  <w:tcW w:w="365" w:type="pct"/>
                  <w:tcBorders>
                    <w:top w:val="single" w:color="auto" w:sz="4" w:space="0"/>
                    <w:left w:val="single" w:color="auto" w:sz="4" w:space="0"/>
                    <w:bottom w:val="single" w:color="auto" w:sz="4" w:space="0"/>
                    <w:right w:val="single" w:color="auto" w:sz="4" w:space="0"/>
                  </w:tcBorders>
                  <w:noWrap w:val="0"/>
                  <w:vAlign w:val="center"/>
                </w:tcPr>
                <w:p w14:paraId="554BE5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r>
                    <w:rPr>
                      <w:rFonts w:hint="eastAsia"/>
                      <w:sz w:val="22"/>
                      <w:szCs w:val="22"/>
                      <w:lang w:val="en-US" w:eastAsia="zh-CN"/>
                    </w:rPr>
                    <w:t>0.3</w:t>
                  </w:r>
                </w:p>
              </w:tc>
              <w:tc>
                <w:tcPr>
                  <w:tcW w:w="445" w:type="pct"/>
                  <w:tcBorders>
                    <w:top w:val="single" w:color="auto" w:sz="4" w:space="0"/>
                    <w:left w:val="single" w:color="auto" w:sz="4" w:space="0"/>
                    <w:bottom w:val="single" w:color="auto" w:sz="4" w:space="0"/>
                    <w:right w:val="single" w:color="auto" w:sz="4" w:space="0"/>
                  </w:tcBorders>
                  <w:noWrap w:val="0"/>
                  <w:vAlign w:val="center"/>
                </w:tcPr>
                <w:p w14:paraId="73BA35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r>
                    <w:rPr>
                      <w:rFonts w:hint="default"/>
                      <w:sz w:val="22"/>
                      <w:szCs w:val="22"/>
                      <w:lang w:val="en-US" w:eastAsia="zh-CN"/>
                    </w:rPr>
                    <w:t>常温</w:t>
                  </w:r>
                </w:p>
              </w:tc>
              <w:tc>
                <w:tcPr>
                  <w:tcW w:w="637" w:type="pct"/>
                  <w:tcBorders>
                    <w:top w:val="single" w:color="auto" w:sz="4" w:space="0"/>
                    <w:left w:val="single" w:color="auto" w:sz="4" w:space="0"/>
                    <w:bottom w:val="single" w:color="auto" w:sz="4" w:space="0"/>
                    <w:right w:val="single" w:color="auto" w:sz="4" w:space="0"/>
                  </w:tcBorders>
                  <w:noWrap w:val="0"/>
                  <w:vAlign w:val="center"/>
                </w:tcPr>
                <w:p w14:paraId="784733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r>
                    <w:rPr>
                      <w:rFonts w:hint="default"/>
                      <w:sz w:val="22"/>
                      <w:szCs w:val="22"/>
                      <w:lang w:val="en-US" w:eastAsia="zh-CN"/>
                    </w:rPr>
                    <w:t>5000</w:t>
                  </w:r>
                </w:p>
              </w:tc>
              <w:tc>
                <w:tcPr>
                  <w:tcW w:w="646" w:type="pct"/>
                  <w:tcBorders>
                    <w:top w:val="single" w:color="auto" w:sz="4" w:space="0"/>
                    <w:left w:val="single" w:color="auto" w:sz="4" w:space="0"/>
                    <w:bottom w:val="single" w:color="auto" w:sz="4" w:space="0"/>
                    <w:right w:val="single" w:color="auto" w:sz="4" w:space="0"/>
                  </w:tcBorders>
                  <w:noWrap w:val="0"/>
                  <w:vAlign w:val="center"/>
                </w:tcPr>
                <w:p w14:paraId="109F2B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r>
                    <w:rPr>
                      <w:rFonts w:hint="default"/>
                      <w:sz w:val="22"/>
                      <w:szCs w:val="22"/>
                      <w:lang w:val="en-US" w:eastAsia="zh-CN"/>
                    </w:rPr>
                    <w:t>一般排放口</w:t>
                  </w:r>
                </w:p>
              </w:tc>
              <w:tc>
                <w:tcPr>
                  <w:tcW w:w="968" w:type="pct"/>
                  <w:vMerge w:val="continue"/>
                  <w:tcBorders>
                    <w:left w:val="single" w:color="auto" w:sz="4" w:space="0"/>
                    <w:bottom w:val="single" w:color="auto" w:sz="4" w:space="0"/>
                    <w:right w:val="single" w:color="auto" w:sz="4" w:space="0"/>
                  </w:tcBorders>
                  <w:noWrap w:val="0"/>
                  <w:vAlign w:val="center"/>
                </w:tcPr>
                <w:p w14:paraId="01B026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2"/>
                      <w:szCs w:val="22"/>
                      <w:lang w:val="en-US" w:eastAsia="zh-CN"/>
                    </w:rPr>
                  </w:pPr>
                </w:p>
              </w:tc>
            </w:tr>
          </w:tbl>
          <w:p w14:paraId="13D95FBE">
            <w:pPr>
              <w:bidi w:val="0"/>
              <w:rPr>
                <w:b/>
                <w:bCs/>
              </w:rPr>
            </w:pPr>
            <w:r>
              <w:rPr>
                <w:rFonts w:hint="eastAsia"/>
                <w:b/>
                <w:bCs/>
                <w:lang w:val="en-US" w:eastAsia="zh-CN"/>
              </w:rPr>
              <w:t>4.</w:t>
            </w:r>
            <w:r>
              <w:rPr>
                <w:b/>
                <w:bCs/>
              </w:rPr>
              <w:t>废气治理措施可行性分析</w:t>
            </w:r>
          </w:p>
          <w:p w14:paraId="73FB539E">
            <w:pPr>
              <w:bidi w:val="0"/>
              <w:rPr>
                <w:rFonts w:hint="eastAsia"/>
                <w:lang w:val="en-US" w:eastAsia="zh-CN"/>
              </w:rPr>
            </w:pPr>
            <w:r>
              <w:rPr>
                <w:rFonts w:hint="eastAsia"/>
                <w:lang w:val="en-US" w:eastAsia="zh-CN"/>
              </w:rPr>
              <w:t>根据上述源强分析结果可知，本项目有组织废气主要为水泥筒仓、粉煤灰筒仓粉尘，经袋式除尘器及各筒仓顶滤芯除尘器等处理后排放，满足《水泥工业大气污染物排放标准》（GB4915-2013）表1现有与新建企业大气污染物排放限值。</w:t>
            </w:r>
          </w:p>
          <w:p w14:paraId="74D0452F">
            <w:pPr>
              <w:bidi w:val="0"/>
              <w:rPr>
                <w:rFonts w:hint="eastAsia"/>
                <w:lang w:val="en-US" w:eastAsia="zh-CN"/>
              </w:rPr>
            </w:pPr>
            <w:r>
              <w:rPr>
                <w:rFonts w:hint="eastAsia"/>
                <w:lang w:val="en-US" w:eastAsia="zh-CN"/>
              </w:rPr>
              <w:t>袋式除尘器是具有先进水平的高效袋式除尘设备，是一种处理风量大、清灰效果好、除尘效率高、运行可靠、维护方便、占地面积小的除尘设备。工作原理：含尘气体从除尘器的进风均流管进入各分室灰斗，并在灰斗导流装置的导流下，大颗粒的粉尘被分离，直接落入灰斗，而较细粉尘均匀地进入中部箱体而吸附在滤袋的外表面上，干净气体透过滤袋进入上箱体，并经各离线阀和排风管排入大气。随着过滤工况的进行，滤袋上的粉尘越积越多，当设备阻力达到限定的阻力值（一般设定为1500Pa）时，由清灰控制装置按差压设定值或清灰时间设定值自动关闭一室离线阀后，按设定程序打开电控脉冲阀，进行停风喷吹，利用压缩空气瞬间喷吹使滤袋内压力剧增，将滤袋上的粉尘进行抖落（即使黏细粉尘亦能较彻底地清灰）至灰斗中，由排灰机构排出。本项目在不同的产尘点设置不同型号的袋式除尘设施，对于仓顶则通过增加过滤面积及滤芯数量，保证除尘效率在99%~99.7%之间。此除尘措施是目前混凝土制品行业常见的废气处理方式，工艺成熟，经济可行。</w:t>
            </w:r>
          </w:p>
          <w:p w14:paraId="6640AF0E">
            <w:pPr>
              <w:bidi w:val="0"/>
              <w:rPr>
                <w:rFonts w:hint="eastAsia"/>
                <w:lang w:val="en-US" w:eastAsia="zh-CN"/>
              </w:rPr>
            </w:pPr>
            <w:r>
              <w:rPr>
                <w:rFonts w:hint="eastAsia"/>
                <w:lang w:val="en-US" w:eastAsia="zh-CN"/>
              </w:rPr>
              <w:t>根据《大气可吸入颗粒物一次源排放清单编制技术指南（试行）》等5项技术指南的公告（公告2014年第92号）中《扬尘源颗粒物排放清单编制技术指南》中表12堆场操作扬尘控制措施的控制效率中“建筑料堆的三边用孔隙率50%的围挡遮围的TSP的控制效率为90%”。本项目采用全封闭储棚+洒水抑尘措施对TSP的控制效率应大于90%，保守估计本项目原料堆场的大气防治措施采用全封闭储棚+洒水抑尘措施的TSP的控制效率为90%。综上，本项目原料堆场的大气防治措施采用全封闭储棚+喷淋抑尘措施可行。</w:t>
            </w:r>
          </w:p>
          <w:p w14:paraId="3EA0B451">
            <w:pPr>
              <w:bidi w:val="0"/>
              <w:rPr>
                <w:b/>
                <w:bCs/>
              </w:rPr>
            </w:pPr>
            <w:r>
              <w:rPr>
                <w:rFonts w:hint="eastAsia"/>
                <w:b/>
                <w:bCs/>
                <w:lang w:val="en-US" w:eastAsia="zh-CN"/>
              </w:rPr>
              <w:t>5.</w:t>
            </w:r>
            <w:r>
              <w:rPr>
                <w:rFonts w:hint="default"/>
                <w:b/>
                <w:bCs/>
              </w:rPr>
              <w:t>废气监测计划</w:t>
            </w:r>
          </w:p>
          <w:p w14:paraId="17265C26">
            <w:pPr>
              <w:bidi w:val="0"/>
            </w:pPr>
            <w:r>
              <w:rPr>
                <w:rFonts w:hint="default" w:ascii="Times New Roman" w:hAnsi="Times New Roman" w:cs="Times New Roman"/>
                <w:color w:val="auto"/>
                <w:highlight w:val="none"/>
              </w:rPr>
              <w:t>环境监测计划是环境管理工作的重要组成部分，环境监测数据是环境管理方面的重要基础资料。本项目环境污染监测工作委托有资质单位监测。根据</w:t>
            </w:r>
            <w:r>
              <w:rPr>
                <w:rFonts w:hint="default" w:ascii="Times New Roman" w:hAnsi="Times New Roman" w:eastAsia="宋体" w:cs="Times New Roman"/>
                <w:color w:val="auto"/>
              </w:rPr>
              <w:t>《排污单位自行监测技术指南 总则</w:t>
            </w:r>
            <w:r>
              <w:rPr>
                <w:rFonts w:hint="eastAsia" w:cs="Times New Roman"/>
                <w:color w:val="auto"/>
                <w:lang w:eastAsia="zh-CN"/>
              </w:rPr>
              <w:t>》《</w:t>
            </w:r>
            <w:r>
              <w:t>排污单位自行监测技术指南</w:t>
            </w:r>
            <w:r>
              <w:rPr>
                <w:rFonts w:hint="eastAsia"/>
                <w:lang w:val="en-US" w:eastAsia="zh-CN"/>
              </w:rPr>
              <w:t xml:space="preserve"> </w:t>
            </w:r>
            <w:r>
              <w:t>水泥工业》（HJ848-2017），</w:t>
            </w:r>
            <w:r>
              <w:rPr>
                <w:rFonts w:hint="default" w:ascii="Times New Roman" w:hAnsi="Times New Roman" w:cs="Times New Roman"/>
                <w:color w:val="auto"/>
                <w:highlight w:val="none"/>
              </w:rPr>
              <w:t>结合本项目的污染源及污染</w:t>
            </w:r>
            <w:r>
              <w:rPr>
                <w:rFonts w:hint="eastAsia" w:cs="Times New Roman"/>
                <w:color w:val="auto"/>
                <w:highlight w:val="none"/>
                <w:lang w:val="en-US" w:eastAsia="zh-CN"/>
              </w:rPr>
              <w:t xml:space="preserve"> </w:t>
            </w:r>
            <w:r>
              <w:rPr>
                <w:rFonts w:hint="default" w:ascii="Times New Roman" w:hAnsi="Times New Roman" w:cs="Times New Roman"/>
                <w:color w:val="auto"/>
                <w:highlight w:val="none"/>
              </w:rPr>
              <w:t>物排放特点，制定本项目污染源监测计划见</w:t>
            </w:r>
            <w:r>
              <w:rPr>
                <w:rFonts w:hint="default" w:ascii="Times New Roman" w:hAnsi="Times New Roman" w:cs="Times New Roman"/>
                <w:color w:val="auto"/>
              </w:rPr>
              <w:t>下表。</w:t>
            </w:r>
            <w:r>
              <w:t>运营期监测计划如下表所示：</w:t>
            </w:r>
          </w:p>
          <w:p w14:paraId="7EE20B07">
            <w:pPr>
              <w:bidi w:val="0"/>
              <w:ind w:left="0" w:leftChars="0" w:firstLine="0" w:firstLineChars="0"/>
              <w:jc w:val="center"/>
              <w:rPr>
                <w:b/>
                <w:bCs/>
              </w:rPr>
            </w:pPr>
            <w:r>
              <w:rPr>
                <w:b/>
                <w:bCs/>
              </w:rPr>
              <w:t>表4-</w:t>
            </w:r>
            <w:r>
              <w:rPr>
                <w:rFonts w:hint="eastAsia"/>
                <w:b/>
                <w:bCs/>
                <w:lang w:val="en-US" w:eastAsia="zh-CN"/>
              </w:rPr>
              <w:t>9</w:t>
            </w:r>
            <w:r>
              <w:rPr>
                <w:b/>
                <w:bCs/>
              </w:rPr>
              <w:t>项目运营期监测计划</w:t>
            </w:r>
          </w:p>
          <w:tbl>
            <w:tblPr>
              <w:tblStyle w:val="44"/>
              <w:tblW w:w="79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35"/>
              <w:gridCol w:w="850"/>
              <w:gridCol w:w="1137"/>
              <w:gridCol w:w="1225"/>
              <w:gridCol w:w="3092"/>
            </w:tblGrid>
            <w:tr w14:paraId="0935A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1565" w:type="pct"/>
                  <w:gridSpan w:val="2"/>
                  <w:noWrap w:val="0"/>
                  <w:vAlign w:val="center"/>
                </w:tcPr>
                <w:p w14:paraId="5D50AD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rPr>
                  </w:pPr>
                  <w:r>
                    <w:rPr>
                      <w:rFonts w:hint="default"/>
                      <w:sz w:val="21"/>
                      <w:szCs w:val="21"/>
                    </w:rPr>
                    <w:t>监测点位</w:t>
                  </w:r>
                </w:p>
              </w:tc>
              <w:tc>
                <w:tcPr>
                  <w:tcW w:w="716" w:type="pct"/>
                  <w:noWrap w:val="0"/>
                  <w:vAlign w:val="center"/>
                </w:tcPr>
                <w:p w14:paraId="328B93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rPr>
                  </w:pPr>
                  <w:r>
                    <w:rPr>
                      <w:rFonts w:hint="default"/>
                      <w:sz w:val="21"/>
                      <w:szCs w:val="21"/>
                    </w:rPr>
                    <w:t>监测因子</w:t>
                  </w:r>
                </w:p>
              </w:tc>
              <w:tc>
                <w:tcPr>
                  <w:tcW w:w="771" w:type="pct"/>
                  <w:noWrap w:val="0"/>
                  <w:vAlign w:val="center"/>
                </w:tcPr>
                <w:p w14:paraId="400437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rPr>
                  </w:pPr>
                  <w:r>
                    <w:rPr>
                      <w:rFonts w:hint="default"/>
                      <w:sz w:val="21"/>
                      <w:szCs w:val="21"/>
                    </w:rPr>
                    <w:t>监测频次</w:t>
                  </w:r>
                </w:p>
              </w:tc>
              <w:tc>
                <w:tcPr>
                  <w:tcW w:w="1947" w:type="pct"/>
                  <w:noWrap w:val="0"/>
                  <w:vAlign w:val="center"/>
                </w:tcPr>
                <w:p w14:paraId="03A9C7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rPr>
                  </w:pPr>
                  <w:r>
                    <w:rPr>
                      <w:rFonts w:hint="default"/>
                      <w:sz w:val="21"/>
                      <w:szCs w:val="21"/>
                    </w:rPr>
                    <w:t>标准要求</w:t>
                  </w:r>
                </w:p>
              </w:tc>
            </w:tr>
            <w:tr w14:paraId="0CF75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atLeast"/>
                <w:jc w:val="center"/>
              </w:trPr>
              <w:tc>
                <w:tcPr>
                  <w:tcW w:w="1029" w:type="pct"/>
                  <w:noWrap w:val="0"/>
                  <w:vAlign w:val="center"/>
                </w:tcPr>
                <w:p w14:paraId="54233C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lang w:val="en-US" w:eastAsia="en-US"/>
                    </w:rPr>
                  </w:pPr>
                  <w:r>
                    <w:rPr>
                      <w:rFonts w:hint="default"/>
                      <w:sz w:val="21"/>
                      <w:szCs w:val="21"/>
                      <w:lang w:val="en-US" w:eastAsia="zh-CN"/>
                    </w:rPr>
                    <w:t>HZS180型商品混凝土搅拌站</w:t>
                  </w:r>
                  <w:r>
                    <w:rPr>
                      <w:rFonts w:hint="eastAsia"/>
                      <w:sz w:val="21"/>
                      <w:szCs w:val="21"/>
                      <w:lang w:val="en-US" w:eastAsia="zh-CN"/>
                    </w:rPr>
                    <w:t>搅拌废气排气筒</w:t>
                  </w:r>
                </w:p>
              </w:tc>
              <w:tc>
                <w:tcPr>
                  <w:tcW w:w="535" w:type="pct"/>
                  <w:noWrap w:val="0"/>
                  <w:vAlign w:val="center"/>
                </w:tcPr>
                <w:p w14:paraId="145F55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1"/>
                      <w:szCs w:val="21"/>
                      <w:lang w:val="en-US" w:eastAsia="zh-CN"/>
                    </w:rPr>
                  </w:pPr>
                  <w:r>
                    <w:rPr>
                      <w:rFonts w:hint="default"/>
                      <w:sz w:val="21"/>
                      <w:szCs w:val="21"/>
                      <w:lang w:val="en-US" w:eastAsia="zh-CN"/>
                    </w:rPr>
                    <w:t>DA00</w:t>
                  </w:r>
                  <w:r>
                    <w:rPr>
                      <w:rFonts w:hint="eastAsia"/>
                      <w:sz w:val="21"/>
                      <w:szCs w:val="21"/>
                      <w:lang w:val="en-US" w:eastAsia="zh-CN"/>
                    </w:rPr>
                    <w:t>1</w:t>
                  </w:r>
                </w:p>
              </w:tc>
              <w:tc>
                <w:tcPr>
                  <w:tcW w:w="716" w:type="pct"/>
                  <w:noWrap w:val="0"/>
                  <w:vAlign w:val="center"/>
                </w:tcPr>
                <w:p w14:paraId="5131AD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lang w:val="en-US" w:eastAsia="en-US"/>
                    </w:rPr>
                  </w:pPr>
                  <w:r>
                    <w:rPr>
                      <w:rFonts w:hint="default"/>
                      <w:sz w:val="21"/>
                      <w:szCs w:val="21"/>
                      <w:lang w:val="en-US" w:eastAsia="zh-CN"/>
                    </w:rPr>
                    <w:t>颗粒物</w:t>
                  </w:r>
                </w:p>
              </w:tc>
              <w:tc>
                <w:tcPr>
                  <w:tcW w:w="771" w:type="pct"/>
                  <w:noWrap w:val="0"/>
                  <w:vAlign w:val="center"/>
                </w:tcPr>
                <w:p w14:paraId="5F6FA5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1"/>
                      <w:szCs w:val="21"/>
                      <w:lang w:val="en-US" w:eastAsia="zh-CN"/>
                    </w:rPr>
                  </w:pPr>
                  <w:r>
                    <w:rPr>
                      <w:rFonts w:hint="default"/>
                      <w:sz w:val="21"/>
                      <w:szCs w:val="21"/>
                      <w:lang w:val="en-US" w:eastAsia="zh-CN"/>
                    </w:rPr>
                    <w:t>1次/</w:t>
                  </w:r>
                  <w:r>
                    <w:rPr>
                      <w:rFonts w:hint="eastAsia"/>
                      <w:sz w:val="21"/>
                      <w:szCs w:val="21"/>
                      <w:lang w:val="en-US" w:eastAsia="zh-CN"/>
                    </w:rPr>
                    <w:t>年</w:t>
                  </w:r>
                </w:p>
              </w:tc>
              <w:tc>
                <w:tcPr>
                  <w:tcW w:w="1947" w:type="pct"/>
                  <w:vMerge w:val="restart"/>
                  <w:noWrap w:val="0"/>
                  <w:vAlign w:val="center"/>
                </w:tcPr>
                <w:p w14:paraId="6A5109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lang w:val="en-US" w:eastAsia="zh-CN"/>
                    </w:rPr>
                  </w:pPr>
                  <w:r>
                    <w:rPr>
                      <w:rFonts w:hint="default"/>
                      <w:sz w:val="21"/>
                      <w:szCs w:val="21"/>
                      <w:lang w:val="en-US" w:eastAsia="zh-CN"/>
                    </w:rPr>
                    <w:t>《水泥工业大气污染物排放标准》（GB4915-2013）表</w:t>
                  </w:r>
                  <w:r>
                    <w:rPr>
                      <w:rFonts w:hint="eastAsia"/>
                      <w:sz w:val="21"/>
                      <w:szCs w:val="21"/>
                      <w:lang w:val="en-US" w:eastAsia="zh-CN"/>
                    </w:rPr>
                    <w:t>1</w:t>
                  </w:r>
                  <w:r>
                    <w:rPr>
                      <w:rFonts w:hint="default"/>
                      <w:sz w:val="21"/>
                      <w:szCs w:val="21"/>
                      <w:lang w:val="en-US" w:eastAsia="zh-CN"/>
                    </w:rPr>
                    <w:t>排放限值要求</w:t>
                  </w:r>
                </w:p>
              </w:tc>
            </w:tr>
            <w:tr w14:paraId="2BA13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29" w:type="pct"/>
                  <w:noWrap w:val="0"/>
                  <w:vAlign w:val="center"/>
                </w:tcPr>
                <w:p w14:paraId="622095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lang w:val="en-US" w:eastAsia="zh-CN"/>
                    </w:rPr>
                  </w:pPr>
                  <w:r>
                    <w:rPr>
                      <w:rFonts w:hint="default"/>
                      <w:sz w:val="21"/>
                      <w:szCs w:val="21"/>
                      <w:lang w:val="en-US" w:eastAsia="zh-CN"/>
                    </w:rPr>
                    <w:t>HZS</w:t>
                  </w:r>
                  <w:r>
                    <w:rPr>
                      <w:rFonts w:hint="eastAsia"/>
                      <w:sz w:val="21"/>
                      <w:szCs w:val="21"/>
                      <w:lang w:val="en-US" w:eastAsia="zh-CN"/>
                    </w:rPr>
                    <w:t>240</w:t>
                  </w:r>
                  <w:r>
                    <w:rPr>
                      <w:rFonts w:hint="default"/>
                      <w:sz w:val="21"/>
                      <w:szCs w:val="21"/>
                      <w:lang w:val="en-US" w:eastAsia="zh-CN"/>
                    </w:rPr>
                    <w:t>型商品混凝土搅拌站</w:t>
                  </w:r>
                  <w:r>
                    <w:rPr>
                      <w:rFonts w:hint="eastAsia"/>
                      <w:sz w:val="21"/>
                      <w:szCs w:val="21"/>
                      <w:lang w:val="en-US" w:eastAsia="zh-CN"/>
                    </w:rPr>
                    <w:t>搅拌废气排气筒</w:t>
                  </w:r>
                </w:p>
              </w:tc>
              <w:tc>
                <w:tcPr>
                  <w:tcW w:w="535" w:type="pct"/>
                  <w:noWrap w:val="0"/>
                  <w:vAlign w:val="center"/>
                </w:tcPr>
                <w:p w14:paraId="42C025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DA002</w:t>
                  </w:r>
                </w:p>
              </w:tc>
              <w:tc>
                <w:tcPr>
                  <w:tcW w:w="716" w:type="pct"/>
                  <w:noWrap w:val="0"/>
                  <w:vAlign w:val="center"/>
                </w:tcPr>
                <w:p w14:paraId="10CD92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lang w:val="en-US" w:eastAsia="zh-CN"/>
                    </w:rPr>
                  </w:pPr>
                  <w:r>
                    <w:rPr>
                      <w:rFonts w:hint="default"/>
                      <w:sz w:val="21"/>
                      <w:szCs w:val="21"/>
                      <w:lang w:val="en-US" w:eastAsia="zh-CN"/>
                    </w:rPr>
                    <w:t>颗粒物</w:t>
                  </w:r>
                </w:p>
              </w:tc>
              <w:tc>
                <w:tcPr>
                  <w:tcW w:w="771" w:type="pct"/>
                  <w:noWrap w:val="0"/>
                  <w:vAlign w:val="center"/>
                </w:tcPr>
                <w:p w14:paraId="11A6CA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lang w:val="en-US" w:eastAsia="zh-CN"/>
                    </w:rPr>
                  </w:pPr>
                  <w:r>
                    <w:rPr>
                      <w:rFonts w:hint="default"/>
                      <w:sz w:val="21"/>
                      <w:szCs w:val="21"/>
                      <w:lang w:val="en-US" w:eastAsia="zh-CN"/>
                    </w:rPr>
                    <w:t>1次/</w:t>
                  </w:r>
                  <w:r>
                    <w:rPr>
                      <w:rFonts w:hint="eastAsia"/>
                      <w:sz w:val="21"/>
                      <w:szCs w:val="21"/>
                      <w:lang w:val="en-US" w:eastAsia="zh-CN"/>
                    </w:rPr>
                    <w:t>年</w:t>
                  </w:r>
                </w:p>
              </w:tc>
              <w:tc>
                <w:tcPr>
                  <w:tcW w:w="1947" w:type="pct"/>
                  <w:vMerge w:val="continue"/>
                  <w:noWrap w:val="0"/>
                  <w:vAlign w:val="center"/>
                </w:tcPr>
                <w:p w14:paraId="099ECA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lang w:val="en-US" w:eastAsia="zh-CN"/>
                    </w:rPr>
                  </w:pPr>
                </w:p>
              </w:tc>
            </w:tr>
            <w:tr w14:paraId="15661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9" w:hRule="atLeast"/>
                <w:jc w:val="center"/>
              </w:trPr>
              <w:tc>
                <w:tcPr>
                  <w:tcW w:w="1565" w:type="pct"/>
                  <w:gridSpan w:val="2"/>
                  <w:noWrap w:val="0"/>
                  <w:vAlign w:val="center"/>
                </w:tcPr>
                <w:p w14:paraId="2E63F6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lang w:val="en-US" w:eastAsia="zh-CN"/>
                    </w:rPr>
                  </w:pPr>
                  <w:r>
                    <w:rPr>
                      <w:rFonts w:hint="default"/>
                      <w:sz w:val="21"/>
                      <w:szCs w:val="21"/>
                      <w:lang w:val="en-US" w:eastAsia="zh-CN"/>
                    </w:rPr>
                    <w:t>企业厂界</w:t>
                  </w:r>
                </w:p>
              </w:tc>
              <w:tc>
                <w:tcPr>
                  <w:tcW w:w="716" w:type="pct"/>
                  <w:noWrap w:val="0"/>
                  <w:vAlign w:val="center"/>
                </w:tcPr>
                <w:p w14:paraId="124D8B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lang w:val="en-US" w:eastAsia="zh-CN"/>
                    </w:rPr>
                  </w:pPr>
                  <w:r>
                    <w:rPr>
                      <w:rFonts w:hint="default"/>
                      <w:sz w:val="21"/>
                      <w:szCs w:val="21"/>
                      <w:lang w:val="en-US" w:eastAsia="zh-CN"/>
                    </w:rPr>
                    <w:t>颗粒物</w:t>
                  </w:r>
                </w:p>
              </w:tc>
              <w:tc>
                <w:tcPr>
                  <w:tcW w:w="771" w:type="pct"/>
                  <w:noWrap w:val="0"/>
                  <w:vAlign w:val="center"/>
                </w:tcPr>
                <w:p w14:paraId="54F6DB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lang w:val="en-US" w:eastAsia="zh-CN"/>
                    </w:rPr>
                  </w:pPr>
                  <w:r>
                    <w:rPr>
                      <w:rFonts w:hint="default"/>
                      <w:sz w:val="21"/>
                      <w:szCs w:val="21"/>
                      <w:lang w:val="en-US" w:eastAsia="zh-CN"/>
                    </w:rPr>
                    <w:t>1次/季</w:t>
                  </w:r>
                </w:p>
              </w:tc>
              <w:tc>
                <w:tcPr>
                  <w:tcW w:w="1947" w:type="pct"/>
                  <w:noWrap w:val="0"/>
                  <w:vAlign w:val="center"/>
                </w:tcPr>
                <w:p w14:paraId="5C6EAC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lang w:val="en-US" w:eastAsia="zh-CN"/>
                    </w:rPr>
                  </w:pPr>
                  <w:r>
                    <w:rPr>
                      <w:rFonts w:hint="default"/>
                      <w:sz w:val="21"/>
                      <w:szCs w:val="21"/>
                      <w:lang w:val="en-US" w:eastAsia="zh-CN"/>
                    </w:rPr>
                    <w:t>《水泥工业大气污染物排放标准》（GB4915-2013）表3标准大气污染物无组织排放限值</w:t>
                  </w:r>
                </w:p>
              </w:tc>
            </w:tr>
          </w:tbl>
          <w:p w14:paraId="090BDD4C">
            <w:pPr>
              <w:bidi w:val="0"/>
              <w:rPr>
                <w:b/>
                <w:bCs/>
              </w:rPr>
            </w:pPr>
            <w:r>
              <w:rPr>
                <w:rFonts w:hint="eastAsia"/>
                <w:b/>
                <w:bCs/>
                <w:lang w:val="en-US" w:eastAsia="zh-CN"/>
              </w:rPr>
              <w:t>6.</w:t>
            </w:r>
            <w:r>
              <w:rPr>
                <w:b/>
                <w:bCs/>
              </w:rPr>
              <w:t>结论</w:t>
            </w:r>
          </w:p>
          <w:p w14:paraId="08D98944">
            <w:pPr>
              <w:bidi w:val="0"/>
              <w:rPr>
                <w:rFonts w:hint="eastAsia"/>
                <w:lang w:val="en-US" w:eastAsia="zh-CN"/>
              </w:rPr>
            </w:pPr>
            <w:r>
              <w:t>本项目产生的废气污染物在采取上述废气治理措施后均可实现达标排放，对周围大气环境影响较小，不会改变区域环境空气质量等级。综上所述，本项目营运期产生的废气经相关环保措施治理后，能够实现达标排放，对周围大气环境影响较小。</w:t>
            </w:r>
          </w:p>
          <w:p w14:paraId="7E842F53">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二、运营期水环境影响分析及环境保护措施</w:t>
            </w:r>
          </w:p>
          <w:p w14:paraId="455A51A1">
            <w:pPr>
              <w:bidi w:val="0"/>
              <w:rPr>
                <w:rFonts w:hint="default" w:ascii="Times New Roman" w:hAnsi="Times New Roman" w:cs="Times New Roman"/>
                <w:lang w:val="en-US" w:eastAsia="zh-CN"/>
              </w:rPr>
            </w:pPr>
            <w:r>
              <w:rPr>
                <w:rFonts w:hint="default" w:ascii="Times New Roman" w:hAnsi="Times New Roman" w:cs="Times New Roman"/>
                <w:lang w:val="en-US" w:eastAsia="zh-CN"/>
              </w:rPr>
              <w:t>本项目废水主要为职工生活污水</w:t>
            </w:r>
            <w:r>
              <w:rPr>
                <w:rFonts w:hint="eastAsia" w:cs="Times New Roman"/>
                <w:lang w:val="en-US" w:eastAsia="zh-CN"/>
              </w:rPr>
              <w:t>、</w:t>
            </w:r>
            <w:r>
              <w:rPr>
                <w:rFonts w:hint="default" w:ascii="Times New Roman" w:hAnsi="Times New Roman" w:cs="Times New Roman"/>
                <w:lang w:val="en-US" w:eastAsia="zh-CN"/>
              </w:rPr>
              <w:t>生产废水</w:t>
            </w:r>
            <w:r>
              <w:rPr>
                <w:rFonts w:hint="eastAsia" w:cs="Times New Roman"/>
                <w:lang w:val="en-US" w:eastAsia="zh-CN"/>
              </w:rPr>
              <w:t>及初期雨水</w:t>
            </w:r>
            <w:r>
              <w:rPr>
                <w:rFonts w:hint="default" w:ascii="Times New Roman" w:hAnsi="Times New Roman" w:cs="Times New Roman"/>
                <w:lang w:val="en-US" w:eastAsia="zh-CN"/>
              </w:rPr>
              <w:t>，生活污水经化粪池收集后，定期由周边城镇污水处理厂进行处理拉运处理。生产废水、初期雨水经过沉淀系统沉淀后循环利用，回用于混凝土生产线，不外排；</w:t>
            </w:r>
          </w:p>
          <w:p w14:paraId="22ADC69E">
            <w:pPr>
              <w:bidi w:val="0"/>
              <w:rPr>
                <w:rFonts w:hint="default" w:ascii="Times New Roman" w:hAnsi="Times New Roman" w:cs="Times New Roman"/>
                <w:b/>
                <w:bCs/>
                <w:lang w:val="en-US" w:eastAsia="zh-CN"/>
              </w:rPr>
            </w:pPr>
            <w:r>
              <w:rPr>
                <w:rFonts w:hint="eastAsia" w:cs="Times New Roman"/>
                <w:b/>
                <w:bCs/>
                <w:lang w:val="en-US" w:eastAsia="zh-CN"/>
              </w:rPr>
              <w:t>1.</w:t>
            </w:r>
            <w:r>
              <w:rPr>
                <w:rFonts w:hint="default" w:ascii="Times New Roman" w:hAnsi="Times New Roman" w:cs="Times New Roman"/>
                <w:b/>
                <w:bCs/>
                <w:lang w:val="en-US" w:eastAsia="zh-CN"/>
              </w:rPr>
              <w:t>生产废水</w:t>
            </w:r>
          </w:p>
          <w:p w14:paraId="75A7C0B3">
            <w:pPr>
              <w:bidi w:val="0"/>
              <w:rPr>
                <w:rFonts w:hint="default" w:ascii="Times New Roman" w:hAnsi="Times New Roman" w:cs="Times New Roman"/>
                <w:color w:val="auto"/>
                <w:lang w:val="en-US" w:eastAsia="zh-CN"/>
              </w:rPr>
            </w:pPr>
            <w:r>
              <w:rPr>
                <w:rFonts w:hint="default" w:ascii="Times New Roman" w:hAnsi="Times New Roman" w:cs="Times New Roman"/>
                <w:lang w:val="en-US" w:eastAsia="zh-CN"/>
              </w:rPr>
              <w:t>混凝土加工过程加入水进入混凝土成品，无外排水；降尘用水为雾化水，粒径在1~100微米，作为水雾最终蒸发，无废水产生；绿化用水全部蒸发；搅拌机清洗系统废水按用水90%计算，排水量为0.9m³/d，即180.9m³/a</w:t>
            </w:r>
            <w:r>
              <w:rPr>
                <w:rFonts w:hint="eastAsia" w:cs="Times New Roman"/>
                <w:lang w:val="en-US" w:eastAsia="zh-CN"/>
              </w:rPr>
              <w:t>，罐车</w:t>
            </w:r>
            <w:r>
              <w:rPr>
                <w:rFonts w:hint="default" w:ascii="Times New Roman" w:hAnsi="Times New Roman" w:cs="Times New Roman"/>
                <w:lang w:val="en-US" w:eastAsia="zh-CN"/>
              </w:rPr>
              <w:t>清洗废水按用水90%计算，则排水量为1.332m³/d，即267.732m³/a，</w:t>
            </w:r>
            <w:r>
              <w:rPr>
                <w:rFonts w:hint="eastAsia" w:cs="Times New Roman"/>
                <w:lang w:val="en-US" w:eastAsia="zh-CN"/>
              </w:rPr>
              <w:t>排放废水</w:t>
            </w:r>
            <w:r>
              <w:rPr>
                <w:rFonts w:hint="default" w:ascii="Times New Roman" w:hAnsi="Times New Roman" w:cs="Times New Roman"/>
                <w:color w:val="auto"/>
                <w:lang w:val="en-US" w:eastAsia="zh-CN"/>
              </w:rPr>
              <w:t>主要污染物为SS等，SS浓度为3000mg/L～5000mg/L全部送厂区沉淀系统处理后回用于商品混凝土产线。</w:t>
            </w:r>
          </w:p>
          <w:p w14:paraId="67CD0052">
            <w:pPr>
              <w:bidi w:val="0"/>
              <w:rPr>
                <w:rFonts w:hint="default" w:ascii="Times New Roman" w:hAnsi="Times New Roman" w:cs="Times New Roman"/>
                <w:b/>
                <w:bCs/>
                <w:lang w:val="en-US" w:eastAsia="zh-CN"/>
              </w:rPr>
            </w:pPr>
            <w:r>
              <w:rPr>
                <w:rFonts w:hint="eastAsia" w:cs="Times New Roman"/>
                <w:b/>
                <w:bCs/>
                <w:lang w:val="en-US" w:eastAsia="zh-CN"/>
              </w:rPr>
              <w:t>2.</w:t>
            </w:r>
            <w:r>
              <w:rPr>
                <w:rFonts w:hint="default" w:ascii="Times New Roman" w:hAnsi="Times New Roman" w:cs="Times New Roman"/>
                <w:b/>
                <w:bCs/>
                <w:lang w:val="en-US" w:eastAsia="zh-CN"/>
              </w:rPr>
              <w:t>生活污水</w:t>
            </w:r>
          </w:p>
          <w:p w14:paraId="74A95AFF">
            <w:pPr>
              <w:bidi w:val="0"/>
              <w:rPr>
                <w:rFonts w:hint="default" w:ascii="Times New Roman" w:hAnsi="Times New Roman" w:cs="Times New Roman"/>
                <w:lang w:val="en-US" w:eastAsia="zh-CN"/>
              </w:rPr>
            </w:pPr>
            <w:r>
              <w:rPr>
                <w:rFonts w:hint="default" w:ascii="Times New Roman" w:hAnsi="Times New Roman" w:cs="Times New Roman"/>
                <w:lang w:val="en-US" w:eastAsia="zh-CN"/>
              </w:rPr>
              <w:t>本项目生活污水排放系数取0.8，0.624m³/d，即125.424m³/a。生活污水中的污染物主要为COD、BOD</w:t>
            </w:r>
            <w:r>
              <w:rPr>
                <w:rFonts w:hint="default" w:ascii="Times New Roman" w:hAnsi="Times New Roman" w:cs="Times New Roman"/>
                <w:vertAlign w:val="subscript"/>
                <w:lang w:val="en-US" w:eastAsia="zh-CN"/>
              </w:rPr>
              <w:t>5</w:t>
            </w:r>
            <w:r>
              <w:rPr>
                <w:rFonts w:hint="default" w:ascii="Times New Roman" w:hAnsi="Times New Roman" w:cs="Times New Roman"/>
                <w:lang w:val="en-US" w:eastAsia="zh-CN"/>
              </w:rPr>
              <w:t>、NH</w:t>
            </w:r>
            <w:r>
              <w:rPr>
                <w:rFonts w:hint="default" w:ascii="Times New Roman" w:hAnsi="Times New Roman" w:cs="Times New Roman"/>
                <w:vertAlign w:val="subscript"/>
                <w:lang w:val="en-US" w:eastAsia="zh-CN"/>
              </w:rPr>
              <w:t>3</w:t>
            </w:r>
            <w:r>
              <w:rPr>
                <w:rFonts w:hint="default" w:ascii="Times New Roman" w:hAnsi="Times New Roman" w:cs="Times New Roman"/>
                <w:lang w:val="en-US" w:eastAsia="zh-CN"/>
              </w:rPr>
              <w:t>-N、SS，浓度分别为350mg/L、200mg/L、30mg/L、250mg/L。定期清掏并拉运至周边城镇污水处理厂进行处理。</w:t>
            </w:r>
          </w:p>
          <w:p w14:paraId="613463F2">
            <w:pPr>
              <w:bidi w:val="0"/>
              <w:rPr>
                <w:rFonts w:hint="default" w:ascii="Times New Roman" w:hAnsi="Times New Roman" w:cs="Times New Roman"/>
                <w:b/>
                <w:bCs/>
                <w:lang w:val="en-US" w:eastAsia="zh-CN"/>
              </w:rPr>
            </w:pPr>
            <w:r>
              <w:rPr>
                <w:rFonts w:hint="eastAsia" w:cs="Times New Roman"/>
                <w:b/>
                <w:bCs/>
                <w:lang w:val="en-US" w:eastAsia="zh-CN"/>
              </w:rPr>
              <w:t>3.</w:t>
            </w:r>
            <w:r>
              <w:rPr>
                <w:rFonts w:hint="default" w:ascii="Times New Roman" w:hAnsi="Times New Roman" w:cs="Times New Roman"/>
                <w:b/>
                <w:bCs/>
                <w:lang w:val="en-US" w:eastAsia="zh-CN"/>
              </w:rPr>
              <w:t>初期雨水</w:t>
            </w:r>
          </w:p>
          <w:p w14:paraId="50F2D92A">
            <w:pPr>
              <w:bidi w:val="0"/>
              <w:rPr>
                <w:rFonts w:hint="default" w:ascii="Times New Roman" w:hAnsi="Times New Roman" w:cs="Times New Roman"/>
                <w:lang w:val="en-US" w:eastAsia="zh-CN"/>
              </w:rPr>
            </w:pPr>
            <w:r>
              <w:rPr>
                <w:rFonts w:hint="default" w:ascii="Times New Roman" w:hAnsi="Times New Roman" w:cs="Times New Roman"/>
                <w:lang w:val="en-US" w:eastAsia="zh-CN"/>
              </w:rPr>
              <w:t>本项目雨水池用于收集初期雨水，根据包头市建筑设计院采用数理统计法编制的暴雨强度公式如下：</w:t>
            </w:r>
          </w:p>
          <w:p w14:paraId="01BDA132">
            <w:pPr>
              <w:bidi w:val="0"/>
              <w:rPr>
                <w:rFonts w:hint="default" w:ascii="Times New Roman" w:hAnsi="Times New Roman" w:cs="Times New Roman"/>
                <w:lang w:val="en-US" w:eastAsia="zh-CN"/>
              </w:rPr>
            </w:pPr>
            <w:r>
              <w:rPr>
                <w:rFonts w:hint="default" w:ascii="Times New Roman" w:hAnsi="Times New Roman" w:cs="Times New Roman"/>
                <w:lang w:val="en-US" w:eastAsia="zh-CN"/>
              </w:rPr>
              <w:t>降雨强度公式：</w:t>
            </w:r>
          </w:p>
          <w:p w14:paraId="5116899D">
            <w:pPr>
              <w:bidi w:val="0"/>
              <w:jc w:val="center"/>
              <w:rPr>
                <w:rFonts w:hint="default" w:ascii="Times New Roman" w:hAnsi="Times New Roman" w:cs="Times New Roman"/>
                <w:lang w:val="en-US" w:eastAsia="zh-CN"/>
              </w:rPr>
            </w:pPr>
            <m:oMathPara>
              <m:oMath>
                <m:r>
                  <m:rPr>
                    <m:nor/>
                    <m:sty m:val="p"/>
                  </m:rPr>
                  <w:rPr>
                    <w:rFonts w:hint="default" w:ascii="Times New Roman" w:hAnsi="Times New Roman" w:cs="Times New Roman"/>
                    <w:b w:val="0"/>
                    <w:i w:val="0"/>
                    <w:color w:val="auto"/>
                    <w:kern w:val="2"/>
                    <w:sz w:val="21"/>
                    <w:szCs w:val="24"/>
                    <w:highlight w:val="none"/>
                    <w:lang w:val="en-US" w:eastAsia="zh-CN" w:bidi="ar-SA"/>
                  </w:rPr>
                  <m:t>q=</m:t>
                </m:r>
                <m:f>
                  <m:fPr>
                    <m:ctrlPr>
                      <w:rPr>
                        <w:rFonts w:hint="default" w:ascii="Cambria Math" w:hAnsi="Cambria Math" w:cs="Times New Roman"/>
                        <w:color w:val="auto"/>
                        <w:kern w:val="2"/>
                        <w:sz w:val="21"/>
                        <w:szCs w:val="24"/>
                        <w:highlight w:val="none"/>
                        <w:lang w:val="en-US" w:eastAsia="zh-CN" w:bidi="ar-SA"/>
                      </w:rPr>
                    </m:ctrlPr>
                  </m:fPr>
                  <m:num>
                    <m:r>
                      <m:rPr>
                        <m:nor/>
                        <m:sty m:val="p"/>
                      </m:rPr>
                      <w:rPr>
                        <w:rFonts w:hint="default" w:ascii="Times New Roman" w:hAnsi="Times New Roman" w:cs="Times New Roman"/>
                        <w:b w:val="0"/>
                        <w:i w:val="0"/>
                        <w:color w:val="auto"/>
                        <w:highlight w:val="none"/>
                        <w:lang w:val="en-US" w:eastAsia="zh-CN"/>
                      </w:rPr>
                      <m:t>9.96（1+0.985lgP）</m:t>
                    </m:r>
                    <m:ctrlPr>
                      <w:rPr>
                        <w:rFonts w:hint="default" w:ascii="Cambria Math" w:hAnsi="Cambria Math" w:cs="Times New Roman"/>
                        <w:color w:val="auto"/>
                        <w:kern w:val="2"/>
                        <w:sz w:val="21"/>
                        <w:szCs w:val="24"/>
                        <w:highlight w:val="none"/>
                        <w:lang w:val="en-US" w:eastAsia="zh-CN" w:bidi="ar-SA"/>
                      </w:rPr>
                    </m:ctrlPr>
                  </m:num>
                  <m:den>
                    <m:sSup>
                      <m:sSupPr>
                        <m:ctrlPr>
                          <w:rPr>
                            <w:rFonts w:hint="default" w:ascii="Cambria Math" w:hAnsi="Cambria Math" w:cs="Times New Roman"/>
                            <w:color w:val="auto"/>
                            <w:kern w:val="2"/>
                            <w:sz w:val="21"/>
                            <w:szCs w:val="24"/>
                            <w:highlight w:val="none"/>
                            <w:lang w:val="en-US" w:eastAsia="zh-CN" w:bidi="ar-SA"/>
                          </w:rPr>
                        </m:ctrlPr>
                      </m:sSupPr>
                      <m:e>
                        <m:r>
                          <m:rPr>
                            <m:nor/>
                            <m:sty m:val="p"/>
                          </m:rPr>
                          <w:rPr>
                            <w:rFonts w:hint="default" w:ascii="Times New Roman" w:hAnsi="Times New Roman" w:cs="Times New Roman"/>
                            <w:b w:val="0"/>
                            <w:i w:val="0"/>
                            <w:color w:val="auto"/>
                            <w:highlight w:val="none"/>
                            <w:lang w:val="en-US" w:eastAsia="zh-CN"/>
                          </w:rPr>
                          <m:t>（t+5.40）</m:t>
                        </m:r>
                        <m:ctrlPr>
                          <w:rPr>
                            <w:rFonts w:hint="default" w:ascii="Cambria Math" w:hAnsi="Cambria Math" w:cs="Times New Roman"/>
                            <w:color w:val="auto"/>
                            <w:kern w:val="2"/>
                            <w:sz w:val="21"/>
                            <w:szCs w:val="24"/>
                            <w:highlight w:val="none"/>
                            <w:lang w:val="en-US" w:eastAsia="zh-CN" w:bidi="ar-SA"/>
                          </w:rPr>
                        </m:ctrlPr>
                      </m:e>
                      <m:sup>
                        <m:r>
                          <m:rPr>
                            <m:nor/>
                            <m:sty m:val="p"/>
                          </m:rPr>
                          <w:rPr>
                            <w:rFonts w:hint="default" w:ascii="Times New Roman" w:hAnsi="Times New Roman" w:cs="Times New Roman"/>
                            <w:b w:val="0"/>
                            <w:i w:val="0"/>
                            <w:color w:val="auto"/>
                            <w:highlight w:val="none"/>
                            <w:vertAlign w:val="superscript"/>
                            <w:lang w:val="en-US" w:eastAsia="zh-CN"/>
                          </w:rPr>
                          <m:t>0.85</m:t>
                        </m:r>
                        <m:ctrlPr>
                          <w:rPr>
                            <w:rFonts w:hint="default" w:ascii="Cambria Math" w:hAnsi="Cambria Math" w:cs="Times New Roman"/>
                            <w:color w:val="auto"/>
                            <w:kern w:val="2"/>
                            <w:sz w:val="21"/>
                            <w:szCs w:val="24"/>
                            <w:highlight w:val="none"/>
                            <w:lang w:val="en-US" w:eastAsia="zh-CN" w:bidi="ar-SA"/>
                          </w:rPr>
                        </m:ctrlPr>
                      </m:sup>
                    </m:sSup>
                    <m:ctrlPr>
                      <w:rPr>
                        <w:rFonts w:hint="default" w:ascii="Cambria Math" w:hAnsi="Cambria Math" w:cs="Times New Roman"/>
                        <w:color w:val="auto"/>
                        <w:kern w:val="2"/>
                        <w:sz w:val="21"/>
                        <w:szCs w:val="24"/>
                        <w:highlight w:val="none"/>
                        <w:lang w:val="en-US" w:eastAsia="zh-CN" w:bidi="ar-SA"/>
                      </w:rPr>
                    </m:ctrlPr>
                  </m:den>
                </m:f>
              </m:oMath>
            </m:oMathPara>
          </w:p>
          <w:p w14:paraId="799CFB8E">
            <w:pPr>
              <w:bidi w:val="0"/>
              <w:rPr>
                <w:rFonts w:hint="default" w:ascii="Times New Roman" w:hAnsi="Times New Roman" w:cs="Times New Roman"/>
                <w:lang w:val="en-US" w:eastAsia="zh-CN"/>
              </w:rPr>
            </w:pPr>
            <w:r>
              <w:rPr>
                <w:rFonts w:hint="default" w:ascii="Times New Roman" w:hAnsi="Times New Roman" w:cs="Times New Roman"/>
                <w:lang w:val="en-US" w:eastAsia="zh-CN"/>
              </w:rPr>
              <w:t>q——设计暴雨强度（L/S·h㎡）</w:t>
            </w:r>
          </w:p>
          <w:p w14:paraId="401EFD9D">
            <w:pPr>
              <w:bidi w:val="0"/>
              <w:rPr>
                <w:rFonts w:hint="default" w:ascii="Times New Roman" w:hAnsi="Times New Roman" w:cs="Times New Roman"/>
                <w:lang w:val="en-US" w:eastAsia="zh-CN"/>
              </w:rPr>
            </w:pPr>
            <w:r>
              <w:rPr>
                <w:rFonts w:hint="default" w:ascii="Times New Roman" w:hAnsi="Times New Roman" w:cs="Times New Roman"/>
                <w:lang w:val="en-US" w:eastAsia="zh-CN"/>
              </w:rPr>
              <w:t>P——重现期，取5年</w:t>
            </w:r>
          </w:p>
          <w:p w14:paraId="17CDC88F">
            <w:pPr>
              <w:bidi w:val="0"/>
              <w:rPr>
                <w:rFonts w:hint="default" w:ascii="Times New Roman" w:hAnsi="Times New Roman" w:cs="Times New Roman"/>
                <w:lang w:val="en-US" w:eastAsia="zh-CN"/>
              </w:rPr>
            </w:pPr>
            <w:r>
              <w:rPr>
                <w:rFonts w:hint="default" w:ascii="Times New Roman" w:hAnsi="Times New Roman" w:cs="Times New Roman"/>
                <w:lang w:eastAsia="zh-CN"/>
              </w:rPr>
              <w:t>t</w:t>
            </w:r>
            <w:r>
              <w:rPr>
                <w:rFonts w:hint="default" w:ascii="Times New Roman" w:hAnsi="Times New Roman" w:cs="Times New Roman"/>
                <w:lang w:val="en-US" w:eastAsia="zh-CN"/>
              </w:rPr>
              <w:t>——降雨历时，本项目取15min</w:t>
            </w:r>
          </w:p>
          <w:p w14:paraId="740AD0B3">
            <w:pPr>
              <w:bidi w:val="0"/>
              <w:rPr>
                <w:rFonts w:hint="default" w:ascii="Times New Roman" w:hAnsi="Times New Roman" w:cs="Times New Roman"/>
                <w:lang w:val="en-US" w:eastAsia="zh-CN"/>
              </w:rPr>
            </w:pPr>
            <w:r>
              <w:rPr>
                <w:rFonts w:hint="default" w:ascii="Times New Roman" w:hAnsi="Times New Roman" w:cs="Times New Roman"/>
                <w:lang w:val="en-US" w:eastAsia="zh-CN"/>
              </w:rPr>
              <w:t>雨水量计算公式：</w:t>
            </w:r>
          </w:p>
          <w:p w14:paraId="7571974F">
            <w:pPr>
              <w:bidi w:val="0"/>
              <w:jc w:val="center"/>
              <w:rPr>
                <w:rFonts w:hint="default" w:ascii="Times New Roman" w:hAnsi="Times New Roman" w:cs="Times New Roman"/>
                <w:lang w:val="en-US" w:eastAsia="zh-CN"/>
              </w:rPr>
            </w:pPr>
            <w:r>
              <w:rPr>
                <w:rFonts w:hint="default" w:ascii="Times New Roman" w:hAnsi="Times New Roman" w:cs="Times New Roman"/>
                <w:lang w:val="en-US" w:eastAsia="zh-CN"/>
              </w:rPr>
              <w:t>Q=ψ·q·F</w:t>
            </w:r>
          </w:p>
          <w:p w14:paraId="213D9ABB">
            <w:pPr>
              <w:bidi w:val="0"/>
              <w:rPr>
                <w:rFonts w:hint="default" w:ascii="Times New Roman" w:hAnsi="Times New Roman" w:cs="Times New Roman"/>
                <w:lang w:val="en-US" w:eastAsia="zh-CN"/>
              </w:rPr>
            </w:pPr>
            <w:r>
              <w:rPr>
                <w:rFonts w:hint="default" w:ascii="Times New Roman" w:hAnsi="Times New Roman" w:cs="Times New Roman"/>
                <w:lang w:val="en-US" w:eastAsia="zh-CN"/>
              </w:rPr>
              <w:t>式中：</w:t>
            </w:r>
          </w:p>
          <w:p w14:paraId="5B95C576">
            <w:pPr>
              <w:bidi w:val="0"/>
              <w:rPr>
                <w:rFonts w:hint="default" w:ascii="Times New Roman" w:hAnsi="Times New Roman" w:cs="Times New Roman"/>
              </w:rPr>
            </w:pPr>
            <w:r>
              <w:rPr>
                <w:rFonts w:hint="default" w:ascii="Times New Roman" w:hAnsi="Times New Roman" w:cs="Times New Roman"/>
                <w:lang w:val="en-US" w:eastAsia="zh-CN"/>
              </w:rPr>
              <w:t>Q——</w:t>
            </w:r>
            <w:r>
              <w:rPr>
                <w:rFonts w:hint="default" w:ascii="Times New Roman" w:hAnsi="Times New Roman" w:cs="Times New Roman"/>
              </w:rPr>
              <w:t>初期雨水量（m³/h）</w:t>
            </w:r>
          </w:p>
          <w:p w14:paraId="0DEBDA91">
            <w:pPr>
              <w:bidi w:val="0"/>
              <w:rPr>
                <w:rFonts w:hint="default" w:ascii="Times New Roman" w:hAnsi="Times New Roman" w:cs="Times New Roman"/>
                <w:lang w:val="en-US" w:eastAsia="zh-CN"/>
              </w:rPr>
            </w:pPr>
            <w:r>
              <w:rPr>
                <w:rFonts w:hint="default" w:ascii="Times New Roman" w:hAnsi="Times New Roman" w:cs="Times New Roman"/>
              </w:rPr>
              <w:t>Ψ</w:t>
            </w:r>
            <w:r>
              <w:rPr>
                <w:rFonts w:hint="default" w:ascii="Times New Roman" w:hAnsi="Times New Roman" w:cs="Times New Roman"/>
                <w:lang w:val="en-US" w:eastAsia="zh-CN"/>
              </w:rPr>
              <w:t>——综合径流系数，取0.90</w:t>
            </w:r>
          </w:p>
          <w:p w14:paraId="6A9BD2FE">
            <w:pPr>
              <w:bidi w:val="0"/>
              <w:rPr>
                <w:rFonts w:hint="default" w:ascii="Times New Roman" w:hAnsi="Times New Roman" w:cs="Times New Roman"/>
                <w:lang w:val="en-US" w:eastAsia="zh-CN"/>
              </w:rPr>
            </w:pPr>
            <w:r>
              <w:rPr>
                <w:rFonts w:hint="default" w:ascii="Times New Roman" w:hAnsi="Times New Roman" w:cs="Times New Roman"/>
                <w:lang w:val="en-US" w:eastAsia="zh-CN"/>
              </w:rPr>
              <w:t>q——设计暴雨强度（L/S·h㎡）</w:t>
            </w:r>
          </w:p>
          <w:p w14:paraId="519EAFE0">
            <w:pPr>
              <w:bidi w:val="0"/>
              <w:rPr>
                <w:rFonts w:hint="default" w:ascii="Times New Roman" w:hAnsi="Times New Roman" w:cs="Times New Roman"/>
                <w:lang w:val="en-US" w:eastAsia="zh-CN"/>
              </w:rPr>
            </w:pPr>
            <w:r>
              <w:rPr>
                <w:rFonts w:hint="default" w:ascii="Times New Roman" w:hAnsi="Times New Roman" w:cs="Times New Roman"/>
                <w:lang w:val="en-US" w:eastAsia="zh-CN"/>
              </w:rPr>
              <w:t>F——汇水面积3.329488h㎡</w:t>
            </w:r>
          </w:p>
          <w:p w14:paraId="0AD14AF0">
            <w:pPr>
              <w:bidi w:val="0"/>
              <w:rPr>
                <w:rFonts w:hint="default" w:ascii="Times New Roman" w:hAnsi="Times New Roman" w:cs="Times New Roman"/>
                <w:lang w:val="en-US" w:eastAsia="zh-CN"/>
              </w:rPr>
            </w:pPr>
            <w:r>
              <w:rPr>
                <w:rFonts w:hint="default" w:ascii="Times New Roman" w:hAnsi="Times New Roman" w:cs="Times New Roman"/>
                <w:lang w:val="en-US" w:eastAsia="zh-CN"/>
              </w:rPr>
              <w:t>计算得初期雨水量约为</w:t>
            </w:r>
            <w:r>
              <w:rPr>
                <w:rFonts w:hint="eastAsia" w:cs="Times New Roman"/>
                <w:lang w:val="en-US" w:eastAsia="zh-CN"/>
              </w:rPr>
              <w:t>3.90</w:t>
            </w:r>
            <w:r>
              <w:rPr>
                <w:rFonts w:hint="default" w:ascii="Times New Roman" w:hAnsi="Times New Roman" w:cs="Times New Roman"/>
              </w:rPr>
              <w:t>m³/h</w:t>
            </w:r>
            <w:r>
              <w:rPr>
                <w:rFonts w:hint="default" w:ascii="Times New Roman" w:hAnsi="Times New Roman" w:cs="Times New Roman"/>
                <w:lang w:eastAsia="zh-CN"/>
              </w:rPr>
              <w:t>，</w:t>
            </w:r>
            <w:r>
              <w:rPr>
                <w:rFonts w:hint="default" w:ascii="Times New Roman" w:hAnsi="Times New Roman" w:cs="Times New Roman"/>
                <w:lang w:val="en-US" w:eastAsia="zh-CN"/>
              </w:rPr>
              <w:t>拟在厂区建设初期雨水收集池1个，考虑1.2的安全系数，则需要建设1座容积不</w:t>
            </w:r>
            <w:r>
              <w:rPr>
                <w:rFonts w:hint="default" w:ascii="Times New Roman" w:hAnsi="Times New Roman" w:cs="Times New Roman"/>
                <w:color w:val="auto"/>
                <w:lang w:val="en-US" w:eastAsia="zh-CN"/>
              </w:rPr>
              <w:t>小于</w:t>
            </w:r>
            <w:r>
              <w:rPr>
                <w:rFonts w:hint="eastAsia" w:cs="Times New Roman"/>
                <w:color w:val="auto"/>
                <w:lang w:val="en-US" w:eastAsia="zh-CN"/>
              </w:rPr>
              <w:t>4.68</w:t>
            </w:r>
            <w:r>
              <w:rPr>
                <w:rFonts w:hint="default" w:ascii="Times New Roman" w:hAnsi="Times New Roman" w:cs="Times New Roman"/>
                <w:color w:val="auto"/>
                <w:lang w:val="en-US" w:eastAsia="zh-CN"/>
              </w:rPr>
              <w:t>m³的初期雨水收集池用于收集本项目的初期雨水。</w:t>
            </w:r>
            <w:r>
              <w:rPr>
                <w:rFonts w:hint="eastAsia" w:cs="Times New Roman"/>
                <w:color w:val="auto"/>
                <w:lang w:val="en-US" w:eastAsia="zh-CN"/>
              </w:rPr>
              <w:t>故本项目新建一座5m³的初期雨水收集池用于收集本项目产生的初期雨水是可行的，</w:t>
            </w:r>
            <w:r>
              <w:rPr>
                <w:rFonts w:hint="default" w:ascii="Times New Roman" w:hAnsi="Times New Roman" w:cs="Times New Roman"/>
                <w:color w:val="auto"/>
                <w:lang w:val="en-US" w:eastAsia="zh-CN"/>
              </w:rPr>
              <w:t>初期雨水中的主要</w:t>
            </w:r>
            <w:r>
              <w:rPr>
                <w:rFonts w:hint="default" w:ascii="Times New Roman" w:hAnsi="Times New Roman" w:cs="Times New Roman"/>
                <w:color w:val="auto"/>
                <w:highlight w:val="none"/>
                <w:lang w:val="en-US" w:eastAsia="zh-CN"/>
              </w:rPr>
              <w:t>污染物为COD、SS等，浓度分别为100mg/L、300</w:t>
            </w:r>
            <w:r>
              <w:rPr>
                <w:rFonts w:hint="default" w:ascii="Times New Roman" w:hAnsi="Times New Roman" w:cs="Times New Roman"/>
                <w:color w:val="auto"/>
                <w:lang w:val="en-US" w:eastAsia="zh-CN"/>
              </w:rPr>
              <w:t>mg/L，</w:t>
            </w:r>
            <w:r>
              <w:rPr>
                <w:rFonts w:hint="default" w:ascii="Times New Roman" w:hAnsi="Times New Roman" w:cs="Times New Roman"/>
                <w:color w:val="auto"/>
                <w:highlight w:val="none"/>
                <w:lang w:val="en-US" w:eastAsia="zh-CN"/>
              </w:rPr>
              <w:t>主</w:t>
            </w:r>
            <w:r>
              <w:rPr>
                <w:rFonts w:hint="default" w:ascii="Times New Roman" w:hAnsi="Times New Roman" w:cs="Times New Roman"/>
                <w:color w:val="auto"/>
                <w:lang w:val="en-US" w:eastAsia="zh-CN"/>
              </w:rPr>
              <w:t>要污染物种类简单</w:t>
            </w:r>
            <w:r>
              <w:rPr>
                <w:rFonts w:hint="default" w:ascii="Times New Roman" w:hAnsi="Times New Roman" w:cs="Times New Roman"/>
                <w:lang w:val="en-US" w:eastAsia="zh-CN"/>
              </w:rPr>
              <w:t>收集后的雨水经过沉淀澄清后，可用于原料堆场洒水降尘利用。</w:t>
            </w:r>
          </w:p>
          <w:p w14:paraId="6FB27A09">
            <w:pPr>
              <w:bidi w:val="0"/>
              <w:rPr>
                <w:rFonts w:hint="default" w:ascii="Times New Roman" w:hAnsi="Times New Roman" w:cs="Times New Roman"/>
                <w:lang w:val="en-US" w:eastAsia="zh-CN"/>
              </w:rPr>
            </w:pPr>
            <w:r>
              <w:rPr>
                <w:rFonts w:hint="default" w:ascii="Times New Roman" w:hAnsi="Times New Roman" w:cs="Times New Roman"/>
                <w:lang w:val="en-US" w:eastAsia="zh-CN"/>
              </w:rPr>
              <w:t>综上所述，本项目无废水外排，本项目废水经过合理处置后对周边环境影响较小。</w:t>
            </w:r>
          </w:p>
          <w:p w14:paraId="2AE07E2E">
            <w:pPr>
              <w:bidi w:val="0"/>
              <w:rPr>
                <w:rFonts w:hint="default" w:ascii="Times New Roman" w:hAnsi="Times New Roman" w:cs="Times New Roman"/>
                <w:b/>
                <w:bCs/>
                <w:lang w:val="en-US" w:eastAsia="zh-CN"/>
              </w:rPr>
            </w:pPr>
            <w:r>
              <w:rPr>
                <w:rFonts w:hint="default" w:ascii="Times New Roman" w:hAnsi="Times New Roman" w:cs="Times New Roman"/>
                <w:b/>
                <w:bCs/>
                <w:lang w:val="en-US" w:eastAsia="zh-CN"/>
              </w:rPr>
              <w:t>四、运营期</w:t>
            </w:r>
            <w:r>
              <w:rPr>
                <w:rFonts w:hint="default" w:ascii="Times New Roman" w:hAnsi="Times New Roman" w:cs="Times New Roman"/>
                <w:b/>
                <w:bCs/>
              </w:rPr>
              <w:t>噪声</w:t>
            </w:r>
            <w:r>
              <w:rPr>
                <w:rFonts w:hint="default" w:ascii="Times New Roman" w:hAnsi="Times New Roman" w:cs="Times New Roman"/>
                <w:b/>
                <w:bCs/>
                <w:lang w:val="en-US" w:eastAsia="zh-CN"/>
              </w:rPr>
              <w:t>环境影响分析及环境保护措施</w:t>
            </w:r>
          </w:p>
          <w:p w14:paraId="5FBC1F13">
            <w:pPr>
              <w:bidi w:val="0"/>
              <w:rPr>
                <w:rFonts w:hint="default" w:ascii="Times New Roman" w:hAnsi="Times New Roman" w:cs="Times New Roman"/>
                <w:b/>
                <w:bCs/>
                <w:lang w:val="en-US" w:eastAsia="zh-CN"/>
              </w:rPr>
            </w:pPr>
            <w:r>
              <w:rPr>
                <w:rFonts w:hint="eastAsia" w:cs="Times New Roman"/>
                <w:b/>
                <w:bCs/>
                <w:lang w:val="en-US" w:eastAsia="zh-CN"/>
              </w:rPr>
              <w:t>1.</w:t>
            </w:r>
            <w:r>
              <w:rPr>
                <w:rFonts w:hint="default" w:ascii="Times New Roman" w:hAnsi="Times New Roman" w:cs="Times New Roman"/>
                <w:b/>
                <w:bCs/>
                <w:lang w:val="en-US" w:eastAsia="zh-CN"/>
              </w:rPr>
              <w:t>噪声源强</w:t>
            </w:r>
          </w:p>
          <w:p w14:paraId="2ABB2DA8">
            <w:pPr>
              <w:bidi w:val="0"/>
              <w:rPr>
                <w:rFonts w:hint="default" w:ascii="Times New Roman" w:hAnsi="Times New Roman" w:cs="Times New Roman"/>
                <w:lang w:val="en-US" w:eastAsia="zh-CN"/>
              </w:rPr>
            </w:pPr>
            <w:r>
              <w:rPr>
                <w:rFonts w:hint="default" w:ascii="Times New Roman" w:hAnsi="Times New Roman" w:cs="Times New Roman"/>
                <w:lang w:val="en-US" w:eastAsia="zh-CN"/>
              </w:rPr>
              <w:t>本项目运营期噪声主要来源于装载机、搅拌机、运输车辆、水泵、物料传输装置等生产过程中产生的噪声。</w:t>
            </w:r>
          </w:p>
          <w:p w14:paraId="4339B86B">
            <w:pPr>
              <w:bidi w:val="0"/>
              <w:rPr>
                <w:rFonts w:hint="default" w:ascii="Times New Roman" w:hAnsi="Times New Roman" w:cs="Times New Roman"/>
                <w:lang w:val="en-US" w:eastAsia="zh-CN"/>
              </w:rPr>
            </w:pPr>
            <w:r>
              <w:rPr>
                <w:rFonts w:hint="default" w:ascii="Times New Roman" w:hAnsi="Times New Roman" w:cs="Times New Roman"/>
                <w:lang w:val="en-US" w:eastAsia="zh-CN"/>
              </w:rPr>
              <w:t>搅拌机机型先进，噪声较小；皮带输送机、水泵噪声相对较小；螺旋输送机正常运行时的噪声较小，但如因堵料等原因运行不畅时，噪声较大。所用设备噪声声级如下。</w:t>
            </w:r>
          </w:p>
          <w:p w14:paraId="63368317">
            <w:pPr>
              <w:bidi w:val="0"/>
              <w:ind w:left="0" w:leftChars="0" w:firstLine="0" w:firstLineChars="0"/>
              <w:jc w:val="center"/>
              <w:rPr>
                <w:rFonts w:hint="default" w:ascii="Times New Roman" w:hAnsi="Times New Roman" w:cs="Times New Roman"/>
                <w:b/>
                <w:bCs/>
                <w:lang w:val="en-US" w:eastAsia="zh-CN"/>
              </w:rPr>
            </w:pPr>
            <w:r>
              <w:rPr>
                <w:rFonts w:hint="default" w:ascii="Times New Roman" w:hAnsi="Times New Roman" w:cs="Times New Roman"/>
                <w:b/>
                <w:bCs/>
                <w:lang w:val="en-US" w:eastAsia="zh-CN"/>
              </w:rPr>
              <w:t>表4-2主要生产机械噪声源强表</w:t>
            </w:r>
          </w:p>
          <w:tbl>
            <w:tblPr>
              <w:tblStyle w:val="17"/>
              <w:tblW w:w="7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
              <w:gridCol w:w="1246"/>
              <w:gridCol w:w="1330"/>
              <w:gridCol w:w="2235"/>
              <w:gridCol w:w="705"/>
              <w:gridCol w:w="1941"/>
            </w:tblGrid>
            <w:tr w14:paraId="61DB2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500" w:type="dxa"/>
                  <w:noWrap w:val="0"/>
                  <w:vAlign w:val="center"/>
                </w:tcPr>
                <w:p w14:paraId="315DBA0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序号</w:t>
                  </w:r>
                </w:p>
              </w:tc>
              <w:tc>
                <w:tcPr>
                  <w:tcW w:w="1246" w:type="dxa"/>
                  <w:noWrap w:val="0"/>
                  <w:vAlign w:val="center"/>
                </w:tcPr>
                <w:p w14:paraId="5A39284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设备名称</w:t>
                  </w:r>
                </w:p>
              </w:tc>
              <w:tc>
                <w:tcPr>
                  <w:tcW w:w="1330" w:type="dxa"/>
                  <w:noWrap w:val="0"/>
                  <w:vAlign w:val="center"/>
                </w:tcPr>
                <w:p w14:paraId="6D0439F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单台噪声值[dB(A)]</w:t>
                  </w:r>
                </w:p>
              </w:tc>
              <w:tc>
                <w:tcPr>
                  <w:tcW w:w="2235" w:type="dxa"/>
                  <w:noWrap w:val="0"/>
                  <w:vAlign w:val="center"/>
                </w:tcPr>
                <w:p w14:paraId="25E8DDC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辐射状态</w:t>
                  </w:r>
                </w:p>
              </w:tc>
              <w:tc>
                <w:tcPr>
                  <w:tcW w:w="705" w:type="dxa"/>
                  <w:noWrap w:val="0"/>
                  <w:vAlign w:val="center"/>
                </w:tcPr>
                <w:p w14:paraId="74D16F3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设备数量</w:t>
                  </w:r>
                </w:p>
              </w:tc>
              <w:tc>
                <w:tcPr>
                  <w:tcW w:w="1941" w:type="dxa"/>
                  <w:noWrap w:val="0"/>
                  <w:vAlign w:val="center"/>
                </w:tcPr>
                <w:p w14:paraId="63D0A11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降噪措施</w:t>
                  </w:r>
                </w:p>
              </w:tc>
            </w:tr>
            <w:tr w14:paraId="1C209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500" w:type="dxa"/>
                  <w:noWrap w:val="0"/>
                  <w:vAlign w:val="center"/>
                </w:tcPr>
                <w:p w14:paraId="4B8B4B4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1</w:t>
                  </w:r>
                </w:p>
              </w:tc>
              <w:tc>
                <w:tcPr>
                  <w:tcW w:w="1246" w:type="dxa"/>
                  <w:noWrap w:val="0"/>
                  <w:vAlign w:val="center"/>
                </w:tcPr>
                <w:p w14:paraId="180F622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搅拌机</w:t>
                  </w:r>
                </w:p>
              </w:tc>
              <w:tc>
                <w:tcPr>
                  <w:tcW w:w="1330" w:type="dxa"/>
                  <w:noWrap w:val="0"/>
                  <w:vAlign w:val="center"/>
                </w:tcPr>
                <w:p w14:paraId="6BA2AFB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75~90</w:t>
                  </w:r>
                </w:p>
              </w:tc>
              <w:tc>
                <w:tcPr>
                  <w:tcW w:w="2235" w:type="dxa"/>
                  <w:noWrap w:val="0"/>
                  <w:vAlign w:val="center"/>
                </w:tcPr>
                <w:p w14:paraId="497A81D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连续，距声源1m处</w:t>
                  </w:r>
                </w:p>
              </w:tc>
              <w:tc>
                <w:tcPr>
                  <w:tcW w:w="705" w:type="dxa"/>
                  <w:noWrap w:val="0"/>
                  <w:vAlign w:val="center"/>
                </w:tcPr>
                <w:p w14:paraId="1CE7636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1台</w:t>
                  </w:r>
                </w:p>
              </w:tc>
              <w:tc>
                <w:tcPr>
                  <w:tcW w:w="1941" w:type="dxa"/>
                  <w:noWrap w:val="0"/>
                  <w:vAlign w:val="center"/>
                </w:tcPr>
                <w:p w14:paraId="7CE795D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基础减振、建筑隔音（封闭车间）</w:t>
                  </w:r>
                </w:p>
              </w:tc>
            </w:tr>
            <w:tr w14:paraId="64C58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 w:type="dxa"/>
                  <w:noWrap w:val="0"/>
                  <w:vAlign w:val="center"/>
                </w:tcPr>
                <w:p w14:paraId="0A8389A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2</w:t>
                  </w:r>
                </w:p>
              </w:tc>
              <w:tc>
                <w:tcPr>
                  <w:tcW w:w="1246" w:type="dxa"/>
                  <w:noWrap w:val="0"/>
                  <w:vAlign w:val="center"/>
                </w:tcPr>
                <w:p w14:paraId="4FC7CBF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皮带输送机</w:t>
                  </w:r>
                </w:p>
              </w:tc>
              <w:tc>
                <w:tcPr>
                  <w:tcW w:w="1330" w:type="dxa"/>
                  <w:noWrap w:val="0"/>
                  <w:vAlign w:val="center"/>
                </w:tcPr>
                <w:p w14:paraId="694FBFE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65~85</w:t>
                  </w:r>
                </w:p>
              </w:tc>
              <w:tc>
                <w:tcPr>
                  <w:tcW w:w="2235" w:type="dxa"/>
                  <w:noWrap w:val="0"/>
                  <w:vAlign w:val="center"/>
                </w:tcPr>
                <w:p w14:paraId="3514BA7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连续，距声源1m处</w:t>
                  </w:r>
                </w:p>
              </w:tc>
              <w:tc>
                <w:tcPr>
                  <w:tcW w:w="705" w:type="dxa"/>
                  <w:noWrap w:val="0"/>
                  <w:vAlign w:val="center"/>
                </w:tcPr>
                <w:p w14:paraId="65ED9DB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2条</w:t>
                  </w:r>
                </w:p>
              </w:tc>
              <w:tc>
                <w:tcPr>
                  <w:tcW w:w="1941" w:type="dxa"/>
                  <w:noWrap w:val="0"/>
                  <w:vAlign w:val="center"/>
                </w:tcPr>
                <w:p w14:paraId="0B28FC5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基础减振、建筑隔音</w:t>
                  </w:r>
                </w:p>
              </w:tc>
            </w:tr>
            <w:tr w14:paraId="3F2C7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 w:type="dxa"/>
                  <w:noWrap w:val="0"/>
                  <w:vAlign w:val="center"/>
                </w:tcPr>
                <w:p w14:paraId="137C01F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3</w:t>
                  </w:r>
                </w:p>
              </w:tc>
              <w:tc>
                <w:tcPr>
                  <w:tcW w:w="1246" w:type="dxa"/>
                  <w:noWrap w:val="0"/>
                  <w:vAlign w:val="center"/>
                </w:tcPr>
                <w:p w14:paraId="60E0B16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装载机</w:t>
                  </w:r>
                </w:p>
              </w:tc>
              <w:tc>
                <w:tcPr>
                  <w:tcW w:w="1330" w:type="dxa"/>
                  <w:noWrap w:val="0"/>
                  <w:vAlign w:val="center"/>
                </w:tcPr>
                <w:p w14:paraId="6C9DD23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75~90</w:t>
                  </w:r>
                </w:p>
              </w:tc>
              <w:tc>
                <w:tcPr>
                  <w:tcW w:w="2235" w:type="dxa"/>
                  <w:noWrap w:val="0"/>
                  <w:vAlign w:val="center"/>
                </w:tcPr>
                <w:p w14:paraId="2B34615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连续，距声源1m处</w:t>
                  </w:r>
                </w:p>
              </w:tc>
              <w:tc>
                <w:tcPr>
                  <w:tcW w:w="705" w:type="dxa"/>
                  <w:noWrap w:val="0"/>
                  <w:vAlign w:val="center"/>
                </w:tcPr>
                <w:p w14:paraId="08C3037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1台</w:t>
                  </w:r>
                </w:p>
              </w:tc>
              <w:tc>
                <w:tcPr>
                  <w:tcW w:w="1941" w:type="dxa"/>
                  <w:noWrap w:val="0"/>
                  <w:vAlign w:val="center"/>
                </w:tcPr>
                <w:p w14:paraId="462DC37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低噪声设备</w:t>
                  </w:r>
                </w:p>
              </w:tc>
            </w:tr>
            <w:tr w14:paraId="5C7FE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 w:type="dxa"/>
                  <w:noWrap w:val="0"/>
                  <w:vAlign w:val="center"/>
                </w:tcPr>
                <w:p w14:paraId="6A9948E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4</w:t>
                  </w:r>
                </w:p>
              </w:tc>
              <w:tc>
                <w:tcPr>
                  <w:tcW w:w="1246" w:type="dxa"/>
                  <w:noWrap w:val="0"/>
                  <w:vAlign w:val="center"/>
                </w:tcPr>
                <w:p w14:paraId="7B387C5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混凝土运输车</w:t>
                  </w:r>
                </w:p>
              </w:tc>
              <w:tc>
                <w:tcPr>
                  <w:tcW w:w="1330" w:type="dxa"/>
                  <w:noWrap w:val="0"/>
                  <w:vAlign w:val="center"/>
                </w:tcPr>
                <w:p w14:paraId="2066618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90</w:t>
                  </w:r>
                </w:p>
              </w:tc>
              <w:tc>
                <w:tcPr>
                  <w:tcW w:w="2235" w:type="dxa"/>
                  <w:noWrap w:val="0"/>
                  <w:vAlign w:val="center"/>
                </w:tcPr>
                <w:p w14:paraId="5100870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连续，距声源1m处</w:t>
                  </w:r>
                </w:p>
              </w:tc>
              <w:tc>
                <w:tcPr>
                  <w:tcW w:w="705" w:type="dxa"/>
                  <w:noWrap w:val="0"/>
                  <w:vAlign w:val="center"/>
                </w:tcPr>
                <w:p w14:paraId="6679DBF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5台</w:t>
                  </w:r>
                </w:p>
              </w:tc>
              <w:tc>
                <w:tcPr>
                  <w:tcW w:w="1941" w:type="dxa"/>
                  <w:noWrap w:val="0"/>
                  <w:vAlign w:val="center"/>
                </w:tcPr>
                <w:p w14:paraId="00B2AAB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采取限速、禁止鸣笛。</w:t>
                  </w:r>
                </w:p>
              </w:tc>
            </w:tr>
          </w:tbl>
          <w:p w14:paraId="1FDFA38C">
            <w:pPr>
              <w:bidi w:val="0"/>
              <w:rPr>
                <w:rFonts w:hint="default" w:ascii="Times New Roman" w:hAnsi="Times New Roman" w:cs="Times New Roman"/>
                <w:b/>
                <w:bCs/>
                <w:lang w:val="en-US" w:eastAsia="zh-CN"/>
              </w:rPr>
            </w:pPr>
            <w:r>
              <w:rPr>
                <w:rFonts w:hint="eastAsia" w:cs="Times New Roman"/>
                <w:b/>
                <w:bCs/>
                <w:lang w:val="en-US" w:eastAsia="zh-CN"/>
              </w:rPr>
              <w:t>2.</w:t>
            </w:r>
            <w:r>
              <w:rPr>
                <w:rFonts w:hint="default" w:ascii="Times New Roman" w:hAnsi="Times New Roman" w:cs="Times New Roman"/>
                <w:b/>
                <w:bCs/>
                <w:lang w:val="en-US" w:eastAsia="zh-CN"/>
              </w:rPr>
              <w:t>预测内容及预测模式</w:t>
            </w:r>
          </w:p>
          <w:p w14:paraId="020820AC">
            <w:pPr>
              <w:bidi w:val="0"/>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预测内容为项目实施后机械设备运行产生的噪声对声环境的影响。</w:t>
            </w:r>
          </w:p>
          <w:p w14:paraId="49272593">
            <w:pPr>
              <w:bidi w:val="0"/>
              <w:rPr>
                <w:rFonts w:hint="default" w:ascii="Times New Roman" w:hAnsi="Times New Roman" w:cs="Times New Roman"/>
                <w:lang w:val="en-US" w:eastAsia="zh-CN"/>
              </w:rPr>
            </w:pPr>
            <w:r>
              <w:rPr>
                <w:rFonts w:hint="default" w:ascii="Times New Roman" w:hAnsi="Times New Roman" w:cs="Times New Roman"/>
                <w:lang w:val="en-US" w:eastAsia="zh-CN"/>
              </w:rPr>
              <w:t>本次评价中噪声影响预测模式按《环境影响预测评价技术导则声环境》（HJ2.4-2021）中推荐的噪声传播声级衰减模式选择。厂区噪声源以机械、设备噪声为主。由于预测点距声源的距离远远大于声源本身的尺寸，各噪声源设备辐射的噪声在户外传播可视为点声源。根据噪声源噪声衰减模式，可估算出离噪声源不同距离处的噪声值，其预测模式如下：</w:t>
            </w:r>
          </w:p>
          <w:p w14:paraId="1EC4DFCC">
            <w:pPr>
              <w:bidi w:val="0"/>
              <w:rPr>
                <w:rFonts w:hint="default" w:ascii="Times New Roman" w:hAnsi="Times New Roman" w:cs="Times New Roman"/>
                <w:lang w:val="en-US" w:eastAsia="zh-CN"/>
              </w:rPr>
            </w:pPr>
            <w:r>
              <w:rPr>
                <w:rFonts w:hint="default" w:ascii="Times New Roman" w:hAnsi="Times New Roman" w:cs="Times New Roman"/>
                <w:lang w:val="en-US" w:eastAsia="zh-CN"/>
              </w:rPr>
              <w:t>声源在预测点产生的等效声级贡献值（Leqg）计算公式：</w:t>
            </w:r>
          </w:p>
          <w:p w14:paraId="6B7F5099">
            <w:pPr>
              <w:bidi w:val="0"/>
              <w:jc w:val="center"/>
              <w:rPr>
                <w:rFonts w:hint="default" w:ascii="Times New Roman" w:hAnsi="Times New Roman" w:cs="Times New Roman"/>
                <w:lang w:val="en-US" w:eastAsia="zh-CN"/>
              </w:rPr>
            </w:pPr>
            <w:r>
              <w:rPr>
                <w:rFonts w:hint="default" w:ascii="Times New Roman" w:hAnsi="Times New Roman" w:cs="Times New Roman"/>
                <w:lang w:val="en-US" w:eastAsia="zh-CN"/>
              </w:rPr>
              <w:object>
                <v:shape id="_x0000_i1025" o:spt="75" type="#_x0000_t75" style="height:36.3pt;width:137.1pt;" o:ole="t" filled="f" stroked="f" coordsize="21600,21600">
                  <v:path/>
                  <v:fill on="f" focussize="0,0"/>
                  <v:stroke on="f"/>
                  <v:imagedata r:id="rId28" o:title=""/>
                  <o:lock v:ext="edit" aspectratio="t"/>
                  <w10:wrap type="none"/>
                  <w10:anchorlock/>
                </v:shape>
                <o:OLEObject Type="Embed" ProgID="Equation.DSMT4" ShapeID="_x0000_i1025" DrawAspect="Content" ObjectID="_1468075725" r:id="rId27">
                  <o:LockedField>false</o:LockedField>
                </o:OLEObject>
              </w:object>
            </w:r>
          </w:p>
          <w:p w14:paraId="4AAA9789">
            <w:pPr>
              <w:bidi w:val="0"/>
              <w:rPr>
                <w:rFonts w:hint="default" w:ascii="Times New Roman" w:hAnsi="Times New Roman" w:cs="Times New Roman"/>
                <w:lang w:val="en-US" w:eastAsia="zh-CN"/>
              </w:rPr>
            </w:pPr>
            <w:r>
              <w:rPr>
                <w:rFonts w:hint="default" w:ascii="Times New Roman" w:hAnsi="Times New Roman" w:cs="Times New Roman"/>
                <w:lang w:val="en-US" w:eastAsia="zh-CN"/>
              </w:rPr>
              <w:t>式中：Leqg——建设项目声源在预测点的等效声级贡献值，dB（A）；</w:t>
            </w:r>
          </w:p>
          <w:p w14:paraId="4642904B">
            <w:pPr>
              <w:bidi w:val="0"/>
              <w:rPr>
                <w:rFonts w:hint="default" w:ascii="Times New Roman" w:hAnsi="Times New Roman" w:cs="Times New Roman"/>
                <w:lang w:val="en-US" w:eastAsia="zh-CN"/>
              </w:rPr>
            </w:pPr>
            <w:r>
              <w:rPr>
                <w:rFonts w:hint="default" w:ascii="Times New Roman" w:hAnsi="Times New Roman" w:cs="Times New Roman"/>
                <w:lang w:val="en-US" w:eastAsia="zh-CN"/>
              </w:rPr>
              <w:t>LAi——i声源在预测点产生的A声级，dB（A）；</w:t>
            </w:r>
          </w:p>
          <w:p w14:paraId="13834F85">
            <w:pPr>
              <w:bidi w:val="0"/>
              <w:rPr>
                <w:rFonts w:hint="default" w:ascii="Times New Roman" w:hAnsi="Times New Roman" w:cs="Times New Roman"/>
                <w:lang w:val="en-US" w:eastAsia="zh-CN"/>
              </w:rPr>
            </w:pPr>
            <w:r>
              <w:rPr>
                <w:rFonts w:hint="default" w:ascii="Times New Roman" w:hAnsi="Times New Roman" w:cs="Times New Roman"/>
                <w:lang w:val="en-US" w:eastAsia="zh-CN"/>
              </w:rPr>
              <w:t>T——预测计算的时间段，s；</w:t>
            </w:r>
          </w:p>
          <w:p w14:paraId="12F141EC">
            <w:pPr>
              <w:bidi w:val="0"/>
              <w:rPr>
                <w:rFonts w:hint="default" w:ascii="Times New Roman" w:hAnsi="Times New Roman" w:cs="Times New Roman"/>
                <w:lang w:val="en-US" w:eastAsia="zh-CN"/>
              </w:rPr>
            </w:pPr>
            <w:r>
              <w:rPr>
                <w:rFonts w:hint="default" w:ascii="Times New Roman" w:hAnsi="Times New Roman" w:cs="Times New Roman"/>
                <w:lang w:val="en-US" w:eastAsia="zh-CN"/>
              </w:rPr>
              <w:t>ti——i声源在T时段内的运行时间，s。</w:t>
            </w:r>
          </w:p>
          <w:p w14:paraId="396817DF">
            <w:pPr>
              <w:bidi w:val="0"/>
              <w:rPr>
                <w:rFonts w:hint="default" w:ascii="Times New Roman" w:hAnsi="Times New Roman" w:cs="Times New Roman"/>
                <w:b/>
                <w:bCs/>
                <w:lang w:val="en-US" w:eastAsia="zh-CN"/>
              </w:rPr>
            </w:pPr>
            <w:r>
              <w:rPr>
                <w:rFonts w:hint="eastAsia" w:cs="Times New Roman"/>
                <w:b/>
                <w:bCs/>
                <w:lang w:val="en-US" w:eastAsia="zh-CN"/>
              </w:rPr>
              <w:t>3.</w:t>
            </w:r>
            <w:r>
              <w:rPr>
                <w:rFonts w:hint="default" w:ascii="Times New Roman" w:hAnsi="Times New Roman" w:cs="Times New Roman"/>
                <w:b/>
                <w:bCs/>
                <w:lang w:val="en-US" w:eastAsia="zh-CN"/>
              </w:rPr>
              <w:t>预测结果</w:t>
            </w:r>
          </w:p>
          <w:p w14:paraId="7AE71DE9">
            <w:pPr>
              <w:bidi w:val="0"/>
              <w:rPr>
                <w:rFonts w:hint="default" w:ascii="Times New Roman" w:hAnsi="Times New Roman" w:cs="Times New Roman"/>
                <w:lang w:val="en-US" w:eastAsia="zh-CN"/>
              </w:rPr>
            </w:pPr>
            <w:r>
              <w:rPr>
                <w:rFonts w:hint="default" w:ascii="Times New Roman" w:hAnsi="Times New Roman" w:cs="Times New Roman"/>
                <w:lang w:val="en-US" w:eastAsia="zh-CN"/>
              </w:rPr>
              <w:t>经噪声衰减计算，噪声源强衰减预测表见表4-3。</w:t>
            </w:r>
          </w:p>
          <w:p w14:paraId="64D4B832">
            <w:pPr>
              <w:bidi w:val="0"/>
              <w:ind w:left="0" w:leftChars="0" w:firstLine="0" w:firstLineChars="0"/>
              <w:jc w:val="center"/>
              <w:rPr>
                <w:rFonts w:hint="default" w:ascii="Times New Roman" w:hAnsi="Times New Roman" w:cs="Times New Roman"/>
                <w:b/>
                <w:bCs/>
                <w:lang w:val="en-US" w:eastAsia="zh-CN"/>
              </w:rPr>
            </w:pPr>
            <w:r>
              <w:rPr>
                <w:rFonts w:hint="default" w:ascii="Times New Roman" w:hAnsi="Times New Roman" w:cs="Times New Roman"/>
                <w:b/>
                <w:bCs/>
                <w:lang w:val="en-US" w:eastAsia="zh-CN"/>
              </w:rPr>
              <w:t>表4-3噪声源强衰减预测表</w:t>
            </w:r>
          </w:p>
          <w:tbl>
            <w:tblPr>
              <w:tblStyle w:val="17"/>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2302"/>
              <w:gridCol w:w="2302"/>
              <w:gridCol w:w="1901"/>
            </w:tblGrid>
            <w:tr w14:paraId="03ADD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413" w:type="dxa"/>
                  <w:noWrap w:val="0"/>
                  <w:vAlign w:val="center"/>
                </w:tcPr>
                <w:p w14:paraId="54D48AF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预测方向</w:t>
                  </w:r>
                </w:p>
              </w:tc>
              <w:tc>
                <w:tcPr>
                  <w:tcW w:w="2302" w:type="dxa"/>
                  <w:noWrap w:val="0"/>
                  <w:vAlign w:val="center"/>
                </w:tcPr>
                <w:p w14:paraId="73FFFD0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贡献值[dB(A)]</w:t>
                  </w:r>
                </w:p>
              </w:tc>
              <w:tc>
                <w:tcPr>
                  <w:tcW w:w="2302" w:type="dxa"/>
                  <w:noWrap w:val="0"/>
                  <w:vAlign w:val="center"/>
                </w:tcPr>
                <w:p w14:paraId="5458961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标准限值[dB(A)]</w:t>
                  </w:r>
                </w:p>
              </w:tc>
              <w:tc>
                <w:tcPr>
                  <w:tcW w:w="1901" w:type="dxa"/>
                  <w:noWrap w:val="0"/>
                  <w:vAlign w:val="center"/>
                </w:tcPr>
                <w:p w14:paraId="2554AE0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达标情况</w:t>
                  </w:r>
                </w:p>
              </w:tc>
            </w:tr>
            <w:tr w14:paraId="0B450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413" w:type="dxa"/>
                  <w:noWrap w:val="0"/>
                  <w:vAlign w:val="center"/>
                </w:tcPr>
                <w:p w14:paraId="2CEFA13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东侧</w:t>
                  </w:r>
                </w:p>
              </w:tc>
              <w:tc>
                <w:tcPr>
                  <w:tcW w:w="2302" w:type="dxa"/>
                  <w:noWrap w:val="0"/>
                  <w:vAlign w:val="center"/>
                </w:tcPr>
                <w:p w14:paraId="0FF4E2F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45.2</w:t>
                  </w:r>
                </w:p>
              </w:tc>
              <w:tc>
                <w:tcPr>
                  <w:tcW w:w="2302" w:type="dxa"/>
                  <w:noWrap w:val="0"/>
                  <w:vAlign w:val="center"/>
                </w:tcPr>
                <w:p w14:paraId="2247D7D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6</w:t>
                  </w:r>
                  <w:r>
                    <w:rPr>
                      <w:rFonts w:hint="eastAsia" w:cs="Times New Roman"/>
                      <w:lang w:val="en-US" w:eastAsia="zh-CN"/>
                    </w:rPr>
                    <w:t>5</w:t>
                  </w:r>
                </w:p>
              </w:tc>
              <w:tc>
                <w:tcPr>
                  <w:tcW w:w="1901" w:type="dxa"/>
                  <w:noWrap w:val="0"/>
                  <w:vAlign w:val="center"/>
                </w:tcPr>
                <w:p w14:paraId="7697B44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达标</w:t>
                  </w:r>
                </w:p>
              </w:tc>
            </w:tr>
            <w:tr w14:paraId="24BA2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413" w:type="dxa"/>
                  <w:noWrap w:val="0"/>
                  <w:vAlign w:val="center"/>
                </w:tcPr>
                <w:p w14:paraId="3CE0732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南侧</w:t>
                  </w:r>
                </w:p>
              </w:tc>
              <w:tc>
                <w:tcPr>
                  <w:tcW w:w="2302" w:type="dxa"/>
                  <w:noWrap w:val="0"/>
                  <w:vAlign w:val="center"/>
                </w:tcPr>
                <w:p w14:paraId="54959A2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47.5</w:t>
                  </w:r>
                </w:p>
              </w:tc>
              <w:tc>
                <w:tcPr>
                  <w:tcW w:w="2302" w:type="dxa"/>
                  <w:noWrap w:val="0"/>
                  <w:vAlign w:val="center"/>
                </w:tcPr>
                <w:p w14:paraId="1499AF0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6</w:t>
                  </w:r>
                  <w:r>
                    <w:rPr>
                      <w:rFonts w:hint="eastAsia" w:cs="Times New Roman"/>
                      <w:lang w:val="en-US" w:eastAsia="zh-CN"/>
                    </w:rPr>
                    <w:t>5</w:t>
                  </w:r>
                </w:p>
              </w:tc>
              <w:tc>
                <w:tcPr>
                  <w:tcW w:w="1901" w:type="dxa"/>
                  <w:noWrap w:val="0"/>
                  <w:vAlign w:val="center"/>
                </w:tcPr>
                <w:p w14:paraId="6C8C9AC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达标</w:t>
                  </w:r>
                </w:p>
              </w:tc>
            </w:tr>
            <w:tr w14:paraId="2F2C2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413" w:type="dxa"/>
                  <w:noWrap w:val="0"/>
                  <w:vAlign w:val="center"/>
                </w:tcPr>
                <w:p w14:paraId="464D847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西侧</w:t>
                  </w:r>
                </w:p>
              </w:tc>
              <w:tc>
                <w:tcPr>
                  <w:tcW w:w="2302" w:type="dxa"/>
                  <w:noWrap w:val="0"/>
                  <w:vAlign w:val="center"/>
                </w:tcPr>
                <w:p w14:paraId="5449EDE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46.9</w:t>
                  </w:r>
                </w:p>
              </w:tc>
              <w:tc>
                <w:tcPr>
                  <w:tcW w:w="2302" w:type="dxa"/>
                  <w:noWrap w:val="0"/>
                  <w:vAlign w:val="center"/>
                </w:tcPr>
                <w:p w14:paraId="208B4AE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6</w:t>
                  </w:r>
                  <w:r>
                    <w:rPr>
                      <w:rFonts w:hint="eastAsia" w:cs="Times New Roman"/>
                      <w:lang w:val="en-US" w:eastAsia="zh-CN"/>
                    </w:rPr>
                    <w:t>5</w:t>
                  </w:r>
                </w:p>
              </w:tc>
              <w:tc>
                <w:tcPr>
                  <w:tcW w:w="1901" w:type="dxa"/>
                  <w:noWrap w:val="0"/>
                  <w:vAlign w:val="center"/>
                </w:tcPr>
                <w:p w14:paraId="48FAA7D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达标</w:t>
                  </w:r>
                </w:p>
              </w:tc>
            </w:tr>
            <w:tr w14:paraId="0B7EB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1413" w:type="dxa"/>
                  <w:noWrap w:val="0"/>
                  <w:vAlign w:val="center"/>
                </w:tcPr>
                <w:p w14:paraId="496D45B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北侧</w:t>
                  </w:r>
                </w:p>
              </w:tc>
              <w:tc>
                <w:tcPr>
                  <w:tcW w:w="2302" w:type="dxa"/>
                  <w:noWrap w:val="0"/>
                  <w:vAlign w:val="center"/>
                </w:tcPr>
                <w:p w14:paraId="66D7046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43.6</w:t>
                  </w:r>
                </w:p>
              </w:tc>
              <w:tc>
                <w:tcPr>
                  <w:tcW w:w="2302" w:type="dxa"/>
                  <w:noWrap w:val="0"/>
                  <w:vAlign w:val="center"/>
                </w:tcPr>
                <w:p w14:paraId="18F9216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6</w:t>
                  </w:r>
                  <w:r>
                    <w:rPr>
                      <w:rFonts w:hint="eastAsia" w:cs="Times New Roman"/>
                      <w:lang w:val="en-US" w:eastAsia="zh-CN"/>
                    </w:rPr>
                    <w:t>5</w:t>
                  </w:r>
                </w:p>
              </w:tc>
              <w:tc>
                <w:tcPr>
                  <w:tcW w:w="1901" w:type="dxa"/>
                  <w:noWrap w:val="0"/>
                  <w:vAlign w:val="center"/>
                </w:tcPr>
                <w:p w14:paraId="4B6F224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达标</w:t>
                  </w:r>
                </w:p>
              </w:tc>
            </w:tr>
          </w:tbl>
          <w:p w14:paraId="7D9125BA">
            <w:pPr>
              <w:bidi w:val="0"/>
              <w:rPr>
                <w:rFonts w:hint="default" w:ascii="Times New Roman" w:hAnsi="Times New Roman" w:cs="Times New Roman"/>
                <w:lang w:val="en-US" w:eastAsia="zh-CN"/>
              </w:rPr>
            </w:pPr>
            <w:r>
              <w:rPr>
                <w:rFonts w:hint="default" w:ascii="Times New Roman" w:hAnsi="Times New Roman" w:cs="Times New Roman"/>
                <w:lang w:val="en-US" w:eastAsia="zh-CN"/>
              </w:rPr>
              <w:t>由上表可见，本项目运营期噪声源对厂界声环境影响非常小，厂界四周噪声均能满足《工业企业厂界环境噪声排放标准》（GB12348-2008）</w:t>
            </w:r>
            <w:r>
              <w:rPr>
                <w:rFonts w:hint="eastAsia" w:cs="Times New Roman"/>
                <w:lang w:val="en-US" w:eastAsia="zh-CN"/>
              </w:rPr>
              <w:t>3</w:t>
            </w:r>
            <w:r>
              <w:rPr>
                <w:rFonts w:hint="default" w:ascii="Times New Roman" w:hAnsi="Times New Roman" w:cs="Times New Roman"/>
                <w:lang w:val="en-US" w:eastAsia="zh-CN"/>
              </w:rPr>
              <w:t>类标准。</w:t>
            </w:r>
          </w:p>
          <w:p w14:paraId="15B793CB">
            <w:pPr>
              <w:bidi w:val="0"/>
              <w:rPr>
                <w:rFonts w:hint="default" w:ascii="Times New Roman" w:hAnsi="Times New Roman" w:cs="Times New Roman"/>
                <w:b/>
                <w:bCs/>
                <w:color w:val="auto"/>
                <w:lang w:val="en-US" w:eastAsia="zh-CN"/>
              </w:rPr>
            </w:pPr>
            <w:r>
              <w:rPr>
                <w:rFonts w:hint="eastAsia" w:cs="Times New Roman"/>
                <w:b/>
                <w:bCs/>
                <w:color w:val="auto"/>
                <w:lang w:val="en-US" w:eastAsia="zh-CN"/>
              </w:rPr>
              <w:t>4.</w:t>
            </w:r>
            <w:r>
              <w:rPr>
                <w:rFonts w:hint="default" w:ascii="Times New Roman" w:hAnsi="Times New Roman" w:cs="Times New Roman"/>
                <w:b/>
                <w:bCs/>
                <w:color w:val="auto"/>
                <w:lang w:val="en-US" w:eastAsia="zh-CN"/>
              </w:rPr>
              <w:t>监测计划</w:t>
            </w:r>
          </w:p>
          <w:p w14:paraId="63236078">
            <w:pPr>
              <w:bidi w:val="0"/>
              <w:rPr>
                <w:rFonts w:hint="default"/>
                <w:lang w:val="en-US" w:eastAsia="zh-CN"/>
              </w:rPr>
            </w:pPr>
            <w:r>
              <w:rPr>
                <w:rFonts w:hint="eastAsia"/>
                <w:lang w:val="en-US" w:eastAsia="zh-CN"/>
              </w:rPr>
              <w:t>本项目噪声监测计划见下表。</w:t>
            </w:r>
          </w:p>
          <w:p w14:paraId="3A4BC71E">
            <w:pPr>
              <w:bidi w:val="0"/>
              <w:ind w:left="0" w:leftChars="0" w:firstLine="0" w:firstLineChars="0"/>
              <w:jc w:val="center"/>
              <w:rPr>
                <w:rFonts w:hint="eastAsia" w:cs="Times New Roman"/>
                <w:b/>
                <w:bCs/>
                <w:color w:val="auto"/>
                <w:lang w:val="en-US" w:eastAsia="zh-CN"/>
              </w:rPr>
            </w:pPr>
            <w:r>
              <w:rPr>
                <w:rFonts w:hint="eastAsia" w:cs="Times New Roman"/>
                <w:b/>
                <w:bCs/>
                <w:color w:val="auto"/>
                <w:lang w:val="en-US" w:eastAsia="zh-CN"/>
              </w:rPr>
              <w:t>表4-7厂界噪声监测内容一览表</w:t>
            </w:r>
          </w:p>
          <w:tbl>
            <w:tblPr>
              <w:tblStyle w:val="44"/>
              <w:tblW w:w="48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18"/>
              <w:gridCol w:w="1777"/>
              <w:gridCol w:w="1439"/>
              <w:gridCol w:w="3244"/>
            </w:tblGrid>
            <w:tr w14:paraId="30271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 w:hRule="atLeast"/>
                <w:jc w:val="center"/>
              </w:trPr>
              <w:tc>
                <w:tcPr>
                  <w:tcW w:w="793" w:type="pct"/>
                  <w:noWrap w:val="0"/>
                  <w:vAlign w:val="center"/>
                </w:tcPr>
                <w:p w14:paraId="6DDABA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点位布设</w:t>
                  </w:r>
                </w:p>
              </w:tc>
              <w:tc>
                <w:tcPr>
                  <w:tcW w:w="1157" w:type="pct"/>
                  <w:noWrap w:val="0"/>
                  <w:vAlign w:val="center"/>
                </w:tcPr>
                <w:p w14:paraId="4B6C37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监测项目</w:t>
                  </w:r>
                </w:p>
              </w:tc>
              <w:tc>
                <w:tcPr>
                  <w:tcW w:w="937" w:type="pct"/>
                  <w:noWrap w:val="0"/>
                  <w:vAlign w:val="center"/>
                </w:tcPr>
                <w:p w14:paraId="3BC9C0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监测频次</w:t>
                  </w:r>
                </w:p>
              </w:tc>
              <w:tc>
                <w:tcPr>
                  <w:tcW w:w="2112" w:type="pct"/>
                  <w:noWrap w:val="0"/>
                  <w:vAlign w:val="center"/>
                </w:tcPr>
                <w:p w14:paraId="217FB8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drawing>
                      <wp:anchor distT="0" distB="0" distL="114300" distR="114300" simplePos="0" relativeHeight="251669504" behindDoc="0" locked="0" layoutInCell="1" allowOverlap="1">
                        <wp:simplePos x="0" y="0"/>
                        <wp:positionH relativeFrom="page">
                          <wp:posOffset>6386830</wp:posOffset>
                        </wp:positionH>
                        <wp:positionV relativeFrom="page">
                          <wp:posOffset>5850255</wp:posOffset>
                        </wp:positionV>
                        <wp:extent cx="6350" cy="247650"/>
                        <wp:effectExtent l="0" t="0" r="12700" b="0"/>
                        <wp:wrapNone/>
                        <wp:docPr id="34" name="IM 116"/>
                        <wp:cNvGraphicFramePr/>
                        <a:graphic xmlns:a="http://schemas.openxmlformats.org/drawingml/2006/main">
                          <a:graphicData uri="http://schemas.openxmlformats.org/drawingml/2006/picture">
                            <pic:pic xmlns:pic="http://schemas.openxmlformats.org/drawingml/2006/picture">
                              <pic:nvPicPr>
                                <pic:cNvPr id="34" name="IM 116"/>
                                <pic:cNvPicPr/>
                              </pic:nvPicPr>
                              <pic:blipFill>
                                <a:blip r:embed="rId29"/>
                                <a:stretch>
                                  <a:fillRect/>
                                </a:stretch>
                              </pic:blipFill>
                              <pic:spPr>
                                <a:xfrm>
                                  <a:off x="0" y="0"/>
                                  <a:ext cx="6350" cy="247650"/>
                                </a:xfrm>
                                <a:prstGeom prst="rect">
                                  <a:avLst/>
                                </a:prstGeom>
                                <a:noFill/>
                                <a:ln>
                                  <a:noFill/>
                                </a:ln>
                              </pic:spPr>
                            </pic:pic>
                          </a:graphicData>
                        </a:graphic>
                      </wp:anchor>
                    </w:drawing>
                  </w:r>
                  <w:r>
                    <w:rPr>
                      <w:rFonts w:hint="eastAsia"/>
                      <w:lang w:val="en-US" w:eastAsia="zh-CN"/>
                    </w:rPr>
                    <w:t>执行标准</w:t>
                  </w:r>
                </w:p>
              </w:tc>
            </w:tr>
            <w:tr w14:paraId="4FD8B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4" w:hRule="atLeast"/>
                <w:jc w:val="center"/>
              </w:trPr>
              <w:tc>
                <w:tcPr>
                  <w:tcW w:w="793" w:type="pct"/>
                  <w:noWrap w:val="0"/>
                  <w:vAlign w:val="center"/>
                </w:tcPr>
                <w:p w14:paraId="19E842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厂界四周</w:t>
                  </w:r>
                </w:p>
              </w:tc>
              <w:tc>
                <w:tcPr>
                  <w:tcW w:w="1157" w:type="pct"/>
                  <w:noWrap w:val="0"/>
                  <w:vAlign w:val="center"/>
                </w:tcPr>
                <w:p w14:paraId="25DE1D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Leq（A）</w:t>
                  </w:r>
                </w:p>
              </w:tc>
              <w:tc>
                <w:tcPr>
                  <w:tcW w:w="937" w:type="pct"/>
                  <w:noWrap w:val="0"/>
                  <w:vAlign w:val="center"/>
                </w:tcPr>
                <w:p w14:paraId="151AC6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1次/季度</w:t>
                  </w:r>
                </w:p>
              </w:tc>
              <w:tc>
                <w:tcPr>
                  <w:tcW w:w="2112" w:type="pct"/>
                  <w:noWrap w:val="0"/>
                  <w:vAlign w:val="center"/>
                </w:tcPr>
                <w:p w14:paraId="762C58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lang w:val="en-US" w:eastAsia="zh-CN"/>
                    </w:rPr>
                  </w:pPr>
                  <w:r>
                    <w:rPr>
                      <w:rFonts w:hint="eastAsia"/>
                      <w:lang w:val="en-US" w:eastAsia="zh-CN"/>
                    </w:rPr>
                    <w:t>《工业企业厂界环境噪声排放标准》（GB12348-2008）3类</w:t>
                  </w:r>
                </w:p>
              </w:tc>
            </w:tr>
          </w:tbl>
          <w:p w14:paraId="5C426836">
            <w:pPr>
              <w:bidi w:val="0"/>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四</w:t>
            </w:r>
            <w:r>
              <w:rPr>
                <w:rFonts w:hint="default" w:ascii="Times New Roman" w:hAnsi="Times New Roman" w:cs="Times New Roman"/>
                <w:b/>
                <w:bCs/>
                <w:color w:val="auto"/>
                <w:lang w:val="en-US" w:eastAsia="zh-CN"/>
              </w:rPr>
              <w:t>、地下水及土壤环境</w:t>
            </w:r>
          </w:p>
          <w:p w14:paraId="793B07CD">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项目营运期产生的大气污染物主要为生产过程中产生的粉尘。产生的生产废水沉淀后回用不外排，其主要污染物为悬浮物。生活污水经化粪池收集后，定期拉运至周边城镇污水处理厂进行处理。</w:t>
            </w:r>
          </w:p>
          <w:p w14:paraId="09489CBB">
            <w:p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为有效规避土壤/地下水环境污染的风险，应做好地下水污染预防措施，应按照“源头控制、分区控制、污染监控、应急响应”的主动防渗与被动防渗相结合的防渗原则。</w:t>
            </w:r>
          </w:p>
          <w:p w14:paraId="6E8E2FAC">
            <w:pPr>
              <w:bidi w:val="0"/>
              <w:rPr>
                <w:rFonts w:hint="default" w:ascii="Times New Roman" w:hAnsi="Times New Roman" w:cs="Times New Roman"/>
                <w:color w:val="auto"/>
                <w:highlight w:val="yellow"/>
                <w:lang w:val="en-US" w:eastAsia="zh-CN"/>
              </w:rPr>
            </w:pPr>
            <w:r>
              <w:rPr>
                <w:rFonts w:hint="default" w:ascii="Times New Roman" w:hAnsi="Times New Roman" w:cs="Times New Roman"/>
                <w:color w:val="auto"/>
                <w:highlight w:val="none"/>
                <w:lang w:val="en-US" w:eastAsia="zh-CN"/>
              </w:rPr>
              <w:t>根据生产装置、辅助设施及公用工程可能泄漏的特殊性质将项目区分为一般污染防治区和非污染防治区。为防止场区废水对地下水造成污染，在工程设计中，将分区对场区内防渗漏设施进行建设。项目防渗分区情况见表4-4。</w:t>
            </w:r>
          </w:p>
          <w:p w14:paraId="5EE6E703">
            <w:pPr>
              <w:bidi w:val="0"/>
              <w:ind w:left="0" w:leftChars="0" w:firstLine="0" w:firstLineChars="0"/>
              <w:jc w:val="center"/>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表4-4项目分区防渗要求表</w:t>
            </w:r>
          </w:p>
          <w:tbl>
            <w:tblPr>
              <w:tblStyle w:val="17"/>
              <w:tblW w:w="781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0"/>
              <w:gridCol w:w="1433"/>
              <w:gridCol w:w="4074"/>
            </w:tblGrid>
            <w:tr w14:paraId="0432E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10" w:type="dxa"/>
                  <w:noWrap w:val="0"/>
                  <w:vAlign w:val="center"/>
                </w:tcPr>
                <w:p w14:paraId="424E827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防渗区域</w:t>
                  </w:r>
                </w:p>
              </w:tc>
              <w:tc>
                <w:tcPr>
                  <w:tcW w:w="1433" w:type="dxa"/>
                  <w:noWrap w:val="0"/>
                  <w:vAlign w:val="center"/>
                </w:tcPr>
                <w:p w14:paraId="62B7ECD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防渗等级</w:t>
                  </w:r>
                </w:p>
              </w:tc>
              <w:tc>
                <w:tcPr>
                  <w:tcW w:w="4074" w:type="dxa"/>
                  <w:noWrap w:val="0"/>
                  <w:vAlign w:val="center"/>
                </w:tcPr>
                <w:p w14:paraId="11184F4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防渗技术要求</w:t>
                  </w:r>
                </w:p>
              </w:tc>
            </w:tr>
            <w:tr w14:paraId="4FA54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10" w:type="dxa"/>
                  <w:noWrap w:val="0"/>
                  <w:vAlign w:val="center"/>
                </w:tcPr>
                <w:p w14:paraId="019EFF1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危废库</w:t>
                  </w:r>
                </w:p>
              </w:tc>
              <w:tc>
                <w:tcPr>
                  <w:tcW w:w="1433" w:type="dxa"/>
                  <w:noWrap w:val="0"/>
                  <w:vAlign w:val="center"/>
                </w:tcPr>
                <w:p w14:paraId="1704B0C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color w:val="auto"/>
                      <w:lang w:val="en-US" w:eastAsia="zh-CN"/>
                    </w:rPr>
                  </w:pPr>
                  <w:r>
                    <w:rPr>
                      <w:rFonts w:hint="eastAsia" w:cs="Times New Roman"/>
                      <w:color w:val="auto"/>
                      <w:lang w:val="en-US" w:eastAsia="zh-CN"/>
                    </w:rPr>
                    <w:t>重点防渗区</w:t>
                  </w:r>
                </w:p>
              </w:tc>
              <w:tc>
                <w:tcPr>
                  <w:tcW w:w="4074" w:type="dxa"/>
                  <w:noWrap w:val="0"/>
                  <w:vAlign w:val="center"/>
                </w:tcPr>
                <w:p w14:paraId="013348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防渗措施为防渗层为至少1m厚黏土层（渗透系数≤10</w:t>
                  </w:r>
                  <w:r>
                    <w:rPr>
                      <w:rFonts w:hint="eastAsia" w:cs="Times New Roman"/>
                      <w:color w:val="auto"/>
                      <w:szCs w:val="21"/>
                      <w:highlight w:val="none"/>
                      <w:vertAlign w:val="superscript"/>
                      <w:lang w:val="en-US" w:eastAsia="zh-CN"/>
                    </w:rPr>
                    <w:t>-7</w:t>
                  </w:r>
                  <w:r>
                    <w:rPr>
                      <w:rFonts w:hint="eastAsia" w:cs="Times New Roman"/>
                      <w:color w:val="auto"/>
                      <w:szCs w:val="21"/>
                      <w:highlight w:val="none"/>
                      <w:lang w:val="en-US" w:eastAsia="zh-CN"/>
                    </w:rPr>
                    <w:t>cm/s），或至少2mm厚高密度聚乙烯膜等人工防渗材料（渗透系数≤10</w:t>
                  </w:r>
                  <w:r>
                    <w:rPr>
                      <w:rFonts w:hint="eastAsia" w:cs="Times New Roman"/>
                      <w:color w:val="auto"/>
                      <w:szCs w:val="21"/>
                      <w:highlight w:val="none"/>
                      <w:vertAlign w:val="superscript"/>
                      <w:lang w:val="en-US" w:eastAsia="zh-CN"/>
                    </w:rPr>
                    <w:t>-10</w:t>
                  </w:r>
                  <w:r>
                    <w:rPr>
                      <w:rFonts w:hint="eastAsia" w:cs="Times New Roman"/>
                      <w:color w:val="auto"/>
                      <w:szCs w:val="21"/>
                      <w:highlight w:val="none"/>
                      <w:lang w:val="en-US" w:eastAsia="zh-CN"/>
                    </w:rPr>
                    <w:t>cm/s），或其他防渗性能等效的材料。</w:t>
                  </w:r>
                </w:p>
              </w:tc>
            </w:tr>
            <w:tr w14:paraId="1BC47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10" w:type="dxa"/>
                  <w:noWrap w:val="0"/>
                  <w:vAlign w:val="center"/>
                </w:tcPr>
                <w:p w14:paraId="2BBD7F5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color w:val="auto"/>
                      <w:lang w:val="en-US" w:eastAsia="zh-CN"/>
                    </w:rPr>
                  </w:pPr>
                  <w:r>
                    <w:rPr>
                      <w:rFonts w:hint="default" w:ascii="Times New Roman" w:hAnsi="Times New Roman" w:cs="Times New Roman"/>
                      <w:color w:val="auto"/>
                      <w:szCs w:val="21"/>
                      <w:highlight w:val="none"/>
                      <w:lang w:val="en-US" w:eastAsia="zh-CN"/>
                    </w:rPr>
                    <w:t>原料堆场、商品混凝土搅拌站、沉淀池、初期雨水池、化粪池</w:t>
                  </w:r>
                </w:p>
              </w:tc>
              <w:tc>
                <w:tcPr>
                  <w:tcW w:w="1433" w:type="dxa"/>
                  <w:noWrap w:val="0"/>
                  <w:vAlign w:val="center"/>
                </w:tcPr>
                <w:p w14:paraId="49E58F2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一般防渗区</w:t>
                  </w:r>
                </w:p>
              </w:tc>
              <w:tc>
                <w:tcPr>
                  <w:tcW w:w="4074" w:type="dxa"/>
                  <w:noWrap w:val="0"/>
                  <w:vAlign w:val="center"/>
                </w:tcPr>
                <w:p w14:paraId="353581B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color w:val="auto"/>
                      <w:lang w:val="en-US" w:eastAsia="zh-CN"/>
                    </w:rPr>
                  </w:pPr>
                  <w:r>
                    <w:rPr>
                      <w:rFonts w:hint="default" w:ascii="Times New Roman" w:hAnsi="Times New Roman" w:cs="Times New Roman"/>
                      <w:color w:val="auto"/>
                      <w:szCs w:val="21"/>
                      <w:highlight w:val="none"/>
                      <w:lang w:val="en-US" w:eastAsia="zh-CN"/>
                    </w:rPr>
                    <w:t>防渗技术要求等效</w:t>
                  </w:r>
                  <w:r>
                    <w:rPr>
                      <w:rFonts w:hint="eastAsia" w:cs="Times New Roman"/>
                      <w:color w:val="auto"/>
                      <w:szCs w:val="21"/>
                      <w:highlight w:val="none"/>
                      <w:lang w:val="en-US" w:eastAsia="zh-CN"/>
                    </w:rPr>
                    <w:t>粘土</w:t>
                  </w:r>
                  <w:r>
                    <w:rPr>
                      <w:rFonts w:hint="default" w:ascii="Times New Roman" w:hAnsi="Times New Roman" w:cs="Times New Roman"/>
                      <w:color w:val="auto"/>
                      <w:szCs w:val="21"/>
                      <w:highlight w:val="none"/>
                      <w:lang w:val="en-US" w:eastAsia="zh-CN"/>
                    </w:rPr>
                    <w:t>防渗层Mb</w:t>
                  </w:r>
                  <w:r>
                    <w:rPr>
                      <w:rFonts w:hint="eastAsia" w:cs="Times New Roman"/>
                      <w:color w:val="auto"/>
                      <w:szCs w:val="21"/>
                      <w:highlight w:val="none"/>
                      <w:lang w:val="en-US" w:eastAsia="zh-CN"/>
                    </w:rPr>
                    <w:t>≥</w:t>
                  </w:r>
                  <w:r>
                    <w:rPr>
                      <w:rFonts w:hint="default" w:ascii="Times New Roman" w:hAnsi="Times New Roman" w:cs="Times New Roman"/>
                      <w:color w:val="auto"/>
                      <w:szCs w:val="21"/>
                      <w:highlight w:val="none"/>
                      <w:lang w:val="en-US" w:eastAsia="zh-CN"/>
                    </w:rPr>
                    <w:t>1.5m，K</w:t>
                  </w:r>
                  <w:r>
                    <w:rPr>
                      <w:rFonts w:hint="eastAsia" w:cs="Times New Roman"/>
                      <w:color w:val="auto"/>
                      <w:szCs w:val="21"/>
                      <w:highlight w:val="none"/>
                      <w:lang w:val="en-US" w:eastAsia="zh-CN"/>
                    </w:rPr>
                    <w:t>≤</w:t>
                  </w:r>
                  <w:r>
                    <w:rPr>
                      <w:rFonts w:hint="default" w:ascii="Times New Roman" w:hAnsi="Times New Roman" w:cs="Times New Roman"/>
                      <w:color w:val="auto"/>
                      <w:szCs w:val="21"/>
                      <w:highlight w:val="none"/>
                      <w:lang w:val="en-US" w:eastAsia="zh-CN"/>
                    </w:rPr>
                    <w:t>1×10</w:t>
                  </w:r>
                  <w:r>
                    <w:rPr>
                      <w:rFonts w:hint="default" w:ascii="Times New Roman" w:hAnsi="Times New Roman" w:cs="Times New Roman"/>
                      <w:color w:val="auto"/>
                      <w:szCs w:val="21"/>
                      <w:highlight w:val="none"/>
                      <w:vertAlign w:val="superscript"/>
                      <w:lang w:val="en-US" w:eastAsia="zh-CN"/>
                    </w:rPr>
                    <w:t>-7</w:t>
                  </w:r>
                  <w:r>
                    <w:rPr>
                      <w:rFonts w:hint="default" w:ascii="Times New Roman" w:hAnsi="Times New Roman" w:cs="Times New Roman"/>
                      <w:color w:val="auto"/>
                      <w:szCs w:val="21"/>
                      <w:highlight w:val="none"/>
                      <w:lang w:val="en-US" w:eastAsia="zh-CN"/>
                    </w:rPr>
                    <w:t>cm/s。</w:t>
                  </w:r>
                </w:p>
              </w:tc>
            </w:tr>
            <w:tr w14:paraId="3B52E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2310" w:type="dxa"/>
                  <w:noWrap w:val="0"/>
                  <w:vAlign w:val="center"/>
                </w:tcPr>
                <w:p w14:paraId="0DAE05D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color w:val="auto"/>
                      <w:lang w:val="en-US" w:eastAsia="zh-CN"/>
                    </w:rPr>
                  </w:pPr>
                  <w:r>
                    <w:rPr>
                      <w:rFonts w:hint="default" w:ascii="Times New Roman" w:hAnsi="Times New Roman" w:cs="Times New Roman"/>
                      <w:color w:val="auto"/>
                      <w:szCs w:val="21"/>
                      <w:highlight w:val="none"/>
                      <w:lang w:val="en-US" w:eastAsia="zh-CN"/>
                    </w:rPr>
                    <w:t>办公区、厂区内路面</w:t>
                  </w:r>
                </w:p>
              </w:tc>
              <w:tc>
                <w:tcPr>
                  <w:tcW w:w="1433" w:type="dxa"/>
                  <w:noWrap w:val="0"/>
                  <w:vAlign w:val="center"/>
                </w:tcPr>
                <w:p w14:paraId="49D0B92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简单防渗区</w:t>
                  </w:r>
                </w:p>
              </w:tc>
              <w:tc>
                <w:tcPr>
                  <w:tcW w:w="4074" w:type="dxa"/>
                  <w:noWrap w:val="0"/>
                  <w:vAlign w:val="center"/>
                </w:tcPr>
                <w:p w14:paraId="622671D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采取地面硬化。</w:t>
                  </w:r>
                </w:p>
              </w:tc>
            </w:tr>
          </w:tbl>
          <w:p w14:paraId="31CF367A">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综上所述，在采取必要的地下水污染防治措施后，该项目的运营对地下水和土壤环境的影响是可以接受的。</w:t>
            </w:r>
          </w:p>
          <w:p w14:paraId="0565ED69">
            <w:pPr>
              <w:bidi w:val="0"/>
              <w:rPr>
                <w:rFonts w:hint="default" w:ascii="Times New Roman" w:hAnsi="Times New Roman" w:cs="Times New Roman"/>
                <w:b/>
                <w:bCs/>
                <w:color w:val="auto"/>
                <w:lang w:val="en-US" w:eastAsia="zh-CN"/>
              </w:rPr>
            </w:pPr>
            <w:r>
              <w:rPr>
                <w:rFonts w:hint="eastAsia" w:cs="Times New Roman"/>
                <w:b/>
                <w:bCs/>
                <w:color w:val="auto"/>
                <w:lang w:val="en-US" w:eastAsia="zh-CN"/>
              </w:rPr>
              <w:t>五</w:t>
            </w:r>
            <w:r>
              <w:rPr>
                <w:rFonts w:hint="default" w:ascii="Times New Roman" w:hAnsi="Times New Roman" w:cs="Times New Roman"/>
                <w:b/>
                <w:bCs/>
                <w:color w:val="auto"/>
                <w:lang w:val="en-US" w:eastAsia="zh-CN"/>
              </w:rPr>
              <w:t>、运营期固体废物对环境影响分析</w:t>
            </w:r>
          </w:p>
          <w:p w14:paraId="699B2E95">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本项目固体废物主要为职工生活垃圾、除尘器除尘灰、沉淀池底泥</w:t>
            </w:r>
            <w:r>
              <w:rPr>
                <w:rFonts w:hint="eastAsia" w:cs="Times New Roman"/>
                <w:color w:val="auto"/>
                <w:lang w:val="en-US" w:eastAsia="zh-CN"/>
              </w:rPr>
              <w:t>及设备维护保养过程中产生废矿物油及废油桶。</w:t>
            </w:r>
          </w:p>
          <w:p w14:paraId="623C173D">
            <w:pPr>
              <w:bidi w:val="0"/>
              <w:rPr>
                <w:rFonts w:hint="default" w:ascii="Times New Roman" w:hAnsi="Times New Roman" w:cs="Times New Roman"/>
                <w:color w:val="auto"/>
                <w:lang w:val="en-US" w:eastAsia="zh-CN"/>
              </w:rPr>
            </w:pPr>
            <w:r>
              <w:rPr>
                <w:rFonts w:hint="eastAsia" w:cs="Times New Roman"/>
                <w:color w:val="auto"/>
                <w:lang w:val="en-US" w:eastAsia="zh-CN"/>
              </w:rPr>
              <w:t>1.</w:t>
            </w:r>
            <w:r>
              <w:rPr>
                <w:rFonts w:hint="default" w:ascii="Times New Roman" w:hAnsi="Times New Roman" w:cs="Times New Roman"/>
                <w:color w:val="auto"/>
                <w:lang w:val="en-US" w:eastAsia="zh-CN"/>
              </w:rPr>
              <w:t>生活垃圾</w:t>
            </w:r>
          </w:p>
          <w:p w14:paraId="14BA72B6">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生活垃圾以0.5kg/d·人计，项目劳动定员</w:t>
            </w:r>
            <w:r>
              <w:rPr>
                <w:rFonts w:hint="eastAsia" w:cs="Times New Roman"/>
                <w:color w:val="auto"/>
                <w:lang w:val="en-US" w:eastAsia="zh-CN"/>
              </w:rPr>
              <w:t>13</w:t>
            </w:r>
            <w:r>
              <w:rPr>
                <w:rFonts w:hint="default" w:ascii="Times New Roman" w:hAnsi="Times New Roman" w:cs="Times New Roman"/>
                <w:color w:val="auto"/>
                <w:lang w:val="en-US" w:eastAsia="zh-CN"/>
              </w:rPr>
              <w:t>人，年运营</w:t>
            </w:r>
            <w:r>
              <w:rPr>
                <w:rFonts w:hint="eastAsia" w:cs="Times New Roman"/>
                <w:color w:val="auto"/>
                <w:lang w:val="en-US" w:eastAsia="zh-CN"/>
              </w:rPr>
              <w:t>201</w:t>
            </w:r>
            <w:r>
              <w:rPr>
                <w:rFonts w:hint="default" w:ascii="Times New Roman" w:hAnsi="Times New Roman" w:cs="Times New Roman"/>
                <w:color w:val="auto"/>
                <w:lang w:val="en-US" w:eastAsia="zh-CN"/>
              </w:rPr>
              <w:t>d，则生活垃圾产生量为</w:t>
            </w:r>
            <w:r>
              <w:rPr>
                <w:rFonts w:hint="eastAsia" w:cs="Times New Roman"/>
                <w:color w:val="auto"/>
                <w:lang w:val="en-US" w:eastAsia="zh-CN"/>
              </w:rPr>
              <w:t>1.3</w:t>
            </w:r>
            <w:r>
              <w:rPr>
                <w:rFonts w:hint="default" w:ascii="Times New Roman" w:hAnsi="Times New Roman" w:cs="Times New Roman"/>
                <w:color w:val="auto"/>
                <w:lang w:val="en-US" w:eastAsia="zh-CN"/>
              </w:rPr>
              <w:t>t/a，统一收集后交由环卫部门处理。</w:t>
            </w:r>
          </w:p>
          <w:p w14:paraId="5CAF32FD">
            <w:pPr>
              <w:bidi w:val="0"/>
              <w:rPr>
                <w:rFonts w:hint="default" w:ascii="Times New Roman" w:hAnsi="Times New Roman" w:cs="Times New Roman"/>
                <w:b/>
                <w:bCs/>
                <w:color w:val="auto"/>
                <w:lang w:val="en-US" w:eastAsia="zh-CN"/>
              </w:rPr>
            </w:pPr>
            <w:r>
              <w:rPr>
                <w:rFonts w:hint="eastAsia" w:cs="Times New Roman"/>
                <w:b/>
                <w:bCs/>
                <w:color w:val="auto"/>
                <w:lang w:val="en-US" w:eastAsia="zh-CN"/>
              </w:rPr>
              <w:t>A一般固废</w:t>
            </w:r>
          </w:p>
          <w:p w14:paraId="20709159">
            <w:pPr>
              <w:bidi w:val="0"/>
              <w:rPr>
                <w:rFonts w:hint="default" w:ascii="Times New Roman" w:hAnsi="Times New Roman" w:cs="Times New Roman"/>
                <w:color w:val="auto"/>
                <w:lang w:val="en-US" w:eastAsia="zh-CN"/>
              </w:rPr>
            </w:pPr>
            <w:r>
              <w:rPr>
                <w:rFonts w:hint="eastAsia" w:cs="Times New Roman"/>
                <w:color w:val="auto"/>
                <w:lang w:val="en-US" w:eastAsia="zh-CN"/>
              </w:rPr>
              <w:t>1.</w:t>
            </w:r>
            <w:r>
              <w:rPr>
                <w:rFonts w:hint="default" w:ascii="Times New Roman" w:hAnsi="Times New Roman" w:cs="Times New Roman"/>
                <w:color w:val="auto"/>
                <w:lang w:val="en-US" w:eastAsia="zh-CN"/>
              </w:rPr>
              <w:t>除尘灰</w:t>
            </w:r>
          </w:p>
          <w:p w14:paraId="3D1881D6">
            <w:pPr>
              <w:bidi w:val="0"/>
              <w:rPr>
                <w:rFonts w:hint="default" w:ascii="Times New Roman" w:hAnsi="Times New Roman" w:cs="Times New Roman"/>
                <w:color w:val="auto"/>
                <w:lang w:val="en-US" w:eastAsia="zh-CN"/>
              </w:rPr>
            </w:pPr>
            <w:r>
              <w:rPr>
                <w:rFonts w:hint="default" w:ascii="Times New Roman" w:hAnsi="Times New Roman" w:eastAsia="宋体" w:cs="Times New Roman"/>
                <w:color w:val="auto"/>
                <w:lang w:val="en-US" w:eastAsia="zh-CN"/>
              </w:rPr>
              <w:t>本项目除尘器工作时拦截的粉尘直接回落至筒仓内，除尘器布袋内收集有除尘灰</w:t>
            </w:r>
            <w:r>
              <w:rPr>
                <w:rFonts w:hint="eastAsia" w:ascii="Times New Roman" w:hAnsi="Times New Roman" w:eastAsia="宋体" w:cs="Times New Roman"/>
                <w:color w:val="auto"/>
                <w:lang w:val="en-US" w:eastAsia="zh-CN"/>
              </w:rPr>
              <w:t>85.06</w:t>
            </w:r>
            <w:r>
              <w:rPr>
                <w:rFonts w:hint="default" w:ascii="Times New Roman" w:hAnsi="Times New Roman" w:eastAsia="宋体" w:cs="Times New Roman"/>
                <w:color w:val="auto"/>
                <w:lang w:val="en-US" w:eastAsia="zh-CN"/>
              </w:rPr>
              <w:t>t/a；除尘灰主要为生产</w:t>
            </w:r>
            <w:r>
              <w:rPr>
                <w:rFonts w:hint="default" w:ascii="Times New Roman" w:hAnsi="Times New Roman" w:cs="Times New Roman"/>
                <w:color w:val="auto"/>
                <w:lang w:val="en-US" w:eastAsia="zh-CN"/>
              </w:rPr>
              <w:t>原料，全部回用于生产，不外排。</w:t>
            </w:r>
          </w:p>
          <w:p w14:paraId="2312E0A2">
            <w:pPr>
              <w:bidi w:val="0"/>
              <w:rPr>
                <w:rFonts w:hint="default" w:ascii="Times New Roman" w:hAnsi="Times New Roman" w:cs="Times New Roman"/>
                <w:color w:val="auto"/>
                <w:lang w:val="en-US" w:eastAsia="zh-CN"/>
              </w:rPr>
            </w:pPr>
            <w:r>
              <w:rPr>
                <w:rFonts w:hint="eastAsia" w:cs="Times New Roman"/>
                <w:color w:val="auto"/>
                <w:lang w:val="en-US" w:eastAsia="zh-CN"/>
              </w:rPr>
              <w:t>2.</w:t>
            </w:r>
            <w:r>
              <w:rPr>
                <w:rFonts w:hint="default" w:ascii="Times New Roman" w:hAnsi="Times New Roman" w:cs="Times New Roman"/>
                <w:color w:val="auto"/>
                <w:lang w:val="en-US" w:eastAsia="zh-CN"/>
              </w:rPr>
              <w:t>沉淀池底泥</w:t>
            </w:r>
          </w:p>
          <w:p w14:paraId="109E506E">
            <w:pPr>
              <w:bidi w:val="0"/>
              <w:rPr>
                <w:rFonts w:hint="default" w:ascii="Times New Roman" w:hAnsi="Times New Roman" w:cs="Times New Roman"/>
                <w:color w:val="auto"/>
                <w:highlight w:val="yellow"/>
                <w:lang w:val="en-US" w:eastAsia="zh-CN"/>
              </w:rPr>
            </w:pPr>
            <w:r>
              <w:rPr>
                <w:rFonts w:hint="default" w:ascii="Times New Roman" w:hAnsi="Times New Roman" w:cs="Times New Roman"/>
                <w:color w:val="auto"/>
                <w:lang w:val="en-US" w:eastAsia="zh-CN"/>
              </w:rPr>
              <w:t>沉淀池收集的搅拌机冲洗废水、洗车废水和初期雨水中含有大量的泥沙及混凝土，经沉淀后此类泥沙及混凝土产生量为0.5t/a，可作为生产原料返回</w:t>
            </w:r>
            <w:r>
              <w:rPr>
                <w:rFonts w:hint="default" w:ascii="Times New Roman" w:hAnsi="Times New Roman" w:cs="Times New Roman"/>
                <w:color w:val="auto"/>
                <w:highlight w:val="none"/>
                <w:lang w:val="en-US" w:eastAsia="zh-CN"/>
              </w:rPr>
              <w:t>生产系统回用，不外排。</w:t>
            </w:r>
          </w:p>
          <w:p w14:paraId="7213539B">
            <w:pPr>
              <w:bidi w:val="0"/>
              <w:rPr>
                <w:rFonts w:hint="default" w:ascii="Times New Roman" w:hAnsi="Times New Roman" w:cs="Times New Roman"/>
                <w:b/>
                <w:bCs/>
                <w:lang w:val="en-US" w:eastAsia="zh-CN"/>
              </w:rPr>
            </w:pPr>
            <w:r>
              <w:rPr>
                <w:rFonts w:hint="eastAsia" w:cs="Times New Roman"/>
                <w:b/>
                <w:bCs/>
                <w:lang w:val="en-US" w:eastAsia="zh-CN"/>
              </w:rPr>
              <w:t>B危险废物</w:t>
            </w:r>
          </w:p>
          <w:p w14:paraId="177A98BE">
            <w:pPr>
              <w:bidi w:val="0"/>
              <w:rPr>
                <w:rFonts w:hint="eastAsia"/>
                <w:lang w:val="en-US" w:eastAsia="zh-CN"/>
              </w:rPr>
            </w:pPr>
            <w:r>
              <w:rPr>
                <w:rFonts w:hint="eastAsia"/>
                <w:lang w:val="en-US" w:eastAsia="zh-CN"/>
              </w:rPr>
              <w:t>1.废矿物油</w:t>
            </w:r>
          </w:p>
          <w:p w14:paraId="64CD9504">
            <w:pPr>
              <w:bidi w:val="0"/>
            </w:pPr>
            <w:r>
              <w:t>本项目对生产设备进行日常维护时会产生</w:t>
            </w:r>
            <w:r>
              <w:rPr>
                <w:rFonts w:hint="eastAsia"/>
                <w:lang w:eastAsia="zh-CN"/>
              </w:rPr>
              <w:t>废矿物油</w:t>
            </w:r>
            <w:r>
              <w:t>，产生量约为0.</w:t>
            </w:r>
            <w:r>
              <w:rPr>
                <w:rFonts w:hint="eastAsia"/>
                <w:lang w:val="en-US" w:eastAsia="zh-CN"/>
              </w:rPr>
              <w:t>1</w:t>
            </w:r>
            <w:r>
              <w:t>t/a，属于《国家危险废物名录（2025版）》中“HW08</w:t>
            </w:r>
            <w:r>
              <w:rPr>
                <w:rFonts w:hint="eastAsia"/>
                <w:lang w:eastAsia="zh-CN"/>
              </w:rPr>
              <w:t>（</w:t>
            </w:r>
            <w:r>
              <w:t>900-217-08</w:t>
            </w:r>
            <w:r>
              <w:rPr>
                <w:rFonts w:hint="eastAsia"/>
                <w:lang w:eastAsia="zh-CN"/>
              </w:rPr>
              <w:t>）</w:t>
            </w:r>
            <w:r>
              <w:t>，使用工业齿轮油进行机械设备润滑过程中产生的</w:t>
            </w:r>
            <w:r>
              <w:rPr>
                <w:rFonts w:hint="eastAsia"/>
                <w:lang w:eastAsia="zh-CN"/>
              </w:rPr>
              <w:t>废矿物油</w:t>
            </w:r>
            <w:r>
              <w:t>”，经收集后交有资质的单位处置。</w:t>
            </w:r>
          </w:p>
          <w:p w14:paraId="2E4D919B">
            <w:pPr>
              <w:bidi w:val="0"/>
              <w:rPr>
                <w:rFonts w:hint="default" w:ascii="Times New Roman" w:hAnsi="Times New Roman" w:cs="Times New Roman"/>
                <w:b w:val="0"/>
                <w:bCs w:val="0"/>
                <w:lang w:val="en-US" w:eastAsia="zh-CN"/>
              </w:rPr>
            </w:pPr>
            <w:r>
              <w:rPr>
                <w:rFonts w:hint="eastAsia" w:cs="Times New Roman"/>
                <w:b w:val="0"/>
                <w:bCs w:val="0"/>
                <w:lang w:val="en-US" w:eastAsia="zh-CN"/>
              </w:rPr>
              <w:t>2.废油桶</w:t>
            </w:r>
          </w:p>
          <w:p w14:paraId="2E32DC64">
            <w:pPr>
              <w:bidi w:val="0"/>
            </w:pPr>
            <w:r>
              <w:t>本项目废</w:t>
            </w:r>
            <w:r>
              <w:rPr>
                <w:color w:val="FF0000"/>
              </w:rPr>
              <w:t>油桶产生量约为0.</w:t>
            </w:r>
            <w:r>
              <w:rPr>
                <w:rFonts w:hint="eastAsia"/>
                <w:color w:val="FF0000"/>
                <w:lang w:val="en-US" w:eastAsia="zh-CN"/>
              </w:rPr>
              <w:t>1</w:t>
            </w:r>
            <w:r>
              <w:rPr>
                <w:color w:val="FF0000"/>
              </w:rPr>
              <w:t>t/a；废油桶属于《国家危险废物名录（2025版）》中“</w:t>
            </w:r>
            <w:r>
              <w:rPr>
                <w:rFonts w:hint="eastAsia"/>
                <w:color w:val="FF0000"/>
                <w:lang w:val="en-US" w:eastAsia="zh-CN"/>
              </w:rPr>
              <w:t>HW49其他废物900-041-49</w:t>
            </w:r>
            <w:r>
              <w:t>，其他生产、销售、使用过程中产生的废矿物油及沾染矿物油的废弃包装物”，经收集后交有资质的单位处置。</w:t>
            </w:r>
          </w:p>
          <w:p w14:paraId="0B7F7049">
            <w:pPr>
              <w:bidi w:val="0"/>
              <w:rPr>
                <w:rFonts w:hint="default"/>
                <w:lang w:val="en-US" w:eastAsia="zh-CN"/>
              </w:rPr>
            </w:pPr>
            <w:r>
              <w:rPr>
                <w:rFonts w:hint="default"/>
                <w:lang w:val="en-US" w:eastAsia="zh-CN"/>
              </w:rPr>
              <w:t>为防止固体废物暂存、转运等过程发生二次污染，环评要求：</w:t>
            </w:r>
          </w:p>
          <w:p w14:paraId="5CAAD7DA">
            <w:pPr>
              <w:bidi w:val="0"/>
              <w:rPr>
                <w:rFonts w:hint="default"/>
                <w:lang w:val="en-US" w:eastAsia="zh-CN"/>
              </w:rPr>
            </w:pPr>
            <w:r>
              <w:rPr>
                <w:rFonts w:hint="default"/>
                <w:lang w:val="en-US" w:eastAsia="zh-CN"/>
              </w:rPr>
              <w:t>（1）一般工业固体废物贮存、利用、处置要求</w:t>
            </w:r>
          </w:p>
          <w:p w14:paraId="6D554221">
            <w:pPr>
              <w:bidi w:val="0"/>
              <w:rPr>
                <w:rFonts w:hint="default"/>
                <w:lang w:val="en-US" w:eastAsia="zh-CN"/>
              </w:rPr>
            </w:pPr>
            <w:r>
              <w:rPr>
                <w:rFonts w:hint="default"/>
                <w:lang w:val="en-US" w:eastAsia="zh-CN"/>
              </w:rPr>
              <w:t>一般工业固体废物的贮存应满足《一般工业固体废物贮存和填埋污染控制标准》（GB18599-2020）的相关要求。</w:t>
            </w:r>
          </w:p>
          <w:p w14:paraId="1C308429">
            <w:pPr>
              <w:bidi w:val="0"/>
              <w:rPr>
                <w:rFonts w:hint="default"/>
                <w:lang w:val="en-US" w:eastAsia="zh-CN"/>
              </w:rPr>
            </w:pPr>
            <w:r>
              <w:rPr>
                <w:rFonts w:hint="default"/>
                <w:lang w:val="en-US" w:eastAsia="zh-CN"/>
              </w:rPr>
              <w:t>同时，根据《排污许可证申请与核发技术规范工业固体废物》（HJ1200-2021），评价针对一般工业固废贮存/利用/处置环节提出以下要求：</w:t>
            </w:r>
          </w:p>
          <w:p w14:paraId="62CE9FAD">
            <w:pPr>
              <w:bidi w:val="0"/>
              <w:rPr>
                <w:rFonts w:hint="default"/>
                <w:lang w:val="en-US" w:eastAsia="zh-CN"/>
              </w:rPr>
            </w:pPr>
            <w:r>
              <w:rPr>
                <w:rFonts w:hint="default"/>
                <w:lang w:val="en-US" w:eastAsia="zh-CN"/>
              </w:rPr>
              <w:t>①委托贮存/利用/处置环节污染防控技术要求</w:t>
            </w:r>
          </w:p>
          <w:p w14:paraId="1C2FE398">
            <w:pPr>
              <w:bidi w:val="0"/>
              <w:rPr>
                <w:rFonts w:hint="default"/>
                <w:lang w:val="en-US" w:eastAsia="zh-CN"/>
              </w:rPr>
            </w:pPr>
            <w:r>
              <w:rPr>
                <w:rFonts w:hint="default"/>
                <w:lang w:val="en-US" w:eastAsia="zh-CN"/>
              </w:rPr>
              <w:t>排污单位委托他人运输、利用、处置一般工业固体废物的，应落实《中华人民共和国固体废物污染环境防治法》等法律法规要求，对受托方的主体资格和技术能力进行核实，依法签订书面合同，在合同中约定污染防治要求等。</w:t>
            </w:r>
          </w:p>
          <w:p w14:paraId="0CAEDAB3">
            <w:pPr>
              <w:bidi w:val="0"/>
              <w:rPr>
                <w:rFonts w:hint="default"/>
                <w:lang w:val="en-US" w:eastAsia="zh-CN"/>
              </w:rPr>
            </w:pPr>
            <w:r>
              <w:rPr>
                <w:rFonts w:hint="default"/>
                <w:lang w:val="en-US" w:eastAsia="zh-CN"/>
              </w:rPr>
              <w:t>一般工业固体废物处置按照《一般工业固体废物贮存和填埋污染控制标准》（GB18599-2020）中规定“采用库房、包装工具（罐、桶、包装袋等）贮存一般工业固体废物过程的污染控制，其贮存过程应满足相应防渗漏、防雨淋、防扬尘等环境保护要求”。</w:t>
            </w:r>
          </w:p>
          <w:p w14:paraId="43DF1A2A">
            <w:pPr>
              <w:bidi w:val="0"/>
              <w:rPr>
                <w:rFonts w:hint="default"/>
              </w:rPr>
            </w:pPr>
            <w:r>
              <w:rPr>
                <w:rFonts w:hint="default"/>
                <w:lang w:val="en-US" w:eastAsia="zh-CN"/>
              </w:rPr>
              <w:t>贮存场所：设置一般固废暂存区，贮存场所按相关规定做好防渗漏、防风、防晒、防雨淋的措施。按规定设置立式或平面固定式标志牌。</w:t>
            </w:r>
          </w:p>
          <w:p w14:paraId="271175C1">
            <w:pPr>
              <w:bidi w:val="0"/>
              <w:rPr>
                <w:rFonts w:hint="default"/>
              </w:rPr>
            </w:pPr>
            <w:r>
              <w:rPr>
                <w:rFonts w:hint="default"/>
                <w:lang w:val="en-US" w:eastAsia="zh-CN"/>
              </w:rPr>
              <w:t>分类收集、分类贮存：各类固废分类存放在一般固废暂存处。禁止向生活垃圾收集设施中投放工业固体废物。</w:t>
            </w:r>
          </w:p>
          <w:p w14:paraId="39C8234B">
            <w:pPr>
              <w:bidi w:val="0"/>
              <w:rPr>
                <w:rFonts w:hint="default"/>
              </w:rPr>
            </w:pPr>
            <w:r>
              <w:rPr>
                <w:rFonts w:hint="default"/>
                <w:lang w:val="en-US" w:eastAsia="zh-CN"/>
              </w:rPr>
              <w:t>制度台账：建立一般工业固体废物管理台账，如实记录产生工业固体废物的种类、数量、流向、贮存、利用、处置等信息。</w:t>
            </w:r>
          </w:p>
          <w:p w14:paraId="77C8BC92">
            <w:pPr>
              <w:bidi w:val="0"/>
              <w:rPr>
                <w:rFonts w:hint="default"/>
                <w:lang w:val="en-US" w:eastAsia="zh-CN"/>
              </w:rPr>
            </w:pPr>
            <w:r>
              <w:rPr>
                <w:rFonts w:hint="default"/>
                <w:lang w:val="en-US" w:eastAsia="zh-CN"/>
              </w:rPr>
              <w:t>（2）危险废物收集、包装、储存、处置要求</w:t>
            </w:r>
          </w:p>
          <w:p w14:paraId="568AD172">
            <w:pPr>
              <w:bidi w:val="0"/>
              <w:rPr>
                <w:rFonts w:hint="default"/>
                <w:lang w:val="en-US" w:eastAsia="zh-CN"/>
              </w:rPr>
            </w:pPr>
            <w:r>
              <w:rPr>
                <w:rFonts w:hint="default"/>
                <w:lang w:val="en-US" w:eastAsia="zh-CN"/>
              </w:rPr>
              <w:t>①危险废物包装要求</w:t>
            </w:r>
          </w:p>
          <w:p w14:paraId="3D146302">
            <w:pPr>
              <w:bidi w:val="0"/>
              <w:rPr>
                <w:rFonts w:hint="default"/>
                <w:lang w:val="en-US" w:eastAsia="zh-CN"/>
              </w:rPr>
            </w:pPr>
            <w:r>
              <w:rPr>
                <w:rFonts w:hint="default"/>
                <w:lang w:val="en-US" w:eastAsia="zh-CN"/>
              </w:rPr>
              <w:t>危险废物收集时应根据危险废物的种类、数量、危险特性、物理形态、运输要求等因素确定包装形式，具体包装应符合如下要求：</w:t>
            </w:r>
          </w:p>
          <w:p w14:paraId="2E7F0A3F">
            <w:pPr>
              <w:bidi w:val="0"/>
              <w:rPr>
                <w:rFonts w:hint="default"/>
                <w:lang w:val="en-US" w:eastAsia="zh-CN"/>
              </w:rPr>
            </w:pPr>
            <w:r>
              <w:rPr>
                <w:rFonts w:hint="default"/>
                <w:lang w:val="en-US" w:eastAsia="zh-CN"/>
              </w:rPr>
              <w:t>A、包装材质要与危险废物相容，可根据废物特性选择钢、铝、塑料等材质。</w:t>
            </w:r>
          </w:p>
          <w:p w14:paraId="06F098CB">
            <w:pPr>
              <w:bidi w:val="0"/>
              <w:rPr>
                <w:rFonts w:hint="default"/>
                <w:lang w:val="en-US" w:eastAsia="zh-CN"/>
              </w:rPr>
            </w:pPr>
            <w:r>
              <w:rPr>
                <w:rFonts w:hint="default"/>
                <w:lang w:val="en-US" w:eastAsia="zh-CN"/>
              </w:rPr>
              <w:t>B、性质类似的废物可收集到同一容器中，性质不相容的危险废物不应混合包装。</w:t>
            </w:r>
          </w:p>
          <w:p w14:paraId="17428D48">
            <w:pPr>
              <w:bidi w:val="0"/>
              <w:rPr>
                <w:rFonts w:hint="default"/>
                <w:lang w:val="en-US" w:eastAsia="zh-CN"/>
              </w:rPr>
            </w:pPr>
            <w:r>
              <w:rPr>
                <w:rFonts w:hint="default"/>
                <w:lang w:val="en-US" w:eastAsia="zh-CN"/>
              </w:rPr>
              <w:t>C、危险废物包装应能有效隔断危险废物迁移扩散途径，并达到防渗、防漏要求。</w:t>
            </w:r>
          </w:p>
          <w:p w14:paraId="1A8EE233">
            <w:pPr>
              <w:bidi w:val="0"/>
              <w:rPr>
                <w:rFonts w:hint="default"/>
                <w:lang w:val="en-US" w:eastAsia="zh-CN"/>
              </w:rPr>
            </w:pPr>
            <w:r>
              <w:rPr>
                <w:rFonts w:hint="default"/>
                <w:lang w:val="en-US" w:eastAsia="zh-CN"/>
              </w:rPr>
              <w:t>D、包装好的危险废物应设置相应的标签，标签信息应填写完整</w:t>
            </w:r>
            <w:r>
              <w:rPr>
                <w:rFonts w:hint="eastAsia"/>
                <w:lang w:val="en-US" w:eastAsia="zh-CN"/>
              </w:rPr>
              <w:t>翔实</w:t>
            </w:r>
            <w:r>
              <w:rPr>
                <w:rFonts w:hint="default"/>
                <w:lang w:val="en-US" w:eastAsia="zh-CN"/>
              </w:rPr>
              <w:t>。</w:t>
            </w:r>
          </w:p>
          <w:p w14:paraId="29F60299">
            <w:pPr>
              <w:bidi w:val="0"/>
              <w:rPr>
                <w:rFonts w:hint="default"/>
                <w:lang w:val="en-US" w:eastAsia="zh-CN"/>
              </w:rPr>
            </w:pPr>
            <w:r>
              <w:rPr>
                <w:rFonts w:hint="default"/>
                <w:lang w:val="en-US" w:eastAsia="zh-CN"/>
              </w:rPr>
              <w:t>E、盛装过危险废物的包装袋或包装容器破损后应按危险废物进行管理和处置。</w:t>
            </w:r>
          </w:p>
          <w:p w14:paraId="5145223A">
            <w:pPr>
              <w:bidi w:val="0"/>
              <w:rPr>
                <w:rFonts w:hint="default"/>
                <w:lang w:val="en-US" w:eastAsia="zh-CN"/>
              </w:rPr>
            </w:pPr>
            <w:r>
              <w:rPr>
                <w:rFonts w:hint="default"/>
                <w:lang w:val="en-US" w:eastAsia="zh-CN"/>
              </w:rPr>
              <w:t>F、危险废物还应根据GB12463的有关要求进行运输包装。</w:t>
            </w:r>
          </w:p>
          <w:p w14:paraId="040D29C5">
            <w:pPr>
              <w:bidi w:val="0"/>
              <w:rPr>
                <w:rFonts w:hint="default"/>
                <w:lang w:val="en-US" w:eastAsia="zh-CN"/>
              </w:rPr>
            </w:pPr>
            <w:r>
              <w:rPr>
                <w:rFonts w:hint="default"/>
                <w:lang w:val="en-US" w:eastAsia="zh-CN"/>
              </w:rPr>
              <w:t>根据本项目危废产生情况及特点，环评要求废油等的收集应使用符合国家标准的专用容器，容器壁应贴有标签，详细标明危险废物的名称、成分、特性、重量及发生泄漏、扩散污染事故时的应急措施和补救方法。</w:t>
            </w:r>
          </w:p>
          <w:p w14:paraId="48B1F82E">
            <w:pPr>
              <w:bidi w:val="0"/>
              <w:rPr>
                <w:rFonts w:hint="default"/>
                <w:lang w:val="en-US" w:eastAsia="zh-CN"/>
              </w:rPr>
            </w:pPr>
            <w:r>
              <w:rPr>
                <w:rFonts w:hint="default"/>
                <w:lang w:val="en-US" w:eastAsia="zh-CN"/>
              </w:rPr>
              <w:t>②危险废物收集、运输过程环境保护要求</w:t>
            </w:r>
          </w:p>
          <w:p w14:paraId="7B87D719">
            <w:pPr>
              <w:bidi w:val="0"/>
              <w:rPr>
                <w:rFonts w:hint="default"/>
                <w:lang w:val="en-US" w:eastAsia="zh-CN"/>
              </w:rPr>
            </w:pPr>
            <w:r>
              <w:rPr>
                <w:rFonts w:hint="default"/>
                <w:lang w:val="en-US" w:eastAsia="zh-CN"/>
              </w:rPr>
              <w:t>危险废物内部转运作业应满足如下要求：</w:t>
            </w:r>
          </w:p>
          <w:p w14:paraId="17F618EC">
            <w:pPr>
              <w:bidi w:val="0"/>
              <w:rPr>
                <w:rFonts w:hint="default"/>
                <w:lang w:val="en-US" w:eastAsia="zh-CN"/>
              </w:rPr>
            </w:pPr>
            <w:r>
              <w:rPr>
                <w:rFonts w:hint="default"/>
                <w:lang w:val="en-US" w:eastAsia="zh-CN"/>
              </w:rPr>
              <w:t>A、危险废物必须妥善分类，并采用专用包装袋和周转箱、专用运输车运送到处置中心，装卸完成后对运输车辆进行消毒。</w:t>
            </w:r>
          </w:p>
          <w:p w14:paraId="3D1F9F02">
            <w:pPr>
              <w:bidi w:val="0"/>
              <w:rPr>
                <w:rFonts w:hint="default"/>
                <w:lang w:val="en-US" w:eastAsia="zh-CN"/>
              </w:rPr>
            </w:pPr>
            <w:r>
              <w:rPr>
                <w:rFonts w:hint="default"/>
                <w:lang w:val="en-US" w:eastAsia="zh-CN"/>
              </w:rPr>
              <w:t>B、运输车上配置橡胶手套、工作手套、口罩、消毒水、急救药箱、灭火器和紧急应变手册。</w:t>
            </w:r>
          </w:p>
          <w:p w14:paraId="07EC2ED8">
            <w:pPr>
              <w:bidi w:val="0"/>
              <w:rPr>
                <w:rFonts w:hint="default"/>
                <w:lang w:val="en-US" w:eastAsia="zh-CN"/>
              </w:rPr>
            </w:pPr>
            <w:r>
              <w:rPr>
                <w:rFonts w:hint="default"/>
                <w:lang w:val="en-US" w:eastAsia="zh-CN"/>
              </w:rPr>
              <w:t>C、在运输过程中，采取专车专用的方式，禁止将危险废物与旅客及其它货物同车运输。</w:t>
            </w:r>
          </w:p>
          <w:p w14:paraId="075D7F1E">
            <w:pPr>
              <w:bidi w:val="0"/>
              <w:rPr>
                <w:rFonts w:hint="default"/>
                <w:lang w:val="en-US" w:eastAsia="zh-CN"/>
              </w:rPr>
            </w:pPr>
            <w:r>
              <w:rPr>
                <w:rFonts w:hint="default"/>
                <w:lang w:val="en-US" w:eastAsia="zh-CN"/>
              </w:rPr>
              <w:t>D、危险废物运输车辆通过饮用水源保护区或水库的水源地时，应减速行驶，尽量避免各类交通事故的发生。如有必要应尽量避免雨天运输。</w:t>
            </w:r>
          </w:p>
          <w:p w14:paraId="162800B0">
            <w:pPr>
              <w:bidi w:val="0"/>
              <w:rPr>
                <w:rFonts w:hint="default"/>
                <w:lang w:val="en-US" w:eastAsia="zh-CN"/>
              </w:rPr>
            </w:pPr>
            <w:r>
              <w:rPr>
                <w:rFonts w:hint="default"/>
                <w:lang w:val="en-US" w:eastAsia="zh-CN"/>
              </w:rPr>
              <w:t>E、危险废物运输途经城市时，应尽量绕城行驶，不得穿越城区。</w:t>
            </w:r>
          </w:p>
          <w:p w14:paraId="703964CE">
            <w:pPr>
              <w:bidi w:val="0"/>
              <w:rPr>
                <w:rFonts w:hint="default"/>
                <w:lang w:val="en-US" w:eastAsia="zh-CN"/>
              </w:rPr>
            </w:pPr>
            <w:r>
              <w:rPr>
                <w:rFonts w:hint="default"/>
                <w:lang w:val="en-US" w:eastAsia="zh-CN"/>
              </w:rPr>
              <w:t>F、严格按照规划路线运输，但尽量避免上下班高峰时运输。</w:t>
            </w:r>
          </w:p>
          <w:p w14:paraId="6B1FE1AA">
            <w:pPr>
              <w:bidi w:val="0"/>
              <w:rPr>
                <w:rFonts w:hint="default"/>
                <w:lang w:val="en-US" w:eastAsia="zh-CN"/>
              </w:rPr>
            </w:pPr>
            <w:r>
              <w:rPr>
                <w:rFonts w:hint="default"/>
                <w:lang w:val="en-US" w:eastAsia="zh-CN"/>
              </w:rPr>
              <w:t>G、对运输</w:t>
            </w:r>
            <w:r>
              <w:rPr>
                <w:rFonts w:hint="eastAsia"/>
                <w:lang w:val="en-US" w:eastAsia="zh-CN"/>
              </w:rPr>
              <w:t>车辆</w:t>
            </w:r>
            <w:r>
              <w:rPr>
                <w:rFonts w:hint="default"/>
                <w:lang w:val="en-US" w:eastAsia="zh-CN"/>
              </w:rPr>
              <w:t>进行严格管理，须备有车辆里程登记表并做好每日登记，做好车辆日常的维护。</w:t>
            </w:r>
          </w:p>
          <w:p w14:paraId="70703ECC">
            <w:pPr>
              <w:bidi w:val="0"/>
              <w:rPr>
                <w:rFonts w:hint="default"/>
                <w:lang w:val="en-US" w:eastAsia="zh-CN"/>
              </w:rPr>
            </w:pPr>
            <w:r>
              <w:rPr>
                <w:rFonts w:hint="default"/>
                <w:lang w:val="en-US" w:eastAsia="zh-CN"/>
              </w:rPr>
              <w:t>H、从事危险废物运输的人员（包括司机），应当接受专业培训，经考核合格，方可从事该项工作；运输车辆须有特殊标志，以引起关注；危险废物运输车辆需持危险废物运输通行证。</w:t>
            </w:r>
          </w:p>
          <w:p w14:paraId="2C8DEA24">
            <w:pPr>
              <w:bidi w:val="0"/>
              <w:rPr>
                <w:rFonts w:hint="default"/>
                <w:lang w:val="en-US" w:eastAsia="zh-CN"/>
              </w:rPr>
            </w:pPr>
            <w:r>
              <w:rPr>
                <w:rFonts w:hint="default"/>
                <w:lang w:val="en-US" w:eastAsia="zh-CN"/>
              </w:rPr>
              <w:t>I、为了保证危险废物运输的安全无误，必须遵守国家和地方制定的危险废物转移联单管理办法中的有关规定。</w:t>
            </w:r>
          </w:p>
          <w:p w14:paraId="4E77CCD7">
            <w:pPr>
              <w:bidi w:val="0"/>
              <w:rPr>
                <w:rFonts w:hint="default"/>
                <w:lang w:val="en-US" w:eastAsia="zh-CN"/>
              </w:rPr>
            </w:pPr>
            <w:r>
              <w:rPr>
                <w:rFonts w:hint="default"/>
                <w:lang w:val="en-US" w:eastAsia="zh-CN"/>
              </w:rPr>
              <w:t>③危险固体废物暂存库的管理要求</w:t>
            </w:r>
          </w:p>
          <w:p w14:paraId="77CAA9CC">
            <w:pPr>
              <w:bidi w:val="0"/>
              <w:rPr>
                <w:rFonts w:hint="default"/>
                <w:lang w:val="en-US" w:eastAsia="zh-CN"/>
              </w:rPr>
            </w:pPr>
            <w:r>
              <w:rPr>
                <w:rFonts w:hint="default"/>
                <w:lang w:val="en-US" w:eastAsia="zh-CN"/>
              </w:rPr>
              <w:t>对于危险废物暂存库，按照《危险废物贮存污染控制标准》（GB18597-2023）进行污染控制和管理。</w:t>
            </w:r>
          </w:p>
          <w:p w14:paraId="2CE14953">
            <w:pPr>
              <w:bidi w:val="0"/>
              <w:rPr>
                <w:rFonts w:hint="default"/>
                <w:lang w:val="en-US" w:eastAsia="zh-CN"/>
              </w:rPr>
            </w:pPr>
            <w:r>
              <w:rPr>
                <w:rFonts w:hint="default"/>
                <w:lang w:val="en-US" w:eastAsia="zh-CN"/>
              </w:rPr>
              <w:t>A、危险废物暂存间应满足“防风、防晒、防雨、防漏、防渗、防腐”的“六防”要求，地面采用抗渗混凝土+环氧树脂地坪，渗透系数应≤1.0×10</w:t>
            </w:r>
            <w:r>
              <w:rPr>
                <w:rFonts w:hint="default"/>
                <w:vertAlign w:val="superscript"/>
                <w:lang w:val="en-US" w:eastAsia="zh-CN"/>
              </w:rPr>
              <w:t>-10</w:t>
            </w:r>
            <w:r>
              <w:rPr>
                <w:rFonts w:hint="default"/>
                <w:lang w:val="en-US" w:eastAsia="zh-CN"/>
              </w:rPr>
              <w:t>cm/s；并设置</w:t>
            </w:r>
            <w:r>
              <w:rPr>
                <w:rFonts w:hint="eastAsia"/>
                <w:lang w:val="en-US" w:eastAsia="zh-CN"/>
              </w:rPr>
              <w:t>相同防渗措施</w:t>
            </w:r>
            <w:r>
              <w:rPr>
                <w:rFonts w:hint="default"/>
                <w:lang w:val="en-US" w:eastAsia="zh-CN"/>
              </w:rPr>
              <w:t>地沟，发生泄漏时通过地沟收集泄漏液。建筑材料必须与危险废物相容。</w:t>
            </w:r>
          </w:p>
          <w:p w14:paraId="22CE8DF0">
            <w:pPr>
              <w:bidi w:val="0"/>
              <w:rPr>
                <w:rFonts w:hint="default"/>
                <w:lang w:val="en-US" w:eastAsia="zh-CN"/>
              </w:rPr>
            </w:pPr>
            <w:r>
              <w:rPr>
                <w:rFonts w:hint="default"/>
                <w:lang w:val="en-US" w:eastAsia="zh-CN"/>
              </w:rPr>
              <w:t>B、暂存库内的危险废物采取分类堆放，并设有隔离间隔断。每个部分都应有防漏裙脚，防漏裙脚的材料与危险废物相容。每个堆间应留有搬运通道。</w:t>
            </w:r>
          </w:p>
          <w:p w14:paraId="24ACACE8">
            <w:pPr>
              <w:bidi w:val="0"/>
              <w:rPr>
                <w:rFonts w:hint="default"/>
                <w:lang w:val="en-US" w:eastAsia="zh-CN"/>
              </w:rPr>
            </w:pPr>
            <w:r>
              <w:rPr>
                <w:rFonts w:hint="default"/>
                <w:lang w:val="en-US" w:eastAsia="zh-CN"/>
              </w:rPr>
              <w:t>C、危险废物分类装入容器，容器及材质要满足相应的强度要求，装载危险废物的容器必须完好无损；对于各类废液，可注入开孔直径不超过70mm并有放气孔的桶中，容器顶部与液体表面之间保留100mm以上的空间，容器材质和衬里要与危险废物相互不反应；盛装危险废物的容器上必须粘贴清晰</w:t>
            </w:r>
            <w:r>
              <w:rPr>
                <w:rFonts w:hint="eastAsia"/>
                <w:lang w:val="en-US" w:eastAsia="zh-CN"/>
              </w:rPr>
              <w:t>标明</w:t>
            </w:r>
            <w:r>
              <w:rPr>
                <w:rFonts w:hint="default"/>
                <w:lang w:val="en-US" w:eastAsia="zh-CN"/>
              </w:rPr>
              <w:t>危险废物名称、种类、数量等的标签。对于在常温常压下不水解、不挥发的固体危险废物可在暂贮库分别堆放，无法装入常用容器的危险废物可用防漏胶袋等盛装。</w:t>
            </w:r>
          </w:p>
          <w:p w14:paraId="57363645">
            <w:pPr>
              <w:bidi w:val="0"/>
              <w:rPr>
                <w:rFonts w:hint="default"/>
                <w:lang w:val="en-US" w:eastAsia="zh-CN"/>
              </w:rPr>
            </w:pPr>
            <w:r>
              <w:rPr>
                <w:rFonts w:hint="default"/>
                <w:lang w:val="en-US" w:eastAsia="zh-CN"/>
              </w:rPr>
              <w:t>依据《危险废物贮存污染控制标准》中对危险废物贮存容器的规定，采用专用塑料桶存放液态危废（如废油），保证盛装废液的容器满足相应的强度要求，并且与废液不互相反应。</w:t>
            </w:r>
          </w:p>
          <w:p w14:paraId="3973FAE2">
            <w:pPr>
              <w:bidi w:val="0"/>
              <w:rPr>
                <w:rFonts w:hint="default"/>
                <w:lang w:val="en-US" w:eastAsia="zh-CN"/>
              </w:rPr>
            </w:pPr>
            <w:r>
              <w:rPr>
                <w:rFonts w:hint="default"/>
                <w:lang w:val="en-US" w:eastAsia="zh-CN"/>
              </w:rPr>
              <w:t>D、禁止将不兼容（相互反应）的危险废物在同一容器内混装。危险废物暂存库内清理出来的泄漏物，一律按危险废物处理。在危废库设置地沟，一旦发生泄漏，废液将进入地沟，并设置有专用工具，把废液收集后暂存于完好的容器内作为危险废物处置。</w:t>
            </w:r>
          </w:p>
          <w:p w14:paraId="3EA44DC0">
            <w:pPr>
              <w:bidi w:val="0"/>
              <w:rPr>
                <w:rFonts w:hint="default"/>
                <w:lang w:val="en-US" w:eastAsia="zh-CN"/>
              </w:rPr>
            </w:pPr>
            <w:r>
              <w:rPr>
                <w:rFonts w:hint="default"/>
                <w:lang w:val="en-US" w:eastAsia="zh-CN"/>
              </w:rPr>
              <w:t>E、危险废物暂存库管理员须</w:t>
            </w:r>
            <w:r>
              <w:rPr>
                <w:rFonts w:hint="eastAsia"/>
                <w:lang w:val="en-US" w:eastAsia="zh-CN"/>
              </w:rPr>
              <w:t>做好</w:t>
            </w:r>
            <w:r>
              <w:rPr>
                <w:rFonts w:hint="default"/>
                <w:lang w:val="en-US" w:eastAsia="zh-CN"/>
              </w:rPr>
              <w:t>危险废物情况的记录，记录上须注明危险废物的名称、来源、数量、特性和包装容器的类别、入库日期、存放库位、废物出库日期及委托处置接收单位名称。危险废物的记录和货单在危险废物回取后应继续保留</w:t>
            </w:r>
            <w:r>
              <w:rPr>
                <w:rFonts w:hint="eastAsia"/>
                <w:lang w:val="en-US" w:eastAsia="zh-CN"/>
              </w:rPr>
              <w:t>十</w:t>
            </w:r>
            <w:r>
              <w:rPr>
                <w:rFonts w:hint="default"/>
                <w:lang w:val="en-US" w:eastAsia="zh-CN"/>
              </w:rPr>
              <w:t>年。</w:t>
            </w:r>
          </w:p>
          <w:p w14:paraId="43F645DB">
            <w:pPr>
              <w:bidi w:val="0"/>
              <w:rPr>
                <w:rFonts w:hint="default"/>
                <w:b/>
                <w:bCs/>
                <w:lang w:val="en-US" w:eastAsia="zh-CN"/>
              </w:rPr>
            </w:pPr>
            <w:r>
              <w:rPr>
                <w:rFonts w:hint="default"/>
                <w:b/>
                <w:bCs/>
                <w:lang w:val="en-US" w:eastAsia="zh-CN"/>
              </w:rPr>
              <w:t>六、环境风险分析</w:t>
            </w:r>
          </w:p>
          <w:p w14:paraId="16488003">
            <w:pPr>
              <w:bidi w:val="0"/>
              <w:rPr>
                <w:lang w:val="en-GB"/>
              </w:rPr>
            </w:pPr>
            <w:r>
              <w:rPr>
                <w:lang w:val="en-GB"/>
              </w:rPr>
              <w:t>根据《建设项目环境风险评价技术</w:t>
            </w:r>
            <w:r>
              <w:rPr>
                <w:rFonts w:hint="eastAsia"/>
                <w:lang w:val="en-US" w:eastAsia="zh-CN"/>
              </w:rPr>
              <w:t xml:space="preserve"> </w:t>
            </w:r>
            <w:r>
              <w:rPr>
                <w:lang w:val="en-GB"/>
              </w:rPr>
              <w:t>导则》(HJ169-2018)要求，本次环境风险评价的目的在于分析、识别本项目生产装置运行过程中及物料储存的风险因素及可能诱发的环境问题，并针对潜在的环境风险，提出相应的预防措施，力求将潜在的风险危害程度降</w:t>
            </w:r>
            <w:r>
              <w:rPr>
                <w:rFonts w:hint="eastAsia"/>
                <w:lang w:val="en-GB" w:eastAsia="zh-CN"/>
              </w:rPr>
              <w:t>至最</w:t>
            </w:r>
            <w:r>
              <w:rPr>
                <w:lang w:val="en-GB"/>
              </w:rPr>
              <w:t>低。</w:t>
            </w:r>
          </w:p>
          <w:p w14:paraId="735B74AF">
            <w:pPr>
              <w:bidi w:val="0"/>
              <w:rPr>
                <w:lang w:val="en-GB"/>
              </w:rPr>
            </w:pPr>
            <w:r>
              <w:rPr>
                <w:lang w:val="en-GB"/>
              </w:rPr>
              <w:t>（1）风险识别</w:t>
            </w:r>
          </w:p>
          <w:p w14:paraId="2234F642">
            <w:pPr>
              <w:bidi w:val="0"/>
              <w:rPr>
                <w:lang w:val="en-GB"/>
              </w:rPr>
            </w:pPr>
            <w:r>
              <w:rPr>
                <w:lang w:val="en-GB"/>
              </w:rPr>
              <w:t>风险物质识别：本项目为</w:t>
            </w:r>
            <w:r>
              <w:rPr>
                <w:rFonts w:hint="eastAsia"/>
                <w:lang w:val="en-GB"/>
              </w:rPr>
              <w:t>固体废物综合利用</w:t>
            </w:r>
            <w:r>
              <w:rPr>
                <w:lang w:val="en-GB"/>
              </w:rPr>
              <w:t>，运行过程中维修设备产生的</w:t>
            </w:r>
            <w:r>
              <w:rPr>
                <w:rFonts w:hint="eastAsia"/>
                <w:lang w:val="en-GB" w:eastAsia="zh-CN"/>
              </w:rPr>
              <w:t>废矿物油</w:t>
            </w:r>
            <w:r>
              <w:rPr>
                <w:lang w:val="en-GB"/>
              </w:rPr>
              <w:t>属于危险废物，产生量为0.</w:t>
            </w:r>
            <w:r>
              <w:rPr>
                <w:rFonts w:hint="eastAsia"/>
                <w:lang w:val="en-US"/>
              </w:rPr>
              <w:t>1</w:t>
            </w:r>
            <w:r>
              <w:rPr>
                <w:lang w:val="en-GB"/>
              </w:rPr>
              <w:t>t/a，最大储存量为0.</w:t>
            </w:r>
            <w:r>
              <w:rPr>
                <w:rFonts w:hint="eastAsia"/>
                <w:lang w:val="en-US"/>
              </w:rPr>
              <w:t>1</w:t>
            </w:r>
            <w:r>
              <w:rPr>
                <w:lang w:val="en-GB"/>
              </w:rPr>
              <w:t>t/a，属于HW08废矿物油与含矿物油废物中非特定行业900-214-08车辆、轮船及其它机械维修过程中产生的废发动机油、制动器油、自动变速器油、齿轮油等</w:t>
            </w:r>
            <w:r>
              <w:rPr>
                <w:rFonts w:hint="eastAsia"/>
                <w:lang w:val="en-GB" w:eastAsia="zh-CN"/>
              </w:rPr>
              <w:t>废矿物油</w:t>
            </w:r>
            <w:r>
              <w:rPr>
                <w:lang w:val="en-GB"/>
              </w:rPr>
              <w:t>。</w:t>
            </w:r>
          </w:p>
          <w:p w14:paraId="26AC251C">
            <w:pPr>
              <w:bidi w:val="0"/>
              <w:rPr>
                <w:lang w:val="en-GB"/>
              </w:rPr>
            </w:pPr>
            <w:r>
              <w:rPr>
                <w:lang w:val="en-GB"/>
              </w:rPr>
              <w:t>（2）</w:t>
            </w:r>
            <w:r>
              <w:rPr>
                <w:rFonts w:hint="eastAsia"/>
                <w:lang w:val="en-US"/>
              </w:rPr>
              <w:t>危险物质及工艺系统危险性（P）的分级确定</w:t>
            </w:r>
            <w:r>
              <w:rPr>
                <w:lang w:val="en-GB"/>
              </w:rPr>
              <w:t xml:space="preserve"> </w:t>
            </w:r>
          </w:p>
          <w:p w14:paraId="2905B162">
            <w:pPr>
              <w:bidi w:val="0"/>
              <w:rPr>
                <w:lang w:val="en-US"/>
              </w:rPr>
            </w:pPr>
            <w:r>
              <w:rPr>
                <w:rFonts w:hint="eastAsia"/>
                <w:lang w:val="en-US"/>
              </w:rPr>
              <w:t>分析本项目生产、使用、储存过程中涉及的有毒有害、易燃易爆物质，参照《建设项目环境风险评价技术导则》（HJ169-2018）附录B确定危险物质的临界量。定量分析危险物质数量与临界量的比值（Q）和所属行业及生产工艺特点（M），按照附录C对危险物质及工艺系统危险性（P）等级进行判断。</w:t>
            </w:r>
          </w:p>
          <w:p w14:paraId="78307194">
            <w:pPr>
              <w:bidi w:val="0"/>
              <w:rPr>
                <w:lang w:val="en-US"/>
              </w:rPr>
            </w:pPr>
            <w:r>
              <w:rPr>
                <w:rFonts w:hint="eastAsia"/>
                <w:lang w:val="en-US"/>
              </w:rPr>
              <w:t>计算所涉及的每种危险物质在厂界内的最大存在总量与其在附录B中对应临界量的比值Q。在不同厂区的同一种物质，按其在厂界内的最大存在总量计算。</w:t>
            </w:r>
          </w:p>
          <w:p w14:paraId="7A26618A">
            <w:pPr>
              <w:bidi w:val="0"/>
              <w:rPr>
                <w:lang w:val="en-US"/>
              </w:rPr>
            </w:pPr>
            <w:r>
              <w:rPr>
                <w:rFonts w:hint="eastAsia"/>
                <w:lang w:val="en-US"/>
              </w:rPr>
              <w:t>当只涉及一种危险物质时，计算该物质的总量与其临界值比值，即为Q；</w:t>
            </w:r>
          </w:p>
          <w:p w14:paraId="42159D4D">
            <w:pPr>
              <w:bidi w:val="0"/>
              <w:rPr>
                <w:rFonts w:hint="default"/>
                <w:lang w:val="en-US" w:eastAsia="zh-CN"/>
              </w:rPr>
            </w:pPr>
            <w:r>
              <w:rPr>
                <w:rFonts w:hint="eastAsia"/>
                <w:lang w:val="en-US"/>
              </w:rPr>
              <w:t>当存在多种危险物质时，则按下式计算物质总量与其临界值比值Q；</w:t>
            </w:r>
          </w:p>
          <w:p w14:paraId="5066BA57">
            <w:pPr>
              <w:bidi w:val="0"/>
            </w:pPr>
            <w:r>
              <w:t>Q=q1/Q1+q2/Q2+……+qn/Qn</w:t>
            </w:r>
          </w:p>
          <w:p w14:paraId="4606E9B4">
            <w:pPr>
              <w:bidi w:val="0"/>
            </w:pPr>
            <w:r>
              <w:t>式中q1，q2……qn——每种危险物质的最大存在总量，t。</w:t>
            </w:r>
          </w:p>
          <w:p w14:paraId="3B33545B">
            <w:pPr>
              <w:bidi w:val="0"/>
            </w:pPr>
            <w:r>
              <w:t>Q1，Q2……Qn——每种危险物质的临界量，t。</w:t>
            </w:r>
          </w:p>
          <w:p w14:paraId="7CB65154">
            <w:pPr>
              <w:bidi w:val="0"/>
            </w:pPr>
            <w:r>
              <w:t>当Q＜1时，该项目环境风险潜势为Ⅰ。</w:t>
            </w:r>
          </w:p>
          <w:p w14:paraId="616E3D8B">
            <w:pPr>
              <w:bidi w:val="0"/>
            </w:pPr>
            <w:r>
              <w:t>当Q≥1时，将Q值划分为：（1）1≤Q＜10；（2）10≤Q＜100；（3）Q≥100。</w:t>
            </w:r>
          </w:p>
          <w:p w14:paraId="3614DD00">
            <w:pPr>
              <w:bidi w:val="0"/>
            </w:pPr>
            <w:r>
              <w:t>本项目在生产过</w:t>
            </w:r>
            <w:r>
              <w:rPr>
                <w:rFonts w:hint="eastAsia"/>
                <w:lang w:eastAsia="zh-CN"/>
              </w:rPr>
              <w:t>程中</w:t>
            </w:r>
            <w:r>
              <w:t>所涉及的风险物质及临界量如下：</w:t>
            </w:r>
          </w:p>
          <w:p w14:paraId="1E10D4DA">
            <w:pPr>
              <w:bidi w:val="0"/>
              <w:jc w:val="center"/>
              <w:rPr>
                <w:b/>
                <w:bCs/>
                <w:lang w:val="en-US"/>
              </w:rPr>
            </w:pPr>
            <w:r>
              <w:rPr>
                <w:rFonts w:hint="eastAsia"/>
                <w:b/>
                <w:bCs/>
                <w:lang w:val="en-US"/>
              </w:rPr>
              <w:t>表4-</w:t>
            </w:r>
            <w:r>
              <w:rPr>
                <w:rFonts w:hint="eastAsia"/>
                <w:b/>
                <w:bCs/>
                <w:lang w:val="en-US" w:eastAsia="zh-CN"/>
              </w:rPr>
              <w:t>5</w:t>
            </w:r>
            <w:r>
              <w:rPr>
                <w:rFonts w:hint="eastAsia"/>
                <w:b/>
                <w:bCs/>
                <w:lang w:val="en-US"/>
              </w:rPr>
              <w:t>风险物质存储量和临界量</w:t>
            </w:r>
          </w:p>
          <w:tbl>
            <w:tblPr>
              <w:tblStyle w:val="18"/>
              <w:tblW w:w="49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3"/>
              <w:gridCol w:w="1500"/>
              <w:gridCol w:w="1170"/>
              <w:gridCol w:w="915"/>
              <w:gridCol w:w="1140"/>
              <w:gridCol w:w="1095"/>
              <w:gridCol w:w="1449"/>
            </w:tblGrid>
            <w:tr w14:paraId="20E2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5" w:type="pct"/>
                  <w:tcBorders>
                    <w:tl2br w:val="nil"/>
                    <w:tr2bl w:val="nil"/>
                  </w:tcBorders>
                  <w:noWrap w:val="0"/>
                  <w:vAlign w:val="center"/>
                </w:tcPr>
                <w:p w14:paraId="76B96B9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lang w:val="en-US"/>
                    </w:rPr>
                  </w:pPr>
                  <w:r>
                    <w:rPr>
                      <w:rFonts w:hint="default"/>
                      <w:lang w:val="en-US"/>
                    </w:rPr>
                    <w:t>序号</w:t>
                  </w:r>
                </w:p>
              </w:tc>
              <w:tc>
                <w:tcPr>
                  <w:tcW w:w="956" w:type="pct"/>
                  <w:tcBorders>
                    <w:tl2br w:val="nil"/>
                    <w:tr2bl w:val="nil"/>
                  </w:tcBorders>
                  <w:noWrap w:val="0"/>
                  <w:vAlign w:val="center"/>
                </w:tcPr>
                <w:p w14:paraId="1CA0029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lang w:val="en-US"/>
                    </w:rPr>
                  </w:pPr>
                  <w:r>
                    <w:rPr>
                      <w:rFonts w:hint="default"/>
                      <w:lang w:val="en-US"/>
                    </w:rPr>
                    <w:t>储存化学品名称及含量</w:t>
                  </w:r>
                </w:p>
              </w:tc>
              <w:tc>
                <w:tcPr>
                  <w:tcW w:w="745" w:type="pct"/>
                  <w:tcBorders>
                    <w:tl2br w:val="nil"/>
                    <w:tr2bl w:val="nil"/>
                  </w:tcBorders>
                  <w:noWrap w:val="0"/>
                  <w:vAlign w:val="center"/>
                </w:tcPr>
                <w:p w14:paraId="3BD1FAA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lang w:val="en-US"/>
                    </w:rPr>
                  </w:pPr>
                  <w:r>
                    <w:rPr>
                      <w:rFonts w:hint="default"/>
                      <w:lang w:val="en-US"/>
                    </w:rPr>
                    <w:t>可能存在最大数量（t）</w:t>
                  </w:r>
                </w:p>
              </w:tc>
              <w:tc>
                <w:tcPr>
                  <w:tcW w:w="583" w:type="pct"/>
                  <w:tcBorders>
                    <w:tl2br w:val="nil"/>
                    <w:tr2bl w:val="nil"/>
                  </w:tcBorders>
                  <w:noWrap w:val="0"/>
                  <w:vAlign w:val="center"/>
                </w:tcPr>
                <w:p w14:paraId="467F317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lang w:val="en-US"/>
                    </w:rPr>
                  </w:pPr>
                  <w:r>
                    <w:rPr>
                      <w:rFonts w:hint="default"/>
                      <w:lang w:val="en-US"/>
                    </w:rPr>
                    <w:t>临界量（t）</w:t>
                  </w:r>
                </w:p>
              </w:tc>
              <w:tc>
                <w:tcPr>
                  <w:tcW w:w="726" w:type="pct"/>
                  <w:tcBorders>
                    <w:tl2br w:val="nil"/>
                    <w:tr2bl w:val="nil"/>
                  </w:tcBorders>
                  <w:noWrap w:val="0"/>
                  <w:vAlign w:val="center"/>
                </w:tcPr>
                <w:p w14:paraId="4526A9B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lang w:val="en-US"/>
                    </w:rPr>
                  </w:pPr>
                  <w:r>
                    <w:rPr>
                      <w:rFonts w:hint="default"/>
                      <w:lang w:val="en-US"/>
                    </w:rPr>
                    <w:t>CAS号</w:t>
                  </w:r>
                </w:p>
              </w:tc>
              <w:tc>
                <w:tcPr>
                  <w:tcW w:w="698" w:type="pct"/>
                  <w:tcBorders>
                    <w:tl2br w:val="nil"/>
                    <w:tr2bl w:val="nil"/>
                  </w:tcBorders>
                  <w:noWrap w:val="0"/>
                  <w:vAlign w:val="center"/>
                </w:tcPr>
                <w:p w14:paraId="3D5C3E0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lang w:val="en-US"/>
                    </w:rPr>
                  </w:pPr>
                  <w:r>
                    <w:rPr>
                      <w:rFonts w:hint="default"/>
                      <w:lang w:val="en-US"/>
                    </w:rPr>
                    <w:t>qi/Qi</w:t>
                  </w:r>
                </w:p>
              </w:tc>
              <w:tc>
                <w:tcPr>
                  <w:tcW w:w="923" w:type="pct"/>
                  <w:tcBorders>
                    <w:tl2br w:val="nil"/>
                    <w:tr2bl w:val="nil"/>
                  </w:tcBorders>
                  <w:noWrap w:val="0"/>
                  <w:vAlign w:val="center"/>
                </w:tcPr>
                <w:p w14:paraId="1165528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lang w:val="en-US"/>
                    </w:rPr>
                  </w:pPr>
                  <w:r>
                    <w:rPr>
                      <w:rFonts w:hint="default"/>
                      <w:lang w:val="en-US"/>
                    </w:rPr>
                    <w:t>是否构成重大危险源</w:t>
                  </w:r>
                </w:p>
              </w:tc>
            </w:tr>
            <w:tr w14:paraId="150CC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5" w:type="pct"/>
                  <w:tcBorders>
                    <w:tl2br w:val="nil"/>
                    <w:tr2bl w:val="nil"/>
                  </w:tcBorders>
                  <w:noWrap w:val="0"/>
                  <w:vAlign w:val="center"/>
                </w:tcPr>
                <w:p w14:paraId="7A6DAEE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lang w:val="en-US"/>
                    </w:rPr>
                  </w:pPr>
                  <w:r>
                    <w:rPr>
                      <w:rFonts w:hint="default"/>
                      <w:lang w:val="en-US"/>
                    </w:rPr>
                    <w:t>1</w:t>
                  </w:r>
                </w:p>
              </w:tc>
              <w:tc>
                <w:tcPr>
                  <w:tcW w:w="956" w:type="pct"/>
                  <w:tcBorders>
                    <w:tl2br w:val="nil"/>
                    <w:tr2bl w:val="nil"/>
                  </w:tcBorders>
                  <w:noWrap w:val="0"/>
                  <w:vAlign w:val="center"/>
                </w:tcPr>
                <w:p w14:paraId="5A2A1EF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eastAsia="宋体"/>
                      <w:lang w:val="en-US" w:eastAsia="zh-CN"/>
                    </w:rPr>
                  </w:pPr>
                  <w:r>
                    <w:rPr>
                      <w:rFonts w:hint="eastAsia"/>
                      <w:lang w:val="en-US" w:eastAsia="zh-CN"/>
                    </w:rPr>
                    <w:t>废矿物油</w:t>
                  </w:r>
                </w:p>
              </w:tc>
              <w:tc>
                <w:tcPr>
                  <w:tcW w:w="745" w:type="pct"/>
                  <w:tcBorders>
                    <w:tl2br w:val="nil"/>
                    <w:tr2bl w:val="nil"/>
                  </w:tcBorders>
                  <w:noWrap w:val="0"/>
                  <w:vAlign w:val="center"/>
                </w:tcPr>
                <w:p w14:paraId="049D3C6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lang w:val="en-US"/>
                    </w:rPr>
                  </w:pPr>
                  <w:r>
                    <w:rPr>
                      <w:rFonts w:hint="default"/>
                      <w:lang w:val="en-US"/>
                    </w:rPr>
                    <w:t>0.1</w:t>
                  </w:r>
                </w:p>
              </w:tc>
              <w:tc>
                <w:tcPr>
                  <w:tcW w:w="583" w:type="pct"/>
                  <w:tcBorders>
                    <w:tl2br w:val="nil"/>
                    <w:tr2bl w:val="nil"/>
                  </w:tcBorders>
                  <w:noWrap w:val="0"/>
                  <w:vAlign w:val="center"/>
                </w:tcPr>
                <w:p w14:paraId="1579FA9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lang w:val="en-US"/>
                    </w:rPr>
                  </w:pPr>
                  <w:r>
                    <w:rPr>
                      <w:rFonts w:hint="default"/>
                      <w:lang w:val="en-US"/>
                    </w:rPr>
                    <w:t>2500</w:t>
                  </w:r>
                </w:p>
              </w:tc>
              <w:tc>
                <w:tcPr>
                  <w:tcW w:w="726" w:type="pct"/>
                  <w:tcBorders>
                    <w:tl2br w:val="nil"/>
                    <w:tr2bl w:val="nil"/>
                  </w:tcBorders>
                  <w:noWrap w:val="0"/>
                  <w:vAlign w:val="center"/>
                </w:tcPr>
                <w:p w14:paraId="19D498F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lang w:val="en-US"/>
                    </w:rPr>
                  </w:pPr>
                  <w:r>
                    <w:rPr>
                      <w:rFonts w:hint="default"/>
                      <w:lang w:val="en-US"/>
                    </w:rPr>
                    <w:t>/</w:t>
                  </w:r>
                </w:p>
              </w:tc>
              <w:tc>
                <w:tcPr>
                  <w:tcW w:w="698" w:type="pct"/>
                  <w:tcBorders>
                    <w:tl2br w:val="nil"/>
                    <w:tr2bl w:val="nil"/>
                  </w:tcBorders>
                  <w:noWrap w:val="0"/>
                  <w:vAlign w:val="center"/>
                </w:tcPr>
                <w:p w14:paraId="397B301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lang w:val="en-US"/>
                    </w:rPr>
                  </w:pPr>
                  <w:r>
                    <w:rPr>
                      <w:rFonts w:hint="default"/>
                      <w:lang w:val="en-US"/>
                    </w:rPr>
                    <w:t>0.00004</w:t>
                  </w:r>
                </w:p>
              </w:tc>
              <w:tc>
                <w:tcPr>
                  <w:tcW w:w="923" w:type="pct"/>
                  <w:tcBorders>
                    <w:tl2br w:val="nil"/>
                    <w:tr2bl w:val="nil"/>
                  </w:tcBorders>
                  <w:noWrap w:val="0"/>
                  <w:vAlign w:val="center"/>
                </w:tcPr>
                <w:p w14:paraId="16B56FF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lang w:val="en-US"/>
                    </w:rPr>
                  </w:pPr>
                  <w:r>
                    <w:rPr>
                      <w:rFonts w:hint="default"/>
                      <w:lang w:val="en-US"/>
                    </w:rPr>
                    <w:t>Q＜1不属于重大危险源</w:t>
                  </w:r>
                </w:p>
              </w:tc>
            </w:tr>
          </w:tbl>
          <w:p w14:paraId="5D7C0621">
            <w:pPr>
              <w:bidi w:val="0"/>
              <w:rPr>
                <w:lang w:val="en-US"/>
              </w:rPr>
            </w:pPr>
            <w:r>
              <w:rPr>
                <w:lang w:val="en-US"/>
              </w:rPr>
              <w:t>由</w:t>
            </w:r>
            <w:r>
              <w:rPr>
                <w:rFonts w:hint="eastAsia"/>
                <w:lang w:val="en-US" w:eastAsia="zh-CN"/>
              </w:rPr>
              <w:t>上表</w:t>
            </w:r>
            <w:r>
              <w:rPr>
                <w:lang w:val="en-US"/>
              </w:rPr>
              <w:t>可知，各环境风险物质在公司内最大存在总量与临界量的比值Q为0.000</w:t>
            </w:r>
            <w:r>
              <w:rPr>
                <w:rFonts w:hint="eastAsia"/>
                <w:lang w:val="en-US"/>
              </w:rPr>
              <w:t>04</w:t>
            </w:r>
            <w:r>
              <w:rPr>
                <w:lang w:val="en-US"/>
              </w:rPr>
              <w:t>，Q＜1，以Q表示。当Q＜1时，风险潜势为I。根据《建设项目环境风险评价技术导则》（HJ169-2018），风险潜势为I，可进行简单分析，对项目危险物质、环境影响途径、环境危害后果、风险防范措施等方面给出定性说明</w:t>
            </w:r>
            <w:r>
              <w:rPr>
                <w:rFonts w:hint="eastAsia"/>
                <w:lang w:val="en-US"/>
              </w:rPr>
              <w:t>。</w:t>
            </w:r>
          </w:p>
          <w:p w14:paraId="55B84E65">
            <w:pPr>
              <w:bidi w:val="0"/>
              <w:rPr>
                <w:lang w:val="en-US"/>
              </w:rPr>
            </w:pPr>
            <w:r>
              <w:rPr>
                <w:lang w:val="en-US"/>
              </w:rPr>
              <w:t>（3）废</w:t>
            </w:r>
            <w:r>
              <w:rPr>
                <w:rFonts w:hint="eastAsia"/>
                <w:lang w:val="en-US"/>
              </w:rPr>
              <w:t>矿物</w:t>
            </w:r>
            <w:r>
              <w:rPr>
                <w:lang w:val="en-US"/>
              </w:rPr>
              <w:t>油风险防范措施</w:t>
            </w:r>
          </w:p>
          <w:p w14:paraId="20C79C52">
            <w:pPr>
              <w:bidi w:val="0"/>
              <w:rPr>
                <w:rFonts w:hint="default"/>
                <w:lang w:val="en-US"/>
              </w:rPr>
            </w:pPr>
            <w:r>
              <w:t>本项目</w:t>
            </w:r>
            <w:r>
              <w:rPr>
                <w:rFonts w:hint="eastAsia"/>
                <w:lang w:val="en-US" w:eastAsia="zh-CN"/>
              </w:rPr>
              <w:t>废润滑油暂</w:t>
            </w:r>
            <w:r>
              <w:t>存放于</w:t>
            </w:r>
            <w:r>
              <w:rPr>
                <w:rFonts w:hint="eastAsia"/>
                <w:lang w:eastAsia="zh-CN"/>
              </w:rPr>
              <w:t>危废库</w:t>
            </w:r>
            <w:r>
              <w:t>，</w:t>
            </w:r>
            <w:r>
              <w:rPr>
                <w:rFonts w:hint="eastAsia"/>
                <w:lang w:eastAsia="zh-CN"/>
              </w:rPr>
              <w:t>危废库</w:t>
            </w:r>
            <w:r>
              <w:t>防渗按照《危险废物贮存污染控制标准》（GB18597-20</w:t>
            </w:r>
            <w:r>
              <w:rPr>
                <w:rFonts w:hint="eastAsia"/>
                <w:lang w:val="en-US" w:eastAsia="zh-CN"/>
              </w:rPr>
              <w:t>23</w:t>
            </w:r>
            <w:r>
              <w:t>）进行，防渗层为1m厚黏土层（渗透系数1×10</w:t>
            </w:r>
            <w:r>
              <w:rPr>
                <w:vertAlign w:val="superscript"/>
              </w:rPr>
              <w:t>-7</w:t>
            </w:r>
            <w:r>
              <w:t>cm/s），或至少2mm厚的其他人工材料，渗透系数≤10</w:t>
            </w:r>
            <w:r>
              <w:rPr>
                <w:vertAlign w:val="superscript"/>
              </w:rPr>
              <w:t>-10</w:t>
            </w:r>
            <w:r>
              <w:t>cm/s，且在</w:t>
            </w:r>
            <w:r>
              <w:rPr>
                <w:rFonts w:hint="eastAsia"/>
                <w:lang w:eastAsia="zh-CN"/>
              </w:rPr>
              <w:t>危废库</w:t>
            </w:r>
            <w:r>
              <w:rPr>
                <w:rFonts w:hint="eastAsia"/>
                <w:lang w:val="en-US" w:eastAsia="zh-CN"/>
              </w:rPr>
              <w:t>设置废液导流槽和废液收集池，并设置</w:t>
            </w:r>
            <w:r>
              <w:t>消防设施，如：灭火器、消防沙等</w:t>
            </w:r>
            <w:r>
              <w:rPr>
                <w:rFonts w:hint="eastAsia"/>
                <w:lang w:eastAsia="zh-CN"/>
              </w:rPr>
              <w:t>；</w:t>
            </w:r>
            <w:r>
              <w:rPr>
                <w:rFonts w:hint="eastAsia"/>
                <w:lang w:val="en-US" w:eastAsia="zh-CN"/>
              </w:rPr>
              <w:t>设专人看护定期巡查，及时转运，建立危废管理台账等措施。</w:t>
            </w:r>
          </w:p>
          <w:p w14:paraId="50942F47">
            <w:pPr>
              <w:bidi w:val="0"/>
              <w:rPr>
                <w:rFonts w:hint="eastAsia"/>
                <w:lang w:val="en-US"/>
              </w:rPr>
            </w:pPr>
            <w:r>
              <w:rPr>
                <w:rFonts w:hint="eastAsia"/>
                <w:lang w:val="en-US"/>
              </w:rPr>
              <w:t>（</w:t>
            </w:r>
            <w:r>
              <w:rPr>
                <w:rFonts w:hint="eastAsia"/>
                <w:lang w:val="en-US" w:eastAsia="zh-CN"/>
              </w:rPr>
              <w:t>4</w:t>
            </w:r>
            <w:r>
              <w:rPr>
                <w:rFonts w:hint="eastAsia"/>
                <w:lang w:val="en-US"/>
              </w:rPr>
              <w:t>）</w:t>
            </w:r>
            <w:r>
              <w:rPr>
                <w:rFonts w:hint="eastAsia"/>
                <w:lang w:val="en-US" w:eastAsia="zh-CN"/>
              </w:rPr>
              <w:t>应急预案</w:t>
            </w:r>
          </w:p>
          <w:p w14:paraId="10F8B660">
            <w:pPr>
              <w:bidi w:val="0"/>
              <w:rPr>
                <w:rFonts w:hint="eastAsia"/>
                <w:lang w:val="en-US" w:eastAsia="zh-CN"/>
              </w:rPr>
            </w:pPr>
            <w:r>
              <w:rPr>
                <w:rFonts w:hint="eastAsia"/>
                <w:lang w:val="en-US" w:eastAsia="zh-CN"/>
              </w:rPr>
              <w:t>为及时、迅速、有序地处理事故，避免事故的扩大，减少人员伤亡、财产损失，减少对事故现场周边环境及社会的负面影响，达到迅速控制危险源，维护正常的生产秩序的目的，按照“安全第一，预防为主”和“以人为本”的方针，并根据国家《中华人民共和国安全生产法》《危险化学品安全管理条例》和《国务院关于特大安全事故行政责任追究的规定》，特制定环境风险应急预案。</w:t>
            </w:r>
          </w:p>
          <w:p w14:paraId="3F1E2D98">
            <w:pPr>
              <w:bidi w:val="0"/>
              <w:rPr>
                <w:rFonts w:hint="eastAsia"/>
                <w:lang w:val="en-US" w:eastAsia="zh-CN"/>
              </w:rPr>
            </w:pPr>
            <w:r>
              <w:rPr>
                <w:rFonts w:hint="eastAsia"/>
                <w:lang w:val="en-US" w:eastAsia="zh-CN"/>
              </w:rPr>
              <w:t>1）工作原则</w:t>
            </w:r>
          </w:p>
          <w:p w14:paraId="26769074">
            <w:pPr>
              <w:bidi w:val="0"/>
              <w:rPr>
                <w:rFonts w:hint="eastAsia"/>
                <w:lang w:val="en-US" w:eastAsia="zh-CN"/>
              </w:rPr>
            </w:pPr>
            <w:r>
              <w:rPr>
                <w:rFonts w:hint="eastAsia"/>
                <w:lang w:val="en-US" w:eastAsia="zh-CN"/>
              </w:rPr>
              <w:t>①统一指挥</w:t>
            </w:r>
          </w:p>
          <w:p w14:paraId="6EA76DFE">
            <w:pPr>
              <w:bidi w:val="0"/>
              <w:rPr>
                <w:rFonts w:hint="eastAsia"/>
                <w:lang w:val="en-US" w:eastAsia="zh-CN"/>
              </w:rPr>
            </w:pPr>
            <w:r>
              <w:rPr>
                <w:rFonts w:hint="eastAsia"/>
                <w:lang w:val="en-US" w:eastAsia="zh-CN"/>
              </w:rPr>
              <w:t>公司设立专门机构负责事故处理及救援工作的集中统一指挥。</w:t>
            </w:r>
          </w:p>
          <w:p w14:paraId="398B5217">
            <w:pPr>
              <w:bidi w:val="0"/>
              <w:rPr>
                <w:rFonts w:hint="eastAsia"/>
                <w:lang w:val="en-US" w:eastAsia="zh-CN"/>
              </w:rPr>
            </w:pPr>
            <w:r>
              <w:rPr>
                <w:rFonts w:hint="eastAsia"/>
                <w:lang w:val="en-US" w:eastAsia="zh-CN"/>
              </w:rPr>
              <w:t>②分级管理</w:t>
            </w:r>
          </w:p>
          <w:p w14:paraId="6DECE454">
            <w:pPr>
              <w:bidi w:val="0"/>
              <w:rPr>
                <w:rFonts w:hint="eastAsia"/>
                <w:lang w:val="en-US" w:eastAsia="zh-CN"/>
              </w:rPr>
            </w:pPr>
            <w:r>
              <w:rPr>
                <w:rFonts w:hint="eastAsia"/>
                <w:lang w:val="en-US" w:eastAsia="zh-CN"/>
              </w:rPr>
              <w:t>根据事故状况，应急预案应实施分级管理。发生事故时，启动相应级别的应急预案。</w:t>
            </w:r>
          </w:p>
          <w:p w14:paraId="04E680AE">
            <w:pPr>
              <w:bidi w:val="0"/>
              <w:rPr>
                <w:rFonts w:hint="eastAsia"/>
                <w:lang w:val="en-US" w:eastAsia="zh-CN"/>
              </w:rPr>
            </w:pPr>
            <w:r>
              <w:rPr>
                <w:rFonts w:hint="eastAsia"/>
                <w:lang w:val="en-US" w:eastAsia="zh-CN"/>
              </w:rPr>
              <w:t>③共同参与</w:t>
            </w:r>
          </w:p>
          <w:p w14:paraId="1414729A">
            <w:pPr>
              <w:bidi w:val="0"/>
              <w:rPr>
                <w:rFonts w:hint="eastAsia"/>
                <w:lang w:val="en-US" w:eastAsia="zh-CN"/>
              </w:rPr>
            </w:pPr>
            <w:r>
              <w:rPr>
                <w:rFonts w:hint="eastAsia"/>
                <w:lang w:val="en-US" w:eastAsia="zh-CN"/>
              </w:rPr>
              <w:t>根据事故状况，应急领导小组应请求所在地人民政府、公安、消防、环保、水利等部门的支持、救援，最大限度地减少人员伤亡、财产损失和对事故现场周边环境及社会的负面影响。</w:t>
            </w:r>
          </w:p>
          <w:p w14:paraId="5AD75B89">
            <w:pPr>
              <w:bidi w:val="0"/>
              <w:rPr>
                <w:rFonts w:hint="eastAsia"/>
                <w:lang w:val="en-US" w:eastAsia="zh-CN"/>
              </w:rPr>
            </w:pPr>
            <w:r>
              <w:rPr>
                <w:rFonts w:hint="eastAsia"/>
                <w:lang w:val="en-US" w:eastAsia="zh-CN"/>
              </w:rPr>
              <w:t>2）组织机构及职责</w:t>
            </w:r>
          </w:p>
          <w:p w14:paraId="6F4278B6">
            <w:pPr>
              <w:bidi w:val="0"/>
              <w:rPr>
                <w:rFonts w:hint="eastAsia"/>
                <w:lang w:val="en-US" w:eastAsia="zh-CN"/>
              </w:rPr>
            </w:pPr>
            <w:r>
              <w:rPr>
                <w:rFonts w:hint="eastAsia"/>
                <w:lang w:val="en-US" w:eastAsia="zh-CN"/>
              </w:rPr>
              <w:t>建设单位应设置专门机构负责项目建设及运营期的环境安全。其职责包括：</w:t>
            </w:r>
          </w:p>
          <w:p w14:paraId="2688ABB3">
            <w:pPr>
              <w:bidi w:val="0"/>
              <w:rPr>
                <w:rFonts w:hint="eastAsia"/>
                <w:lang w:val="en-US" w:eastAsia="zh-CN"/>
              </w:rPr>
            </w:pPr>
            <w:r>
              <w:rPr>
                <w:rFonts w:hint="eastAsia"/>
                <w:lang w:val="en-US" w:eastAsia="zh-CN"/>
              </w:rPr>
              <w:t>①负责统一协调突发环境事件的应对工作，负责应急统一指挥，同时还负责与项目区外界环境保持紧密联系，将事态的发展向外部的支持保障机构发出信号，并及时将反馈信息应用于事故应急的领导和指挥当中。</w:t>
            </w:r>
          </w:p>
          <w:p w14:paraId="3489B874">
            <w:pPr>
              <w:bidi w:val="0"/>
              <w:rPr>
                <w:rFonts w:hint="eastAsia"/>
                <w:lang w:val="en-US" w:eastAsia="zh-CN"/>
              </w:rPr>
            </w:pPr>
            <w:r>
              <w:rPr>
                <w:rFonts w:hint="eastAsia"/>
                <w:lang w:val="en-US" w:eastAsia="zh-CN"/>
              </w:rPr>
              <w:t>②保证应急事故的各项资源，包括建立企业救援队，并与社会可利用资源建立长期合作关系；当建设单位内部资源不足、不能应对环境事故，需要区域内其他部门增援时，由建设单位的环境安全管理部门提出增援请求。</w:t>
            </w:r>
          </w:p>
          <w:p w14:paraId="56C3324C">
            <w:pPr>
              <w:bidi w:val="0"/>
              <w:rPr>
                <w:rFonts w:hint="eastAsia"/>
                <w:lang w:val="en-US" w:eastAsia="zh-CN"/>
              </w:rPr>
            </w:pPr>
            <w:r>
              <w:rPr>
                <w:rFonts w:hint="eastAsia"/>
                <w:lang w:val="en-US" w:eastAsia="zh-CN"/>
              </w:rPr>
              <w:t>③在事故处理终止或者处理过程中，要向公众及时、准确地发布反映环境安全事故的信息，引导正确的舆论导向，对社会和公众负责。</w:t>
            </w:r>
          </w:p>
          <w:p w14:paraId="639F0254">
            <w:pPr>
              <w:bidi w:val="0"/>
              <w:rPr>
                <w:rFonts w:hint="eastAsia"/>
                <w:lang w:val="en-US" w:eastAsia="zh-CN"/>
              </w:rPr>
            </w:pPr>
            <w:r>
              <w:rPr>
                <w:rFonts w:hint="eastAsia"/>
                <w:lang w:val="en-US" w:eastAsia="zh-CN"/>
              </w:rPr>
              <w:t>3）应急预案内容</w:t>
            </w:r>
          </w:p>
          <w:p w14:paraId="5BB80062">
            <w:pPr>
              <w:bidi w:val="0"/>
              <w:rPr>
                <w:rFonts w:hint="eastAsia"/>
                <w:lang w:val="en-US" w:eastAsia="zh-CN"/>
              </w:rPr>
            </w:pPr>
            <w:r>
              <w:rPr>
                <w:rFonts w:hint="eastAsia"/>
                <w:lang w:val="en-US" w:eastAsia="zh-CN"/>
              </w:rPr>
              <w:t>从应急工作程序上，可以分为预防预警、应急响应、应急处理、应急终止、信息发布五个步骤。建设单位编制的环境事故应急预案应对以下内容进行细化，并明确各项工作的负责人。</w:t>
            </w:r>
          </w:p>
          <w:p w14:paraId="3F5997EE">
            <w:pPr>
              <w:bidi w:val="0"/>
              <w:rPr>
                <w:rFonts w:hint="eastAsia"/>
                <w:lang w:val="en-US" w:eastAsia="zh-CN"/>
              </w:rPr>
            </w:pPr>
            <w:r>
              <w:rPr>
                <w:rFonts w:hint="eastAsia"/>
                <w:lang w:val="en-US" w:eastAsia="zh-CN"/>
              </w:rPr>
              <w:t>①预防预警。预防与预警是处理环境安全突发性事件的必要前提。根据突发事故的严重性、紧急程度和可能波及的范围，划分预警级别，并根据事态的发展情况和采取措施的效果，提高或者降低应急预警级别。</w:t>
            </w:r>
          </w:p>
          <w:p w14:paraId="54433617">
            <w:pPr>
              <w:bidi w:val="0"/>
              <w:rPr>
                <w:rFonts w:hint="eastAsia"/>
                <w:lang w:val="en-US" w:eastAsia="zh-CN"/>
              </w:rPr>
            </w:pPr>
            <w:r>
              <w:rPr>
                <w:rFonts w:hint="eastAsia"/>
                <w:lang w:val="en-US" w:eastAsia="zh-CN"/>
              </w:rPr>
              <w:t>②应急响应。环境安全突发事件发生后，应立即启动并实施相应应急预案，及时向当地环保局以及自治区相关部门上报；同时，启动建设单位应急专业指挥机构；应急救援力量应立即开展应急救援工作；需要其他应急救援力量支援时，应及时向相关部门提出申请。</w:t>
            </w:r>
          </w:p>
          <w:p w14:paraId="307FB27E">
            <w:pPr>
              <w:bidi w:val="0"/>
              <w:rPr>
                <w:rFonts w:hint="eastAsia"/>
                <w:lang w:val="en-US" w:eastAsia="zh-CN"/>
              </w:rPr>
            </w:pPr>
            <w:r>
              <w:rPr>
                <w:rFonts w:hint="eastAsia"/>
                <w:lang w:val="en-US" w:eastAsia="zh-CN"/>
              </w:rPr>
              <w:t>③应急处理。对各类环境事故，根据相应的救援方案进行救援处理，同时进行应急环境监测。根据监测结果，综合分析突发环境事件污染变化趋势，并通过专家咨询和讨论的方式，预测并报告突发环境事件的发展情况和污染物的变化情况，作为突发环境事件应急决策的依据。</w:t>
            </w:r>
          </w:p>
          <w:p w14:paraId="3E911984">
            <w:pPr>
              <w:bidi w:val="0"/>
              <w:rPr>
                <w:rFonts w:hint="eastAsia"/>
                <w:lang w:val="en-US" w:eastAsia="zh-CN"/>
              </w:rPr>
            </w:pPr>
            <w:r>
              <w:rPr>
                <w:rFonts w:hint="eastAsia"/>
                <w:lang w:val="en-US" w:eastAsia="zh-CN"/>
              </w:rPr>
              <w:t>④应急终止。应急终止须经现场救援指挥部确认，由现场救援指挥部向所属各专业应急救援队伍下达应急终止命令。 应急状态终止后，建设单位应根据上级有关指示和实际情况，继续进行环境监测和评价工作，直至其他补救措施无需继续进行为止。</w:t>
            </w:r>
          </w:p>
          <w:p w14:paraId="3414EECB">
            <w:pPr>
              <w:bidi w:val="0"/>
              <w:rPr>
                <w:rFonts w:hint="eastAsia"/>
                <w:lang w:val="en-US" w:eastAsia="zh-CN"/>
              </w:rPr>
            </w:pPr>
            <w:r>
              <w:rPr>
                <w:rFonts w:hint="eastAsia"/>
                <w:lang w:val="en-US" w:eastAsia="zh-CN"/>
              </w:rPr>
              <w:t>⑤信息发布。突发环境安全事件终止后，要通过报纸、广播、电视和网络等多种媒体方式，及时发布准确、权威的信息，正确引导社会舆论，增强对环境安全应急措施的透明度。</w:t>
            </w:r>
          </w:p>
          <w:p w14:paraId="2239BBFE">
            <w:pPr>
              <w:bidi w:val="0"/>
              <w:rPr>
                <w:rFonts w:hint="default" w:ascii="Times New Roman" w:hAnsi="Times New Roman" w:cs="Times New Roman"/>
                <w:b/>
                <w:bCs/>
              </w:rPr>
            </w:pPr>
            <w:r>
              <w:rPr>
                <w:rFonts w:hint="default" w:ascii="Times New Roman" w:hAnsi="Times New Roman" w:cs="Times New Roman"/>
                <w:b/>
                <w:bCs/>
                <w:lang w:val="en-US" w:eastAsia="zh-CN"/>
              </w:rPr>
              <w:t>七、</w:t>
            </w:r>
            <w:r>
              <w:rPr>
                <w:rFonts w:hint="default" w:ascii="Times New Roman" w:hAnsi="Times New Roman" w:cs="Times New Roman"/>
                <w:b/>
                <w:bCs/>
              </w:rPr>
              <w:t>环境保护竣工验收</w:t>
            </w:r>
          </w:p>
          <w:p w14:paraId="141E6498">
            <w:pPr>
              <w:bidi w:val="0"/>
              <w:rPr>
                <w:rFonts w:hint="default" w:ascii="Times New Roman" w:hAnsi="Times New Roman" w:cs="Times New Roman"/>
              </w:rPr>
            </w:pPr>
            <w:r>
              <w:rPr>
                <w:rFonts w:hint="default" w:ascii="Times New Roman" w:hAnsi="Times New Roman" w:cs="Times New Roman"/>
              </w:rPr>
              <w:t>根据建设项目环境管理办法，污染防治设施必须与主体同时设计、同时施工、同时投入使用。在本项目完成后，应对环境保护设施进行验收。本项目竣工环境保护验收内容见表4-</w:t>
            </w:r>
            <w:r>
              <w:rPr>
                <w:rFonts w:hint="eastAsia" w:cs="Times New Roman"/>
                <w:lang w:val="en-US" w:eastAsia="zh-CN"/>
              </w:rPr>
              <w:t>6</w:t>
            </w:r>
            <w:r>
              <w:rPr>
                <w:rFonts w:hint="default" w:ascii="Times New Roman" w:hAnsi="Times New Roman" w:cs="Times New Roman"/>
              </w:rPr>
              <w:t>。</w:t>
            </w:r>
          </w:p>
          <w:p w14:paraId="762A71B7">
            <w:pPr>
              <w:ind w:right="-26"/>
              <w:jc w:val="center"/>
              <w:rPr>
                <w:rFonts w:hint="default" w:ascii="Times New Roman" w:hAnsi="Times New Roman" w:cs="Times New Roman"/>
                <w:b/>
                <w:bCs/>
                <w:color w:val="000000"/>
                <w:szCs w:val="21"/>
              </w:rPr>
            </w:pPr>
            <w:r>
              <w:rPr>
                <w:rFonts w:hint="default" w:ascii="Times New Roman" w:hAnsi="Times New Roman" w:cs="Times New Roman"/>
                <w:b/>
                <w:bCs/>
                <w:color w:val="000000"/>
                <w:sz w:val="24"/>
              </w:rPr>
              <w:t>表4-</w:t>
            </w:r>
            <w:r>
              <w:rPr>
                <w:rFonts w:hint="eastAsia" w:cs="Times New Roman"/>
                <w:b/>
                <w:bCs/>
                <w:color w:val="000000"/>
                <w:sz w:val="24"/>
                <w:lang w:val="en-US" w:eastAsia="zh-CN"/>
              </w:rPr>
              <w:t>6</w:t>
            </w:r>
            <w:r>
              <w:rPr>
                <w:rFonts w:hint="default" w:ascii="Times New Roman" w:hAnsi="Times New Roman" w:cs="Times New Roman"/>
                <w:b/>
                <w:color w:val="000000"/>
                <w:kern w:val="24"/>
                <w:sz w:val="24"/>
                <w:szCs w:val="21"/>
              </w:rPr>
              <w:t>建设项目环境保护</w:t>
            </w:r>
            <w:r>
              <w:rPr>
                <w:rFonts w:hint="default" w:ascii="Times New Roman" w:hAnsi="Times New Roman" w:cs="Times New Roman"/>
                <w:b/>
                <w:color w:val="000000"/>
                <w:kern w:val="24"/>
                <w:sz w:val="24"/>
                <w:szCs w:val="21"/>
                <w:lang w:eastAsia="zh-CN"/>
              </w:rPr>
              <w:t>“</w:t>
            </w:r>
            <w:r>
              <w:rPr>
                <w:rFonts w:hint="default" w:ascii="Times New Roman" w:hAnsi="Times New Roman" w:cs="Times New Roman"/>
                <w:b/>
                <w:color w:val="000000"/>
                <w:kern w:val="24"/>
                <w:sz w:val="24"/>
                <w:szCs w:val="21"/>
              </w:rPr>
              <w:t>三同时</w:t>
            </w:r>
            <w:r>
              <w:rPr>
                <w:rFonts w:hint="default" w:ascii="Times New Roman" w:hAnsi="Times New Roman" w:cs="Times New Roman"/>
                <w:b/>
                <w:color w:val="000000"/>
                <w:kern w:val="24"/>
                <w:sz w:val="24"/>
                <w:szCs w:val="21"/>
                <w:lang w:eastAsia="zh-CN"/>
              </w:rPr>
              <w:t>”</w:t>
            </w:r>
            <w:r>
              <w:rPr>
                <w:rFonts w:hint="default" w:ascii="Times New Roman" w:hAnsi="Times New Roman" w:cs="Times New Roman"/>
                <w:b/>
                <w:color w:val="000000"/>
                <w:kern w:val="24"/>
                <w:sz w:val="24"/>
                <w:szCs w:val="21"/>
              </w:rPr>
              <w:t>验收一览表</w:t>
            </w:r>
          </w:p>
          <w:tbl>
            <w:tblPr>
              <w:tblStyle w:val="17"/>
              <w:tblW w:w="797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233"/>
              <w:gridCol w:w="877"/>
              <w:gridCol w:w="1265"/>
              <w:gridCol w:w="1066"/>
              <w:gridCol w:w="1322"/>
              <w:gridCol w:w="1737"/>
            </w:tblGrid>
            <w:tr w14:paraId="57769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475" w:type="dxa"/>
                  <w:noWrap w:val="0"/>
                  <w:vAlign w:val="center"/>
                </w:tcPr>
                <w:p w14:paraId="5B4A094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类别</w:t>
                  </w:r>
                </w:p>
              </w:tc>
              <w:tc>
                <w:tcPr>
                  <w:tcW w:w="1233" w:type="dxa"/>
                  <w:noWrap w:val="0"/>
                  <w:vAlign w:val="center"/>
                </w:tcPr>
                <w:p w14:paraId="114F666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污染源</w:t>
                  </w:r>
                </w:p>
              </w:tc>
              <w:tc>
                <w:tcPr>
                  <w:tcW w:w="877" w:type="dxa"/>
                  <w:noWrap w:val="0"/>
                  <w:vAlign w:val="center"/>
                </w:tcPr>
                <w:p w14:paraId="34F1C12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污染物</w:t>
                  </w:r>
                </w:p>
              </w:tc>
              <w:tc>
                <w:tcPr>
                  <w:tcW w:w="1265" w:type="dxa"/>
                  <w:noWrap w:val="0"/>
                  <w:vAlign w:val="center"/>
                </w:tcPr>
                <w:p w14:paraId="6AF733A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环保设施</w:t>
                  </w:r>
                </w:p>
              </w:tc>
              <w:tc>
                <w:tcPr>
                  <w:tcW w:w="1066" w:type="dxa"/>
                  <w:noWrap w:val="0"/>
                  <w:vAlign w:val="center"/>
                </w:tcPr>
                <w:p w14:paraId="50A4E43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排放类型</w:t>
                  </w:r>
                </w:p>
              </w:tc>
              <w:tc>
                <w:tcPr>
                  <w:tcW w:w="1322" w:type="dxa"/>
                  <w:noWrap w:val="0"/>
                  <w:vAlign w:val="center"/>
                </w:tcPr>
                <w:p w14:paraId="633BA4C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排放限值</w:t>
                  </w:r>
                </w:p>
              </w:tc>
              <w:tc>
                <w:tcPr>
                  <w:tcW w:w="1737" w:type="dxa"/>
                  <w:noWrap w:val="0"/>
                  <w:vAlign w:val="center"/>
                </w:tcPr>
                <w:p w14:paraId="32A29EF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验收标准</w:t>
                  </w:r>
                </w:p>
              </w:tc>
            </w:tr>
            <w:tr w14:paraId="42D69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6" w:hRule="atLeast"/>
              </w:trPr>
              <w:tc>
                <w:tcPr>
                  <w:tcW w:w="475" w:type="dxa"/>
                  <w:vMerge w:val="restart"/>
                  <w:noWrap w:val="0"/>
                  <w:vAlign w:val="center"/>
                </w:tcPr>
                <w:p w14:paraId="4C6DD60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大气污染物</w:t>
                  </w:r>
                </w:p>
              </w:tc>
              <w:tc>
                <w:tcPr>
                  <w:tcW w:w="1233" w:type="dxa"/>
                  <w:noWrap w:val="0"/>
                  <w:vAlign w:val="center"/>
                </w:tcPr>
                <w:p w14:paraId="2644FDF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砂子、石子装卸扬尘、堆存产生的粉尘</w:t>
                  </w:r>
                </w:p>
              </w:tc>
              <w:tc>
                <w:tcPr>
                  <w:tcW w:w="877" w:type="dxa"/>
                  <w:noWrap w:val="0"/>
                  <w:vAlign w:val="center"/>
                </w:tcPr>
                <w:p w14:paraId="2D19D12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eastAsia" w:cs="Times New Roman"/>
                      <w:lang w:val="en-US" w:eastAsia="zh-CN"/>
                    </w:rPr>
                    <w:t>颗粒物</w:t>
                  </w:r>
                </w:p>
              </w:tc>
              <w:tc>
                <w:tcPr>
                  <w:tcW w:w="1265" w:type="dxa"/>
                  <w:noWrap w:val="0"/>
                  <w:vAlign w:val="center"/>
                </w:tcPr>
                <w:p w14:paraId="699ED6F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全封闭彩钢棚，</w:t>
                  </w:r>
                  <w:r>
                    <w:rPr>
                      <w:rFonts w:hint="default" w:ascii="Times New Roman" w:hAnsi="Times New Roman" w:cs="Times New Roman"/>
                      <w:lang w:eastAsia="zh-CN"/>
                    </w:rPr>
                    <w:t>设置喷淋</w:t>
                  </w:r>
                  <w:r>
                    <w:rPr>
                      <w:rFonts w:hint="default" w:ascii="Times New Roman" w:hAnsi="Times New Roman" w:cs="Times New Roman"/>
                    </w:rPr>
                    <w:t>洒水</w:t>
                  </w:r>
                  <w:r>
                    <w:rPr>
                      <w:rFonts w:hint="default" w:ascii="Times New Roman" w:hAnsi="Times New Roman" w:cs="Times New Roman"/>
                      <w:lang w:eastAsia="zh-CN"/>
                    </w:rPr>
                    <w:t>系统</w:t>
                  </w:r>
                  <w:r>
                    <w:rPr>
                      <w:rFonts w:hint="default" w:ascii="Times New Roman" w:hAnsi="Times New Roman" w:cs="Times New Roman"/>
                    </w:rPr>
                    <w:t>抑尘</w:t>
                  </w:r>
                </w:p>
              </w:tc>
              <w:tc>
                <w:tcPr>
                  <w:tcW w:w="1066" w:type="dxa"/>
                  <w:noWrap w:val="0"/>
                  <w:vAlign w:val="center"/>
                </w:tcPr>
                <w:p w14:paraId="77381E5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无组织</w:t>
                  </w:r>
                </w:p>
              </w:tc>
              <w:tc>
                <w:tcPr>
                  <w:tcW w:w="1322" w:type="dxa"/>
                  <w:noWrap w:val="0"/>
                  <w:vAlign w:val="center"/>
                </w:tcPr>
                <w:p w14:paraId="4FE7171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0.5mg/</w:t>
                  </w:r>
                  <w:r>
                    <w:rPr>
                      <w:rFonts w:hint="default" w:ascii="Times New Roman" w:hAnsi="Times New Roman" w:cs="Times New Roman"/>
                      <w:lang w:eastAsia="zh-CN"/>
                    </w:rPr>
                    <w:t>m³</w:t>
                  </w:r>
                </w:p>
              </w:tc>
              <w:tc>
                <w:tcPr>
                  <w:tcW w:w="1737" w:type="dxa"/>
                  <w:noWrap w:val="0"/>
                  <w:vAlign w:val="center"/>
                </w:tcPr>
                <w:p w14:paraId="6F64CA7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《水泥工业大气污染物排放标准》（GB4915-2013）表3浓度限值要求</w:t>
                  </w:r>
                </w:p>
              </w:tc>
            </w:tr>
            <w:tr w14:paraId="7B3AD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4" w:hRule="atLeast"/>
              </w:trPr>
              <w:tc>
                <w:tcPr>
                  <w:tcW w:w="475" w:type="dxa"/>
                  <w:vMerge w:val="continue"/>
                  <w:noWrap w:val="0"/>
                  <w:vAlign w:val="center"/>
                </w:tcPr>
                <w:p w14:paraId="72A969B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p>
              </w:tc>
              <w:tc>
                <w:tcPr>
                  <w:tcW w:w="1233" w:type="dxa"/>
                  <w:noWrap w:val="0"/>
                  <w:vAlign w:val="center"/>
                </w:tcPr>
                <w:p w14:paraId="247C0A1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val="en-US"/>
                    </w:rPr>
                  </w:pPr>
                  <w:r>
                    <w:rPr>
                      <w:rFonts w:hint="default" w:ascii="Times New Roman" w:hAnsi="Times New Roman" w:cs="Times New Roman"/>
                      <w:lang w:val="en-US" w:eastAsia="zh-CN"/>
                    </w:rPr>
                    <w:t>水泥、粉煤灰、筒仓仓顶呼吸孔粉尘</w:t>
                  </w:r>
                </w:p>
              </w:tc>
              <w:tc>
                <w:tcPr>
                  <w:tcW w:w="877" w:type="dxa"/>
                  <w:noWrap w:val="0"/>
                  <w:vAlign w:val="center"/>
                </w:tcPr>
                <w:p w14:paraId="075A511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eastAsia" w:cs="Times New Roman"/>
                      <w:lang w:val="en-US" w:eastAsia="zh-CN"/>
                    </w:rPr>
                    <w:t>颗粒物</w:t>
                  </w:r>
                </w:p>
              </w:tc>
              <w:tc>
                <w:tcPr>
                  <w:tcW w:w="1265" w:type="dxa"/>
                  <w:noWrap w:val="0"/>
                  <w:vAlign w:val="center"/>
                </w:tcPr>
                <w:p w14:paraId="14FB862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袋式收尘器后排放，除尘效率99</w:t>
                  </w:r>
                  <w:r>
                    <w:rPr>
                      <w:rFonts w:hint="default" w:ascii="Times New Roman" w:hAnsi="Times New Roman" w:cs="Times New Roman"/>
                      <w:lang w:val="en-US" w:eastAsia="zh-CN"/>
                    </w:rPr>
                    <w:t>.</w:t>
                  </w:r>
                  <w:r>
                    <w:rPr>
                      <w:rFonts w:hint="default" w:ascii="Times New Roman" w:hAnsi="Times New Roman" w:cs="Times New Roman"/>
                    </w:rPr>
                    <w:t>7%</w:t>
                  </w:r>
                </w:p>
              </w:tc>
              <w:tc>
                <w:tcPr>
                  <w:tcW w:w="1066" w:type="dxa"/>
                  <w:noWrap w:val="0"/>
                  <w:vAlign w:val="center"/>
                </w:tcPr>
                <w:p w14:paraId="2190B3C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color w:val="0000FF"/>
                      <w:lang w:val="en-US"/>
                    </w:rPr>
                  </w:pPr>
                  <w:r>
                    <w:rPr>
                      <w:rFonts w:hint="default" w:ascii="Times New Roman" w:hAnsi="Times New Roman" w:cs="Times New Roman"/>
                      <w:color w:val="0000FF"/>
                      <w:lang w:val="en-US" w:eastAsia="zh-CN"/>
                    </w:rPr>
                    <w:t>筒仓仓顶</w:t>
                  </w:r>
                  <w:r>
                    <w:rPr>
                      <w:rFonts w:hint="eastAsia" w:cs="Times New Roman"/>
                      <w:color w:val="0000FF"/>
                      <w:lang w:val="en-US" w:eastAsia="zh-CN"/>
                    </w:rPr>
                    <w:t>无组织</w:t>
                  </w:r>
                  <w:r>
                    <w:rPr>
                      <w:rFonts w:hint="eastAsia" w:ascii="Times New Roman" w:hAnsi="Times New Roman" w:cs="Times New Roman"/>
                      <w:color w:val="0000FF"/>
                      <w:lang w:val="en-US" w:eastAsia="zh-CN"/>
                    </w:rPr>
                    <w:t>逸散</w:t>
                  </w:r>
                </w:p>
              </w:tc>
              <w:tc>
                <w:tcPr>
                  <w:tcW w:w="1322" w:type="dxa"/>
                  <w:noWrap w:val="0"/>
                  <w:vAlign w:val="center"/>
                </w:tcPr>
                <w:p w14:paraId="18D5D2D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宋体" w:cs="Times New Roman"/>
                      <w:color w:val="0000FF"/>
                      <w:lang w:eastAsia="zh-CN"/>
                    </w:rPr>
                  </w:pPr>
                  <w:r>
                    <w:rPr>
                      <w:rFonts w:hint="eastAsia" w:cs="Times New Roman"/>
                      <w:color w:val="0000FF"/>
                      <w:lang w:val="en-US" w:eastAsia="zh-CN"/>
                    </w:rPr>
                    <w:t>0.5</w:t>
                  </w:r>
                  <w:r>
                    <w:rPr>
                      <w:rFonts w:hint="default" w:ascii="Times New Roman" w:hAnsi="Times New Roman" w:cs="Times New Roman"/>
                      <w:color w:val="0000FF"/>
                    </w:rPr>
                    <w:t>mg/</w:t>
                  </w:r>
                  <w:r>
                    <w:rPr>
                      <w:rFonts w:hint="default" w:ascii="Times New Roman" w:hAnsi="Times New Roman" w:cs="Times New Roman"/>
                      <w:color w:val="0000FF"/>
                      <w:lang w:eastAsia="zh-CN"/>
                    </w:rPr>
                    <w:t>m³</w:t>
                  </w:r>
                </w:p>
              </w:tc>
              <w:tc>
                <w:tcPr>
                  <w:tcW w:w="1737" w:type="dxa"/>
                  <w:noWrap w:val="0"/>
                  <w:vAlign w:val="center"/>
                </w:tcPr>
                <w:p w14:paraId="1B03061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color w:val="0000FF"/>
                    </w:rPr>
                  </w:pPr>
                  <w:r>
                    <w:rPr>
                      <w:rFonts w:hint="default" w:ascii="Times New Roman" w:hAnsi="Times New Roman" w:cs="Times New Roman"/>
                      <w:color w:val="0000FF"/>
                      <w:lang w:val="en-US" w:eastAsia="zh-CN"/>
                    </w:rPr>
                    <w:t>《水泥工业大气污染物排放标准》（GB4915-2013）表3大气污染物无组织排放限值相关要求。</w:t>
                  </w:r>
                </w:p>
              </w:tc>
            </w:tr>
            <w:tr w14:paraId="3DCD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475" w:type="dxa"/>
                  <w:vMerge w:val="continue"/>
                  <w:noWrap w:val="0"/>
                  <w:vAlign w:val="center"/>
                </w:tcPr>
                <w:p w14:paraId="1E1FB75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p>
              </w:tc>
              <w:tc>
                <w:tcPr>
                  <w:tcW w:w="1233" w:type="dxa"/>
                  <w:noWrap w:val="0"/>
                  <w:vAlign w:val="center"/>
                </w:tcPr>
                <w:p w14:paraId="3C913CB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HZS180型商品混凝土搅拌站</w:t>
                  </w:r>
                </w:p>
              </w:tc>
              <w:tc>
                <w:tcPr>
                  <w:tcW w:w="877" w:type="dxa"/>
                  <w:noWrap w:val="0"/>
                  <w:vAlign w:val="center"/>
                </w:tcPr>
                <w:p w14:paraId="0BC6096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eastAsia" w:ascii="Times New Roman" w:hAnsi="Times New Roman" w:eastAsia="宋体" w:cs="Times New Roman"/>
                      <w:lang w:eastAsia="zh-CN"/>
                    </w:rPr>
                  </w:pPr>
                  <w:r>
                    <w:rPr>
                      <w:rFonts w:hint="eastAsia" w:cs="Times New Roman"/>
                      <w:lang w:val="en-US" w:eastAsia="zh-CN"/>
                    </w:rPr>
                    <w:t>颗粒物</w:t>
                  </w:r>
                </w:p>
              </w:tc>
              <w:tc>
                <w:tcPr>
                  <w:tcW w:w="1265" w:type="dxa"/>
                  <w:noWrap w:val="0"/>
                  <w:vAlign w:val="center"/>
                </w:tcPr>
                <w:p w14:paraId="285D712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eastAsia" w:ascii="Times New Roman" w:hAnsi="Times New Roman" w:cs="Times New Roman"/>
                      <w:lang w:val="en-US" w:eastAsia="zh-CN"/>
                    </w:rPr>
                    <w:t>经自带袋式除尘器处理后，由15m高排气筒（DA001）排放</w:t>
                  </w:r>
                </w:p>
              </w:tc>
              <w:tc>
                <w:tcPr>
                  <w:tcW w:w="1066" w:type="dxa"/>
                  <w:noWrap w:val="0"/>
                  <w:vAlign w:val="center"/>
                </w:tcPr>
                <w:p w14:paraId="29BEAC3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有组织</w:t>
                  </w:r>
                </w:p>
              </w:tc>
              <w:tc>
                <w:tcPr>
                  <w:tcW w:w="1322" w:type="dxa"/>
                  <w:noWrap w:val="0"/>
                  <w:vAlign w:val="center"/>
                </w:tcPr>
                <w:p w14:paraId="71DB838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20mg/</w:t>
                  </w:r>
                  <w:r>
                    <w:rPr>
                      <w:rFonts w:hint="default" w:ascii="Times New Roman" w:hAnsi="Times New Roman" w:cs="Times New Roman"/>
                      <w:lang w:eastAsia="zh-CN"/>
                    </w:rPr>
                    <w:t>m³</w:t>
                  </w:r>
                </w:p>
              </w:tc>
              <w:tc>
                <w:tcPr>
                  <w:tcW w:w="1737" w:type="dxa"/>
                  <w:vMerge w:val="restart"/>
                  <w:noWrap w:val="0"/>
                  <w:vAlign w:val="center"/>
                </w:tcPr>
                <w:p w14:paraId="5C2CE01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color w:val="0000FF"/>
                    </w:rPr>
                    <w:t>《水泥工业大气污染物排放标准》（GB4915-2013）表1</w:t>
                  </w:r>
                  <w:r>
                    <w:rPr>
                      <w:rFonts w:hint="default" w:ascii="Times New Roman" w:hAnsi="Times New Roman" w:cs="Times New Roman"/>
                      <w:color w:val="0000FF"/>
                      <w:lang w:val="en-US" w:eastAsia="zh-CN"/>
                    </w:rPr>
                    <w:t>现有与新建企业大气污染物排放限值相关要求</w:t>
                  </w:r>
                </w:p>
              </w:tc>
            </w:tr>
            <w:tr w14:paraId="5C3A9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5" w:type="dxa"/>
                  <w:vMerge w:val="continue"/>
                  <w:noWrap w:val="0"/>
                  <w:vAlign w:val="center"/>
                </w:tcPr>
                <w:p w14:paraId="016EF5A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p>
              </w:tc>
              <w:tc>
                <w:tcPr>
                  <w:tcW w:w="1233" w:type="dxa"/>
                  <w:noWrap w:val="0"/>
                  <w:vAlign w:val="center"/>
                </w:tcPr>
                <w:p w14:paraId="4A8B551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HZS</w:t>
                  </w:r>
                  <w:r>
                    <w:rPr>
                      <w:rFonts w:hint="eastAsia" w:ascii="Times New Roman" w:hAnsi="Times New Roman" w:cs="Times New Roman"/>
                      <w:lang w:val="en-US" w:eastAsia="zh-CN"/>
                    </w:rPr>
                    <w:t>240</w:t>
                  </w:r>
                  <w:r>
                    <w:rPr>
                      <w:rFonts w:hint="default" w:ascii="Times New Roman" w:hAnsi="Times New Roman" w:cs="Times New Roman"/>
                      <w:lang w:val="en-US" w:eastAsia="zh-CN"/>
                    </w:rPr>
                    <w:t>型商品混凝土搅拌站物料搅拌混合废气</w:t>
                  </w:r>
                </w:p>
              </w:tc>
              <w:tc>
                <w:tcPr>
                  <w:tcW w:w="877" w:type="dxa"/>
                  <w:noWrap w:val="0"/>
                  <w:vAlign w:val="center"/>
                </w:tcPr>
                <w:p w14:paraId="114691C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p>
              </w:tc>
              <w:tc>
                <w:tcPr>
                  <w:tcW w:w="1265" w:type="dxa"/>
                  <w:noWrap w:val="0"/>
                  <w:vAlign w:val="center"/>
                </w:tcPr>
                <w:p w14:paraId="2DE57B7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eastAsia" w:ascii="Times New Roman" w:hAnsi="Times New Roman" w:cs="Times New Roman"/>
                      <w:lang w:val="en-US" w:eastAsia="zh-CN"/>
                    </w:rPr>
                    <w:t>经自带袋式除尘器处理后，由15m高排气筒（DA002）排放</w:t>
                  </w:r>
                </w:p>
              </w:tc>
              <w:tc>
                <w:tcPr>
                  <w:tcW w:w="1066" w:type="dxa"/>
                  <w:noWrap w:val="0"/>
                  <w:vAlign w:val="center"/>
                </w:tcPr>
                <w:p w14:paraId="7563DE4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有组织</w:t>
                  </w:r>
                </w:p>
              </w:tc>
              <w:tc>
                <w:tcPr>
                  <w:tcW w:w="1322" w:type="dxa"/>
                  <w:noWrap w:val="0"/>
                  <w:vAlign w:val="center"/>
                </w:tcPr>
                <w:p w14:paraId="4D0A3A2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20mg/</w:t>
                  </w:r>
                  <w:r>
                    <w:rPr>
                      <w:rFonts w:hint="default" w:ascii="Times New Roman" w:hAnsi="Times New Roman" w:cs="Times New Roman"/>
                      <w:lang w:eastAsia="zh-CN"/>
                    </w:rPr>
                    <w:t>m³</w:t>
                  </w:r>
                </w:p>
              </w:tc>
              <w:tc>
                <w:tcPr>
                  <w:tcW w:w="1737" w:type="dxa"/>
                  <w:vMerge w:val="continue"/>
                  <w:noWrap w:val="0"/>
                  <w:vAlign w:val="center"/>
                </w:tcPr>
                <w:p w14:paraId="0192CF5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p>
              </w:tc>
            </w:tr>
            <w:tr w14:paraId="4AD5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trPr>
              <w:tc>
                <w:tcPr>
                  <w:tcW w:w="475" w:type="dxa"/>
                  <w:vMerge w:val="restart"/>
                  <w:noWrap w:val="0"/>
                  <w:vAlign w:val="center"/>
                </w:tcPr>
                <w:p w14:paraId="738CE12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水</w:t>
                  </w:r>
                </w:p>
              </w:tc>
              <w:tc>
                <w:tcPr>
                  <w:tcW w:w="1233" w:type="dxa"/>
                  <w:noWrap w:val="0"/>
                  <w:vAlign w:val="center"/>
                </w:tcPr>
                <w:p w14:paraId="7509FD3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eastAsia="宋体" w:cs="Times New Roman"/>
                      <w:color w:val="auto"/>
                      <w:szCs w:val="21"/>
                      <w:highlight w:val="none"/>
                      <w:lang w:val="en-US" w:eastAsia="zh-CN"/>
                    </w:rPr>
                    <w:t>搅拌机清洗废水、</w:t>
                  </w:r>
                  <w:r>
                    <w:rPr>
                      <w:rFonts w:hint="eastAsia" w:cs="Times New Roman"/>
                      <w:color w:val="auto"/>
                      <w:szCs w:val="21"/>
                      <w:highlight w:val="none"/>
                      <w:lang w:val="en-US" w:eastAsia="zh-CN"/>
                    </w:rPr>
                    <w:t>罐车</w:t>
                  </w:r>
                  <w:r>
                    <w:rPr>
                      <w:rFonts w:hint="default" w:ascii="Times New Roman" w:hAnsi="Times New Roman" w:eastAsia="宋体" w:cs="Times New Roman"/>
                      <w:color w:val="auto"/>
                      <w:szCs w:val="21"/>
                      <w:highlight w:val="none"/>
                      <w:lang w:val="en-US" w:eastAsia="zh-CN"/>
                    </w:rPr>
                    <w:t>清洗废水</w:t>
                  </w:r>
                </w:p>
              </w:tc>
              <w:tc>
                <w:tcPr>
                  <w:tcW w:w="877" w:type="dxa"/>
                  <w:noWrap w:val="0"/>
                  <w:vAlign w:val="center"/>
                </w:tcPr>
                <w:p w14:paraId="0ECC21B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val="en-US"/>
                    </w:rPr>
                  </w:pPr>
                  <w:r>
                    <w:rPr>
                      <w:rFonts w:hint="default" w:ascii="Times New Roman" w:hAnsi="Times New Roman" w:cs="Times New Roman"/>
                    </w:rPr>
                    <w:t>SS</w:t>
                  </w:r>
                </w:p>
              </w:tc>
              <w:tc>
                <w:tcPr>
                  <w:tcW w:w="5390" w:type="dxa"/>
                  <w:gridSpan w:val="4"/>
                  <w:noWrap w:val="0"/>
                  <w:vAlign w:val="center"/>
                </w:tcPr>
                <w:p w14:paraId="1FDA1D3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经沉淀池沉淀后，回用生产工序</w:t>
                  </w:r>
                  <w:r>
                    <w:rPr>
                      <w:rFonts w:hint="default" w:ascii="Times New Roman" w:hAnsi="Times New Roman" w:cs="Times New Roman"/>
                      <w:lang w:eastAsia="zh-CN"/>
                    </w:rPr>
                    <w:t>。</w:t>
                  </w:r>
                </w:p>
              </w:tc>
            </w:tr>
            <w:tr w14:paraId="182A2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5" w:type="dxa"/>
                  <w:vMerge w:val="continue"/>
                  <w:noWrap w:val="0"/>
                  <w:vAlign w:val="center"/>
                </w:tcPr>
                <w:p w14:paraId="4FDA4E5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p>
              </w:tc>
              <w:tc>
                <w:tcPr>
                  <w:tcW w:w="1233" w:type="dxa"/>
                  <w:noWrap w:val="0"/>
                  <w:vAlign w:val="center"/>
                </w:tcPr>
                <w:p w14:paraId="6543911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生活污水</w:t>
                  </w:r>
                </w:p>
              </w:tc>
              <w:tc>
                <w:tcPr>
                  <w:tcW w:w="877" w:type="dxa"/>
                  <w:noWrap w:val="0"/>
                  <w:vAlign w:val="center"/>
                </w:tcPr>
                <w:p w14:paraId="7E5332C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lang w:val="en-US" w:eastAsia="zh-CN"/>
                    </w:rPr>
                    <w:t>pH、</w:t>
                  </w:r>
                  <w:r>
                    <w:rPr>
                      <w:rFonts w:hint="default" w:ascii="Times New Roman" w:hAnsi="Times New Roman" w:cs="Times New Roman"/>
                    </w:rPr>
                    <w:t>SS、COD</w:t>
                  </w:r>
                </w:p>
                <w:p w14:paraId="1B429E6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BOD</w:t>
                  </w:r>
                  <w:r>
                    <w:rPr>
                      <w:rFonts w:hint="default" w:ascii="Times New Roman" w:hAnsi="Times New Roman" w:cs="Times New Roman"/>
                      <w:vertAlign w:val="subscript"/>
                    </w:rPr>
                    <w:t>5</w:t>
                  </w:r>
                  <w:r>
                    <w:rPr>
                      <w:rFonts w:hint="default" w:ascii="Times New Roman" w:hAnsi="Times New Roman" w:cs="Times New Roman"/>
                    </w:rPr>
                    <w:t>、氨氮</w:t>
                  </w:r>
                </w:p>
              </w:tc>
              <w:tc>
                <w:tcPr>
                  <w:tcW w:w="3653" w:type="dxa"/>
                  <w:gridSpan w:val="3"/>
                  <w:noWrap w:val="0"/>
                  <w:vAlign w:val="center"/>
                </w:tcPr>
                <w:p w14:paraId="6385FDA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宋体" w:cs="Times New Roman"/>
                      <w:color w:val="0000FF"/>
                      <w:szCs w:val="21"/>
                      <w:highlight w:val="none"/>
                      <w:lang w:val="en-US" w:eastAsia="zh-CN"/>
                    </w:rPr>
                  </w:pPr>
                  <w:r>
                    <w:rPr>
                      <w:rFonts w:hint="default" w:ascii="Times New Roman" w:hAnsi="Times New Roman" w:eastAsia="宋体" w:cs="Times New Roman"/>
                      <w:color w:val="0000FF"/>
                      <w:szCs w:val="21"/>
                      <w:highlight w:val="none"/>
                      <w:lang w:val="en-US" w:eastAsia="zh-CN"/>
                    </w:rPr>
                    <w:t>新建一座10m³防渗化粪池，</w:t>
                  </w:r>
                  <w:r>
                    <w:rPr>
                      <w:rFonts w:hint="eastAsia" w:cs="Times New Roman"/>
                      <w:color w:val="0000FF"/>
                      <w:szCs w:val="21"/>
                      <w:highlight w:val="none"/>
                      <w:lang w:val="en-US" w:eastAsia="zh-CN"/>
                    </w:rPr>
                    <w:t>经化粪池收集后，定</w:t>
                  </w:r>
                  <w:r>
                    <w:rPr>
                      <w:rFonts w:hint="default" w:ascii="Times New Roman" w:hAnsi="Times New Roman" w:eastAsia="宋体" w:cs="Times New Roman"/>
                      <w:color w:val="0000FF"/>
                      <w:szCs w:val="21"/>
                      <w:highlight w:val="none"/>
                      <w:lang w:val="en-US" w:eastAsia="zh-CN"/>
                    </w:rPr>
                    <w:t>期</w:t>
                  </w:r>
                  <w:r>
                    <w:rPr>
                      <w:rFonts w:hint="eastAsia" w:cs="Times New Roman"/>
                      <w:color w:val="0000FF"/>
                      <w:szCs w:val="21"/>
                      <w:highlight w:val="none"/>
                      <w:lang w:val="en-US" w:eastAsia="zh-CN"/>
                    </w:rPr>
                    <w:t>交由伊金霍洛旗澎源供水有限公司进行拉运处理。</w:t>
                  </w:r>
                </w:p>
              </w:tc>
              <w:tc>
                <w:tcPr>
                  <w:tcW w:w="1737" w:type="dxa"/>
                  <w:noWrap w:val="0"/>
                  <w:vAlign w:val="center"/>
                </w:tcPr>
                <w:p w14:paraId="5AF805E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宋体" w:cs="Times New Roman"/>
                      <w:color w:val="0000FF"/>
                      <w:szCs w:val="21"/>
                      <w:highlight w:val="none"/>
                      <w:lang w:val="en-US" w:eastAsia="zh-CN"/>
                    </w:rPr>
                  </w:pPr>
                  <w:r>
                    <w:rPr>
                      <w:rFonts w:hint="eastAsia" w:cs="Times New Roman"/>
                      <w:color w:val="0000FF"/>
                      <w:szCs w:val="21"/>
                      <w:highlight w:val="none"/>
                      <w:lang w:val="en-US" w:eastAsia="zh-CN"/>
                    </w:rPr>
                    <w:t>《污水综合排放标准》（GB8978-1996）中三级标准</w:t>
                  </w:r>
                </w:p>
              </w:tc>
            </w:tr>
            <w:tr w14:paraId="79C6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5" w:type="dxa"/>
                  <w:noWrap w:val="0"/>
                  <w:vAlign w:val="center"/>
                </w:tcPr>
                <w:p w14:paraId="159ECF1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噪声</w:t>
                  </w:r>
                </w:p>
              </w:tc>
              <w:tc>
                <w:tcPr>
                  <w:tcW w:w="1233" w:type="dxa"/>
                  <w:noWrap w:val="0"/>
                  <w:vAlign w:val="center"/>
                </w:tcPr>
                <w:p w14:paraId="2BD756A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设备</w:t>
                  </w:r>
                </w:p>
              </w:tc>
              <w:tc>
                <w:tcPr>
                  <w:tcW w:w="877" w:type="dxa"/>
                  <w:noWrap w:val="0"/>
                  <w:vAlign w:val="center"/>
                </w:tcPr>
                <w:p w14:paraId="3FF635F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噪声</w:t>
                  </w:r>
                </w:p>
              </w:tc>
              <w:tc>
                <w:tcPr>
                  <w:tcW w:w="3653" w:type="dxa"/>
                  <w:gridSpan w:val="3"/>
                  <w:noWrap w:val="0"/>
                  <w:vAlign w:val="center"/>
                </w:tcPr>
                <w:p w14:paraId="38D231A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eastAsia="宋体" w:cs="Times New Roman"/>
                      <w:color w:val="auto"/>
                      <w:szCs w:val="21"/>
                      <w:highlight w:val="none"/>
                      <w:lang w:val="en-US" w:eastAsia="zh-CN"/>
                    </w:rPr>
                    <w:t>采用减振、消声、隔音等措施。</w:t>
                  </w:r>
                </w:p>
              </w:tc>
              <w:tc>
                <w:tcPr>
                  <w:tcW w:w="1737" w:type="dxa"/>
                  <w:noWrap w:val="0"/>
                  <w:vAlign w:val="center"/>
                </w:tcPr>
                <w:p w14:paraId="1D2DD0E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《工业企业厂界环境噪声排放标准》</w:t>
                  </w:r>
                  <w:r>
                    <w:rPr>
                      <w:rFonts w:hint="eastAsia" w:cs="Times New Roman"/>
                      <w:lang w:val="en-US" w:eastAsia="zh-CN"/>
                    </w:rPr>
                    <w:t>3</w:t>
                  </w:r>
                  <w:r>
                    <w:rPr>
                      <w:rFonts w:hint="default" w:ascii="Times New Roman" w:hAnsi="Times New Roman" w:cs="Times New Roman"/>
                    </w:rPr>
                    <w:t>类标准</w:t>
                  </w:r>
                </w:p>
              </w:tc>
            </w:tr>
            <w:tr w14:paraId="246F2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4" w:hRule="atLeast"/>
              </w:trPr>
              <w:tc>
                <w:tcPr>
                  <w:tcW w:w="475" w:type="dxa"/>
                  <w:vMerge w:val="restart"/>
                  <w:noWrap w:val="0"/>
                  <w:vAlign w:val="center"/>
                </w:tcPr>
                <w:p w14:paraId="12BDAE4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eastAsia="zh-CN"/>
                    </w:rPr>
                  </w:pPr>
                  <w:r>
                    <w:rPr>
                      <w:rFonts w:hint="default" w:ascii="Times New Roman" w:hAnsi="Times New Roman" w:cs="Times New Roman"/>
                      <w:lang w:eastAsia="zh-CN"/>
                    </w:rPr>
                    <w:t>固体废物</w:t>
                  </w:r>
                </w:p>
              </w:tc>
              <w:tc>
                <w:tcPr>
                  <w:tcW w:w="1233" w:type="dxa"/>
                  <w:noWrap w:val="0"/>
                  <w:vAlign w:val="center"/>
                </w:tcPr>
                <w:p w14:paraId="0228307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除尘器</w:t>
                  </w:r>
                </w:p>
              </w:tc>
              <w:tc>
                <w:tcPr>
                  <w:tcW w:w="877" w:type="dxa"/>
                  <w:noWrap w:val="0"/>
                  <w:vAlign w:val="center"/>
                </w:tcPr>
                <w:p w14:paraId="66FFBEB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lang w:eastAsia="zh-CN"/>
                    </w:rPr>
                    <w:t>除尘灰</w:t>
                  </w:r>
                </w:p>
              </w:tc>
              <w:tc>
                <w:tcPr>
                  <w:tcW w:w="3653" w:type="dxa"/>
                  <w:gridSpan w:val="3"/>
                  <w:vMerge w:val="restart"/>
                  <w:noWrap w:val="0"/>
                  <w:vAlign w:val="center"/>
                </w:tcPr>
                <w:p w14:paraId="567111A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rPr>
                    <w:t>返回生产工序回用</w:t>
                  </w:r>
                </w:p>
              </w:tc>
              <w:tc>
                <w:tcPr>
                  <w:tcW w:w="1737" w:type="dxa"/>
                  <w:vMerge w:val="restart"/>
                  <w:noWrap w:val="0"/>
                  <w:vAlign w:val="center"/>
                </w:tcPr>
                <w:p w14:paraId="51E69B0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《一般工业固体废物贮存和填埋</w:t>
                  </w:r>
                </w:p>
                <w:p w14:paraId="69A9DCF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污染控制标准》GB18599-2020</w:t>
                  </w:r>
                </w:p>
              </w:tc>
            </w:tr>
            <w:tr w14:paraId="76B01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475" w:type="dxa"/>
                  <w:vMerge w:val="continue"/>
                  <w:noWrap w:val="0"/>
                  <w:vAlign w:val="center"/>
                </w:tcPr>
                <w:p w14:paraId="46FBC93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eastAsia="zh-CN"/>
                    </w:rPr>
                  </w:pPr>
                </w:p>
              </w:tc>
              <w:tc>
                <w:tcPr>
                  <w:tcW w:w="1233" w:type="dxa"/>
                  <w:noWrap w:val="0"/>
                  <w:vAlign w:val="center"/>
                </w:tcPr>
                <w:p w14:paraId="2A893DB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eastAsia="zh-CN"/>
                    </w:rPr>
                  </w:pPr>
                  <w:r>
                    <w:rPr>
                      <w:rFonts w:hint="default" w:ascii="Times New Roman" w:hAnsi="Times New Roman" w:cs="Times New Roman"/>
                      <w:lang w:eastAsia="zh-CN"/>
                    </w:rPr>
                    <w:t>沉淀池</w:t>
                  </w:r>
                </w:p>
              </w:tc>
              <w:tc>
                <w:tcPr>
                  <w:tcW w:w="877" w:type="dxa"/>
                  <w:noWrap w:val="0"/>
                  <w:vAlign w:val="center"/>
                </w:tcPr>
                <w:p w14:paraId="5257821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eastAsia="zh-CN"/>
                    </w:rPr>
                  </w:pPr>
                  <w:r>
                    <w:rPr>
                      <w:rFonts w:hint="default" w:ascii="Times New Roman" w:hAnsi="Times New Roman" w:cs="Times New Roman"/>
                      <w:lang w:eastAsia="zh-CN"/>
                    </w:rPr>
                    <w:t>底泥</w:t>
                  </w:r>
                </w:p>
              </w:tc>
              <w:tc>
                <w:tcPr>
                  <w:tcW w:w="3653" w:type="dxa"/>
                  <w:gridSpan w:val="3"/>
                  <w:vMerge w:val="continue"/>
                  <w:noWrap w:val="0"/>
                  <w:vAlign w:val="center"/>
                </w:tcPr>
                <w:p w14:paraId="4A564E7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val="en-US" w:eastAsia="zh-CN"/>
                    </w:rPr>
                  </w:pPr>
                </w:p>
              </w:tc>
              <w:tc>
                <w:tcPr>
                  <w:tcW w:w="1737" w:type="dxa"/>
                  <w:vMerge w:val="continue"/>
                  <w:noWrap w:val="0"/>
                  <w:vAlign w:val="center"/>
                </w:tcPr>
                <w:p w14:paraId="326992C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p>
              </w:tc>
            </w:tr>
            <w:tr w14:paraId="2EF87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trPr>
              <w:tc>
                <w:tcPr>
                  <w:tcW w:w="475" w:type="dxa"/>
                  <w:vMerge w:val="continue"/>
                  <w:noWrap w:val="0"/>
                  <w:vAlign w:val="center"/>
                </w:tcPr>
                <w:p w14:paraId="4D42F06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p>
              </w:tc>
              <w:tc>
                <w:tcPr>
                  <w:tcW w:w="1233" w:type="dxa"/>
                  <w:noWrap w:val="0"/>
                  <w:vAlign w:val="center"/>
                </w:tcPr>
                <w:p w14:paraId="317D63C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rPr>
                    <w:t>办公生活</w:t>
                  </w:r>
                </w:p>
              </w:tc>
              <w:tc>
                <w:tcPr>
                  <w:tcW w:w="877" w:type="dxa"/>
                  <w:noWrap w:val="0"/>
                  <w:vAlign w:val="center"/>
                </w:tcPr>
                <w:p w14:paraId="60E577E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rPr>
                    <w:t>生活垃圾</w:t>
                  </w:r>
                </w:p>
              </w:tc>
              <w:tc>
                <w:tcPr>
                  <w:tcW w:w="5390" w:type="dxa"/>
                  <w:gridSpan w:val="4"/>
                  <w:noWrap w:val="0"/>
                  <w:vAlign w:val="center"/>
                </w:tcPr>
                <w:p w14:paraId="36015A2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宋体" w:cs="Times New Roman"/>
                      <w:lang w:val="en-US" w:eastAsia="zh-CN"/>
                    </w:rPr>
                  </w:pPr>
                  <w:r>
                    <w:rPr>
                      <w:rFonts w:hint="default" w:ascii="Times New Roman" w:hAnsi="Times New Roman" w:cs="Times New Roman"/>
                    </w:rPr>
                    <w:t>厂区内设垃圾箱，定期由环卫部门</w:t>
                  </w:r>
                  <w:r>
                    <w:rPr>
                      <w:rFonts w:hint="default" w:ascii="Times New Roman" w:hAnsi="Times New Roman" w:cs="Times New Roman"/>
                      <w:lang w:eastAsia="zh-CN"/>
                    </w:rPr>
                    <w:t>进行</w:t>
                  </w:r>
                  <w:r>
                    <w:rPr>
                      <w:rFonts w:hint="default" w:ascii="Times New Roman" w:hAnsi="Times New Roman" w:cs="Times New Roman"/>
                    </w:rPr>
                    <w:t>清理</w:t>
                  </w:r>
                  <w:r>
                    <w:rPr>
                      <w:rFonts w:hint="default" w:ascii="Times New Roman" w:hAnsi="Times New Roman" w:cs="Times New Roman"/>
                      <w:lang w:eastAsia="zh-CN"/>
                    </w:rPr>
                    <w:t>。</w:t>
                  </w:r>
                </w:p>
              </w:tc>
            </w:tr>
            <w:tr w14:paraId="7DA75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trPr>
              <w:tc>
                <w:tcPr>
                  <w:tcW w:w="475" w:type="dxa"/>
                  <w:vMerge w:val="continue"/>
                  <w:noWrap w:val="0"/>
                  <w:vAlign w:val="center"/>
                </w:tcPr>
                <w:p w14:paraId="02B9275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p>
              </w:tc>
              <w:tc>
                <w:tcPr>
                  <w:tcW w:w="1233" w:type="dxa"/>
                  <w:noWrap w:val="0"/>
                  <w:vAlign w:val="center"/>
                </w:tcPr>
                <w:p w14:paraId="1F6CBB8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宋体" w:cs="Times New Roman"/>
                      <w:lang w:val="en-US" w:eastAsia="zh-CN"/>
                    </w:rPr>
                  </w:pPr>
                  <w:r>
                    <w:rPr>
                      <w:rFonts w:hint="eastAsia" w:cs="Times New Roman"/>
                      <w:lang w:val="en-US" w:eastAsia="zh-CN"/>
                    </w:rPr>
                    <w:t>设备维修</w:t>
                  </w:r>
                </w:p>
              </w:tc>
              <w:tc>
                <w:tcPr>
                  <w:tcW w:w="877" w:type="dxa"/>
                  <w:noWrap w:val="0"/>
                  <w:vAlign w:val="center"/>
                </w:tcPr>
                <w:p w14:paraId="1E0135D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eastAsia" w:cs="Times New Roman"/>
                      <w:color w:val="auto"/>
                      <w:szCs w:val="21"/>
                      <w:highlight w:val="none"/>
                      <w:lang w:val="en-US" w:eastAsia="zh-CN"/>
                    </w:rPr>
                    <w:t>废矿物油及废油桶</w:t>
                  </w:r>
                </w:p>
              </w:tc>
              <w:tc>
                <w:tcPr>
                  <w:tcW w:w="3653" w:type="dxa"/>
                  <w:gridSpan w:val="3"/>
                  <w:noWrap w:val="0"/>
                  <w:vAlign w:val="center"/>
                </w:tcPr>
                <w:p w14:paraId="7E98E12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设备维修运营过程中产生的危险废物废矿物油及废油桶暂存于新建的</w:t>
                  </w:r>
                  <w:r>
                    <w:rPr>
                      <w:rFonts w:hint="eastAsia" w:cs="Times New Roman"/>
                      <w:lang w:val="en-US" w:eastAsia="zh-CN"/>
                    </w:rPr>
                    <w:t>10㎡</w:t>
                  </w:r>
                  <w:r>
                    <w:rPr>
                      <w:rFonts w:hint="default" w:ascii="Times New Roman" w:hAnsi="Times New Roman" w:cs="Times New Roman"/>
                      <w:lang w:val="en-US" w:eastAsia="zh-CN"/>
                    </w:rPr>
                    <w:t>危废库中，定期交由有资质单位进行处置。</w:t>
                  </w:r>
                </w:p>
              </w:tc>
              <w:tc>
                <w:tcPr>
                  <w:tcW w:w="1737" w:type="dxa"/>
                  <w:noWrap w:val="0"/>
                  <w:vAlign w:val="center"/>
                </w:tcPr>
                <w:p w14:paraId="70029F6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lang w:val="en-US" w:eastAsia="zh-CN"/>
                    </w:rPr>
                  </w:pPr>
                  <w:r>
                    <w:rPr>
                      <w:rFonts w:hint="default" w:ascii="Times New Roman" w:hAnsi="Times New Roman" w:eastAsia="宋体" w:cs="Times New Roman"/>
                      <w:color w:val="auto"/>
                      <w:szCs w:val="21"/>
                      <w:highlight w:val="none"/>
                      <w:lang w:val="en-US" w:eastAsia="zh-CN"/>
                    </w:rPr>
                    <w:t>《危险废物贮存污染控制标准》（GB18597-2023）</w:t>
                  </w:r>
                </w:p>
              </w:tc>
            </w:tr>
            <w:tr w14:paraId="440E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475" w:type="dxa"/>
                  <w:noWrap w:val="0"/>
                  <w:vAlign w:val="center"/>
                </w:tcPr>
                <w:p w14:paraId="0C330A6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环境</w:t>
                  </w:r>
                </w:p>
                <w:p w14:paraId="5E26FDE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管理</w:t>
                  </w:r>
                </w:p>
              </w:tc>
              <w:tc>
                <w:tcPr>
                  <w:tcW w:w="7500" w:type="dxa"/>
                  <w:gridSpan w:val="6"/>
                  <w:noWrap w:val="0"/>
                  <w:vAlign w:val="center"/>
                </w:tcPr>
                <w:p w14:paraId="56A6385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rPr>
                    <w:t>配备专职环保人员，建立环保设施运行、维护台账。</w:t>
                  </w:r>
                </w:p>
              </w:tc>
            </w:tr>
          </w:tbl>
          <w:p w14:paraId="690A258C">
            <w:pPr>
              <w:bidi w:val="0"/>
              <w:rPr>
                <w:rFonts w:hint="default" w:ascii="Times New Roman" w:hAnsi="Times New Roman" w:cs="Times New Roman"/>
                <w:b/>
                <w:bCs/>
              </w:rPr>
            </w:pPr>
            <w:r>
              <w:rPr>
                <w:rFonts w:hint="default" w:ascii="Times New Roman" w:hAnsi="Times New Roman" w:cs="Times New Roman"/>
                <w:b/>
                <w:bCs/>
                <w:lang w:val="en-US" w:eastAsia="zh-CN"/>
              </w:rPr>
              <w:t>八、建设</w:t>
            </w:r>
            <w:r>
              <w:rPr>
                <w:rFonts w:hint="default" w:ascii="Times New Roman" w:hAnsi="Times New Roman" w:cs="Times New Roman"/>
                <w:b/>
                <w:bCs/>
              </w:rPr>
              <w:t>项目环保投资</w:t>
            </w:r>
            <w:r>
              <w:rPr>
                <w:rFonts w:hint="default" w:ascii="Times New Roman" w:hAnsi="Times New Roman" w:cs="Times New Roman"/>
                <w:b/>
                <w:bCs/>
                <w:lang w:eastAsia="zh-CN"/>
              </w:rPr>
              <w:t>估算</w:t>
            </w:r>
            <w:r>
              <w:rPr>
                <w:rFonts w:hint="default" w:ascii="Times New Roman" w:hAnsi="Times New Roman" w:cs="Times New Roman"/>
                <w:b/>
                <w:bCs/>
              </w:rPr>
              <w:t>一览表</w:t>
            </w:r>
          </w:p>
          <w:p w14:paraId="33BA1219">
            <w:pPr>
              <w:bidi w:val="0"/>
              <w:rPr>
                <w:rFonts w:hint="default" w:ascii="Times New Roman" w:hAnsi="Times New Roman" w:cs="Times New Roman"/>
                <w:color w:val="0000FF"/>
                <w:lang w:val="en-US" w:eastAsia="zh-CN"/>
              </w:rPr>
            </w:pPr>
            <w:r>
              <w:rPr>
                <w:rFonts w:hint="default" w:ascii="Times New Roman" w:hAnsi="Times New Roman" w:cs="Times New Roman"/>
                <w:lang w:val="en-US" w:eastAsia="zh-CN"/>
              </w:rPr>
              <w:t>本项目总投资金额为1000万元，其中环保投资金额为</w:t>
            </w:r>
            <w:r>
              <w:rPr>
                <w:rFonts w:hint="eastAsia" w:cs="Times New Roman"/>
                <w:lang w:val="en-US" w:eastAsia="zh-CN"/>
              </w:rPr>
              <w:t>298万元</w:t>
            </w:r>
            <w:r>
              <w:rPr>
                <w:rFonts w:hint="default" w:ascii="Times New Roman" w:hAnsi="Times New Roman" w:cs="Times New Roman"/>
                <w:lang w:val="en-US" w:eastAsia="zh-CN"/>
              </w:rPr>
              <w:t>，占总投资金额的</w:t>
            </w:r>
            <w:r>
              <w:rPr>
                <w:rFonts w:hint="eastAsia" w:cs="Times New Roman"/>
                <w:lang w:val="en-US" w:eastAsia="zh-CN"/>
              </w:rPr>
              <w:t>29.8%</w:t>
            </w:r>
            <w:r>
              <w:rPr>
                <w:rFonts w:hint="default" w:ascii="Times New Roman" w:hAnsi="Times New Roman" w:cs="Times New Roman"/>
                <w:lang w:val="en-US" w:eastAsia="zh-CN"/>
              </w:rPr>
              <w:t>，环保投资估算一览表见表4-</w:t>
            </w:r>
            <w:r>
              <w:rPr>
                <w:rFonts w:hint="eastAsia" w:cs="Times New Roman"/>
                <w:lang w:val="en-US" w:eastAsia="zh-CN"/>
              </w:rPr>
              <w:t>7</w:t>
            </w:r>
            <w:r>
              <w:rPr>
                <w:rFonts w:hint="default" w:ascii="Times New Roman" w:hAnsi="Times New Roman" w:cs="Times New Roman"/>
                <w:lang w:val="en-US" w:eastAsia="zh-CN"/>
              </w:rPr>
              <w:t>。</w:t>
            </w:r>
          </w:p>
          <w:p w14:paraId="49F1DD15">
            <w:pPr>
              <w:bidi w:val="0"/>
              <w:jc w:val="center"/>
              <w:rPr>
                <w:rFonts w:hint="default" w:ascii="Times New Roman" w:hAnsi="Times New Roman" w:cs="Times New Roman"/>
                <w:b/>
                <w:bCs/>
              </w:rPr>
            </w:pPr>
            <w:r>
              <w:rPr>
                <w:rFonts w:hint="default" w:ascii="Times New Roman" w:hAnsi="Times New Roman" w:cs="Times New Roman"/>
                <w:b/>
                <w:bCs/>
              </w:rPr>
              <w:t>表4-</w:t>
            </w:r>
            <w:r>
              <w:rPr>
                <w:rFonts w:hint="eastAsia" w:cs="Times New Roman"/>
                <w:b/>
                <w:bCs/>
                <w:lang w:val="en-US" w:eastAsia="zh-CN"/>
              </w:rPr>
              <w:t>7</w:t>
            </w:r>
            <w:r>
              <w:rPr>
                <w:rFonts w:hint="default" w:ascii="Times New Roman" w:hAnsi="Times New Roman" w:cs="Times New Roman"/>
                <w:b/>
                <w:bCs/>
              </w:rPr>
              <w:t>建设项目环保投资估算一览表</w:t>
            </w:r>
          </w:p>
          <w:tbl>
            <w:tblPr>
              <w:tblStyle w:val="18"/>
              <w:tblW w:w="7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1881"/>
              <w:gridCol w:w="4059"/>
              <w:gridCol w:w="1270"/>
            </w:tblGrid>
            <w:tr w14:paraId="33F1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31D4803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类别</w:t>
                  </w:r>
                </w:p>
              </w:tc>
              <w:tc>
                <w:tcPr>
                  <w:tcW w:w="1881" w:type="dxa"/>
                  <w:noWrap w:val="0"/>
                  <w:vAlign w:val="center"/>
                </w:tcPr>
                <w:p w14:paraId="05AA7F6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污染源</w:t>
                  </w:r>
                </w:p>
              </w:tc>
              <w:tc>
                <w:tcPr>
                  <w:tcW w:w="4059" w:type="dxa"/>
                  <w:noWrap w:val="0"/>
                  <w:vAlign w:val="center"/>
                </w:tcPr>
                <w:p w14:paraId="119ACC5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治理措施</w:t>
                  </w:r>
                </w:p>
              </w:tc>
              <w:tc>
                <w:tcPr>
                  <w:tcW w:w="1270" w:type="dxa"/>
                  <w:noWrap w:val="0"/>
                  <w:vAlign w:val="center"/>
                </w:tcPr>
                <w:p w14:paraId="406D977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环保投资（万元）</w:t>
                  </w:r>
                </w:p>
              </w:tc>
            </w:tr>
            <w:tr w14:paraId="093CE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restart"/>
                  <w:noWrap w:val="0"/>
                  <w:vAlign w:val="center"/>
                </w:tcPr>
                <w:p w14:paraId="0A5AEAD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废气</w:t>
                  </w:r>
                </w:p>
              </w:tc>
              <w:tc>
                <w:tcPr>
                  <w:tcW w:w="1881" w:type="dxa"/>
                  <w:noWrap w:val="0"/>
                  <w:vAlign w:val="center"/>
                </w:tcPr>
                <w:p w14:paraId="1E15213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砂子、石子装卸扬尘、堆存粉尘</w:t>
                  </w:r>
                </w:p>
              </w:tc>
              <w:tc>
                <w:tcPr>
                  <w:tcW w:w="4059" w:type="dxa"/>
                  <w:noWrap w:val="0"/>
                  <w:vAlign w:val="center"/>
                </w:tcPr>
                <w:p w14:paraId="39EA746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default" w:ascii="Times New Roman" w:hAnsi="Times New Roman" w:cs="Times New Roman"/>
                      <w:color w:val="auto"/>
                      <w:highlight w:val="none"/>
                      <w:lang w:val="en-US" w:eastAsia="zh-CN"/>
                    </w:rPr>
                  </w:pPr>
                  <w:r>
                    <w:rPr>
                      <w:rFonts w:hint="eastAsia" w:cs="Times New Roman"/>
                      <w:color w:val="auto"/>
                      <w:szCs w:val="21"/>
                      <w:highlight w:val="none"/>
                      <w:lang w:val="en-US" w:eastAsia="zh-CN"/>
                    </w:rPr>
                    <w:t>1000㎡</w:t>
                  </w:r>
                  <w:r>
                    <w:rPr>
                      <w:rFonts w:hint="default" w:ascii="Times New Roman" w:hAnsi="Times New Roman" w:cs="Times New Roman"/>
                      <w:color w:val="auto"/>
                      <w:szCs w:val="21"/>
                      <w:highlight w:val="none"/>
                      <w:lang w:val="en-US" w:eastAsia="zh-CN"/>
                    </w:rPr>
                    <w:t>全封闭</w:t>
                  </w:r>
                  <w:r>
                    <w:rPr>
                      <w:rFonts w:hint="default" w:ascii="Times New Roman" w:hAnsi="Times New Roman" w:cs="Times New Roman"/>
                      <w:color w:val="auto"/>
                      <w:kern w:val="0"/>
                      <w:szCs w:val="21"/>
                      <w:highlight w:val="none"/>
                      <w:lang w:val="en-US" w:eastAsia="zh-CN"/>
                    </w:rPr>
                    <w:t>原料堆场储存+堆存区上方设置1套喷淋设施，输送采用全封闭输送带，原料堆场四周地面硬化</w:t>
                  </w:r>
                </w:p>
              </w:tc>
              <w:tc>
                <w:tcPr>
                  <w:tcW w:w="1270" w:type="dxa"/>
                  <w:noWrap w:val="0"/>
                  <w:vAlign w:val="center"/>
                </w:tcPr>
                <w:p w14:paraId="2B65CB5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eastAsia" w:cs="Times New Roman"/>
                      <w:color w:val="auto"/>
                      <w:highlight w:val="yellow"/>
                      <w:lang w:val="en-US" w:eastAsia="zh-CN"/>
                    </w:rPr>
                    <w:t>8</w:t>
                  </w:r>
                  <w:r>
                    <w:rPr>
                      <w:rFonts w:hint="default" w:ascii="Times New Roman" w:hAnsi="Times New Roman" w:cs="Times New Roman"/>
                      <w:color w:val="auto"/>
                      <w:highlight w:val="yellow"/>
                      <w:lang w:val="en-US" w:eastAsia="zh-CN"/>
                    </w:rPr>
                    <w:t>0</w:t>
                  </w:r>
                </w:p>
              </w:tc>
            </w:tr>
            <w:tr w14:paraId="155F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noWrap w:val="0"/>
                  <w:vAlign w:val="center"/>
                </w:tcPr>
                <w:p w14:paraId="56A64BA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p>
              </w:tc>
              <w:tc>
                <w:tcPr>
                  <w:tcW w:w="1881" w:type="dxa"/>
                  <w:noWrap w:val="0"/>
                  <w:vAlign w:val="center"/>
                </w:tcPr>
                <w:p w14:paraId="16E5413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default" w:ascii="Times New Roman" w:hAnsi="Times New Roman" w:cs="Times New Roman"/>
                      <w:color w:val="auto"/>
                      <w:highlight w:val="none"/>
                      <w:lang w:val="en-US" w:eastAsia="zh-CN"/>
                    </w:rPr>
                  </w:pPr>
                  <w:r>
                    <w:rPr>
                      <w:rFonts w:hint="eastAsia" w:cs="Times New Roman"/>
                      <w:color w:val="auto"/>
                      <w:szCs w:val="21"/>
                      <w:highlight w:val="none"/>
                      <w:lang w:val="en-US" w:eastAsia="zh-CN"/>
                    </w:rPr>
                    <w:t>水泥、粉煤灰、筒仓仓顶呼吸孔粉尘</w:t>
                  </w:r>
                </w:p>
              </w:tc>
              <w:tc>
                <w:tcPr>
                  <w:tcW w:w="4059" w:type="dxa"/>
                  <w:noWrap w:val="0"/>
                  <w:vAlign w:val="center"/>
                </w:tcPr>
                <w:p w14:paraId="3381F92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水泥筒仓</w:t>
                  </w:r>
                  <w:r>
                    <w:rPr>
                      <w:rFonts w:hint="eastAsia" w:cs="Times New Roman"/>
                      <w:color w:val="auto"/>
                      <w:highlight w:val="none"/>
                      <w:lang w:val="en-US" w:eastAsia="zh-CN"/>
                    </w:rPr>
                    <w:t>4</w:t>
                  </w:r>
                  <w:r>
                    <w:rPr>
                      <w:rFonts w:hint="default" w:ascii="Times New Roman" w:hAnsi="Times New Roman" w:cs="Times New Roman"/>
                      <w:color w:val="auto"/>
                      <w:highlight w:val="none"/>
                      <w:lang w:val="en-US" w:eastAsia="zh-CN"/>
                    </w:rPr>
                    <w:t>座，粉煤灰筒仓</w:t>
                  </w:r>
                  <w:r>
                    <w:rPr>
                      <w:rFonts w:hint="eastAsia" w:cs="Times New Roman"/>
                      <w:color w:val="auto"/>
                      <w:highlight w:val="none"/>
                      <w:lang w:val="en-US" w:eastAsia="zh-CN"/>
                    </w:rPr>
                    <w:t>4</w:t>
                  </w:r>
                  <w:r>
                    <w:rPr>
                      <w:rFonts w:hint="default" w:ascii="Times New Roman" w:hAnsi="Times New Roman" w:cs="Times New Roman"/>
                      <w:color w:val="auto"/>
                      <w:highlight w:val="none"/>
                      <w:lang w:val="en-US" w:eastAsia="zh-CN"/>
                    </w:rPr>
                    <w:t>个，仓顶均配套袋式除尘器，产生的粉尘，最终经各自仓顶排气孔排放</w:t>
                  </w:r>
                </w:p>
              </w:tc>
              <w:tc>
                <w:tcPr>
                  <w:tcW w:w="1270" w:type="dxa"/>
                  <w:noWrap w:val="0"/>
                  <w:vAlign w:val="center"/>
                </w:tcPr>
                <w:p w14:paraId="3DABD3F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80</w:t>
                  </w:r>
                </w:p>
              </w:tc>
            </w:tr>
            <w:tr w14:paraId="45802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noWrap w:val="0"/>
                  <w:vAlign w:val="center"/>
                </w:tcPr>
                <w:p w14:paraId="6CD19FA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p>
              </w:tc>
              <w:tc>
                <w:tcPr>
                  <w:tcW w:w="1881" w:type="dxa"/>
                  <w:noWrap w:val="0"/>
                  <w:vAlign w:val="center"/>
                </w:tcPr>
                <w:p w14:paraId="4D005CA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szCs w:val="21"/>
                      <w:highlight w:val="none"/>
                      <w:lang w:val="en-US" w:eastAsia="zh-CN"/>
                    </w:rPr>
                    <w:t>物料混合搅拌废气</w:t>
                  </w:r>
                </w:p>
              </w:tc>
              <w:tc>
                <w:tcPr>
                  <w:tcW w:w="4059" w:type="dxa"/>
                  <w:noWrap w:val="0"/>
                  <w:vAlign w:val="center"/>
                </w:tcPr>
                <w:p w14:paraId="3D76F56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HZS180型商品混凝土搅拌站</w:t>
                  </w:r>
                  <w:r>
                    <w:rPr>
                      <w:rFonts w:hint="eastAsia" w:cs="Times New Roman"/>
                      <w:color w:val="auto"/>
                      <w:highlight w:val="none"/>
                      <w:lang w:val="en-US" w:eastAsia="zh-CN"/>
                    </w:rPr>
                    <w:t>全封闭，经自带袋式除尘器处理后，由15m高排气筒（DA001）排放；</w:t>
                  </w:r>
                  <w:r>
                    <w:rPr>
                      <w:rFonts w:hint="default" w:ascii="Times New Roman" w:hAnsi="Times New Roman" w:cs="Times New Roman"/>
                      <w:color w:val="auto"/>
                      <w:highlight w:val="none"/>
                      <w:lang w:val="en-US" w:eastAsia="zh-CN"/>
                    </w:rPr>
                    <w:t>HZS</w:t>
                  </w:r>
                  <w:r>
                    <w:rPr>
                      <w:rFonts w:hint="eastAsia" w:ascii="Times New Roman" w:hAnsi="Times New Roman" w:cs="Times New Roman"/>
                      <w:color w:val="auto"/>
                      <w:highlight w:val="none"/>
                      <w:lang w:val="en-US" w:eastAsia="zh-CN"/>
                    </w:rPr>
                    <w:t>240</w:t>
                  </w:r>
                  <w:r>
                    <w:rPr>
                      <w:rFonts w:hint="default" w:ascii="Times New Roman" w:hAnsi="Times New Roman" w:cs="Times New Roman"/>
                      <w:color w:val="auto"/>
                      <w:highlight w:val="none"/>
                      <w:lang w:val="en-US" w:eastAsia="zh-CN"/>
                    </w:rPr>
                    <w:t>型商品混凝土搅拌站</w:t>
                  </w:r>
                  <w:r>
                    <w:rPr>
                      <w:rFonts w:hint="eastAsia" w:cs="Times New Roman"/>
                      <w:color w:val="auto"/>
                      <w:highlight w:val="none"/>
                      <w:lang w:val="en-US" w:eastAsia="zh-CN"/>
                    </w:rPr>
                    <w:t>全封闭，经自带袋式除尘器处理后，由15m高排气筒（DA002）排放。</w:t>
                  </w:r>
                </w:p>
              </w:tc>
              <w:tc>
                <w:tcPr>
                  <w:tcW w:w="1270" w:type="dxa"/>
                  <w:noWrap w:val="0"/>
                  <w:vAlign w:val="center"/>
                </w:tcPr>
                <w:p w14:paraId="68F0748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80</w:t>
                  </w:r>
                </w:p>
              </w:tc>
            </w:tr>
            <w:tr w14:paraId="2B2C7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noWrap w:val="0"/>
                  <w:vAlign w:val="center"/>
                </w:tcPr>
                <w:p w14:paraId="4A17E8A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p>
              </w:tc>
              <w:tc>
                <w:tcPr>
                  <w:tcW w:w="1881" w:type="dxa"/>
                  <w:noWrap w:val="0"/>
                  <w:vAlign w:val="center"/>
                </w:tcPr>
                <w:p w14:paraId="17E5D9F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szCs w:val="21"/>
                      <w:highlight w:val="none"/>
                      <w:lang w:val="en-US" w:eastAsia="zh-CN"/>
                    </w:rPr>
                    <w:t>运输车辆动力起尘</w:t>
                  </w:r>
                </w:p>
              </w:tc>
              <w:tc>
                <w:tcPr>
                  <w:tcW w:w="4059" w:type="dxa"/>
                  <w:noWrap w:val="0"/>
                  <w:vAlign w:val="center"/>
                </w:tcPr>
                <w:p w14:paraId="0CCCBF1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szCs w:val="21"/>
                      <w:highlight w:val="none"/>
                      <w:lang w:val="en-US" w:eastAsia="zh-CN"/>
                    </w:rPr>
                    <w:t>厂区道路、停车场及其他地面硬化，定时</w:t>
                  </w:r>
                  <w:r>
                    <w:rPr>
                      <w:rFonts w:hint="eastAsia" w:cs="Times New Roman"/>
                      <w:color w:val="auto"/>
                      <w:szCs w:val="21"/>
                      <w:highlight w:val="none"/>
                      <w:lang w:val="en-US" w:eastAsia="zh-CN"/>
                    </w:rPr>
                    <w:t>使用洒水车</w:t>
                  </w:r>
                  <w:r>
                    <w:rPr>
                      <w:rFonts w:hint="default" w:ascii="Times New Roman" w:hAnsi="Times New Roman" w:cs="Times New Roman"/>
                      <w:color w:val="auto"/>
                      <w:szCs w:val="21"/>
                      <w:highlight w:val="none"/>
                      <w:lang w:val="en-US" w:eastAsia="zh-CN"/>
                    </w:rPr>
                    <w:t>洒水</w:t>
                  </w:r>
                  <w:r>
                    <w:rPr>
                      <w:rFonts w:hint="eastAsia" w:cs="Times New Roman"/>
                      <w:color w:val="auto"/>
                      <w:szCs w:val="21"/>
                      <w:highlight w:val="none"/>
                      <w:lang w:val="en-US" w:eastAsia="zh-CN"/>
                    </w:rPr>
                    <w:t>降尘</w:t>
                  </w:r>
                  <w:r>
                    <w:rPr>
                      <w:rFonts w:hint="default" w:ascii="Times New Roman" w:hAnsi="Times New Roman" w:cs="Times New Roman"/>
                      <w:color w:val="auto"/>
                      <w:szCs w:val="21"/>
                      <w:highlight w:val="none"/>
                      <w:lang w:val="en-US" w:eastAsia="zh-CN"/>
                    </w:rPr>
                    <w:t>；降低车辆运输速度；并配备高压水枪设备对驶出车辆进行冲洗清洁；厂区有保洁人员及时对散落的物料进行清扫收集。</w:t>
                  </w:r>
                </w:p>
              </w:tc>
              <w:tc>
                <w:tcPr>
                  <w:tcW w:w="1270" w:type="dxa"/>
                  <w:noWrap w:val="0"/>
                  <w:vAlign w:val="center"/>
                </w:tcPr>
                <w:p w14:paraId="4EA6FAA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2</w:t>
                  </w:r>
                  <w:r>
                    <w:rPr>
                      <w:rFonts w:hint="default" w:ascii="Times New Roman" w:hAnsi="Times New Roman" w:cs="Times New Roman"/>
                      <w:color w:val="auto"/>
                      <w:highlight w:val="none"/>
                      <w:lang w:val="en-US" w:eastAsia="zh-CN"/>
                    </w:rPr>
                    <w:t>0</w:t>
                  </w:r>
                </w:p>
              </w:tc>
            </w:tr>
            <w:tr w14:paraId="1DD6E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restart"/>
                  <w:noWrap w:val="0"/>
                  <w:vAlign w:val="center"/>
                </w:tcPr>
                <w:p w14:paraId="09E9AF6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废水</w:t>
                  </w:r>
                </w:p>
              </w:tc>
              <w:tc>
                <w:tcPr>
                  <w:tcW w:w="1881" w:type="dxa"/>
                  <w:noWrap w:val="0"/>
                  <w:vAlign w:val="center"/>
                </w:tcPr>
                <w:p w14:paraId="5B50DD3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生产废水</w:t>
                  </w:r>
                </w:p>
              </w:tc>
              <w:tc>
                <w:tcPr>
                  <w:tcW w:w="4059" w:type="dxa"/>
                  <w:noWrap w:val="0"/>
                  <w:vAlign w:val="center"/>
                </w:tcPr>
                <w:p w14:paraId="35A0178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搅拌</w:t>
                  </w:r>
                  <w:r>
                    <w:rPr>
                      <w:rFonts w:hint="default" w:ascii="Times New Roman" w:hAnsi="Times New Roman" w:cs="Times New Roman"/>
                      <w:color w:val="0000FF"/>
                      <w:highlight w:val="none"/>
                      <w:lang w:val="en-US" w:eastAsia="zh-CN"/>
                    </w:rPr>
                    <w:t>机、</w:t>
                  </w:r>
                  <w:r>
                    <w:rPr>
                      <w:rFonts w:hint="eastAsia" w:cs="Times New Roman"/>
                      <w:color w:val="0000FF"/>
                      <w:highlight w:val="none"/>
                      <w:lang w:val="en-US" w:eastAsia="zh-CN"/>
                    </w:rPr>
                    <w:t>罐车</w:t>
                  </w:r>
                  <w:r>
                    <w:rPr>
                      <w:rFonts w:hint="default" w:ascii="Times New Roman" w:hAnsi="Times New Roman" w:cs="Times New Roman"/>
                      <w:color w:val="0000FF"/>
                      <w:highlight w:val="none"/>
                      <w:lang w:val="en-US" w:eastAsia="zh-CN"/>
                    </w:rPr>
                    <w:t>清洗废水经三级沉淀池沉淀处理后</w:t>
                  </w:r>
                  <w:r>
                    <w:rPr>
                      <w:rFonts w:hint="eastAsia" w:cs="Times New Roman"/>
                      <w:color w:val="0000FF"/>
                      <w:highlight w:val="none"/>
                      <w:lang w:val="en-US" w:eastAsia="zh-CN"/>
                    </w:rPr>
                    <w:t>由厂区内的废水输送管线输送至搅拌工序用于搅拌混合用水，不外排。</w:t>
                  </w:r>
                  <w:r>
                    <w:rPr>
                      <w:rFonts w:hint="default" w:ascii="Times New Roman" w:hAnsi="Times New Roman" w:cs="Times New Roman"/>
                      <w:color w:val="auto"/>
                      <w:lang w:val="en-US" w:eastAsia="zh-CN"/>
                    </w:rPr>
                    <w:t>搅拌混合用水全部进入产品，原料堆场抑尘用水全部自然蒸发，搅拌混合用水全部带入产品。</w:t>
                  </w:r>
                </w:p>
              </w:tc>
              <w:tc>
                <w:tcPr>
                  <w:tcW w:w="1270" w:type="dxa"/>
                  <w:noWrap w:val="0"/>
                  <w:vAlign w:val="center"/>
                </w:tcPr>
                <w:p w14:paraId="5D6D57D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w:t>
                  </w:r>
                </w:p>
              </w:tc>
            </w:tr>
            <w:tr w14:paraId="3A290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noWrap w:val="0"/>
                  <w:vAlign w:val="center"/>
                </w:tcPr>
                <w:p w14:paraId="45A14F7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p>
              </w:tc>
              <w:tc>
                <w:tcPr>
                  <w:tcW w:w="1881" w:type="dxa"/>
                  <w:noWrap w:val="0"/>
                  <w:vAlign w:val="center"/>
                </w:tcPr>
                <w:p w14:paraId="1BA2357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生活污水</w:t>
                  </w:r>
                </w:p>
              </w:tc>
              <w:tc>
                <w:tcPr>
                  <w:tcW w:w="4059" w:type="dxa"/>
                  <w:noWrap w:val="0"/>
                  <w:vAlign w:val="center"/>
                </w:tcPr>
                <w:p w14:paraId="317BB1C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经厂区内化粪池（10m³）收集后，定期由周边城镇污水处理厂拉运处理。</w:t>
                  </w:r>
                </w:p>
              </w:tc>
              <w:tc>
                <w:tcPr>
                  <w:tcW w:w="1270" w:type="dxa"/>
                  <w:noWrap w:val="0"/>
                  <w:vAlign w:val="center"/>
                </w:tcPr>
                <w:p w14:paraId="36C4B78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w:t>
                  </w:r>
                </w:p>
              </w:tc>
            </w:tr>
            <w:tr w14:paraId="38280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noWrap w:val="0"/>
                  <w:vAlign w:val="center"/>
                </w:tcPr>
                <w:p w14:paraId="6427115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p>
              </w:tc>
              <w:tc>
                <w:tcPr>
                  <w:tcW w:w="1881" w:type="dxa"/>
                  <w:noWrap w:val="0"/>
                  <w:vAlign w:val="center"/>
                </w:tcPr>
                <w:p w14:paraId="0D5CD55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初期雨水</w:t>
                  </w:r>
                </w:p>
              </w:tc>
              <w:tc>
                <w:tcPr>
                  <w:tcW w:w="4059" w:type="dxa"/>
                  <w:noWrap w:val="0"/>
                  <w:vAlign w:val="center"/>
                </w:tcPr>
                <w:p w14:paraId="5C6E0B4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厂区内新建1座</w:t>
                  </w:r>
                  <w:r>
                    <w:rPr>
                      <w:rFonts w:hint="eastAsia" w:cs="Times New Roman"/>
                      <w:color w:val="auto"/>
                      <w:highlight w:val="none"/>
                      <w:lang w:val="en-US" w:eastAsia="zh-CN"/>
                    </w:rPr>
                    <w:t>5</w:t>
                  </w:r>
                  <w:r>
                    <w:rPr>
                      <w:rFonts w:hint="default" w:ascii="Times New Roman" w:hAnsi="Times New Roman" w:cs="Times New Roman"/>
                      <w:color w:val="auto"/>
                      <w:highlight w:val="none"/>
                      <w:lang w:val="en-US" w:eastAsia="zh-CN"/>
                    </w:rPr>
                    <w:t>m³的初期雨水收集池，用于收集本项目的初期雨水，初期雨水经过沉淀澄清后，用于原料堆场洒水降尘用水</w:t>
                  </w:r>
                </w:p>
              </w:tc>
              <w:tc>
                <w:tcPr>
                  <w:tcW w:w="1270" w:type="dxa"/>
                  <w:noWrap w:val="0"/>
                  <w:vAlign w:val="center"/>
                </w:tcPr>
                <w:p w14:paraId="64F843F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w:t>
                  </w:r>
                </w:p>
              </w:tc>
            </w:tr>
            <w:tr w14:paraId="187E9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6C8BB96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噪声</w:t>
                  </w:r>
                </w:p>
              </w:tc>
              <w:tc>
                <w:tcPr>
                  <w:tcW w:w="1881" w:type="dxa"/>
                  <w:noWrap w:val="0"/>
                  <w:vAlign w:val="center"/>
                </w:tcPr>
                <w:p w14:paraId="5356053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生产设备</w:t>
                  </w:r>
                </w:p>
              </w:tc>
              <w:tc>
                <w:tcPr>
                  <w:tcW w:w="4059" w:type="dxa"/>
                  <w:noWrap w:val="0"/>
                  <w:vAlign w:val="center"/>
                </w:tcPr>
                <w:p w14:paraId="5D7C918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低噪声设备、建筑隔声、隔声罩、基础减</w:t>
                  </w:r>
                  <w:r>
                    <w:rPr>
                      <w:rFonts w:hint="default" w:ascii="Times New Roman" w:hAnsi="Times New Roman" w:cs="Times New Roman"/>
                      <w:color w:val="auto"/>
                      <w:lang w:val="en-US" w:eastAsia="zh-CN"/>
                    </w:rPr>
                    <w:t>振</w:t>
                  </w:r>
                </w:p>
              </w:tc>
              <w:tc>
                <w:tcPr>
                  <w:tcW w:w="1270" w:type="dxa"/>
                  <w:noWrap w:val="0"/>
                  <w:vAlign w:val="center"/>
                </w:tcPr>
                <w:p w14:paraId="2265A3B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w:t>
                  </w:r>
                </w:p>
              </w:tc>
            </w:tr>
            <w:tr w14:paraId="4483D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restart"/>
                  <w:noWrap w:val="0"/>
                  <w:vAlign w:val="center"/>
                </w:tcPr>
                <w:p w14:paraId="58F7D59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固废</w:t>
                  </w:r>
                </w:p>
              </w:tc>
              <w:tc>
                <w:tcPr>
                  <w:tcW w:w="1881" w:type="dxa"/>
                  <w:noWrap w:val="0"/>
                  <w:vAlign w:val="center"/>
                </w:tcPr>
                <w:p w14:paraId="3B99F1B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除尘灰</w:t>
                  </w:r>
                </w:p>
              </w:tc>
              <w:tc>
                <w:tcPr>
                  <w:tcW w:w="4059" w:type="dxa"/>
                  <w:noWrap w:val="0"/>
                  <w:vAlign w:val="center"/>
                </w:tcPr>
                <w:p w14:paraId="1FCC04E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default" w:ascii="Times New Roman" w:hAnsi="Times New Roman" w:cs="Times New Roman"/>
                      <w:color w:val="auto"/>
                      <w:highlight w:val="none"/>
                      <w:lang w:val="en-US" w:eastAsia="zh-CN"/>
                    </w:rPr>
                  </w:pPr>
                  <w:r>
                    <w:rPr>
                      <w:rFonts w:hint="eastAsia" w:cs="Times New Roman"/>
                      <w:color w:val="auto"/>
                      <w:szCs w:val="21"/>
                      <w:highlight w:val="none"/>
                      <w:lang w:val="en-US" w:eastAsia="zh-CN"/>
                    </w:rPr>
                    <w:t>定期清理直接</w:t>
                  </w:r>
                  <w:r>
                    <w:rPr>
                      <w:rFonts w:hint="default" w:ascii="Times New Roman" w:hAnsi="Times New Roman" w:eastAsia="宋体" w:cs="Times New Roman"/>
                      <w:color w:val="auto"/>
                      <w:szCs w:val="21"/>
                      <w:highlight w:val="none"/>
                      <w:lang w:val="en-US" w:eastAsia="zh-CN"/>
                    </w:rPr>
                    <w:t>返回生产系统回用。</w:t>
                  </w:r>
                </w:p>
              </w:tc>
              <w:tc>
                <w:tcPr>
                  <w:tcW w:w="1270" w:type="dxa"/>
                  <w:noWrap w:val="0"/>
                  <w:vAlign w:val="center"/>
                </w:tcPr>
                <w:p w14:paraId="3944E5E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r>
            <w:tr w14:paraId="46964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noWrap w:val="0"/>
                  <w:vAlign w:val="center"/>
                </w:tcPr>
                <w:p w14:paraId="2969542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p>
              </w:tc>
              <w:tc>
                <w:tcPr>
                  <w:tcW w:w="1881" w:type="dxa"/>
                  <w:noWrap w:val="0"/>
                  <w:vAlign w:val="center"/>
                </w:tcPr>
                <w:p w14:paraId="4CFB8AC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沉淀池底泥</w:t>
                  </w:r>
                </w:p>
              </w:tc>
              <w:tc>
                <w:tcPr>
                  <w:tcW w:w="4059" w:type="dxa"/>
                  <w:noWrap w:val="0"/>
                  <w:vAlign w:val="center"/>
                </w:tcPr>
                <w:p w14:paraId="1844ABA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szCs w:val="21"/>
                      <w:highlight w:val="none"/>
                      <w:lang w:val="en-US" w:eastAsia="zh-CN"/>
                    </w:rPr>
                    <w:t>沉淀池产生的沉淀渣定期捞取后回用于商品混凝土生产。</w:t>
                  </w:r>
                </w:p>
              </w:tc>
              <w:tc>
                <w:tcPr>
                  <w:tcW w:w="1270" w:type="dxa"/>
                  <w:noWrap w:val="0"/>
                  <w:vAlign w:val="center"/>
                </w:tcPr>
                <w:p w14:paraId="3867EB0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w:t>
                  </w:r>
                </w:p>
              </w:tc>
            </w:tr>
            <w:tr w14:paraId="09648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noWrap w:val="0"/>
                  <w:vAlign w:val="center"/>
                </w:tcPr>
                <w:p w14:paraId="190F717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p>
              </w:tc>
              <w:tc>
                <w:tcPr>
                  <w:tcW w:w="1881" w:type="dxa"/>
                  <w:noWrap w:val="0"/>
                  <w:vAlign w:val="center"/>
                </w:tcPr>
                <w:p w14:paraId="16CC787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生活垃圾</w:t>
                  </w:r>
                </w:p>
              </w:tc>
              <w:tc>
                <w:tcPr>
                  <w:tcW w:w="4059" w:type="dxa"/>
                  <w:noWrap w:val="0"/>
                  <w:vAlign w:val="center"/>
                </w:tcPr>
                <w:p w14:paraId="4A08C69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生活垃圾集中由厂区内的2个垃圾桶收集后，定期送至当地环卫部门进行处理。</w:t>
                  </w:r>
                </w:p>
              </w:tc>
              <w:tc>
                <w:tcPr>
                  <w:tcW w:w="1270" w:type="dxa"/>
                  <w:noWrap w:val="0"/>
                  <w:vAlign w:val="center"/>
                </w:tcPr>
                <w:p w14:paraId="01C3499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w:t>
                  </w:r>
                </w:p>
              </w:tc>
            </w:tr>
            <w:tr w14:paraId="67983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noWrap w:val="0"/>
                  <w:vAlign w:val="center"/>
                </w:tcPr>
                <w:p w14:paraId="293E2F6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p>
              </w:tc>
              <w:tc>
                <w:tcPr>
                  <w:tcW w:w="1881" w:type="dxa"/>
                  <w:noWrap w:val="0"/>
                  <w:vAlign w:val="center"/>
                </w:tcPr>
                <w:p w14:paraId="3705EC55">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color w:val="auto"/>
                      <w:highlight w:val="none"/>
                      <w:lang w:val="en-US" w:eastAsia="zh-CN"/>
                    </w:rPr>
                  </w:pPr>
                  <w:r>
                    <w:rPr>
                      <w:rFonts w:hint="eastAsia" w:cs="Times New Roman"/>
                      <w:color w:val="auto"/>
                      <w:szCs w:val="21"/>
                      <w:highlight w:val="none"/>
                      <w:lang w:val="en-US" w:eastAsia="zh-CN"/>
                    </w:rPr>
                    <w:t>废矿物油及废油桶</w:t>
                  </w:r>
                </w:p>
              </w:tc>
              <w:tc>
                <w:tcPr>
                  <w:tcW w:w="4059" w:type="dxa"/>
                  <w:noWrap w:val="0"/>
                  <w:vAlign w:val="center"/>
                </w:tcPr>
                <w:p w14:paraId="4560F0DB">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color w:val="auto"/>
                      <w:highlight w:val="none"/>
                      <w:lang w:val="en-US" w:eastAsia="zh-CN"/>
                    </w:rPr>
                  </w:pPr>
                  <w:r>
                    <w:rPr>
                      <w:rFonts w:hint="eastAsia" w:cs="Times New Roman"/>
                      <w:color w:val="auto"/>
                      <w:szCs w:val="21"/>
                      <w:highlight w:val="none"/>
                      <w:lang w:val="en-US" w:eastAsia="zh-CN"/>
                    </w:rPr>
                    <w:t>设备维修运营过程中产生的危险废物废矿物油及废油桶暂存于新建的10㎡危废库中，定期交由有资质单位进行处置。</w:t>
                  </w:r>
                </w:p>
              </w:tc>
              <w:tc>
                <w:tcPr>
                  <w:tcW w:w="1270" w:type="dxa"/>
                  <w:noWrap w:val="0"/>
                  <w:vAlign w:val="center"/>
                </w:tcPr>
                <w:p w14:paraId="01EB67C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6</w:t>
                  </w:r>
                </w:p>
              </w:tc>
            </w:tr>
            <w:tr w14:paraId="7E38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2D53FB1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防渗</w:t>
                  </w:r>
                </w:p>
              </w:tc>
              <w:tc>
                <w:tcPr>
                  <w:tcW w:w="5940" w:type="dxa"/>
                  <w:gridSpan w:val="2"/>
                  <w:noWrap w:val="0"/>
                  <w:vAlign w:val="center"/>
                </w:tcPr>
                <w:p w14:paraId="641172AC">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危废库</w:t>
                  </w:r>
                  <w:r>
                    <w:rPr>
                      <w:rFonts w:hint="default" w:ascii="Times New Roman" w:hAnsi="Times New Roman" w:eastAsia="宋体" w:cs="Times New Roman"/>
                      <w:color w:val="auto"/>
                      <w:szCs w:val="21"/>
                      <w:highlight w:val="none"/>
                      <w:lang w:val="en-US" w:eastAsia="zh-CN"/>
                    </w:rPr>
                    <w:t>为本项目重点防渗区，按照《危险废物贮存污染控制标准》（GB18597-2023）要求进行建设。</w:t>
                  </w:r>
                  <w:r>
                    <w:rPr>
                      <w:rFonts w:hint="eastAsia" w:ascii="Times New Roman" w:hAnsi="Times New Roman" w:eastAsia="宋体" w:cs="Times New Roman"/>
                      <w:color w:val="auto"/>
                      <w:szCs w:val="21"/>
                      <w:highlight w:val="none"/>
                      <w:lang w:val="en-US" w:eastAsia="zh-CN"/>
                    </w:rPr>
                    <w:t>危废库</w:t>
                  </w:r>
                  <w:r>
                    <w:rPr>
                      <w:rFonts w:hint="default" w:ascii="Times New Roman" w:hAnsi="Times New Roman" w:eastAsia="宋体" w:cs="Times New Roman"/>
                      <w:color w:val="auto"/>
                      <w:szCs w:val="21"/>
                      <w:highlight w:val="none"/>
                      <w:lang w:val="en-US" w:eastAsia="zh-CN"/>
                    </w:rPr>
                    <w:t>地面与裙脚应采取表面防渗措施，还应进行基础防渗，</w:t>
                  </w:r>
                  <w:r>
                    <w:rPr>
                      <w:rFonts w:hint="eastAsia" w:cs="Times New Roman"/>
                      <w:color w:val="auto"/>
                      <w:szCs w:val="21"/>
                      <w:highlight w:val="none"/>
                      <w:lang w:val="en-US" w:eastAsia="zh-CN"/>
                    </w:rPr>
                    <w:t>防渗措施为防渗层为至少1m厚黏土层（渗透系数≤10-7cm/s），或至少2mm厚高密度聚乙烯膜等人工防渗材料（渗透系数≤10-10cm/s），或其他防渗性能等效的材料。</w:t>
                  </w:r>
                </w:p>
                <w:p w14:paraId="3D55BDF2">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原料堆场、商品混凝土搅拌站、沉淀池、初期雨水池、化粪池进行一般防渗，防渗技术要求等效</w:t>
                  </w:r>
                  <w:r>
                    <w:rPr>
                      <w:rFonts w:hint="eastAsia" w:cs="Times New Roman"/>
                      <w:color w:val="auto"/>
                      <w:szCs w:val="21"/>
                      <w:highlight w:val="none"/>
                      <w:lang w:val="en-US" w:eastAsia="zh-CN"/>
                    </w:rPr>
                    <w:t>粘土</w:t>
                  </w:r>
                  <w:r>
                    <w:rPr>
                      <w:rFonts w:hint="default" w:ascii="Times New Roman" w:hAnsi="Times New Roman" w:cs="Times New Roman"/>
                      <w:color w:val="auto"/>
                      <w:szCs w:val="21"/>
                      <w:highlight w:val="none"/>
                      <w:lang w:val="en-US" w:eastAsia="zh-CN"/>
                    </w:rPr>
                    <w:t>防渗层Mb</w:t>
                  </w:r>
                  <w:r>
                    <w:rPr>
                      <w:rFonts w:hint="eastAsia" w:cs="Times New Roman"/>
                      <w:color w:val="auto"/>
                      <w:szCs w:val="21"/>
                      <w:highlight w:val="none"/>
                      <w:lang w:val="en-US" w:eastAsia="zh-CN"/>
                    </w:rPr>
                    <w:t>≥</w:t>
                  </w:r>
                  <w:r>
                    <w:rPr>
                      <w:rFonts w:hint="default" w:ascii="Times New Roman" w:hAnsi="Times New Roman" w:cs="Times New Roman"/>
                      <w:color w:val="auto"/>
                      <w:szCs w:val="21"/>
                      <w:highlight w:val="none"/>
                      <w:lang w:val="en-US" w:eastAsia="zh-CN"/>
                    </w:rPr>
                    <w:t>1.5m，K</w:t>
                  </w:r>
                  <w:r>
                    <w:rPr>
                      <w:rFonts w:hint="eastAsia" w:cs="Times New Roman"/>
                      <w:color w:val="auto"/>
                      <w:szCs w:val="21"/>
                      <w:highlight w:val="none"/>
                      <w:lang w:val="en-US" w:eastAsia="zh-CN"/>
                    </w:rPr>
                    <w:t>≤</w:t>
                  </w:r>
                  <w:r>
                    <w:rPr>
                      <w:rFonts w:hint="default" w:ascii="Times New Roman" w:hAnsi="Times New Roman" w:cs="Times New Roman"/>
                      <w:color w:val="auto"/>
                      <w:szCs w:val="21"/>
                      <w:highlight w:val="none"/>
                      <w:lang w:val="en-US" w:eastAsia="zh-CN"/>
                    </w:rPr>
                    <w:t>1×10</w:t>
                  </w:r>
                  <w:r>
                    <w:rPr>
                      <w:rFonts w:hint="default" w:ascii="Times New Roman" w:hAnsi="Times New Roman" w:cs="Times New Roman"/>
                      <w:color w:val="auto"/>
                      <w:szCs w:val="21"/>
                      <w:highlight w:val="none"/>
                      <w:vertAlign w:val="superscript"/>
                      <w:lang w:val="en-US" w:eastAsia="zh-CN"/>
                    </w:rPr>
                    <w:t>-7</w:t>
                  </w:r>
                  <w:r>
                    <w:rPr>
                      <w:rFonts w:hint="default" w:ascii="Times New Roman" w:hAnsi="Times New Roman" w:cs="Times New Roman"/>
                      <w:color w:val="auto"/>
                      <w:szCs w:val="21"/>
                      <w:highlight w:val="none"/>
                      <w:lang w:val="en-US" w:eastAsia="zh-CN"/>
                    </w:rPr>
                    <w:t>cm/s。</w:t>
                  </w:r>
                </w:p>
                <w:p w14:paraId="32AA5B75">
                  <w:pPr>
                    <w:keepNext w:val="0"/>
                    <w:keepLines w:val="0"/>
                    <w:pageBreakBefore w:val="0"/>
                    <w:kinsoku/>
                    <w:wordWrap/>
                    <w:overflowPunct/>
                    <w:topLinePunct w:val="0"/>
                    <w:autoSpaceDE w:val="0"/>
                    <w:autoSpaceDN w:val="0"/>
                    <w:bidi w:val="0"/>
                    <w:adjustRightInd w:val="0"/>
                    <w:snapToGrid w:val="0"/>
                    <w:spacing w:line="240" w:lineRule="auto"/>
                    <w:ind w:firstLine="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szCs w:val="21"/>
                      <w:highlight w:val="none"/>
                      <w:lang w:val="en-US" w:eastAsia="zh-CN"/>
                    </w:rPr>
                    <w:t>办公区、厂区内路面进行水泥硬化简单防渗。</w:t>
                  </w:r>
                </w:p>
              </w:tc>
              <w:tc>
                <w:tcPr>
                  <w:tcW w:w="1270" w:type="dxa"/>
                  <w:noWrap w:val="0"/>
                  <w:vAlign w:val="center"/>
                </w:tcPr>
                <w:p w14:paraId="768133D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10</w:t>
                  </w:r>
                </w:p>
              </w:tc>
            </w:tr>
            <w:tr w14:paraId="5071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761C0CA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绿化</w:t>
                  </w:r>
                </w:p>
              </w:tc>
              <w:tc>
                <w:tcPr>
                  <w:tcW w:w="5940" w:type="dxa"/>
                  <w:gridSpan w:val="2"/>
                  <w:noWrap w:val="0"/>
                  <w:vAlign w:val="center"/>
                </w:tcPr>
                <w:p w14:paraId="1CFAC3DD">
                  <w:pPr>
                    <w:keepNext w:val="0"/>
                    <w:keepLines w:val="0"/>
                    <w:pageBreakBefore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厂区四周</w:t>
                  </w:r>
                  <w:r>
                    <w:rPr>
                      <w:rFonts w:hint="eastAsia"/>
                      <w:lang w:val="en-US" w:eastAsia="zh-CN"/>
                    </w:rPr>
                    <w:t>进行绿化，厂区内进行水泥硬化处理</w:t>
                  </w:r>
                  <w:r>
                    <w:rPr>
                      <w:rFonts w:hint="eastAsia" w:cs="Times New Roman"/>
                      <w:color w:val="auto"/>
                      <w:szCs w:val="21"/>
                      <w:highlight w:val="none"/>
                      <w:lang w:val="en-US" w:eastAsia="zh-CN"/>
                    </w:rPr>
                    <w:t>。</w:t>
                  </w:r>
                </w:p>
              </w:tc>
              <w:tc>
                <w:tcPr>
                  <w:tcW w:w="1270" w:type="dxa"/>
                  <w:noWrap w:val="0"/>
                  <w:vAlign w:val="center"/>
                </w:tcPr>
                <w:p w14:paraId="4BC0E60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10</w:t>
                  </w:r>
                </w:p>
              </w:tc>
            </w:tr>
            <w:tr w14:paraId="4303D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6" w:type="dxa"/>
                  <w:gridSpan w:val="3"/>
                  <w:noWrap w:val="0"/>
                  <w:vAlign w:val="center"/>
                </w:tcPr>
                <w:p w14:paraId="2874C3F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合计</w:t>
                  </w:r>
                </w:p>
              </w:tc>
              <w:tc>
                <w:tcPr>
                  <w:tcW w:w="1270" w:type="dxa"/>
                  <w:noWrap w:val="0"/>
                  <w:vAlign w:val="center"/>
                </w:tcPr>
                <w:p w14:paraId="2045232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298</w:t>
                  </w:r>
                </w:p>
              </w:tc>
            </w:tr>
          </w:tbl>
          <w:p w14:paraId="3D14CE69">
            <w:pPr>
              <w:adjustRightInd w:val="0"/>
              <w:snapToGrid w:val="0"/>
              <w:ind w:left="0" w:leftChars="0" w:firstLine="0" w:firstLineChars="0"/>
              <w:rPr>
                <w:rFonts w:hint="default" w:ascii="Times New Roman" w:hAnsi="Times New Roman" w:cs="Times New Roman"/>
                <w:bCs/>
                <w:spacing w:val="-10"/>
                <w:sz w:val="24"/>
                <w:szCs w:val="24"/>
              </w:rPr>
            </w:pPr>
          </w:p>
        </w:tc>
      </w:tr>
    </w:tbl>
    <w:p w14:paraId="1BE7496C">
      <w:pPr>
        <w:adjustRightInd w:val="0"/>
        <w:snapToGrid w:val="0"/>
        <w:spacing w:line="360" w:lineRule="auto"/>
        <w:rPr>
          <w:rFonts w:hint="default" w:ascii="Times New Roman" w:hAnsi="Times New Roman" w:cs="Times New Roman"/>
          <w:b/>
          <w:kern w:val="0"/>
          <w:sz w:val="28"/>
          <w:szCs w:val="28"/>
        </w:rPr>
        <w:sectPr>
          <w:pgSz w:w="11907" w:h="16840"/>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713877EE">
      <w:pPr>
        <w:pStyle w:val="13"/>
        <w:jc w:val="center"/>
        <w:outlineLvl w:val="0"/>
        <w:rPr>
          <w:rFonts w:hint="default" w:ascii="Times New Roman" w:hAnsi="Times New Roman" w:eastAsia="黑体" w:cs="Times New Roman"/>
          <w:snapToGrid w:val="0"/>
          <w:sz w:val="30"/>
          <w:szCs w:val="30"/>
        </w:rPr>
      </w:pPr>
      <w:r>
        <w:rPr>
          <w:rFonts w:hint="default" w:ascii="Times New Roman" w:hAnsi="Times New Roman" w:eastAsia="黑体" w:cs="Times New Roman"/>
          <w:snapToGrid w:val="0"/>
          <w:sz w:val="30"/>
          <w:szCs w:val="30"/>
        </w:rPr>
        <w:t>五、</w:t>
      </w:r>
      <w:bookmarkStart w:id="6" w:name="_Hlk54167917"/>
      <w:r>
        <w:rPr>
          <w:rFonts w:hint="default" w:ascii="Times New Roman" w:hAnsi="Times New Roman" w:eastAsia="黑体" w:cs="Times New Roman"/>
          <w:snapToGrid w:val="0"/>
          <w:sz w:val="30"/>
          <w:szCs w:val="30"/>
        </w:rPr>
        <w:t>环境保护措施监督检查清单</w:t>
      </w:r>
      <w:bookmarkEnd w:id="6"/>
    </w:p>
    <w:tbl>
      <w:tblPr>
        <w:tblStyle w:val="17"/>
        <w:tblW w:w="88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1755"/>
        <w:gridCol w:w="1755"/>
        <w:gridCol w:w="1755"/>
        <w:gridCol w:w="1757"/>
      </w:tblGrid>
      <w:tr w14:paraId="2F1DC3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tcBorders>
              <w:tl2br w:val="single" w:color="auto" w:sz="4" w:space="0"/>
            </w:tcBorders>
            <w:noWrap w:val="0"/>
            <w:vAlign w:val="top"/>
          </w:tcPr>
          <w:p w14:paraId="317106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内容</w:t>
            </w:r>
          </w:p>
          <w:p w14:paraId="109C060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要素</w:t>
            </w:r>
          </w:p>
        </w:tc>
        <w:tc>
          <w:tcPr>
            <w:tcW w:w="1755" w:type="dxa"/>
            <w:noWrap w:val="0"/>
            <w:vAlign w:val="center"/>
          </w:tcPr>
          <w:p w14:paraId="1B1972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排放口(编号、名称)/污染源</w:t>
            </w:r>
          </w:p>
        </w:tc>
        <w:tc>
          <w:tcPr>
            <w:tcW w:w="1755" w:type="dxa"/>
            <w:noWrap w:val="0"/>
            <w:vAlign w:val="center"/>
          </w:tcPr>
          <w:p w14:paraId="4172A9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污染物项目</w:t>
            </w:r>
          </w:p>
        </w:tc>
        <w:tc>
          <w:tcPr>
            <w:tcW w:w="1755" w:type="dxa"/>
            <w:noWrap w:val="0"/>
            <w:vAlign w:val="center"/>
          </w:tcPr>
          <w:p w14:paraId="42F57B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环境保护措施</w:t>
            </w:r>
          </w:p>
        </w:tc>
        <w:tc>
          <w:tcPr>
            <w:tcW w:w="1757" w:type="dxa"/>
            <w:noWrap w:val="0"/>
            <w:vAlign w:val="center"/>
          </w:tcPr>
          <w:p w14:paraId="0A6D51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执行标准</w:t>
            </w:r>
          </w:p>
        </w:tc>
      </w:tr>
      <w:tr w14:paraId="759A44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restart"/>
            <w:noWrap w:val="0"/>
            <w:vAlign w:val="center"/>
          </w:tcPr>
          <w:p w14:paraId="07402A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大气环境</w:t>
            </w:r>
          </w:p>
        </w:tc>
        <w:tc>
          <w:tcPr>
            <w:tcW w:w="1755" w:type="dxa"/>
            <w:noWrap w:val="0"/>
            <w:vAlign w:val="center"/>
          </w:tcPr>
          <w:p w14:paraId="26A32C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砂子、石子装卸扬尘、堆存粉尘</w:t>
            </w:r>
          </w:p>
        </w:tc>
        <w:tc>
          <w:tcPr>
            <w:tcW w:w="1755" w:type="dxa"/>
            <w:noWrap w:val="0"/>
            <w:vAlign w:val="center"/>
          </w:tcPr>
          <w:p w14:paraId="22F400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4"/>
                <w:szCs w:val="24"/>
                <w:lang w:val="en-US" w:eastAsia="zh-CN"/>
              </w:rPr>
            </w:pPr>
            <w:r>
              <w:rPr>
                <w:rFonts w:hint="eastAsia" w:cs="Times New Roman"/>
                <w:sz w:val="24"/>
                <w:szCs w:val="24"/>
                <w:lang w:val="en-US" w:eastAsia="zh-CN"/>
              </w:rPr>
              <w:t>颗粒物</w:t>
            </w:r>
          </w:p>
        </w:tc>
        <w:tc>
          <w:tcPr>
            <w:tcW w:w="1755" w:type="dxa"/>
            <w:noWrap w:val="0"/>
            <w:vAlign w:val="center"/>
          </w:tcPr>
          <w:p w14:paraId="1F1DFA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全封闭原料堆场储存+堆存区上方设置1套喷淋设施，输送采用全封闭输送带，原料堆场四周地面硬化</w:t>
            </w:r>
          </w:p>
        </w:tc>
        <w:tc>
          <w:tcPr>
            <w:tcW w:w="1757" w:type="dxa"/>
            <w:vMerge w:val="restart"/>
            <w:noWrap w:val="0"/>
            <w:vAlign w:val="center"/>
          </w:tcPr>
          <w:p w14:paraId="7022C61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rPr>
              <w:t>《水泥工业大气污染物排放标准》（GB4915-2013）表3浓度限值要求</w:t>
            </w:r>
          </w:p>
        </w:tc>
      </w:tr>
      <w:tr w14:paraId="2A794B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14:paraId="607725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p>
        </w:tc>
        <w:tc>
          <w:tcPr>
            <w:tcW w:w="1755" w:type="dxa"/>
            <w:noWrap w:val="0"/>
            <w:vAlign w:val="center"/>
          </w:tcPr>
          <w:p w14:paraId="787273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eastAsia" w:cs="Times New Roman"/>
                <w:color w:val="auto"/>
                <w:szCs w:val="21"/>
                <w:highlight w:val="none"/>
                <w:lang w:val="en-US" w:eastAsia="zh-CN"/>
              </w:rPr>
              <w:t>水泥、粉煤灰、筒仓仓顶呼吸孔粉尘</w:t>
            </w:r>
          </w:p>
        </w:tc>
        <w:tc>
          <w:tcPr>
            <w:tcW w:w="1755" w:type="dxa"/>
            <w:noWrap w:val="0"/>
            <w:vAlign w:val="center"/>
          </w:tcPr>
          <w:p w14:paraId="7DA2EA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eastAsia" w:cs="Times New Roman"/>
                <w:sz w:val="24"/>
                <w:szCs w:val="24"/>
                <w:lang w:val="en-US" w:eastAsia="zh-CN"/>
              </w:rPr>
              <w:t>颗粒物</w:t>
            </w:r>
          </w:p>
        </w:tc>
        <w:tc>
          <w:tcPr>
            <w:tcW w:w="1755" w:type="dxa"/>
            <w:noWrap w:val="0"/>
            <w:vAlign w:val="center"/>
          </w:tcPr>
          <w:p w14:paraId="62D6C0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水泥筒仓4座，粉煤灰筒仓4个，仓顶均配套袋式除尘器，产生的粉尘，最终经各自仓顶排气孔排放</w:t>
            </w:r>
          </w:p>
        </w:tc>
        <w:tc>
          <w:tcPr>
            <w:tcW w:w="1757" w:type="dxa"/>
            <w:vMerge w:val="continue"/>
            <w:noWrap w:val="0"/>
            <w:vAlign w:val="center"/>
          </w:tcPr>
          <w:p w14:paraId="7C97E2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p>
        </w:tc>
      </w:tr>
      <w:tr w14:paraId="0209EB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14:paraId="6B6261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p>
        </w:tc>
        <w:tc>
          <w:tcPr>
            <w:tcW w:w="1755" w:type="dxa"/>
            <w:noWrap w:val="0"/>
            <w:vAlign w:val="center"/>
          </w:tcPr>
          <w:p w14:paraId="186065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HZS180型商品混凝土搅拌站</w:t>
            </w:r>
            <w:r>
              <w:rPr>
                <w:rFonts w:hint="default" w:ascii="Times New Roman" w:hAnsi="Times New Roman" w:cs="Times New Roman"/>
                <w:color w:val="auto"/>
                <w:szCs w:val="21"/>
                <w:highlight w:val="none"/>
                <w:lang w:val="en-US" w:eastAsia="zh-CN"/>
              </w:rPr>
              <w:t>搅拌废气</w:t>
            </w:r>
          </w:p>
        </w:tc>
        <w:tc>
          <w:tcPr>
            <w:tcW w:w="1755" w:type="dxa"/>
            <w:noWrap w:val="0"/>
            <w:vAlign w:val="center"/>
          </w:tcPr>
          <w:p w14:paraId="5BA81A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eastAsia" w:cs="Times New Roman"/>
                <w:sz w:val="24"/>
                <w:szCs w:val="24"/>
                <w:lang w:val="en-US" w:eastAsia="zh-CN"/>
              </w:rPr>
              <w:t>颗粒物</w:t>
            </w:r>
          </w:p>
        </w:tc>
        <w:tc>
          <w:tcPr>
            <w:tcW w:w="1755" w:type="dxa"/>
            <w:noWrap w:val="0"/>
            <w:vAlign w:val="center"/>
          </w:tcPr>
          <w:p w14:paraId="2793DA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自带袋式除尘器处理后，由15m高排气筒（DA001）排放</w:t>
            </w:r>
          </w:p>
        </w:tc>
        <w:tc>
          <w:tcPr>
            <w:tcW w:w="1757" w:type="dxa"/>
            <w:vMerge w:val="restart"/>
            <w:noWrap w:val="0"/>
            <w:vAlign w:val="center"/>
          </w:tcPr>
          <w:p w14:paraId="65E624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rPr>
              <w:t>《水泥工业大气污染物排放标准》（GB4915-2013）表1</w:t>
            </w:r>
            <w:r>
              <w:rPr>
                <w:rFonts w:hint="default" w:ascii="Times New Roman" w:hAnsi="Times New Roman" w:cs="Times New Roman"/>
                <w:lang w:val="en-US" w:eastAsia="zh-CN"/>
              </w:rPr>
              <w:t>现有与新建企业大气污染物排放限值相关要求</w:t>
            </w:r>
          </w:p>
        </w:tc>
      </w:tr>
      <w:tr w14:paraId="4AEEAC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14:paraId="213248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p>
        </w:tc>
        <w:tc>
          <w:tcPr>
            <w:tcW w:w="1755" w:type="dxa"/>
            <w:noWrap w:val="0"/>
            <w:vAlign w:val="center"/>
          </w:tcPr>
          <w:p w14:paraId="3FFBE2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HZS</w:t>
            </w:r>
            <w:r>
              <w:rPr>
                <w:rFonts w:hint="eastAsia" w:ascii="Times New Roman" w:hAnsi="Times New Roman" w:cs="Times New Roman"/>
                <w:sz w:val="24"/>
                <w:szCs w:val="24"/>
                <w:lang w:val="en-US" w:eastAsia="zh-CN"/>
              </w:rPr>
              <w:t>240</w:t>
            </w:r>
            <w:r>
              <w:rPr>
                <w:rFonts w:hint="default" w:ascii="Times New Roman" w:hAnsi="Times New Roman" w:cs="Times New Roman"/>
                <w:sz w:val="24"/>
                <w:szCs w:val="24"/>
                <w:lang w:val="en-US" w:eastAsia="zh-CN"/>
              </w:rPr>
              <w:t>型商品混凝土搅拌站</w:t>
            </w:r>
            <w:r>
              <w:rPr>
                <w:rFonts w:hint="default" w:ascii="Times New Roman" w:hAnsi="Times New Roman" w:cs="Times New Roman"/>
                <w:color w:val="auto"/>
                <w:szCs w:val="21"/>
                <w:highlight w:val="none"/>
                <w:lang w:val="en-US" w:eastAsia="zh-CN"/>
              </w:rPr>
              <w:t>搅拌废气</w:t>
            </w:r>
          </w:p>
        </w:tc>
        <w:tc>
          <w:tcPr>
            <w:tcW w:w="1755" w:type="dxa"/>
            <w:noWrap w:val="0"/>
            <w:vAlign w:val="center"/>
          </w:tcPr>
          <w:p w14:paraId="062E89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eastAsia" w:cs="Times New Roman"/>
                <w:sz w:val="24"/>
                <w:szCs w:val="24"/>
                <w:lang w:val="en-US" w:eastAsia="zh-CN"/>
              </w:rPr>
              <w:t>颗粒物</w:t>
            </w:r>
          </w:p>
        </w:tc>
        <w:tc>
          <w:tcPr>
            <w:tcW w:w="1755" w:type="dxa"/>
            <w:noWrap w:val="0"/>
            <w:vAlign w:val="center"/>
          </w:tcPr>
          <w:p w14:paraId="452F92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eastAsia" w:cs="Times New Roman"/>
                <w:color w:val="auto"/>
                <w:highlight w:val="none"/>
                <w:lang w:val="en-US" w:eastAsia="zh-CN"/>
              </w:rPr>
              <w:t>自带袋式除尘器处理后，由15m高排气筒（DA002）排放</w:t>
            </w:r>
          </w:p>
        </w:tc>
        <w:tc>
          <w:tcPr>
            <w:tcW w:w="1757" w:type="dxa"/>
            <w:vMerge w:val="continue"/>
            <w:noWrap w:val="0"/>
            <w:vAlign w:val="center"/>
          </w:tcPr>
          <w:p w14:paraId="287717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p>
        </w:tc>
      </w:tr>
      <w:tr w14:paraId="7D766D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14:paraId="58375F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p>
        </w:tc>
        <w:tc>
          <w:tcPr>
            <w:tcW w:w="1755" w:type="dxa"/>
            <w:noWrap w:val="0"/>
            <w:vAlign w:val="center"/>
          </w:tcPr>
          <w:p w14:paraId="29398B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color w:val="auto"/>
                <w:szCs w:val="21"/>
                <w:highlight w:val="none"/>
                <w:lang w:val="en-US" w:eastAsia="zh-CN"/>
              </w:rPr>
              <w:t>运输车辆动力起尘</w:t>
            </w:r>
          </w:p>
        </w:tc>
        <w:tc>
          <w:tcPr>
            <w:tcW w:w="1755" w:type="dxa"/>
            <w:noWrap w:val="0"/>
            <w:vAlign w:val="center"/>
          </w:tcPr>
          <w:p w14:paraId="3BA29D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eastAsia" w:cs="Times New Roman"/>
                <w:sz w:val="24"/>
                <w:szCs w:val="24"/>
                <w:lang w:val="en-US" w:eastAsia="zh-CN"/>
              </w:rPr>
              <w:t>颗粒物</w:t>
            </w:r>
          </w:p>
        </w:tc>
        <w:tc>
          <w:tcPr>
            <w:tcW w:w="1755" w:type="dxa"/>
            <w:noWrap w:val="0"/>
            <w:vAlign w:val="center"/>
          </w:tcPr>
          <w:p w14:paraId="4BDE67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厂区道路、停车场及其他地面硬化，定时洒水；降低车辆运输速度；并配备高压水枪设备对驶出车辆进行冲洗清洁；厂区保洁人员及时对散落的物料进行清扫收集。</w:t>
            </w:r>
          </w:p>
        </w:tc>
        <w:tc>
          <w:tcPr>
            <w:tcW w:w="1757" w:type="dxa"/>
            <w:noWrap w:val="0"/>
            <w:vAlign w:val="center"/>
          </w:tcPr>
          <w:p w14:paraId="2185B35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rPr>
              <w:t>《水泥工业大气污染物排放标准》（GB4915-2013）表3浓度限值要求</w:t>
            </w:r>
          </w:p>
        </w:tc>
      </w:tr>
      <w:tr w14:paraId="129FB3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restart"/>
            <w:noWrap w:val="0"/>
            <w:vAlign w:val="center"/>
          </w:tcPr>
          <w:p w14:paraId="2F6EF1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地表水环境</w:t>
            </w:r>
          </w:p>
        </w:tc>
        <w:tc>
          <w:tcPr>
            <w:tcW w:w="1755" w:type="dxa"/>
            <w:noWrap w:val="0"/>
            <w:vAlign w:val="center"/>
          </w:tcPr>
          <w:p w14:paraId="777A69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auto"/>
                <w:szCs w:val="21"/>
                <w:highlight w:val="none"/>
                <w:lang w:val="en-US" w:eastAsia="zh-CN"/>
              </w:rPr>
              <w:t>搅拌机清洗废水、</w:t>
            </w:r>
            <w:r>
              <w:rPr>
                <w:rFonts w:hint="eastAsia" w:cs="Times New Roman"/>
                <w:color w:val="auto"/>
                <w:szCs w:val="21"/>
                <w:highlight w:val="none"/>
                <w:lang w:val="en-US" w:eastAsia="zh-CN"/>
              </w:rPr>
              <w:t>罐车</w:t>
            </w:r>
            <w:r>
              <w:rPr>
                <w:rFonts w:hint="default" w:ascii="Times New Roman" w:hAnsi="Times New Roman" w:eastAsia="宋体" w:cs="Times New Roman"/>
                <w:color w:val="auto"/>
                <w:szCs w:val="21"/>
                <w:highlight w:val="none"/>
                <w:lang w:val="en-US" w:eastAsia="zh-CN"/>
              </w:rPr>
              <w:t>清洗废水</w:t>
            </w:r>
          </w:p>
        </w:tc>
        <w:tc>
          <w:tcPr>
            <w:tcW w:w="1755" w:type="dxa"/>
            <w:noWrap w:val="0"/>
            <w:vAlign w:val="center"/>
          </w:tcPr>
          <w:p w14:paraId="7DEECC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rPr>
              <w:t>SS</w:t>
            </w:r>
          </w:p>
        </w:tc>
        <w:tc>
          <w:tcPr>
            <w:tcW w:w="3512" w:type="dxa"/>
            <w:gridSpan w:val="2"/>
            <w:noWrap w:val="0"/>
            <w:vAlign w:val="center"/>
          </w:tcPr>
          <w:p w14:paraId="266596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auto"/>
                <w:szCs w:val="21"/>
                <w:highlight w:val="none"/>
                <w:lang w:val="en-US" w:eastAsia="zh-CN"/>
              </w:rPr>
              <w:t>经三级沉淀池沉淀处理后</w:t>
            </w:r>
            <w:r>
              <w:rPr>
                <w:rFonts w:hint="eastAsia" w:cs="Times New Roman"/>
                <w:color w:val="auto"/>
                <w:szCs w:val="21"/>
                <w:highlight w:val="none"/>
                <w:lang w:val="en-US" w:eastAsia="zh-CN"/>
              </w:rPr>
              <w:t>由厂区内的废水输送管线输送至搅拌工序用于搅拌混合用水，不外排。</w:t>
            </w:r>
          </w:p>
        </w:tc>
      </w:tr>
      <w:tr w14:paraId="31EFD6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14:paraId="206BF5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p>
        </w:tc>
        <w:tc>
          <w:tcPr>
            <w:tcW w:w="1755" w:type="dxa"/>
            <w:noWrap w:val="0"/>
            <w:vAlign w:val="center"/>
          </w:tcPr>
          <w:p w14:paraId="03B7D67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auto"/>
                <w:szCs w:val="21"/>
                <w:highlight w:val="none"/>
                <w:lang w:val="en-US" w:eastAsia="zh-CN"/>
              </w:rPr>
              <w:t>生活污水</w:t>
            </w:r>
          </w:p>
        </w:tc>
        <w:tc>
          <w:tcPr>
            <w:tcW w:w="1755" w:type="dxa"/>
            <w:noWrap w:val="0"/>
            <w:vAlign w:val="center"/>
          </w:tcPr>
          <w:p w14:paraId="5E3B296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cs="Times New Roman"/>
              </w:rPr>
            </w:pPr>
            <w:r>
              <w:rPr>
                <w:rFonts w:hint="default" w:ascii="Times New Roman" w:hAnsi="Times New Roman" w:cs="Times New Roman"/>
                <w:lang w:val="en-US" w:eastAsia="zh-CN"/>
              </w:rPr>
              <w:t>pH、</w:t>
            </w:r>
            <w:r>
              <w:rPr>
                <w:rFonts w:hint="default" w:ascii="Times New Roman" w:hAnsi="Times New Roman" w:cs="Times New Roman"/>
              </w:rPr>
              <w:t>SS、COD</w:t>
            </w:r>
          </w:p>
          <w:p w14:paraId="52CA63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rPr>
              <w:t>BOD</w:t>
            </w:r>
            <w:r>
              <w:rPr>
                <w:rFonts w:hint="default" w:ascii="Times New Roman" w:hAnsi="Times New Roman" w:cs="Times New Roman"/>
                <w:vertAlign w:val="subscript"/>
              </w:rPr>
              <w:t>5</w:t>
            </w:r>
            <w:r>
              <w:rPr>
                <w:rFonts w:hint="default" w:ascii="Times New Roman" w:hAnsi="Times New Roman" w:cs="Times New Roman"/>
              </w:rPr>
              <w:t>、氨氮</w:t>
            </w:r>
          </w:p>
        </w:tc>
        <w:tc>
          <w:tcPr>
            <w:tcW w:w="3512" w:type="dxa"/>
            <w:gridSpan w:val="2"/>
            <w:noWrap w:val="0"/>
            <w:vAlign w:val="center"/>
          </w:tcPr>
          <w:p w14:paraId="5D2D79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auto"/>
                <w:szCs w:val="21"/>
                <w:highlight w:val="none"/>
                <w:lang w:val="en-US" w:eastAsia="zh-CN"/>
              </w:rPr>
              <w:t>新建一座10m³防渗化粪池，定期</w:t>
            </w:r>
            <w:r>
              <w:rPr>
                <w:rFonts w:hint="eastAsia" w:cs="Times New Roman"/>
                <w:color w:val="auto"/>
                <w:szCs w:val="21"/>
                <w:highlight w:val="none"/>
                <w:lang w:val="en-US" w:eastAsia="zh-CN"/>
              </w:rPr>
              <w:t>交由伊金霍洛旗澎源供水有限公司进行拉运处理。</w:t>
            </w:r>
          </w:p>
        </w:tc>
      </w:tr>
      <w:tr w14:paraId="77AB64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noWrap w:val="0"/>
            <w:vAlign w:val="center"/>
          </w:tcPr>
          <w:p w14:paraId="1B5137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声环境</w:t>
            </w:r>
          </w:p>
        </w:tc>
        <w:tc>
          <w:tcPr>
            <w:tcW w:w="1755" w:type="dxa"/>
            <w:noWrap w:val="0"/>
            <w:vAlign w:val="center"/>
          </w:tcPr>
          <w:p w14:paraId="3DD69E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机械设备</w:t>
            </w:r>
          </w:p>
        </w:tc>
        <w:tc>
          <w:tcPr>
            <w:tcW w:w="1755" w:type="dxa"/>
            <w:noWrap w:val="0"/>
            <w:vAlign w:val="center"/>
          </w:tcPr>
          <w:p w14:paraId="4223FC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设备噪声</w:t>
            </w:r>
          </w:p>
        </w:tc>
        <w:tc>
          <w:tcPr>
            <w:tcW w:w="1755" w:type="dxa"/>
            <w:noWrap w:val="0"/>
            <w:vAlign w:val="center"/>
          </w:tcPr>
          <w:p w14:paraId="45E6CA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选用低噪声设备、厂房隔声、基础减振等</w:t>
            </w:r>
          </w:p>
        </w:tc>
        <w:tc>
          <w:tcPr>
            <w:tcW w:w="1757" w:type="dxa"/>
            <w:noWrap w:val="0"/>
            <w:vAlign w:val="center"/>
          </w:tcPr>
          <w:p w14:paraId="5CACC3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《工业企业厂界环境噪声排放标准》（GB12348-2008）3</w:t>
            </w:r>
            <w:r>
              <w:rPr>
                <w:rFonts w:hint="eastAsia" w:cs="Times New Roman"/>
                <w:sz w:val="24"/>
                <w:szCs w:val="24"/>
                <w:lang w:eastAsia="zh-CN"/>
              </w:rPr>
              <w:t>类</w:t>
            </w:r>
            <w:r>
              <w:rPr>
                <w:rFonts w:hint="default" w:ascii="Times New Roman" w:hAnsi="Times New Roman" w:cs="Times New Roman"/>
                <w:sz w:val="24"/>
                <w:szCs w:val="24"/>
              </w:rPr>
              <w:t>标准</w:t>
            </w:r>
          </w:p>
        </w:tc>
      </w:tr>
      <w:tr w14:paraId="23B409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noWrap w:val="0"/>
            <w:vAlign w:val="center"/>
          </w:tcPr>
          <w:p w14:paraId="2551D3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电磁辐射</w:t>
            </w:r>
          </w:p>
        </w:tc>
        <w:tc>
          <w:tcPr>
            <w:tcW w:w="1755" w:type="dxa"/>
            <w:noWrap w:val="0"/>
            <w:vAlign w:val="center"/>
          </w:tcPr>
          <w:p w14:paraId="06096F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4"/>
                <w:szCs w:val="24"/>
                <w:lang w:val="en-US" w:eastAsia="zh-CN"/>
              </w:rPr>
            </w:pPr>
            <w:r>
              <w:rPr>
                <w:rFonts w:hint="eastAsia" w:cs="Times New Roman"/>
                <w:sz w:val="24"/>
                <w:szCs w:val="24"/>
                <w:lang w:val="en-US" w:eastAsia="zh-CN"/>
              </w:rPr>
              <w:t>/</w:t>
            </w:r>
          </w:p>
        </w:tc>
        <w:tc>
          <w:tcPr>
            <w:tcW w:w="1755" w:type="dxa"/>
            <w:noWrap w:val="0"/>
            <w:vAlign w:val="center"/>
          </w:tcPr>
          <w:p w14:paraId="209E4D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4"/>
                <w:szCs w:val="24"/>
                <w:lang w:val="en-US" w:eastAsia="zh-CN"/>
              </w:rPr>
            </w:pPr>
            <w:r>
              <w:rPr>
                <w:rFonts w:hint="eastAsia" w:cs="Times New Roman"/>
                <w:sz w:val="24"/>
                <w:szCs w:val="24"/>
                <w:lang w:val="en-US" w:eastAsia="zh-CN"/>
              </w:rPr>
              <w:t>/</w:t>
            </w:r>
          </w:p>
        </w:tc>
        <w:tc>
          <w:tcPr>
            <w:tcW w:w="1755" w:type="dxa"/>
            <w:noWrap w:val="0"/>
            <w:vAlign w:val="center"/>
          </w:tcPr>
          <w:p w14:paraId="4C5865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4"/>
                <w:szCs w:val="24"/>
                <w:lang w:val="en-US" w:eastAsia="zh-CN"/>
              </w:rPr>
            </w:pPr>
            <w:r>
              <w:rPr>
                <w:rFonts w:hint="eastAsia" w:cs="Times New Roman"/>
                <w:sz w:val="24"/>
                <w:szCs w:val="24"/>
                <w:lang w:val="en-US" w:eastAsia="zh-CN"/>
              </w:rPr>
              <w:t>/</w:t>
            </w:r>
          </w:p>
        </w:tc>
        <w:tc>
          <w:tcPr>
            <w:tcW w:w="1757" w:type="dxa"/>
            <w:noWrap w:val="0"/>
            <w:vAlign w:val="center"/>
          </w:tcPr>
          <w:p w14:paraId="515DDA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4"/>
                <w:szCs w:val="24"/>
                <w:lang w:val="en-US" w:eastAsia="zh-CN"/>
              </w:rPr>
            </w:pPr>
            <w:r>
              <w:rPr>
                <w:rFonts w:hint="eastAsia" w:cs="Times New Roman"/>
                <w:sz w:val="24"/>
                <w:szCs w:val="24"/>
                <w:lang w:val="en-US" w:eastAsia="zh-CN"/>
              </w:rPr>
              <w:t>/</w:t>
            </w:r>
          </w:p>
        </w:tc>
      </w:tr>
      <w:tr w14:paraId="17F85B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78" w:type="dxa"/>
            <w:noWrap w:val="0"/>
            <w:vAlign w:val="center"/>
          </w:tcPr>
          <w:p w14:paraId="5E1FA0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固体废物</w:t>
            </w:r>
          </w:p>
        </w:tc>
        <w:tc>
          <w:tcPr>
            <w:tcW w:w="7022" w:type="dxa"/>
            <w:gridSpan w:val="4"/>
            <w:noWrap w:val="0"/>
            <w:vAlign w:val="center"/>
          </w:tcPr>
          <w:p w14:paraId="7EF303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除尘灰</w:t>
            </w:r>
            <w:r>
              <w:rPr>
                <w:rFonts w:hint="eastAsia" w:ascii="Times New Roman" w:hAnsi="Times New Roman" w:eastAsia="宋体" w:cs="Times New Roman"/>
                <w:color w:val="auto"/>
                <w:szCs w:val="21"/>
                <w:highlight w:val="none"/>
                <w:lang w:val="en-US" w:eastAsia="zh-CN"/>
              </w:rPr>
              <w:t>：</w:t>
            </w:r>
            <w:r>
              <w:rPr>
                <w:rFonts w:hint="default" w:ascii="Times New Roman" w:hAnsi="Times New Roman" w:eastAsia="宋体" w:cs="Times New Roman"/>
                <w:color w:val="auto"/>
                <w:szCs w:val="21"/>
                <w:highlight w:val="none"/>
                <w:lang w:val="en-US" w:eastAsia="zh-CN"/>
              </w:rPr>
              <w:t>水泥筒仓、粉煤灰筒仓</w:t>
            </w:r>
            <w:r>
              <w:rPr>
                <w:rFonts w:hint="default" w:ascii="Times New Roman" w:hAnsi="Times New Roman" w:cs="Times New Roman"/>
                <w:color w:val="auto"/>
                <w:szCs w:val="21"/>
                <w:highlight w:val="none"/>
                <w:lang w:val="en-US" w:eastAsia="zh-CN"/>
              </w:rPr>
              <w:t>、</w:t>
            </w:r>
            <w:r>
              <w:rPr>
                <w:rFonts w:hint="default" w:ascii="Times New Roman" w:hAnsi="Times New Roman" w:eastAsia="宋体" w:cs="Times New Roman"/>
                <w:color w:val="auto"/>
                <w:szCs w:val="21"/>
                <w:highlight w:val="none"/>
                <w:lang w:val="en-US" w:eastAsia="zh-CN"/>
              </w:rPr>
              <w:t>搅拌站除尘器收集的</w:t>
            </w:r>
            <w:r>
              <w:rPr>
                <w:rFonts w:hint="eastAsia" w:cs="Times New Roman"/>
                <w:color w:val="auto"/>
                <w:szCs w:val="21"/>
                <w:highlight w:val="none"/>
                <w:lang w:val="en-US" w:eastAsia="zh-CN"/>
              </w:rPr>
              <w:t>除尘灰</w:t>
            </w:r>
            <w:r>
              <w:rPr>
                <w:rFonts w:hint="default" w:ascii="Times New Roman" w:hAnsi="Times New Roman" w:eastAsia="宋体" w:cs="Times New Roman"/>
                <w:color w:val="auto"/>
                <w:szCs w:val="21"/>
                <w:highlight w:val="none"/>
                <w:lang w:val="en-US" w:eastAsia="zh-CN"/>
              </w:rPr>
              <w:t>返回生产系统回用。</w:t>
            </w:r>
          </w:p>
          <w:p w14:paraId="4DC471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沉淀池底泥</w:t>
            </w:r>
            <w:r>
              <w:rPr>
                <w:rFonts w:hint="eastAsia" w:ascii="Times New Roman" w:hAnsi="Times New Roman" w:eastAsia="宋体" w:cs="Times New Roman"/>
                <w:color w:val="auto"/>
                <w:szCs w:val="21"/>
                <w:highlight w:val="none"/>
                <w:lang w:val="en-US" w:eastAsia="zh-CN"/>
              </w:rPr>
              <w:t>：</w:t>
            </w:r>
            <w:r>
              <w:rPr>
                <w:rFonts w:hint="default" w:ascii="Times New Roman" w:hAnsi="Times New Roman" w:eastAsia="宋体" w:cs="Times New Roman"/>
                <w:color w:val="auto"/>
                <w:szCs w:val="21"/>
                <w:highlight w:val="none"/>
                <w:lang w:val="en-US" w:eastAsia="zh-CN"/>
              </w:rPr>
              <w:t>沉淀池产生的沉淀渣定期捞取后回用于商品混凝土生产。</w:t>
            </w:r>
          </w:p>
          <w:p w14:paraId="7892D8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生活垃圾</w:t>
            </w:r>
            <w:r>
              <w:rPr>
                <w:rFonts w:hint="eastAsia" w:ascii="Times New Roman" w:hAnsi="Times New Roman" w:eastAsia="宋体" w:cs="Times New Roman"/>
                <w:color w:val="auto"/>
                <w:szCs w:val="21"/>
                <w:highlight w:val="none"/>
                <w:lang w:val="en-US" w:eastAsia="zh-CN"/>
              </w:rPr>
              <w:t>：</w:t>
            </w:r>
            <w:r>
              <w:rPr>
                <w:rFonts w:hint="default" w:ascii="Times New Roman" w:hAnsi="Times New Roman" w:eastAsia="宋体" w:cs="Times New Roman"/>
                <w:color w:val="auto"/>
                <w:szCs w:val="21"/>
                <w:highlight w:val="none"/>
                <w:lang w:val="en-US" w:eastAsia="zh-CN"/>
              </w:rPr>
              <w:t>集中收集至</w:t>
            </w:r>
            <w:r>
              <w:rPr>
                <w:rFonts w:hint="eastAsia" w:ascii="Times New Roman" w:hAnsi="Times New Roman" w:eastAsia="宋体" w:cs="Times New Roman"/>
                <w:color w:val="auto"/>
                <w:szCs w:val="21"/>
                <w:highlight w:val="none"/>
                <w:lang w:val="en-US" w:eastAsia="zh-CN"/>
              </w:rPr>
              <w:t>厂区</w:t>
            </w:r>
            <w:r>
              <w:rPr>
                <w:rFonts w:hint="default" w:ascii="Times New Roman" w:hAnsi="Times New Roman" w:eastAsia="宋体" w:cs="Times New Roman"/>
                <w:color w:val="auto"/>
                <w:szCs w:val="21"/>
                <w:highlight w:val="none"/>
                <w:lang w:val="en-US" w:eastAsia="zh-CN"/>
              </w:rPr>
              <w:t>垃圾箱后，定期送至环卫部门进行处理。</w:t>
            </w:r>
          </w:p>
          <w:p w14:paraId="65463A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sz w:val="24"/>
                <w:szCs w:val="24"/>
              </w:rPr>
            </w:pPr>
            <w:r>
              <w:rPr>
                <w:rFonts w:hint="eastAsia" w:cs="Times New Roman"/>
                <w:color w:val="auto"/>
                <w:szCs w:val="21"/>
                <w:highlight w:val="none"/>
                <w:lang w:val="en-US" w:eastAsia="zh-CN"/>
              </w:rPr>
              <w:t>废矿物油及废油桶：设备维修运营过程中产生的危险废物废矿物油及废油桶暂存于新建的10㎡危废库中，定期交由有资质单位进行处置。</w:t>
            </w:r>
          </w:p>
        </w:tc>
      </w:tr>
      <w:tr w14:paraId="184F4F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1778" w:type="dxa"/>
            <w:noWrap w:val="0"/>
            <w:vAlign w:val="center"/>
          </w:tcPr>
          <w:p w14:paraId="6C1C8F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土壤及地下水</w:t>
            </w:r>
          </w:p>
          <w:p w14:paraId="3AD290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污染防治措施</w:t>
            </w:r>
          </w:p>
        </w:tc>
        <w:tc>
          <w:tcPr>
            <w:tcW w:w="7022" w:type="dxa"/>
            <w:gridSpan w:val="4"/>
            <w:noWrap w:val="0"/>
            <w:vAlign w:val="center"/>
          </w:tcPr>
          <w:p w14:paraId="73DE7B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危废库</w:t>
            </w:r>
            <w:r>
              <w:rPr>
                <w:rFonts w:hint="default" w:ascii="Times New Roman" w:hAnsi="Times New Roman" w:eastAsia="宋体" w:cs="Times New Roman"/>
                <w:color w:val="auto"/>
                <w:szCs w:val="21"/>
                <w:highlight w:val="none"/>
                <w:lang w:val="en-US" w:eastAsia="zh-CN"/>
              </w:rPr>
              <w:t>为本项目重点防渗区，按照《危险废物贮存污染控制标准》（GB18597-2023）要求进行建设。</w:t>
            </w:r>
            <w:r>
              <w:rPr>
                <w:rFonts w:hint="eastAsia" w:ascii="Times New Roman" w:hAnsi="Times New Roman" w:eastAsia="宋体" w:cs="Times New Roman"/>
                <w:color w:val="auto"/>
                <w:szCs w:val="21"/>
                <w:highlight w:val="none"/>
                <w:lang w:val="en-US" w:eastAsia="zh-CN"/>
              </w:rPr>
              <w:t>危废库</w:t>
            </w:r>
            <w:r>
              <w:rPr>
                <w:rFonts w:hint="default" w:ascii="Times New Roman" w:hAnsi="Times New Roman" w:eastAsia="宋体" w:cs="Times New Roman"/>
                <w:color w:val="auto"/>
                <w:szCs w:val="21"/>
                <w:highlight w:val="none"/>
                <w:lang w:val="en-US" w:eastAsia="zh-CN"/>
              </w:rPr>
              <w:t>地面与裙脚应采取表面防渗措施，还应进行基础防渗，</w:t>
            </w:r>
            <w:r>
              <w:rPr>
                <w:rFonts w:hint="eastAsia" w:cs="Times New Roman"/>
                <w:color w:val="auto"/>
                <w:szCs w:val="21"/>
                <w:highlight w:val="none"/>
                <w:lang w:val="en-US" w:eastAsia="zh-CN"/>
              </w:rPr>
              <w:t>防渗措施为防渗层为至少1m厚黏土层（渗透系数≤10</w:t>
            </w:r>
            <w:r>
              <w:rPr>
                <w:rFonts w:hint="eastAsia" w:cs="Times New Roman"/>
                <w:color w:val="auto"/>
                <w:szCs w:val="21"/>
                <w:highlight w:val="none"/>
                <w:vertAlign w:val="superscript"/>
                <w:lang w:val="en-US" w:eastAsia="zh-CN"/>
              </w:rPr>
              <w:t>-7</w:t>
            </w:r>
            <w:r>
              <w:rPr>
                <w:rFonts w:hint="eastAsia" w:cs="Times New Roman"/>
                <w:color w:val="auto"/>
                <w:szCs w:val="21"/>
                <w:highlight w:val="none"/>
                <w:lang w:val="en-US" w:eastAsia="zh-CN"/>
              </w:rPr>
              <w:t>cm/s），或至少2mm厚高密度聚乙烯膜等人工防渗材料（渗透系数≤10</w:t>
            </w:r>
            <w:r>
              <w:rPr>
                <w:rFonts w:hint="eastAsia" w:cs="Times New Roman"/>
                <w:color w:val="auto"/>
                <w:szCs w:val="21"/>
                <w:highlight w:val="none"/>
                <w:vertAlign w:val="superscript"/>
                <w:lang w:val="en-US" w:eastAsia="zh-CN"/>
              </w:rPr>
              <w:t>-10</w:t>
            </w:r>
            <w:r>
              <w:rPr>
                <w:rFonts w:hint="eastAsia" w:cs="Times New Roman"/>
                <w:color w:val="auto"/>
                <w:szCs w:val="21"/>
                <w:highlight w:val="none"/>
                <w:lang w:val="en-US" w:eastAsia="zh-CN"/>
              </w:rPr>
              <w:t>cm/s），或其他防渗性能等效的材料。</w:t>
            </w:r>
          </w:p>
          <w:p w14:paraId="26CED6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原料堆场、商品混凝土搅拌站、沉淀池、初期雨水池、化粪池进行一般防渗，防渗技术要求等效</w:t>
            </w:r>
            <w:r>
              <w:rPr>
                <w:rFonts w:hint="eastAsia" w:cs="Times New Roman"/>
                <w:color w:val="auto"/>
                <w:szCs w:val="21"/>
                <w:highlight w:val="none"/>
                <w:lang w:val="en-US" w:eastAsia="zh-CN"/>
              </w:rPr>
              <w:t>粘土</w:t>
            </w:r>
            <w:r>
              <w:rPr>
                <w:rFonts w:hint="default" w:ascii="Times New Roman" w:hAnsi="Times New Roman" w:cs="Times New Roman"/>
                <w:color w:val="auto"/>
                <w:szCs w:val="21"/>
                <w:highlight w:val="none"/>
                <w:lang w:val="en-US" w:eastAsia="zh-CN"/>
              </w:rPr>
              <w:t>防渗层Mb</w:t>
            </w:r>
            <w:r>
              <w:rPr>
                <w:rFonts w:hint="eastAsia" w:cs="Times New Roman"/>
                <w:color w:val="auto"/>
                <w:szCs w:val="21"/>
                <w:highlight w:val="none"/>
                <w:lang w:val="en-US" w:eastAsia="zh-CN"/>
              </w:rPr>
              <w:t>≥</w:t>
            </w:r>
            <w:r>
              <w:rPr>
                <w:rFonts w:hint="default" w:ascii="Times New Roman" w:hAnsi="Times New Roman" w:cs="Times New Roman"/>
                <w:color w:val="auto"/>
                <w:szCs w:val="21"/>
                <w:highlight w:val="none"/>
                <w:lang w:val="en-US" w:eastAsia="zh-CN"/>
              </w:rPr>
              <w:t>1.5m，K</w:t>
            </w:r>
            <w:r>
              <w:rPr>
                <w:rFonts w:hint="eastAsia" w:cs="Times New Roman"/>
                <w:color w:val="auto"/>
                <w:szCs w:val="21"/>
                <w:highlight w:val="none"/>
                <w:lang w:val="en-US" w:eastAsia="zh-CN"/>
              </w:rPr>
              <w:t>≤</w:t>
            </w:r>
            <w:r>
              <w:rPr>
                <w:rFonts w:hint="default" w:ascii="Times New Roman" w:hAnsi="Times New Roman" w:cs="Times New Roman"/>
                <w:color w:val="auto"/>
                <w:szCs w:val="21"/>
                <w:highlight w:val="none"/>
                <w:lang w:val="en-US" w:eastAsia="zh-CN"/>
              </w:rPr>
              <w:t>1×10</w:t>
            </w:r>
            <w:r>
              <w:rPr>
                <w:rFonts w:hint="default" w:ascii="Times New Roman" w:hAnsi="Times New Roman" w:cs="Times New Roman"/>
                <w:color w:val="auto"/>
                <w:szCs w:val="21"/>
                <w:highlight w:val="none"/>
                <w:vertAlign w:val="superscript"/>
                <w:lang w:val="en-US" w:eastAsia="zh-CN"/>
              </w:rPr>
              <w:t>-7</w:t>
            </w:r>
            <w:r>
              <w:rPr>
                <w:rFonts w:hint="default" w:ascii="Times New Roman" w:hAnsi="Times New Roman" w:cs="Times New Roman"/>
                <w:color w:val="auto"/>
                <w:szCs w:val="21"/>
                <w:highlight w:val="none"/>
                <w:lang w:val="en-US" w:eastAsia="zh-CN"/>
              </w:rPr>
              <w:t>cm/s。</w:t>
            </w:r>
          </w:p>
          <w:p w14:paraId="774FAF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color w:val="auto"/>
                <w:szCs w:val="21"/>
                <w:highlight w:val="none"/>
                <w:lang w:val="en-US" w:eastAsia="zh-CN"/>
              </w:rPr>
              <w:t>办公区、厂区内路面进行水泥硬化简单防渗。</w:t>
            </w:r>
          </w:p>
        </w:tc>
      </w:tr>
      <w:tr w14:paraId="278485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tcW w:w="1778" w:type="dxa"/>
            <w:noWrap w:val="0"/>
            <w:vAlign w:val="center"/>
          </w:tcPr>
          <w:p w14:paraId="5D26CB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生态保护措施</w:t>
            </w:r>
          </w:p>
        </w:tc>
        <w:tc>
          <w:tcPr>
            <w:tcW w:w="7022" w:type="dxa"/>
            <w:gridSpan w:val="4"/>
            <w:noWrap w:val="0"/>
            <w:vAlign w:val="center"/>
          </w:tcPr>
          <w:p w14:paraId="710886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sz w:val="24"/>
                <w:szCs w:val="24"/>
                <w:lang w:val="en-US" w:eastAsia="zh-CN"/>
              </w:rPr>
            </w:pPr>
            <w:r>
              <w:rPr>
                <w:rFonts w:hint="eastAsia" w:cs="Times New Roman"/>
                <w:sz w:val="24"/>
                <w:szCs w:val="24"/>
                <w:lang w:val="en-US" w:eastAsia="zh-CN"/>
              </w:rPr>
              <w:t>项目厂区四周进行绿化建设，绿化将起到抑尘降噪、美化环境的作用，可以改善周围生态环境，减少水土流失。厂内道路进行硬化处理，可有效减少运输扬尘。</w:t>
            </w:r>
          </w:p>
        </w:tc>
      </w:tr>
      <w:tr w14:paraId="608A7E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78" w:type="dxa"/>
            <w:noWrap w:val="0"/>
            <w:vAlign w:val="center"/>
          </w:tcPr>
          <w:p w14:paraId="291E76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pacing w:val="-8"/>
                <w:sz w:val="24"/>
                <w:szCs w:val="24"/>
              </w:rPr>
            </w:pPr>
            <w:r>
              <w:rPr>
                <w:rFonts w:hint="default" w:ascii="Times New Roman" w:hAnsi="Times New Roman" w:cs="Times New Roman"/>
                <w:spacing w:val="-8"/>
                <w:sz w:val="24"/>
                <w:szCs w:val="24"/>
              </w:rPr>
              <w:t>环境风险</w:t>
            </w:r>
          </w:p>
          <w:p w14:paraId="0CCEA9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pacing w:val="-8"/>
                <w:sz w:val="24"/>
                <w:szCs w:val="24"/>
              </w:rPr>
            </w:pPr>
            <w:r>
              <w:rPr>
                <w:rFonts w:hint="default" w:ascii="Times New Roman" w:hAnsi="Times New Roman" w:cs="Times New Roman"/>
                <w:spacing w:val="-8"/>
                <w:sz w:val="24"/>
                <w:szCs w:val="24"/>
              </w:rPr>
              <w:t>防范措施</w:t>
            </w:r>
          </w:p>
        </w:tc>
        <w:tc>
          <w:tcPr>
            <w:tcW w:w="7022" w:type="dxa"/>
            <w:gridSpan w:val="4"/>
            <w:noWrap w:val="0"/>
            <w:vAlign w:val="center"/>
          </w:tcPr>
          <w:p w14:paraId="69C46A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①加强管理，维修人员定期对布袋除尘器进行维护保养；布袋除尘器出现故障时应立即停止运行，并停产检修，避免造成颗粒物超标排放。</w:t>
            </w:r>
          </w:p>
          <w:p w14:paraId="56F45A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②公司备有铁锹、沙袋等应急物资，发生火灾时，可利用沙袋等对事故废水进行拦截，将消防废水控制在厂区内，确保消防废水不流入厂外。</w:t>
            </w:r>
          </w:p>
          <w:p w14:paraId="243FC9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③按防火消防等要求进行设计、建设，厂区内配备灭火器等消防器材。公司生产车间内设置有灭火器。电气专业的设计严格按照相关规定设计相应的防静电和防雷保护装置。</w:t>
            </w:r>
          </w:p>
          <w:p w14:paraId="00C54F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④加强环境风险宣传、教育，定期进行演练、风险排查等。</w:t>
            </w:r>
          </w:p>
        </w:tc>
      </w:tr>
      <w:tr w14:paraId="6974A6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778" w:type="dxa"/>
            <w:noWrap w:val="0"/>
            <w:vAlign w:val="center"/>
          </w:tcPr>
          <w:p w14:paraId="2FD484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pacing w:val="-8"/>
                <w:sz w:val="24"/>
                <w:szCs w:val="24"/>
              </w:rPr>
            </w:pPr>
            <w:r>
              <w:rPr>
                <w:rFonts w:hint="default" w:ascii="Times New Roman" w:hAnsi="Times New Roman" w:cs="Times New Roman"/>
                <w:spacing w:val="-8"/>
                <w:sz w:val="24"/>
                <w:szCs w:val="24"/>
              </w:rPr>
              <w:t>其他环境</w:t>
            </w:r>
          </w:p>
          <w:p w14:paraId="24FDA6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spacing w:val="-8"/>
                <w:sz w:val="24"/>
                <w:szCs w:val="24"/>
              </w:rPr>
            </w:pPr>
            <w:r>
              <w:rPr>
                <w:rFonts w:hint="default" w:ascii="Times New Roman" w:hAnsi="Times New Roman" w:cs="Times New Roman"/>
                <w:spacing w:val="-8"/>
                <w:sz w:val="24"/>
                <w:szCs w:val="24"/>
              </w:rPr>
              <w:t>管理要求</w:t>
            </w:r>
          </w:p>
        </w:tc>
        <w:tc>
          <w:tcPr>
            <w:tcW w:w="7022" w:type="dxa"/>
            <w:gridSpan w:val="4"/>
            <w:noWrap w:val="0"/>
            <w:vAlign w:val="center"/>
          </w:tcPr>
          <w:p w14:paraId="3F8B8D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加强管理，保证污染防治设施的正常运行，最大限度地减少污染排放给环境造成的影响。环保设施的日常管理和维护保养保证其长期稳定运行。通过宣传、学习，增强职工的环保意识，将生产管理和环保管理有机结合起来。</w:t>
            </w:r>
          </w:p>
        </w:tc>
      </w:tr>
    </w:tbl>
    <w:p w14:paraId="08D69958">
      <w:pPr>
        <w:pStyle w:val="13"/>
        <w:jc w:val="center"/>
        <w:outlineLvl w:val="0"/>
        <w:rPr>
          <w:rFonts w:hint="default" w:ascii="Times New Roman" w:hAnsi="Times New Roman" w:eastAsia="黑体" w:cs="Times New Roman"/>
          <w:snapToGrid w:val="0"/>
          <w:sz w:val="30"/>
          <w:szCs w:val="30"/>
        </w:rPr>
      </w:pPr>
      <w:r>
        <w:rPr>
          <w:rFonts w:hint="default" w:ascii="Times New Roman" w:hAnsi="Times New Roman" w:cs="Times New Roman"/>
          <w:snapToGrid w:val="0"/>
        </w:rPr>
        <w:br w:type="page"/>
      </w:r>
      <w:r>
        <w:rPr>
          <w:rFonts w:hint="default" w:ascii="Times New Roman" w:hAnsi="Times New Roman" w:eastAsia="黑体" w:cs="Times New Roman"/>
          <w:snapToGrid w:val="0"/>
          <w:sz w:val="30"/>
          <w:szCs w:val="30"/>
        </w:rPr>
        <w:t>六、结论</w:t>
      </w:r>
    </w:p>
    <w:tbl>
      <w:tblPr>
        <w:tblStyle w:val="1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22B347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center"/>
          </w:tcPr>
          <w:p w14:paraId="36F3BB60">
            <w:pPr>
              <w:bidi w:val="0"/>
              <w:rPr>
                <w:rFonts w:hint="default" w:ascii="Times New Roman" w:hAnsi="Times New Roman" w:cs="Times New Roman"/>
              </w:rPr>
            </w:pPr>
            <w:r>
              <w:rPr>
                <w:rFonts w:hint="default" w:ascii="Times New Roman" w:hAnsi="Times New Roman" w:cs="Times New Roman"/>
              </w:rPr>
              <w:t>本建设项目符合国家相关产业政策，选址合理，总平面布置合理可行，项目对废气、废水、噪声和固体废物等污染物采取了妥善的处</w:t>
            </w:r>
            <w:r>
              <w:rPr>
                <w:rFonts w:hint="eastAsia" w:cs="Times New Roman"/>
                <w:lang w:eastAsia="zh-CN"/>
              </w:rPr>
              <w:t>理和</w:t>
            </w:r>
            <w:r>
              <w:rPr>
                <w:rFonts w:hint="default" w:ascii="Times New Roman" w:hAnsi="Times New Roman" w:cs="Times New Roman"/>
              </w:rPr>
              <w:t>处置措施，污染物排放总量较小，在落实各项规定的污染防治措施后，各污染物能达标排放，对周围的环境影响可控制在允许的范围内，周围环境质量能满足功能区划要求。在全面落实各项污染防范措施、搞好“三同时”制度、保证安全生产的前提下，项目的建设整体上符合环境保护和社会可持续发展的要求，从环境保护角度分析，本项目是可行的。</w:t>
            </w:r>
          </w:p>
        </w:tc>
      </w:tr>
    </w:tbl>
    <w:p w14:paraId="047B9ED6">
      <w:pPr>
        <w:rPr>
          <w:rFonts w:hint="default" w:ascii="Times New Roman" w:hAnsi="Times New Roman" w:cs="Times New Roman"/>
        </w:rPr>
        <w:sectPr>
          <w:pgSz w:w="11906" w:h="16838"/>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662B77C9">
      <w:pPr>
        <w:pStyle w:val="13"/>
        <w:adjustRightInd w:val="0"/>
        <w:snapToGrid w:val="0"/>
        <w:spacing w:before="0" w:beforeAutospacing="0" w:after="0" w:afterAutospacing="0" w:line="648" w:lineRule="auto"/>
        <w:outlineLvl w:val="0"/>
        <w:rPr>
          <w:rFonts w:hint="default" w:ascii="Times New Roman" w:hAnsi="Times New Roman" w:eastAsia="黑体" w:cs="Times New Roman"/>
          <w:snapToGrid w:val="0"/>
          <w:sz w:val="32"/>
          <w:szCs w:val="32"/>
        </w:rPr>
      </w:pPr>
      <w:r>
        <w:rPr>
          <w:rFonts w:hint="default" w:ascii="Times New Roman" w:hAnsi="Times New Roman" w:eastAsia="黑体" w:cs="Times New Roman"/>
          <w:snapToGrid w:val="0"/>
          <w:sz w:val="32"/>
          <w:szCs w:val="32"/>
        </w:rPr>
        <w:t>附表</w:t>
      </w:r>
    </w:p>
    <w:p w14:paraId="153C75A6">
      <w:pPr>
        <w:pStyle w:val="13"/>
        <w:adjustRightInd w:val="0"/>
        <w:snapToGrid w:val="0"/>
        <w:spacing w:before="0" w:beforeAutospacing="0" w:after="0" w:afterAutospacing="0" w:line="552" w:lineRule="auto"/>
        <w:jc w:val="center"/>
        <w:outlineLvl w:val="0"/>
        <w:rPr>
          <w:rFonts w:hint="default" w:ascii="Times New Roman" w:hAnsi="Times New Roman" w:eastAsia="方正小标宋_GBK" w:cs="Times New Roman"/>
          <w:snapToGrid w:val="0"/>
          <w:sz w:val="38"/>
          <w:szCs w:val="38"/>
        </w:rPr>
      </w:pPr>
      <w:r>
        <w:rPr>
          <w:rFonts w:hint="default" w:ascii="Times New Roman" w:hAnsi="Times New Roman" w:eastAsia="方正小标宋_GBK" w:cs="Times New Roman"/>
          <w:snapToGrid w:val="0"/>
          <w:sz w:val="38"/>
          <w:szCs w:val="38"/>
        </w:rPr>
        <w:t>建设项目污染物排放量汇总表</w:t>
      </w:r>
    </w:p>
    <w:tbl>
      <w:tblPr>
        <w:tblStyle w:val="17"/>
        <w:tblW w:w="1319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20"/>
        <w:gridCol w:w="1356"/>
        <w:gridCol w:w="1628"/>
        <w:gridCol w:w="1221"/>
        <w:gridCol w:w="1628"/>
        <w:gridCol w:w="1492"/>
        <w:gridCol w:w="1685"/>
        <w:gridCol w:w="1875"/>
        <w:gridCol w:w="790"/>
      </w:tblGrid>
      <w:tr w14:paraId="5845BF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1520" w:type="dxa"/>
            <w:tcBorders>
              <w:tl2br w:val="single" w:color="auto" w:sz="4" w:space="0"/>
            </w:tcBorders>
            <w:noWrap w:val="0"/>
            <w:tcMar>
              <w:left w:w="28" w:type="dxa"/>
              <w:right w:w="28" w:type="dxa"/>
            </w:tcMar>
            <w:vAlign w:val="center"/>
          </w:tcPr>
          <w:p w14:paraId="18BFB832">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right"/>
              <w:textAlignment w:val="auto"/>
              <w:rPr>
                <w:rFonts w:hint="default" w:ascii="Times New Roman" w:hAnsi="Times New Roman" w:eastAsia="黑体" w:cs="Times New Roman"/>
                <w:snapToGrid w:val="0"/>
                <w:color w:val="000000"/>
                <w:spacing w:val="-6"/>
                <w:kern w:val="21"/>
                <w:sz w:val="24"/>
                <w:szCs w:val="24"/>
              </w:rPr>
            </w:pPr>
            <w:r>
              <w:rPr>
                <w:rFonts w:hint="default" w:ascii="Times New Roman" w:hAnsi="Times New Roman" w:eastAsia="黑体" w:cs="Times New Roman"/>
                <w:snapToGrid w:val="0"/>
                <w:color w:val="000000"/>
                <w:spacing w:val="-6"/>
                <w:kern w:val="21"/>
                <w:sz w:val="24"/>
                <w:szCs w:val="24"/>
              </w:rPr>
              <w:t>项目</w:t>
            </w:r>
          </w:p>
          <w:p w14:paraId="5F35C226">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left"/>
              <w:textAlignment w:val="auto"/>
              <w:rPr>
                <w:rFonts w:hint="default" w:ascii="Times New Roman" w:hAnsi="Times New Roman" w:eastAsia="黑体" w:cs="Times New Roman"/>
                <w:snapToGrid w:val="0"/>
                <w:color w:val="000000"/>
                <w:spacing w:val="-6"/>
                <w:kern w:val="21"/>
                <w:sz w:val="24"/>
                <w:szCs w:val="24"/>
              </w:rPr>
            </w:pPr>
            <w:r>
              <w:rPr>
                <w:rFonts w:hint="default" w:ascii="Times New Roman" w:hAnsi="Times New Roman" w:eastAsia="黑体" w:cs="Times New Roman"/>
                <w:snapToGrid w:val="0"/>
                <w:color w:val="000000"/>
                <w:spacing w:val="-6"/>
                <w:kern w:val="21"/>
                <w:sz w:val="24"/>
                <w:szCs w:val="24"/>
              </w:rPr>
              <w:t>分类</w:t>
            </w:r>
          </w:p>
        </w:tc>
        <w:tc>
          <w:tcPr>
            <w:tcW w:w="1356" w:type="dxa"/>
            <w:noWrap w:val="0"/>
            <w:tcMar>
              <w:left w:w="28" w:type="dxa"/>
              <w:right w:w="28" w:type="dxa"/>
            </w:tcMar>
            <w:vAlign w:val="center"/>
          </w:tcPr>
          <w:p w14:paraId="01E45138">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6"/>
                <w:kern w:val="21"/>
                <w:sz w:val="24"/>
                <w:szCs w:val="24"/>
              </w:rPr>
            </w:pPr>
            <w:r>
              <w:rPr>
                <w:rFonts w:hint="default" w:ascii="Times New Roman" w:hAnsi="Times New Roman" w:eastAsia="黑体" w:cs="Times New Roman"/>
                <w:snapToGrid w:val="0"/>
                <w:color w:val="000000"/>
                <w:spacing w:val="-6"/>
                <w:kern w:val="21"/>
                <w:sz w:val="24"/>
                <w:szCs w:val="24"/>
              </w:rPr>
              <w:t>污染物名称</w:t>
            </w:r>
          </w:p>
        </w:tc>
        <w:tc>
          <w:tcPr>
            <w:tcW w:w="1628" w:type="dxa"/>
            <w:noWrap w:val="0"/>
            <w:tcMar>
              <w:left w:w="28" w:type="dxa"/>
              <w:right w:w="28" w:type="dxa"/>
            </w:tcMar>
            <w:vAlign w:val="center"/>
          </w:tcPr>
          <w:p w14:paraId="120E703F">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6"/>
                <w:kern w:val="21"/>
                <w:sz w:val="24"/>
                <w:szCs w:val="24"/>
              </w:rPr>
            </w:pPr>
            <w:r>
              <w:rPr>
                <w:rFonts w:hint="default" w:ascii="Times New Roman" w:hAnsi="Times New Roman" w:eastAsia="黑体" w:cs="Times New Roman"/>
                <w:snapToGrid w:val="0"/>
                <w:color w:val="000000"/>
                <w:spacing w:val="-6"/>
                <w:kern w:val="21"/>
                <w:sz w:val="24"/>
                <w:szCs w:val="24"/>
              </w:rPr>
              <w:t>现有工程</w:t>
            </w:r>
          </w:p>
          <w:p w14:paraId="7B2A041E">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6"/>
                <w:kern w:val="21"/>
                <w:sz w:val="24"/>
                <w:szCs w:val="24"/>
              </w:rPr>
            </w:pPr>
            <w:r>
              <w:rPr>
                <w:rFonts w:hint="default" w:ascii="Times New Roman" w:hAnsi="Times New Roman" w:eastAsia="黑体" w:cs="Times New Roman"/>
                <w:snapToGrid w:val="0"/>
                <w:color w:val="000000"/>
                <w:spacing w:val="-6"/>
                <w:kern w:val="21"/>
                <w:sz w:val="24"/>
                <w:szCs w:val="24"/>
              </w:rPr>
              <w:t>排放量（固体废物产生量）</w:t>
            </w:r>
            <w:r>
              <w:rPr>
                <w:rFonts w:hint="default" w:ascii="Times New Roman" w:hAnsi="Times New Roman" w:eastAsia="黑体" w:cs="Times New Roman"/>
                <w:snapToGrid w:val="0"/>
                <w:color w:val="000000"/>
                <w:spacing w:val="-6"/>
                <w:kern w:val="21"/>
                <w:sz w:val="24"/>
                <w:szCs w:val="24"/>
              </w:rPr>
              <w:fldChar w:fldCharType="begin"/>
            </w:r>
            <w:r>
              <w:rPr>
                <w:rFonts w:hint="default" w:ascii="Times New Roman" w:hAnsi="Times New Roman" w:eastAsia="黑体" w:cs="Times New Roman"/>
                <w:snapToGrid w:val="0"/>
                <w:color w:val="000000"/>
                <w:spacing w:val="-6"/>
                <w:kern w:val="21"/>
                <w:sz w:val="24"/>
                <w:szCs w:val="24"/>
              </w:rPr>
              <w:instrText xml:space="preserve"> = 1 \* GB3 \* MERGEFORMAT </w:instrText>
            </w:r>
            <w:r>
              <w:rPr>
                <w:rFonts w:hint="default" w:ascii="Times New Roman" w:hAnsi="Times New Roman" w:eastAsia="黑体" w:cs="Times New Roman"/>
                <w:snapToGrid w:val="0"/>
                <w:color w:val="000000"/>
                <w:spacing w:val="-6"/>
                <w:kern w:val="21"/>
                <w:sz w:val="24"/>
                <w:szCs w:val="24"/>
              </w:rPr>
              <w:fldChar w:fldCharType="separate"/>
            </w:r>
            <w:r>
              <w:rPr>
                <w:rFonts w:hint="default" w:ascii="Times New Roman" w:hAnsi="Times New Roman" w:eastAsia="黑体" w:cs="Times New Roman"/>
                <w:kern w:val="2"/>
                <w:sz w:val="24"/>
                <w:szCs w:val="24"/>
              </w:rPr>
              <w:t>①</w:t>
            </w:r>
            <w:r>
              <w:rPr>
                <w:rFonts w:hint="default" w:ascii="Times New Roman" w:hAnsi="Times New Roman" w:eastAsia="黑体" w:cs="Times New Roman"/>
                <w:snapToGrid w:val="0"/>
                <w:color w:val="000000"/>
                <w:spacing w:val="-6"/>
                <w:kern w:val="21"/>
                <w:sz w:val="24"/>
                <w:szCs w:val="24"/>
              </w:rPr>
              <w:fldChar w:fldCharType="end"/>
            </w:r>
          </w:p>
        </w:tc>
        <w:tc>
          <w:tcPr>
            <w:tcW w:w="1221" w:type="dxa"/>
            <w:noWrap w:val="0"/>
            <w:tcMar>
              <w:left w:w="28" w:type="dxa"/>
              <w:right w:w="28" w:type="dxa"/>
            </w:tcMar>
            <w:vAlign w:val="center"/>
          </w:tcPr>
          <w:p w14:paraId="3E93B747">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6"/>
                <w:kern w:val="21"/>
                <w:sz w:val="24"/>
                <w:szCs w:val="24"/>
              </w:rPr>
            </w:pPr>
            <w:r>
              <w:rPr>
                <w:rFonts w:hint="default" w:ascii="Times New Roman" w:hAnsi="Times New Roman" w:eastAsia="黑体" w:cs="Times New Roman"/>
                <w:snapToGrid w:val="0"/>
                <w:color w:val="000000"/>
                <w:spacing w:val="-6"/>
                <w:kern w:val="21"/>
                <w:sz w:val="24"/>
                <w:szCs w:val="24"/>
              </w:rPr>
              <w:t>现有工程</w:t>
            </w:r>
          </w:p>
          <w:p w14:paraId="581AA1B2">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6"/>
                <w:kern w:val="21"/>
                <w:sz w:val="24"/>
                <w:szCs w:val="24"/>
              </w:rPr>
            </w:pPr>
            <w:r>
              <w:rPr>
                <w:rFonts w:hint="default" w:ascii="Times New Roman" w:hAnsi="Times New Roman" w:eastAsia="黑体" w:cs="Times New Roman"/>
                <w:snapToGrid w:val="0"/>
                <w:color w:val="000000"/>
                <w:spacing w:val="-6"/>
                <w:kern w:val="21"/>
                <w:sz w:val="24"/>
                <w:szCs w:val="24"/>
              </w:rPr>
              <w:t>许可排放量</w:t>
            </w:r>
          </w:p>
          <w:p w14:paraId="05063734">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6"/>
                <w:kern w:val="21"/>
                <w:sz w:val="24"/>
                <w:szCs w:val="24"/>
              </w:rPr>
            </w:pPr>
            <w:r>
              <w:rPr>
                <w:rFonts w:hint="default" w:ascii="Times New Roman" w:hAnsi="Times New Roman" w:eastAsia="黑体" w:cs="Times New Roman"/>
                <w:snapToGrid w:val="0"/>
                <w:color w:val="000000"/>
                <w:spacing w:val="-6"/>
                <w:kern w:val="21"/>
                <w:sz w:val="24"/>
                <w:szCs w:val="24"/>
              </w:rPr>
              <w:fldChar w:fldCharType="begin"/>
            </w:r>
            <w:r>
              <w:rPr>
                <w:rFonts w:hint="default" w:ascii="Times New Roman" w:hAnsi="Times New Roman" w:eastAsia="黑体" w:cs="Times New Roman"/>
                <w:snapToGrid w:val="0"/>
                <w:color w:val="000000"/>
                <w:spacing w:val="-6"/>
                <w:kern w:val="21"/>
                <w:sz w:val="24"/>
                <w:szCs w:val="24"/>
              </w:rPr>
              <w:instrText xml:space="preserve"> = 2 \* GB3 \* MERGEFORMAT </w:instrText>
            </w:r>
            <w:r>
              <w:rPr>
                <w:rFonts w:hint="default" w:ascii="Times New Roman" w:hAnsi="Times New Roman" w:eastAsia="黑体" w:cs="Times New Roman"/>
                <w:snapToGrid w:val="0"/>
                <w:color w:val="000000"/>
                <w:spacing w:val="-6"/>
                <w:kern w:val="21"/>
                <w:sz w:val="24"/>
                <w:szCs w:val="24"/>
              </w:rPr>
              <w:fldChar w:fldCharType="separate"/>
            </w:r>
            <w:r>
              <w:rPr>
                <w:rFonts w:hint="default" w:ascii="Times New Roman" w:hAnsi="Times New Roman" w:eastAsia="黑体" w:cs="Times New Roman"/>
                <w:snapToGrid w:val="0"/>
                <w:color w:val="000000"/>
                <w:spacing w:val="-6"/>
                <w:kern w:val="21"/>
                <w:sz w:val="24"/>
                <w:szCs w:val="24"/>
              </w:rPr>
              <w:t>②</w:t>
            </w:r>
            <w:r>
              <w:rPr>
                <w:rFonts w:hint="default" w:ascii="Times New Roman" w:hAnsi="Times New Roman" w:eastAsia="黑体" w:cs="Times New Roman"/>
                <w:snapToGrid w:val="0"/>
                <w:color w:val="000000"/>
                <w:spacing w:val="-6"/>
                <w:kern w:val="21"/>
                <w:sz w:val="24"/>
                <w:szCs w:val="24"/>
              </w:rPr>
              <w:fldChar w:fldCharType="end"/>
            </w:r>
          </w:p>
        </w:tc>
        <w:tc>
          <w:tcPr>
            <w:tcW w:w="1628" w:type="dxa"/>
            <w:noWrap w:val="0"/>
            <w:tcMar>
              <w:left w:w="28" w:type="dxa"/>
              <w:right w:w="28" w:type="dxa"/>
            </w:tcMar>
            <w:vAlign w:val="center"/>
          </w:tcPr>
          <w:p w14:paraId="26693C0A">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6"/>
                <w:kern w:val="21"/>
                <w:sz w:val="24"/>
                <w:szCs w:val="24"/>
              </w:rPr>
            </w:pPr>
            <w:r>
              <w:rPr>
                <w:rFonts w:hint="default" w:ascii="Times New Roman" w:hAnsi="Times New Roman" w:eastAsia="黑体" w:cs="Times New Roman"/>
                <w:snapToGrid w:val="0"/>
                <w:color w:val="000000"/>
                <w:spacing w:val="-6"/>
                <w:kern w:val="21"/>
                <w:sz w:val="24"/>
                <w:szCs w:val="24"/>
              </w:rPr>
              <w:t>在建工程</w:t>
            </w:r>
          </w:p>
          <w:p w14:paraId="5C6E41D2">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6"/>
                <w:kern w:val="21"/>
                <w:sz w:val="24"/>
                <w:szCs w:val="24"/>
              </w:rPr>
            </w:pPr>
            <w:r>
              <w:rPr>
                <w:rFonts w:hint="default" w:ascii="Times New Roman" w:hAnsi="Times New Roman" w:eastAsia="黑体" w:cs="Times New Roman"/>
                <w:snapToGrid w:val="0"/>
                <w:color w:val="000000"/>
                <w:spacing w:val="-6"/>
                <w:kern w:val="21"/>
                <w:sz w:val="24"/>
                <w:szCs w:val="24"/>
              </w:rPr>
              <w:t>排放量（固体废物产生量）</w:t>
            </w:r>
            <w:r>
              <w:rPr>
                <w:rFonts w:hint="default" w:ascii="Times New Roman" w:hAnsi="Times New Roman" w:eastAsia="黑体" w:cs="Times New Roman"/>
                <w:snapToGrid w:val="0"/>
                <w:color w:val="000000"/>
                <w:spacing w:val="-6"/>
                <w:kern w:val="21"/>
                <w:sz w:val="24"/>
                <w:szCs w:val="24"/>
              </w:rPr>
              <w:fldChar w:fldCharType="begin"/>
            </w:r>
            <w:r>
              <w:rPr>
                <w:rFonts w:hint="default" w:ascii="Times New Roman" w:hAnsi="Times New Roman" w:eastAsia="黑体" w:cs="Times New Roman"/>
                <w:snapToGrid w:val="0"/>
                <w:color w:val="000000"/>
                <w:spacing w:val="-6"/>
                <w:kern w:val="21"/>
                <w:sz w:val="24"/>
                <w:szCs w:val="24"/>
              </w:rPr>
              <w:instrText xml:space="preserve"> = 3 \* GB3 \* MERGEFORMAT </w:instrText>
            </w:r>
            <w:r>
              <w:rPr>
                <w:rFonts w:hint="default" w:ascii="Times New Roman" w:hAnsi="Times New Roman" w:eastAsia="黑体" w:cs="Times New Roman"/>
                <w:snapToGrid w:val="0"/>
                <w:color w:val="000000"/>
                <w:spacing w:val="-6"/>
                <w:kern w:val="21"/>
                <w:sz w:val="24"/>
                <w:szCs w:val="24"/>
              </w:rPr>
              <w:fldChar w:fldCharType="separate"/>
            </w:r>
            <w:r>
              <w:rPr>
                <w:rFonts w:hint="default" w:ascii="Times New Roman" w:hAnsi="Times New Roman" w:eastAsia="黑体" w:cs="Times New Roman"/>
                <w:kern w:val="2"/>
                <w:sz w:val="24"/>
                <w:szCs w:val="24"/>
              </w:rPr>
              <w:t>③</w:t>
            </w:r>
            <w:r>
              <w:rPr>
                <w:rFonts w:hint="default" w:ascii="Times New Roman" w:hAnsi="Times New Roman" w:eastAsia="黑体" w:cs="Times New Roman"/>
                <w:snapToGrid w:val="0"/>
                <w:color w:val="000000"/>
                <w:spacing w:val="-6"/>
                <w:kern w:val="21"/>
                <w:sz w:val="24"/>
                <w:szCs w:val="24"/>
              </w:rPr>
              <w:fldChar w:fldCharType="end"/>
            </w:r>
          </w:p>
        </w:tc>
        <w:tc>
          <w:tcPr>
            <w:tcW w:w="1492" w:type="dxa"/>
            <w:noWrap w:val="0"/>
            <w:tcMar>
              <w:left w:w="28" w:type="dxa"/>
              <w:right w:w="28" w:type="dxa"/>
            </w:tcMar>
            <w:vAlign w:val="center"/>
          </w:tcPr>
          <w:p w14:paraId="0C8214AA">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6"/>
                <w:kern w:val="21"/>
                <w:sz w:val="24"/>
                <w:szCs w:val="24"/>
              </w:rPr>
            </w:pPr>
            <w:r>
              <w:rPr>
                <w:rFonts w:hint="default" w:ascii="Times New Roman" w:hAnsi="Times New Roman" w:eastAsia="黑体" w:cs="Times New Roman"/>
                <w:snapToGrid w:val="0"/>
                <w:color w:val="000000"/>
                <w:spacing w:val="-6"/>
                <w:kern w:val="21"/>
                <w:sz w:val="24"/>
                <w:szCs w:val="24"/>
              </w:rPr>
              <w:t>本项目</w:t>
            </w:r>
          </w:p>
          <w:p w14:paraId="04C1A401">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6"/>
                <w:kern w:val="21"/>
                <w:sz w:val="24"/>
                <w:szCs w:val="24"/>
              </w:rPr>
            </w:pPr>
            <w:r>
              <w:rPr>
                <w:rFonts w:hint="default" w:ascii="Times New Roman" w:hAnsi="Times New Roman" w:eastAsia="黑体" w:cs="Times New Roman"/>
                <w:snapToGrid w:val="0"/>
                <w:color w:val="000000"/>
                <w:spacing w:val="-6"/>
                <w:kern w:val="21"/>
                <w:sz w:val="24"/>
                <w:szCs w:val="24"/>
              </w:rPr>
              <w:t>排放量（固体废物产生量）</w:t>
            </w:r>
            <w:r>
              <w:rPr>
                <w:rFonts w:hint="default" w:ascii="Times New Roman" w:hAnsi="Times New Roman" w:eastAsia="黑体" w:cs="Times New Roman"/>
                <w:snapToGrid w:val="0"/>
                <w:color w:val="000000"/>
                <w:spacing w:val="-6"/>
                <w:kern w:val="21"/>
                <w:sz w:val="24"/>
                <w:szCs w:val="24"/>
              </w:rPr>
              <w:fldChar w:fldCharType="begin"/>
            </w:r>
            <w:r>
              <w:rPr>
                <w:rFonts w:hint="default" w:ascii="Times New Roman" w:hAnsi="Times New Roman" w:eastAsia="黑体" w:cs="Times New Roman"/>
                <w:snapToGrid w:val="0"/>
                <w:color w:val="000000"/>
                <w:spacing w:val="-6"/>
                <w:kern w:val="21"/>
                <w:sz w:val="24"/>
                <w:szCs w:val="24"/>
              </w:rPr>
              <w:instrText xml:space="preserve"> = 4 \* GB3 \* MERGEFORMAT </w:instrText>
            </w:r>
            <w:r>
              <w:rPr>
                <w:rFonts w:hint="default" w:ascii="Times New Roman" w:hAnsi="Times New Roman" w:eastAsia="黑体" w:cs="Times New Roman"/>
                <w:snapToGrid w:val="0"/>
                <w:color w:val="000000"/>
                <w:spacing w:val="-6"/>
                <w:kern w:val="21"/>
                <w:sz w:val="24"/>
                <w:szCs w:val="24"/>
              </w:rPr>
              <w:fldChar w:fldCharType="separate"/>
            </w:r>
            <w:r>
              <w:rPr>
                <w:rFonts w:hint="default" w:ascii="Times New Roman" w:hAnsi="Times New Roman" w:eastAsia="黑体" w:cs="Times New Roman"/>
                <w:kern w:val="2"/>
                <w:sz w:val="24"/>
                <w:szCs w:val="24"/>
              </w:rPr>
              <w:t>④</w:t>
            </w:r>
            <w:r>
              <w:rPr>
                <w:rFonts w:hint="default" w:ascii="Times New Roman" w:hAnsi="Times New Roman" w:eastAsia="黑体" w:cs="Times New Roman"/>
                <w:snapToGrid w:val="0"/>
                <w:color w:val="000000"/>
                <w:spacing w:val="-6"/>
                <w:kern w:val="21"/>
                <w:sz w:val="24"/>
                <w:szCs w:val="24"/>
              </w:rPr>
              <w:fldChar w:fldCharType="end"/>
            </w:r>
          </w:p>
        </w:tc>
        <w:tc>
          <w:tcPr>
            <w:tcW w:w="1685" w:type="dxa"/>
            <w:noWrap w:val="0"/>
            <w:tcMar>
              <w:left w:w="28" w:type="dxa"/>
              <w:right w:w="28" w:type="dxa"/>
            </w:tcMar>
            <w:vAlign w:val="center"/>
          </w:tcPr>
          <w:p w14:paraId="56F6A596">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16"/>
                <w:kern w:val="21"/>
                <w:sz w:val="24"/>
                <w:szCs w:val="24"/>
              </w:rPr>
            </w:pPr>
            <w:r>
              <w:rPr>
                <w:rFonts w:hint="default" w:ascii="Times New Roman" w:hAnsi="Times New Roman" w:eastAsia="黑体" w:cs="Times New Roman"/>
                <w:snapToGrid w:val="0"/>
                <w:color w:val="000000"/>
                <w:spacing w:val="-16"/>
                <w:kern w:val="21"/>
                <w:sz w:val="24"/>
                <w:szCs w:val="24"/>
              </w:rPr>
              <w:t>以新带老削减量</w:t>
            </w:r>
          </w:p>
          <w:p w14:paraId="1D96B0D0">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16"/>
                <w:kern w:val="21"/>
                <w:sz w:val="24"/>
                <w:szCs w:val="24"/>
              </w:rPr>
            </w:pPr>
            <w:r>
              <w:rPr>
                <w:rFonts w:hint="default" w:ascii="Times New Roman" w:hAnsi="Times New Roman" w:eastAsia="黑体" w:cs="Times New Roman"/>
                <w:snapToGrid w:val="0"/>
                <w:color w:val="000000"/>
                <w:spacing w:val="-16"/>
                <w:kern w:val="21"/>
                <w:sz w:val="24"/>
                <w:szCs w:val="24"/>
              </w:rPr>
              <w:t>（新建项目不填）</w:t>
            </w:r>
            <w:r>
              <w:rPr>
                <w:rFonts w:hint="default" w:ascii="Times New Roman" w:hAnsi="Times New Roman" w:eastAsia="黑体" w:cs="Times New Roman"/>
                <w:snapToGrid w:val="0"/>
                <w:color w:val="000000"/>
                <w:spacing w:val="-16"/>
                <w:kern w:val="21"/>
                <w:sz w:val="24"/>
                <w:szCs w:val="24"/>
              </w:rPr>
              <w:fldChar w:fldCharType="begin"/>
            </w:r>
            <w:r>
              <w:rPr>
                <w:rFonts w:hint="default" w:ascii="Times New Roman" w:hAnsi="Times New Roman" w:eastAsia="黑体" w:cs="Times New Roman"/>
                <w:snapToGrid w:val="0"/>
                <w:color w:val="000000"/>
                <w:spacing w:val="-16"/>
                <w:kern w:val="21"/>
                <w:sz w:val="24"/>
                <w:szCs w:val="24"/>
              </w:rPr>
              <w:instrText xml:space="preserve"> = 5 \* GB3 \* MERGEFORMAT </w:instrText>
            </w:r>
            <w:r>
              <w:rPr>
                <w:rFonts w:hint="default" w:ascii="Times New Roman" w:hAnsi="Times New Roman" w:eastAsia="黑体" w:cs="Times New Roman"/>
                <w:snapToGrid w:val="0"/>
                <w:color w:val="000000"/>
                <w:spacing w:val="-16"/>
                <w:kern w:val="21"/>
                <w:sz w:val="24"/>
                <w:szCs w:val="24"/>
              </w:rPr>
              <w:fldChar w:fldCharType="separate"/>
            </w:r>
            <w:r>
              <w:rPr>
                <w:rFonts w:hint="default" w:ascii="Times New Roman" w:hAnsi="Times New Roman" w:eastAsia="黑体" w:cs="Times New Roman"/>
                <w:kern w:val="2"/>
                <w:sz w:val="24"/>
                <w:szCs w:val="24"/>
              </w:rPr>
              <w:t>⑤</w:t>
            </w:r>
            <w:r>
              <w:rPr>
                <w:rFonts w:hint="default" w:ascii="Times New Roman" w:hAnsi="Times New Roman" w:eastAsia="黑体" w:cs="Times New Roman"/>
                <w:snapToGrid w:val="0"/>
                <w:color w:val="000000"/>
                <w:spacing w:val="-16"/>
                <w:kern w:val="21"/>
                <w:sz w:val="24"/>
                <w:szCs w:val="24"/>
              </w:rPr>
              <w:fldChar w:fldCharType="end"/>
            </w:r>
          </w:p>
        </w:tc>
        <w:tc>
          <w:tcPr>
            <w:tcW w:w="1875" w:type="dxa"/>
            <w:noWrap w:val="0"/>
            <w:tcMar>
              <w:left w:w="28" w:type="dxa"/>
              <w:right w:w="28" w:type="dxa"/>
            </w:tcMar>
            <w:vAlign w:val="center"/>
          </w:tcPr>
          <w:p w14:paraId="4CD9EADC">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16"/>
                <w:kern w:val="21"/>
                <w:sz w:val="24"/>
                <w:szCs w:val="24"/>
              </w:rPr>
            </w:pPr>
            <w:r>
              <w:rPr>
                <w:rFonts w:hint="default" w:ascii="Times New Roman" w:hAnsi="Times New Roman" w:eastAsia="黑体" w:cs="Times New Roman"/>
                <w:snapToGrid w:val="0"/>
                <w:color w:val="000000"/>
                <w:spacing w:val="-16"/>
                <w:kern w:val="21"/>
                <w:sz w:val="24"/>
                <w:szCs w:val="24"/>
              </w:rPr>
              <w:t>本项目建成后</w:t>
            </w:r>
          </w:p>
          <w:p w14:paraId="0BE7B7A8">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16"/>
                <w:kern w:val="21"/>
                <w:sz w:val="24"/>
                <w:szCs w:val="24"/>
              </w:rPr>
            </w:pPr>
            <w:r>
              <w:rPr>
                <w:rFonts w:hint="default" w:ascii="Times New Roman" w:hAnsi="Times New Roman" w:eastAsia="黑体" w:cs="Times New Roman"/>
                <w:snapToGrid w:val="0"/>
                <w:color w:val="000000"/>
                <w:spacing w:val="-16"/>
                <w:kern w:val="21"/>
                <w:sz w:val="24"/>
                <w:szCs w:val="24"/>
              </w:rPr>
              <w:t>全厂排放量（固体废物产生量）</w:t>
            </w:r>
            <w:r>
              <w:rPr>
                <w:rFonts w:hint="default" w:ascii="Times New Roman" w:hAnsi="Times New Roman" w:eastAsia="黑体" w:cs="Times New Roman"/>
                <w:snapToGrid w:val="0"/>
                <w:color w:val="000000"/>
                <w:spacing w:val="-16"/>
                <w:kern w:val="21"/>
                <w:sz w:val="24"/>
                <w:szCs w:val="24"/>
              </w:rPr>
              <w:fldChar w:fldCharType="begin"/>
            </w:r>
            <w:r>
              <w:rPr>
                <w:rFonts w:hint="default" w:ascii="Times New Roman" w:hAnsi="Times New Roman" w:eastAsia="黑体" w:cs="Times New Roman"/>
                <w:snapToGrid w:val="0"/>
                <w:color w:val="000000"/>
                <w:spacing w:val="-16"/>
                <w:kern w:val="21"/>
                <w:sz w:val="24"/>
                <w:szCs w:val="24"/>
              </w:rPr>
              <w:instrText xml:space="preserve"> = 6 \* GB3 \* MERGEFORMAT </w:instrText>
            </w:r>
            <w:r>
              <w:rPr>
                <w:rFonts w:hint="default" w:ascii="Times New Roman" w:hAnsi="Times New Roman" w:eastAsia="黑体" w:cs="Times New Roman"/>
                <w:snapToGrid w:val="0"/>
                <w:color w:val="000000"/>
                <w:spacing w:val="-16"/>
                <w:kern w:val="21"/>
                <w:sz w:val="24"/>
                <w:szCs w:val="24"/>
              </w:rPr>
              <w:fldChar w:fldCharType="separate"/>
            </w:r>
            <w:r>
              <w:rPr>
                <w:rFonts w:hint="default" w:ascii="Times New Roman" w:hAnsi="Times New Roman" w:eastAsia="黑体" w:cs="Times New Roman"/>
                <w:kern w:val="2"/>
                <w:sz w:val="24"/>
                <w:szCs w:val="24"/>
              </w:rPr>
              <w:t>⑥</w:t>
            </w:r>
            <w:r>
              <w:rPr>
                <w:rFonts w:hint="default" w:ascii="Times New Roman" w:hAnsi="Times New Roman" w:eastAsia="黑体" w:cs="Times New Roman"/>
                <w:snapToGrid w:val="0"/>
                <w:color w:val="000000"/>
                <w:spacing w:val="-16"/>
                <w:kern w:val="21"/>
                <w:sz w:val="24"/>
                <w:szCs w:val="24"/>
              </w:rPr>
              <w:fldChar w:fldCharType="end"/>
            </w:r>
          </w:p>
        </w:tc>
        <w:tc>
          <w:tcPr>
            <w:tcW w:w="790" w:type="dxa"/>
            <w:noWrap w:val="0"/>
            <w:tcMar>
              <w:left w:w="28" w:type="dxa"/>
              <w:right w:w="28" w:type="dxa"/>
            </w:tcMar>
            <w:vAlign w:val="center"/>
          </w:tcPr>
          <w:p w14:paraId="19A15DC9">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6"/>
                <w:kern w:val="21"/>
                <w:sz w:val="24"/>
                <w:szCs w:val="24"/>
              </w:rPr>
            </w:pPr>
            <w:r>
              <w:rPr>
                <w:rFonts w:hint="default" w:ascii="Times New Roman" w:hAnsi="Times New Roman" w:eastAsia="黑体" w:cs="Times New Roman"/>
                <w:snapToGrid w:val="0"/>
                <w:color w:val="000000"/>
                <w:spacing w:val="-6"/>
                <w:kern w:val="21"/>
                <w:sz w:val="24"/>
                <w:szCs w:val="24"/>
              </w:rPr>
              <w:t>变化量</w:t>
            </w:r>
          </w:p>
          <w:p w14:paraId="1480951D">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黑体" w:cs="Times New Roman"/>
                <w:snapToGrid w:val="0"/>
                <w:color w:val="000000"/>
                <w:spacing w:val="-6"/>
                <w:kern w:val="21"/>
                <w:sz w:val="24"/>
                <w:szCs w:val="24"/>
              </w:rPr>
            </w:pPr>
            <w:r>
              <w:rPr>
                <w:rFonts w:hint="default" w:ascii="Times New Roman" w:hAnsi="Times New Roman" w:eastAsia="黑体" w:cs="Times New Roman"/>
                <w:snapToGrid w:val="0"/>
                <w:color w:val="000000"/>
                <w:spacing w:val="-6"/>
                <w:kern w:val="21"/>
                <w:sz w:val="24"/>
                <w:szCs w:val="24"/>
              </w:rPr>
              <w:fldChar w:fldCharType="begin"/>
            </w:r>
            <w:r>
              <w:rPr>
                <w:rFonts w:hint="default" w:ascii="Times New Roman" w:hAnsi="Times New Roman" w:eastAsia="黑体" w:cs="Times New Roman"/>
                <w:snapToGrid w:val="0"/>
                <w:color w:val="000000"/>
                <w:spacing w:val="-6"/>
                <w:kern w:val="21"/>
                <w:sz w:val="24"/>
                <w:szCs w:val="24"/>
              </w:rPr>
              <w:instrText xml:space="preserve"> = 7 \* GB3 \* MERGEFORMAT </w:instrText>
            </w:r>
            <w:r>
              <w:rPr>
                <w:rFonts w:hint="default" w:ascii="Times New Roman" w:hAnsi="Times New Roman" w:eastAsia="黑体" w:cs="Times New Roman"/>
                <w:snapToGrid w:val="0"/>
                <w:color w:val="000000"/>
                <w:spacing w:val="-6"/>
                <w:kern w:val="21"/>
                <w:sz w:val="24"/>
                <w:szCs w:val="24"/>
              </w:rPr>
              <w:fldChar w:fldCharType="separate"/>
            </w:r>
            <w:r>
              <w:rPr>
                <w:rFonts w:hint="default" w:ascii="Times New Roman" w:hAnsi="Times New Roman" w:eastAsia="黑体" w:cs="Times New Roman"/>
                <w:kern w:val="2"/>
                <w:sz w:val="24"/>
                <w:szCs w:val="24"/>
              </w:rPr>
              <w:t>⑦</w:t>
            </w:r>
            <w:r>
              <w:rPr>
                <w:rFonts w:hint="default" w:ascii="Times New Roman" w:hAnsi="Times New Roman" w:eastAsia="黑体" w:cs="Times New Roman"/>
                <w:snapToGrid w:val="0"/>
                <w:color w:val="000000"/>
                <w:spacing w:val="-6"/>
                <w:kern w:val="21"/>
                <w:sz w:val="24"/>
                <w:szCs w:val="24"/>
              </w:rPr>
              <w:fldChar w:fldCharType="end"/>
            </w:r>
          </w:p>
        </w:tc>
      </w:tr>
      <w:tr w14:paraId="7BA15F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0" w:type="dxa"/>
            <w:noWrap w:val="0"/>
            <w:vAlign w:val="center"/>
          </w:tcPr>
          <w:p w14:paraId="39F3997D">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r>
              <w:rPr>
                <w:rFonts w:hint="default" w:ascii="Times New Roman" w:hAnsi="Times New Roman" w:cs="Times New Roman"/>
                <w:snapToGrid w:val="0"/>
                <w:color w:val="000000"/>
                <w:kern w:val="21"/>
                <w:sz w:val="24"/>
                <w:szCs w:val="24"/>
              </w:rPr>
              <w:t>废气</w:t>
            </w:r>
          </w:p>
        </w:tc>
        <w:tc>
          <w:tcPr>
            <w:tcW w:w="1356" w:type="dxa"/>
            <w:noWrap w:val="0"/>
            <w:vAlign w:val="center"/>
          </w:tcPr>
          <w:p w14:paraId="5DA1C081">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eastAsia="宋体" w:cs="Times New Roman"/>
                <w:snapToGrid w:val="0"/>
                <w:color w:val="000000"/>
                <w:kern w:val="21"/>
                <w:sz w:val="24"/>
                <w:szCs w:val="24"/>
                <w:lang w:val="en-US" w:eastAsia="zh-CN"/>
              </w:rPr>
            </w:pPr>
            <w:r>
              <w:rPr>
                <w:rFonts w:hint="eastAsia" w:ascii="Times New Roman" w:cs="Times New Roman"/>
                <w:snapToGrid w:val="0"/>
                <w:color w:val="000000"/>
                <w:kern w:val="21"/>
                <w:sz w:val="24"/>
                <w:szCs w:val="24"/>
                <w:lang w:val="en-US" w:eastAsia="zh-CN"/>
              </w:rPr>
              <w:t>颗粒物</w:t>
            </w:r>
          </w:p>
        </w:tc>
        <w:tc>
          <w:tcPr>
            <w:tcW w:w="1628" w:type="dxa"/>
            <w:noWrap w:val="0"/>
            <w:vAlign w:val="center"/>
          </w:tcPr>
          <w:p w14:paraId="651AE18D">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221" w:type="dxa"/>
            <w:noWrap w:val="0"/>
            <w:vAlign w:val="center"/>
          </w:tcPr>
          <w:p w14:paraId="665E8CAB">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628" w:type="dxa"/>
            <w:noWrap w:val="0"/>
            <w:vAlign w:val="center"/>
          </w:tcPr>
          <w:p w14:paraId="2A0DBC1E">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492" w:type="dxa"/>
            <w:noWrap w:val="0"/>
            <w:vAlign w:val="center"/>
          </w:tcPr>
          <w:p w14:paraId="2E2FAF07">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snapToGrid w:val="0"/>
                <w:color w:val="000000"/>
                <w:kern w:val="21"/>
                <w:sz w:val="24"/>
                <w:szCs w:val="24"/>
                <w:lang w:val="en-US" w:eastAsia="zh-CN"/>
              </w:rPr>
            </w:pPr>
            <w:r>
              <w:rPr>
                <w:rFonts w:hint="eastAsia" w:ascii="Times New Roman" w:cs="Times New Roman"/>
                <w:snapToGrid w:val="0"/>
                <w:color w:val="000000"/>
                <w:kern w:val="21"/>
                <w:sz w:val="24"/>
                <w:szCs w:val="24"/>
                <w:lang w:val="en-US" w:eastAsia="zh-CN"/>
              </w:rPr>
              <w:t>7.69t/a</w:t>
            </w:r>
          </w:p>
        </w:tc>
        <w:tc>
          <w:tcPr>
            <w:tcW w:w="1685" w:type="dxa"/>
            <w:noWrap w:val="0"/>
            <w:vAlign w:val="center"/>
          </w:tcPr>
          <w:p w14:paraId="1B1084A7">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875" w:type="dxa"/>
            <w:noWrap w:val="0"/>
            <w:vAlign w:val="center"/>
          </w:tcPr>
          <w:p w14:paraId="5EB74EB5">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r>
              <w:rPr>
                <w:rFonts w:hint="eastAsia" w:ascii="Times New Roman" w:cs="Times New Roman"/>
                <w:snapToGrid w:val="0"/>
                <w:color w:val="000000"/>
                <w:kern w:val="21"/>
                <w:sz w:val="24"/>
                <w:szCs w:val="24"/>
                <w:lang w:val="en-US" w:eastAsia="zh-CN"/>
              </w:rPr>
              <w:t>7.69t/a</w:t>
            </w:r>
          </w:p>
        </w:tc>
        <w:tc>
          <w:tcPr>
            <w:tcW w:w="790" w:type="dxa"/>
            <w:noWrap w:val="0"/>
            <w:vAlign w:val="center"/>
          </w:tcPr>
          <w:p w14:paraId="5B8818BE">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r>
              <w:rPr>
                <w:rFonts w:hint="eastAsia" w:ascii="Times New Roman" w:cs="Times New Roman"/>
                <w:snapToGrid w:val="0"/>
                <w:color w:val="000000"/>
                <w:kern w:val="21"/>
                <w:sz w:val="24"/>
                <w:szCs w:val="24"/>
                <w:lang w:val="en-US" w:eastAsia="zh-CN"/>
              </w:rPr>
              <w:t>7.69t/a</w:t>
            </w:r>
          </w:p>
        </w:tc>
      </w:tr>
      <w:tr w14:paraId="04B220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0" w:type="dxa"/>
            <w:noWrap w:val="0"/>
            <w:vAlign w:val="center"/>
          </w:tcPr>
          <w:p w14:paraId="5962882F">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r>
              <w:rPr>
                <w:rFonts w:hint="default" w:ascii="Times New Roman" w:hAnsi="Times New Roman" w:cs="Times New Roman"/>
                <w:snapToGrid w:val="0"/>
                <w:color w:val="000000"/>
                <w:kern w:val="21"/>
                <w:sz w:val="24"/>
                <w:szCs w:val="24"/>
              </w:rPr>
              <w:t>废水</w:t>
            </w:r>
          </w:p>
        </w:tc>
        <w:tc>
          <w:tcPr>
            <w:tcW w:w="1356" w:type="dxa"/>
            <w:noWrap w:val="0"/>
            <w:vAlign w:val="center"/>
          </w:tcPr>
          <w:p w14:paraId="1F46E0B9">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snapToGrid w:val="0"/>
                <w:color w:val="000000"/>
                <w:kern w:val="21"/>
                <w:sz w:val="24"/>
                <w:szCs w:val="24"/>
                <w:lang w:val="en-US" w:eastAsia="zh-CN"/>
              </w:rPr>
            </w:pPr>
            <w:r>
              <w:rPr>
                <w:rFonts w:hint="eastAsia" w:ascii="Times New Roman" w:cs="Times New Roman"/>
                <w:snapToGrid w:val="0"/>
                <w:color w:val="000000"/>
                <w:kern w:val="21"/>
                <w:sz w:val="24"/>
                <w:szCs w:val="24"/>
                <w:lang w:val="en-US" w:eastAsia="zh-CN"/>
              </w:rPr>
              <w:t>/</w:t>
            </w:r>
          </w:p>
        </w:tc>
        <w:tc>
          <w:tcPr>
            <w:tcW w:w="1628" w:type="dxa"/>
            <w:noWrap w:val="0"/>
            <w:vAlign w:val="center"/>
          </w:tcPr>
          <w:p w14:paraId="062CFAE4">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221" w:type="dxa"/>
            <w:noWrap w:val="0"/>
            <w:vAlign w:val="center"/>
          </w:tcPr>
          <w:p w14:paraId="5F6C5558">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628" w:type="dxa"/>
            <w:noWrap w:val="0"/>
            <w:vAlign w:val="center"/>
          </w:tcPr>
          <w:p w14:paraId="5105E1E9">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492" w:type="dxa"/>
            <w:noWrap w:val="0"/>
            <w:vAlign w:val="center"/>
          </w:tcPr>
          <w:p w14:paraId="57D33EA8">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snapToGrid w:val="0"/>
                <w:color w:val="000000"/>
                <w:kern w:val="21"/>
                <w:sz w:val="24"/>
                <w:szCs w:val="24"/>
                <w:lang w:val="en-US" w:eastAsia="zh-CN"/>
              </w:rPr>
            </w:pPr>
            <w:r>
              <w:rPr>
                <w:rFonts w:hint="eastAsia" w:ascii="Times New Roman" w:cs="Times New Roman"/>
                <w:snapToGrid w:val="0"/>
                <w:color w:val="000000"/>
                <w:kern w:val="21"/>
                <w:sz w:val="24"/>
                <w:szCs w:val="24"/>
                <w:lang w:val="en-US" w:eastAsia="zh-CN"/>
              </w:rPr>
              <w:t>/</w:t>
            </w:r>
          </w:p>
        </w:tc>
        <w:tc>
          <w:tcPr>
            <w:tcW w:w="1685" w:type="dxa"/>
            <w:noWrap w:val="0"/>
            <w:vAlign w:val="center"/>
          </w:tcPr>
          <w:p w14:paraId="28D1D55B">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875" w:type="dxa"/>
            <w:noWrap w:val="0"/>
            <w:vAlign w:val="center"/>
          </w:tcPr>
          <w:p w14:paraId="4D931C41">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eastAsia="宋体" w:cs="Times New Roman"/>
                <w:snapToGrid w:val="0"/>
                <w:color w:val="000000"/>
                <w:kern w:val="21"/>
                <w:sz w:val="24"/>
                <w:szCs w:val="24"/>
                <w:lang w:val="en-US" w:eastAsia="zh-CN"/>
              </w:rPr>
            </w:pPr>
            <w:r>
              <w:rPr>
                <w:rFonts w:hint="eastAsia" w:ascii="Times New Roman" w:cs="Times New Roman"/>
                <w:snapToGrid w:val="0"/>
                <w:color w:val="000000"/>
                <w:kern w:val="21"/>
                <w:sz w:val="24"/>
                <w:szCs w:val="24"/>
                <w:lang w:val="en-US" w:eastAsia="zh-CN"/>
              </w:rPr>
              <w:t>/</w:t>
            </w:r>
          </w:p>
        </w:tc>
        <w:tc>
          <w:tcPr>
            <w:tcW w:w="790" w:type="dxa"/>
            <w:noWrap w:val="0"/>
            <w:vAlign w:val="center"/>
          </w:tcPr>
          <w:p w14:paraId="497AC39D">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eastAsia="宋体" w:cs="Times New Roman"/>
                <w:snapToGrid w:val="0"/>
                <w:color w:val="000000"/>
                <w:kern w:val="21"/>
                <w:sz w:val="24"/>
                <w:szCs w:val="24"/>
                <w:lang w:val="en-US" w:eastAsia="zh-CN"/>
              </w:rPr>
            </w:pPr>
            <w:r>
              <w:rPr>
                <w:rFonts w:hint="eastAsia" w:ascii="Times New Roman" w:cs="Times New Roman"/>
                <w:snapToGrid w:val="0"/>
                <w:color w:val="000000"/>
                <w:kern w:val="21"/>
                <w:sz w:val="24"/>
                <w:szCs w:val="24"/>
                <w:lang w:val="en-US" w:eastAsia="zh-CN"/>
              </w:rPr>
              <w:t>/</w:t>
            </w:r>
          </w:p>
        </w:tc>
      </w:tr>
      <w:tr w14:paraId="2469E9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0" w:type="dxa"/>
            <w:vMerge w:val="restart"/>
            <w:noWrap w:val="0"/>
            <w:vAlign w:val="center"/>
          </w:tcPr>
          <w:p w14:paraId="3467C8CF">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r>
              <w:rPr>
                <w:rFonts w:hint="default" w:ascii="Times New Roman" w:hAnsi="Times New Roman" w:cs="Times New Roman"/>
                <w:snapToGrid w:val="0"/>
                <w:color w:val="000000"/>
                <w:kern w:val="21"/>
                <w:sz w:val="24"/>
                <w:szCs w:val="24"/>
              </w:rPr>
              <w:t>一般工业</w:t>
            </w:r>
          </w:p>
          <w:p w14:paraId="12117838">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r>
              <w:rPr>
                <w:rFonts w:hint="default" w:ascii="Times New Roman" w:hAnsi="Times New Roman" w:cs="Times New Roman"/>
                <w:snapToGrid w:val="0"/>
                <w:color w:val="000000"/>
                <w:kern w:val="21"/>
                <w:sz w:val="24"/>
                <w:szCs w:val="24"/>
              </w:rPr>
              <w:t>固体废物</w:t>
            </w:r>
          </w:p>
        </w:tc>
        <w:tc>
          <w:tcPr>
            <w:tcW w:w="1356" w:type="dxa"/>
            <w:noWrap w:val="0"/>
            <w:vAlign w:val="center"/>
          </w:tcPr>
          <w:p w14:paraId="499850ED">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r>
              <w:rPr>
                <w:rFonts w:hint="eastAsia" w:ascii="Times New Roman" w:cs="Times New Roman"/>
                <w:snapToGrid w:val="0"/>
                <w:color w:val="000000"/>
                <w:kern w:val="21"/>
                <w:sz w:val="24"/>
                <w:szCs w:val="24"/>
                <w:lang w:val="en-US" w:eastAsia="zh-CN"/>
              </w:rPr>
              <w:t>除尘灰</w:t>
            </w:r>
          </w:p>
        </w:tc>
        <w:tc>
          <w:tcPr>
            <w:tcW w:w="1628" w:type="dxa"/>
            <w:noWrap w:val="0"/>
            <w:vAlign w:val="center"/>
          </w:tcPr>
          <w:p w14:paraId="43B0B988">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221" w:type="dxa"/>
            <w:noWrap w:val="0"/>
            <w:vAlign w:val="center"/>
          </w:tcPr>
          <w:p w14:paraId="477E5894">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628" w:type="dxa"/>
            <w:noWrap w:val="0"/>
            <w:vAlign w:val="center"/>
          </w:tcPr>
          <w:p w14:paraId="69551FAA">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492" w:type="dxa"/>
            <w:noWrap w:val="0"/>
            <w:vAlign w:val="center"/>
          </w:tcPr>
          <w:p w14:paraId="5EC0F4CF">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snapToGrid w:val="0"/>
                <w:color w:val="000000"/>
                <w:kern w:val="21"/>
                <w:sz w:val="24"/>
                <w:szCs w:val="24"/>
                <w:lang w:val="en-US" w:eastAsia="zh-CN"/>
              </w:rPr>
            </w:pPr>
            <w:r>
              <w:rPr>
                <w:rFonts w:hint="eastAsia" w:ascii="Times New Roman" w:cs="Times New Roman"/>
                <w:snapToGrid w:val="0"/>
                <w:color w:val="000000"/>
                <w:kern w:val="21"/>
                <w:sz w:val="24"/>
                <w:szCs w:val="24"/>
                <w:lang w:val="en-US" w:eastAsia="zh-CN"/>
              </w:rPr>
              <w:t>85.06t/a</w:t>
            </w:r>
          </w:p>
        </w:tc>
        <w:tc>
          <w:tcPr>
            <w:tcW w:w="1685" w:type="dxa"/>
            <w:noWrap w:val="0"/>
            <w:vAlign w:val="center"/>
          </w:tcPr>
          <w:p w14:paraId="49DB2ECD">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875" w:type="dxa"/>
            <w:noWrap w:val="0"/>
            <w:vAlign w:val="center"/>
          </w:tcPr>
          <w:p w14:paraId="5E7F0231">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r>
              <w:rPr>
                <w:rFonts w:hint="eastAsia" w:ascii="Times New Roman" w:cs="Times New Roman"/>
                <w:snapToGrid w:val="0"/>
                <w:color w:val="000000"/>
                <w:kern w:val="21"/>
                <w:sz w:val="24"/>
                <w:szCs w:val="24"/>
                <w:lang w:val="en-US" w:eastAsia="zh-CN"/>
              </w:rPr>
              <w:t>85.06t/a</w:t>
            </w:r>
          </w:p>
        </w:tc>
        <w:tc>
          <w:tcPr>
            <w:tcW w:w="790" w:type="dxa"/>
            <w:noWrap w:val="0"/>
            <w:vAlign w:val="center"/>
          </w:tcPr>
          <w:p w14:paraId="3E652DCB">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r>
              <w:rPr>
                <w:rFonts w:hint="eastAsia" w:ascii="Times New Roman" w:cs="Times New Roman"/>
                <w:snapToGrid w:val="0"/>
                <w:color w:val="000000"/>
                <w:kern w:val="21"/>
                <w:sz w:val="24"/>
                <w:szCs w:val="24"/>
                <w:lang w:val="en-US" w:eastAsia="zh-CN"/>
              </w:rPr>
              <w:t>85.06t/a</w:t>
            </w:r>
          </w:p>
        </w:tc>
      </w:tr>
      <w:tr w14:paraId="4C0AAA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0" w:type="dxa"/>
            <w:vMerge w:val="continue"/>
            <w:noWrap w:val="0"/>
            <w:vAlign w:val="center"/>
          </w:tcPr>
          <w:p w14:paraId="12FEAC04">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356" w:type="dxa"/>
            <w:noWrap w:val="0"/>
            <w:vAlign w:val="center"/>
          </w:tcPr>
          <w:p w14:paraId="1F2D69F4">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cs="Times New Roman"/>
                <w:snapToGrid w:val="0"/>
                <w:color w:val="000000"/>
                <w:kern w:val="21"/>
                <w:sz w:val="24"/>
                <w:szCs w:val="24"/>
                <w:lang w:val="en-US" w:eastAsia="zh-CN"/>
              </w:rPr>
            </w:pPr>
            <w:r>
              <w:rPr>
                <w:rFonts w:hint="eastAsia" w:ascii="Times New Roman" w:cs="Times New Roman"/>
                <w:snapToGrid w:val="0"/>
                <w:color w:val="000000"/>
                <w:kern w:val="21"/>
                <w:sz w:val="24"/>
                <w:szCs w:val="24"/>
                <w:lang w:val="en-US" w:eastAsia="zh-CN"/>
              </w:rPr>
              <w:t>沉淀池底泥</w:t>
            </w:r>
          </w:p>
        </w:tc>
        <w:tc>
          <w:tcPr>
            <w:tcW w:w="1628" w:type="dxa"/>
            <w:noWrap w:val="0"/>
            <w:vAlign w:val="center"/>
          </w:tcPr>
          <w:p w14:paraId="35D02B73">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221" w:type="dxa"/>
            <w:noWrap w:val="0"/>
            <w:vAlign w:val="center"/>
          </w:tcPr>
          <w:p w14:paraId="6606081A">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628" w:type="dxa"/>
            <w:noWrap w:val="0"/>
            <w:vAlign w:val="center"/>
          </w:tcPr>
          <w:p w14:paraId="32A927A0">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492" w:type="dxa"/>
            <w:noWrap w:val="0"/>
            <w:vAlign w:val="center"/>
          </w:tcPr>
          <w:p w14:paraId="234D6AF5">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snapToGrid w:val="0"/>
                <w:color w:val="000000"/>
                <w:kern w:val="21"/>
                <w:sz w:val="24"/>
                <w:szCs w:val="24"/>
                <w:lang w:val="en-US" w:eastAsia="zh-CN"/>
              </w:rPr>
            </w:pPr>
            <w:r>
              <w:rPr>
                <w:rFonts w:hint="eastAsia" w:ascii="Times New Roman" w:cs="Times New Roman"/>
                <w:snapToGrid w:val="0"/>
                <w:color w:val="000000"/>
                <w:kern w:val="21"/>
                <w:sz w:val="24"/>
                <w:szCs w:val="24"/>
                <w:lang w:val="en-US" w:eastAsia="zh-CN"/>
              </w:rPr>
              <w:t>0.5t/a</w:t>
            </w:r>
          </w:p>
        </w:tc>
        <w:tc>
          <w:tcPr>
            <w:tcW w:w="1685" w:type="dxa"/>
            <w:noWrap w:val="0"/>
            <w:vAlign w:val="center"/>
          </w:tcPr>
          <w:p w14:paraId="460C7ECC">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875" w:type="dxa"/>
            <w:noWrap w:val="0"/>
            <w:vAlign w:val="center"/>
          </w:tcPr>
          <w:p w14:paraId="6CFCCC05">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r>
              <w:rPr>
                <w:rFonts w:hint="eastAsia" w:ascii="Times New Roman" w:cs="Times New Roman"/>
                <w:snapToGrid w:val="0"/>
                <w:color w:val="000000"/>
                <w:kern w:val="21"/>
                <w:sz w:val="24"/>
                <w:szCs w:val="24"/>
                <w:lang w:val="en-US" w:eastAsia="zh-CN"/>
              </w:rPr>
              <w:t>0.5t/a</w:t>
            </w:r>
          </w:p>
        </w:tc>
        <w:tc>
          <w:tcPr>
            <w:tcW w:w="790" w:type="dxa"/>
            <w:noWrap w:val="0"/>
            <w:vAlign w:val="center"/>
          </w:tcPr>
          <w:p w14:paraId="7F2D2A42">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r>
              <w:rPr>
                <w:rFonts w:hint="eastAsia" w:ascii="Times New Roman" w:cs="Times New Roman"/>
                <w:snapToGrid w:val="0"/>
                <w:color w:val="000000"/>
                <w:kern w:val="21"/>
                <w:sz w:val="24"/>
                <w:szCs w:val="24"/>
                <w:lang w:val="en-US" w:eastAsia="zh-CN"/>
              </w:rPr>
              <w:t>0.5t/a</w:t>
            </w:r>
          </w:p>
        </w:tc>
      </w:tr>
      <w:tr w14:paraId="6A061F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0" w:type="dxa"/>
            <w:vMerge w:val="restart"/>
            <w:noWrap w:val="0"/>
            <w:vAlign w:val="center"/>
          </w:tcPr>
          <w:p w14:paraId="52DCFA31">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r>
              <w:rPr>
                <w:rFonts w:hint="default" w:ascii="Times New Roman" w:hAnsi="Times New Roman" w:cs="Times New Roman"/>
                <w:snapToGrid w:val="0"/>
                <w:color w:val="000000"/>
                <w:kern w:val="21"/>
                <w:sz w:val="24"/>
                <w:szCs w:val="24"/>
              </w:rPr>
              <w:t>危险废物</w:t>
            </w:r>
          </w:p>
        </w:tc>
        <w:tc>
          <w:tcPr>
            <w:tcW w:w="1356" w:type="dxa"/>
            <w:noWrap w:val="0"/>
            <w:vAlign w:val="center"/>
          </w:tcPr>
          <w:p w14:paraId="313391FC">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eastAsia" w:ascii="Times New Roman" w:hAnsi="Times New Roman" w:eastAsia="宋体" w:cs="Times New Roman"/>
                <w:snapToGrid w:val="0"/>
                <w:color w:val="000000"/>
                <w:kern w:val="21"/>
                <w:sz w:val="24"/>
                <w:szCs w:val="24"/>
                <w:lang w:val="en-US" w:eastAsia="zh-CN"/>
              </w:rPr>
            </w:pPr>
            <w:r>
              <w:rPr>
                <w:rFonts w:hint="eastAsia" w:ascii="Times New Roman" w:cs="Times New Roman"/>
                <w:snapToGrid w:val="0"/>
                <w:color w:val="000000"/>
                <w:kern w:val="21"/>
                <w:sz w:val="24"/>
                <w:szCs w:val="24"/>
                <w:lang w:val="en-US" w:eastAsia="zh-CN"/>
              </w:rPr>
              <w:t>废矿物油</w:t>
            </w:r>
          </w:p>
        </w:tc>
        <w:tc>
          <w:tcPr>
            <w:tcW w:w="1628" w:type="dxa"/>
            <w:noWrap w:val="0"/>
            <w:vAlign w:val="center"/>
          </w:tcPr>
          <w:p w14:paraId="4F10B2C4">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221" w:type="dxa"/>
            <w:noWrap w:val="0"/>
            <w:vAlign w:val="center"/>
          </w:tcPr>
          <w:p w14:paraId="6D20D5AD">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628" w:type="dxa"/>
            <w:noWrap w:val="0"/>
            <w:vAlign w:val="center"/>
          </w:tcPr>
          <w:p w14:paraId="3A132128">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492" w:type="dxa"/>
            <w:noWrap w:val="0"/>
            <w:vAlign w:val="center"/>
          </w:tcPr>
          <w:p w14:paraId="7739E1F4">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snapToGrid w:val="0"/>
                <w:color w:val="000000"/>
                <w:kern w:val="21"/>
                <w:sz w:val="24"/>
                <w:szCs w:val="24"/>
                <w:lang w:val="en-US" w:eastAsia="zh-CN"/>
              </w:rPr>
            </w:pPr>
            <w:r>
              <w:rPr>
                <w:rFonts w:hint="eastAsia" w:ascii="Times New Roman" w:cs="Times New Roman"/>
                <w:snapToGrid w:val="0"/>
                <w:color w:val="000000"/>
                <w:kern w:val="21"/>
                <w:sz w:val="24"/>
                <w:szCs w:val="24"/>
                <w:lang w:val="en-US" w:eastAsia="zh-CN"/>
              </w:rPr>
              <w:t>0.1t/a</w:t>
            </w:r>
          </w:p>
        </w:tc>
        <w:tc>
          <w:tcPr>
            <w:tcW w:w="1685" w:type="dxa"/>
            <w:noWrap w:val="0"/>
            <w:vAlign w:val="center"/>
          </w:tcPr>
          <w:p w14:paraId="78B15C6C">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875" w:type="dxa"/>
            <w:noWrap w:val="0"/>
            <w:vAlign w:val="center"/>
          </w:tcPr>
          <w:p w14:paraId="2C8AD20B">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r>
              <w:rPr>
                <w:rFonts w:hint="eastAsia" w:ascii="Times New Roman" w:cs="Times New Roman"/>
                <w:snapToGrid w:val="0"/>
                <w:color w:val="000000"/>
                <w:kern w:val="21"/>
                <w:sz w:val="24"/>
                <w:szCs w:val="24"/>
                <w:lang w:val="en-US" w:eastAsia="zh-CN"/>
              </w:rPr>
              <w:t>0.1t/a</w:t>
            </w:r>
          </w:p>
        </w:tc>
        <w:tc>
          <w:tcPr>
            <w:tcW w:w="790" w:type="dxa"/>
            <w:noWrap w:val="0"/>
            <w:vAlign w:val="center"/>
          </w:tcPr>
          <w:p w14:paraId="1AC0D23D">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r>
              <w:rPr>
                <w:rFonts w:hint="eastAsia" w:ascii="Times New Roman" w:cs="Times New Roman"/>
                <w:snapToGrid w:val="0"/>
                <w:color w:val="000000"/>
                <w:kern w:val="21"/>
                <w:sz w:val="24"/>
                <w:szCs w:val="24"/>
                <w:lang w:val="en-US" w:eastAsia="zh-CN"/>
              </w:rPr>
              <w:t>0.1t/a</w:t>
            </w:r>
          </w:p>
        </w:tc>
      </w:tr>
      <w:tr w14:paraId="2383E4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1520" w:type="dxa"/>
            <w:vMerge w:val="continue"/>
            <w:noWrap w:val="0"/>
            <w:vAlign w:val="center"/>
          </w:tcPr>
          <w:p w14:paraId="167E409D">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356" w:type="dxa"/>
            <w:noWrap w:val="0"/>
            <w:vAlign w:val="center"/>
          </w:tcPr>
          <w:p w14:paraId="0DA50799">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cs="Times New Roman"/>
                <w:snapToGrid w:val="0"/>
                <w:color w:val="000000"/>
                <w:kern w:val="21"/>
                <w:sz w:val="24"/>
                <w:szCs w:val="24"/>
                <w:lang w:val="en-US" w:eastAsia="zh-CN"/>
              </w:rPr>
            </w:pPr>
            <w:r>
              <w:rPr>
                <w:rFonts w:hint="eastAsia" w:ascii="Times New Roman" w:cs="Times New Roman"/>
                <w:snapToGrid w:val="0"/>
                <w:color w:val="000000"/>
                <w:kern w:val="21"/>
                <w:sz w:val="24"/>
                <w:szCs w:val="24"/>
                <w:lang w:val="en-US" w:eastAsia="zh-CN"/>
              </w:rPr>
              <w:t>废油桶</w:t>
            </w:r>
          </w:p>
        </w:tc>
        <w:tc>
          <w:tcPr>
            <w:tcW w:w="1628" w:type="dxa"/>
            <w:noWrap w:val="0"/>
            <w:vAlign w:val="center"/>
          </w:tcPr>
          <w:p w14:paraId="02468B6C">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221" w:type="dxa"/>
            <w:noWrap w:val="0"/>
            <w:vAlign w:val="center"/>
          </w:tcPr>
          <w:p w14:paraId="3E4FFA79">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628" w:type="dxa"/>
            <w:noWrap w:val="0"/>
            <w:vAlign w:val="center"/>
          </w:tcPr>
          <w:p w14:paraId="03F65581">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492" w:type="dxa"/>
            <w:noWrap w:val="0"/>
            <w:vAlign w:val="center"/>
          </w:tcPr>
          <w:p w14:paraId="71DC3B55">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r>
              <w:rPr>
                <w:rFonts w:hint="eastAsia" w:ascii="Times New Roman" w:cs="Times New Roman"/>
                <w:snapToGrid w:val="0"/>
                <w:color w:val="000000"/>
                <w:kern w:val="21"/>
                <w:sz w:val="24"/>
                <w:szCs w:val="24"/>
                <w:lang w:val="en-US" w:eastAsia="zh-CN"/>
              </w:rPr>
              <w:t>0.1t/a</w:t>
            </w:r>
          </w:p>
        </w:tc>
        <w:tc>
          <w:tcPr>
            <w:tcW w:w="1685" w:type="dxa"/>
            <w:noWrap w:val="0"/>
            <w:vAlign w:val="center"/>
          </w:tcPr>
          <w:p w14:paraId="53DDA3C1">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875" w:type="dxa"/>
            <w:noWrap w:val="0"/>
            <w:vAlign w:val="center"/>
          </w:tcPr>
          <w:p w14:paraId="4BC00553">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r>
              <w:rPr>
                <w:rFonts w:hint="eastAsia" w:ascii="Times New Roman" w:cs="Times New Roman"/>
                <w:snapToGrid w:val="0"/>
                <w:color w:val="000000"/>
                <w:kern w:val="21"/>
                <w:sz w:val="24"/>
                <w:szCs w:val="24"/>
                <w:lang w:val="en-US" w:eastAsia="zh-CN"/>
              </w:rPr>
              <w:t>0.1t/a</w:t>
            </w:r>
          </w:p>
        </w:tc>
        <w:tc>
          <w:tcPr>
            <w:tcW w:w="790" w:type="dxa"/>
            <w:noWrap w:val="0"/>
            <w:vAlign w:val="center"/>
          </w:tcPr>
          <w:p w14:paraId="5399AFCC">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r>
              <w:rPr>
                <w:rFonts w:hint="eastAsia" w:ascii="Times New Roman" w:cs="Times New Roman"/>
                <w:snapToGrid w:val="0"/>
                <w:color w:val="000000"/>
                <w:kern w:val="21"/>
                <w:sz w:val="24"/>
                <w:szCs w:val="24"/>
                <w:lang w:val="en-US" w:eastAsia="zh-CN"/>
              </w:rPr>
              <w:t>0.1t/a</w:t>
            </w:r>
          </w:p>
        </w:tc>
      </w:tr>
      <w:tr w14:paraId="05437C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76" w:type="dxa"/>
            <w:gridSpan w:val="2"/>
            <w:noWrap w:val="0"/>
            <w:vAlign w:val="center"/>
          </w:tcPr>
          <w:p w14:paraId="6E4AA51A">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snapToGrid w:val="0"/>
                <w:color w:val="000000"/>
                <w:kern w:val="21"/>
                <w:sz w:val="24"/>
                <w:szCs w:val="24"/>
                <w:lang w:val="en-US" w:eastAsia="zh-CN"/>
              </w:rPr>
            </w:pPr>
            <w:r>
              <w:rPr>
                <w:rFonts w:hint="eastAsia" w:ascii="Times New Roman" w:cs="Times New Roman"/>
                <w:snapToGrid w:val="0"/>
                <w:color w:val="000000"/>
                <w:kern w:val="21"/>
                <w:sz w:val="24"/>
                <w:szCs w:val="24"/>
                <w:lang w:val="en-US" w:eastAsia="zh-CN"/>
              </w:rPr>
              <w:t>生活垃圾</w:t>
            </w:r>
          </w:p>
        </w:tc>
        <w:tc>
          <w:tcPr>
            <w:tcW w:w="1628" w:type="dxa"/>
            <w:noWrap w:val="0"/>
            <w:vAlign w:val="center"/>
          </w:tcPr>
          <w:p w14:paraId="04E5476F">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221" w:type="dxa"/>
            <w:noWrap w:val="0"/>
            <w:vAlign w:val="center"/>
          </w:tcPr>
          <w:p w14:paraId="593602E0">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628" w:type="dxa"/>
            <w:noWrap w:val="0"/>
            <w:vAlign w:val="center"/>
          </w:tcPr>
          <w:p w14:paraId="66A26E00">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492" w:type="dxa"/>
            <w:noWrap w:val="0"/>
            <w:vAlign w:val="center"/>
          </w:tcPr>
          <w:p w14:paraId="726FCFAF">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eastAsia="宋体" w:cs="Times New Roman"/>
                <w:snapToGrid w:val="0"/>
                <w:color w:val="000000"/>
                <w:kern w:val="21"/>
                <w:sz w:val="24"/>
                <w:szCs w:val="24"/>
                <w:lang w:val="en-US" w:eastAsia="zh-CN"/>
              </w:rPr>
            </w:pPr>
            <w:r>
              <w:rPr>
                <w:rFonts w:hint="eastAsia" w:ascii="Times New Roman" w:cs="Times New Roman"/>
                <w:snapToGrid w:val="0"/>
                <w:color w:val="000000"/>
                <w:kern w:val="21"/>
                <w:sz w:val="24"/>
                <w:szCs w:val="24"/>
                <w:lang w:val="en-US" w:eastAsia="zh-CN"/>
              </w:rPr>
              <w:t>1.3t/a</w:t>
            </w:r>
          </w:p>
        </w:tc>
        <w:tc>
          <w:tcPr>
            <w:tcW w:w="1685" w:type="dxa"/>
            <w:noWrap w:val="0"/>
            <w:vAlign w:val="center"/>
          </w:tcPr>
          <w:p w14:paraId="1B4B68B8">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p>
        </w:tc>
        <w:tc>
          <w:tcPr>
            <w:tcW w:w="1875" w:type="dxa"/>
            <w:noWrap w:val="0"/>
            <w:vAlign w:val="center"/>
          </w:tcPr>
          <w:p w14:paraId="23AECFDA">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r>
              <w:rPr>
                <w:rFonts w:hint="eastAsia" w:ascii="Times New Roman" w:cs="Times New Roman"/>
                <w:snapToGrid w:val="0"/>
                <w:color w:val="000000"/>
                <w:kern w:val="21"/>
                <w:sz w:val="24"/>
                <w:szCs w:val="24"/>
                <w:lang w:val="en-US" w:eastAsia="zh-CN"/>
              </w:rPr>
              <w:t>1.3t/a</w:t>
            </w:r>
          </w:p>
        </w:tc>
        <w:tc>
          <w:tcPr>
            <w:tcW w:w="790" w:type="dxa"/>
            <w:noWrap w:val="0"/>
            <w:vAlign w:val="center"/>
          </w:tcPr>
          <w:p w14:paraId="36F85D0C">
            <w:pPr>
              <w:pStyle w:val="34"/>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textAlignment w:val="auto"/>
              <w:rPr>
                <w:rFonts w:hint="default" w:ascii="Times New Roman" w:hAnsi="Times New Roman" w:cs="Times New Roman"/>
                <w:snapToGrid w:val="0"/>
                <w:color w:val="000000"/>
                <w:kern w:val="21"/>
                <w:sz w:val="24"/>
                <w:szCs w:val="24"/>
              </w:rPr>
            </w:pPr>
            <w:r>
              <w:rPr>
                <w:rFonts w:hint="eastAsia" w:ascii="Times New Roman" w:cs="Times New Roman"/>
                <w:snapToGrid w:val="0"/>
                <w:color w:val="000000"/>
                <w:kern w:val="21"/>
                <w:sz w:val="24"/>
                <w:szCs w:val="24"/>
                <w:lang w:val="en-US" w:eastAsia="zh-CN"/>
              </w:rPr>
              <w:t>1.3t/a</w:t>
            </w:r>
          </w:p>
        </w:tc>
      </w:tr>
    </w:tbl>
    <w:p w14:paraId="1C980F46">
      <w:pPr>
        <w:pStyle w:val="34"/>
        <w:spacing w:before="192" w:beforeLines="80" w:after="24"/>
        <w:jc w:val="left"/>
        <w:rPr>
          <w:rFonts w:hint="default" w:ascii="Times New Roman" w:hAnsi="Times New Roman" w:cs="Times New Roman"/>
          <w:snapToGrid w:val="0"/>
          <w:color w:val="000000"/>
          <w:spacing w:val="-6"/>
          <w:kern w:val="21"/>
          <w:szCs w:val="21"/>
        </w:rPr>
      </w:pPr>
      <w:r>
        <w:rPr>
          <w:rFonts w:hint="default" w:ascii="Times New Roman" w:hAnsi="Times New Roman" w:cs="Times New Roman"/>
          <w:snapToGrid w:val="0"/>
          <w:color w:val="000000"/>
          <w:kern w:val="21"/>
          <w:szCs w:val="21"/>
        </w:rPr>
        <w:t>注：</w:t>
      </w:r>
      <w:r>
        <w:rPr>
          <w:rFonts w:hint="default" w:ascii="Times New Roman" w:hAnsi="Times New Roman" w:cs="Times New Roman"/>
          <w:snapToGrid w:val="0"/>
          <w:color w:val="000000"/>
          <w:spacing w:val="-16"/>
          <w:kern w:val="21"/>
          <w:szCs w:val="21"/>
        </w:rPr>
        <w:fldChar w:fldCharType="begin"/>
      </w:r>
      <w:r>
        <w:rPr>
          <w:rFonts w:hint="default" w:ascii="Times New Roman" w:hAnsi="Times New Roman" w:cs="Times New Roman"/>
          <w:snapToGrid w:val="0"/>
          <w:color w:val="000000"/>
          <w:spacing w:val="-16"/>
          <w:kern w:val="21"/>
          <w:szCs w:val="21"/>
        </w:rPr>
        <w:instrText xml:space="preserve"> = 6 \* GB3 \* MERGEFORMAT </w:instrText>
      </w:r>
      <w:r>
        <w:rPr>
          <w:rFonts w:hint="default" w:ascii="Times New Roman" w:hAnsi="Times New Roman" w:cs="Times New Roman"/>
          <w:snapToGrid w:val="0"/>
          <w:color w:val="000000"/>
          <w:spacing w:val="-16"/>
          <w:kern w:val="21"/>
          <w:szCs w:val="21"/>
        </w:rPr>
        <w:fldChar w:fldCharType="separate"/>
      </w:r>
      <w:r>
        <w:rPr>
          <w:rFonts w:hint="default" w:ascii="Times New Roman" w:hAnsi="Times New Roman" w:cs="Times New Roman"/>
          <w:szCs w:val="21"/>
        </w:rPr>
        <w:t>⑥</w:t>
      </w:r>
      <w:r>
        <w:rPr>
          <w:rFonts w:hint="default" w:ascii="Times New Roman" w:hAnsi="Times New Roman" w:cs="Times New Roman"/>
          <w:snapToGrid w:val="0"/>
          <w:color w:val="000000"/>
          <w:spacing w:val="-16"/>
          <w:kern w:val="21"/>
          <w:szCs w:val="21"/>
        </w:rPr>
        <w:fldChar w:fldCharType="end"/>
      </w:r>
      <w:r>
        <w:rPr>
          <w:rFonts w:hint="default" w:ascii="Times New Roman" w:hAnsi="Times New Roman" w:cs="Times New Roman"/>
          <w:snapToGrid w:val="0"/>
          <w:color w:val="000000"/>
          <w:spacing w:val="-16"/>
          <w:kern w:val="21"/>
          <w:szCs w:val="21"/>
        </w:rPr>
        <w:t>=</w:t>
      </w:r>
      <w:r>
        <w:rPr>
          <w:rFonts w:hint="default" w:ascii="Times New Roman" w:hAnsi="Times New Roman" w:cs="Times New Roman"/>
          <w:snapToGrid w:val="0"/>
          <w:color w:val="000000"/>
          <w:spacing w:val="-6"/>
          <w:kern w:val="21"/>
          <w:szCs w:val="21"/>
        </w:rPr>
        <w:fldChar w:fldCharType="begin"/>
      </w:r>
      <w:r>
        <w:rPr>
          <w:rFonts w:hint="default" w:ascii="Times New Roman" w:hAnsi="Times New Roman" w:cs="Times New Roman"/>
          <w:snapToGrid w:val="0"/>
          <w:color w:val="000000"/>
          <w:spacing w:val="-6"/>
          <w:kern w:val="21"/>
          <w:szCs w:val="21"/>
        </w:rPr>
        <w:instrText xml:space="preserve"> = 1 \* GB3 \* MERGEFORMAT </w:instrText>
      </w:r>
      <w:r>
        <w:rPr>
          <w:rFonts w:hint="default" w:ascii="Times New Roman" w:hAnsi="Times New Roman" w:cs="Times New Roman"/>
          <w:snapToGrid w:val="0"/>
          <w:color w:val="000000"/>
          <w:spacing w:val="-6"/>
          <w:kern w:val="21"/>
          <w:szCs w:val="21"/>
        </w:rPr>
        <w:fldChar w:fldCharType="separate"/>
      </w:r>
      <w:r>
        <w:rPr>
          <w:rFonts w:hint="default" w:ascii="Times New Roman" w:hAnsi="Times New Roman" w:cs="Times New Roman"/>
          <w:szCs w:val="21"/>
        </w:rPr>
        <w:t>①</w:t>
      </w:r>
      <w:r>
        <w:rPr>
          <w:rFonts w:hint="default" w:ascii="Times New Roman" w:hAnsi="Times New Roman" w:cs="Times New Roman"/>
          <w:snapToGrid w:val="0"/>
          <w:color w:val="000000"/>
          <w:spacing w:val="-6"/>
          <w:kern w:val="21"/>
          <w:szCs w:val="21"/>
        </w:rPr>
        <w:fldChar w:fldCharType="end"/>
      </w:r>
      <w:r>
        <w:rPr>
          <w:rFonts w:hint="default" w:ascii="Times New Roman" w:hAnsi="Times New Roman" w:cs="Times New Roman"/>
          <w:snapToGrid w:val="0"/>
          <w:color w:val="000000"/>
          <w:spacing w:val="-6"/>
          <w:kern w:val="21"/>
          <w:szCs w:val="21"/>
        </w:rPr>
        <w:t>+</w:t>
      </w:r>
      <w:r>
        <w:rPr>
          <w:rFonts w:hint="default" w:ascii="Times New Roman" w:hAnsi="Times New Roman" w:cs="Times New Roman"/>
          <w:snapToGrid w:val="0"/>
          <w:color w:val="000000"/>
          <w:spacing w:val="-6"/>
          <w:kern w:val="21"/>
          <w:szCs w:val="21"/>
        </w:rPr>
        <w:fldChar w:fldCharType="begin"/>
      </w:r>
      <w:r>
        <w:rPr>
          <w:rFonts w:hint="default" w:ascii="Times New Roman" w:hAnsi="Times New Roman" w:cs="Times New Roman"/>
          <w:snapToGrid w:val="0"/>
          <w:color w:val="000000"/>
          <w:spacing w:val="-6"/>
          <w:kern w:val="21"/>
          <w:szCs w:val="21"/>
        </w:rPr>
        <w:instrText xml:space="preserve"> = 3 \* GB3 \* MERGEFORMAT </w:instrText>
      </w:r>
      <w:r>
        <w:rPr>
          <w:rFonts w:hint="default" w:ascii="Times New Roman" w:hAnsi="Times New Roman" w:cs="Times New Roman"/>
          <w:snapToGrid w:val="0"/>
          <w:color w:val="000000"/>
          <w:spacing w:val="-6"/>
          <w:kern w:val="21"/>
          <w:szCs w:val="21"/>
        </w:rPr>
        <w:fldChar w:fldCharType="separate"/>
      </w:r>
      <w:r>
        <w:rPr>
          <w:rFonts w:hint="default" w:ascii="Times New Roman" w:hAnsi="Times New Roman" w:cs="Times New Roman"/>
          <w:szCs w:val="21"/>
        </w:rPr>
        <w:t>③</w:t>
      </w:r>
      <w:r>
        <w:rPr>
          <w:rFonts w:hint="default" w:ascii="Times New Roman" w:hAnsi="Times New Roman" w:cs="Times New Roman"/>
          <w:snapToGrid w:val="0"/>
          <w:color w:val="000000"/>
          <w:spacing w:val="-6"/>
          <w:kern w:val="21"/>
          <w:szCs w:val="21"/>
        </w:rPr>
        <w:fldChar w:fldCharType="end"/>
      </w:r>
      <w:r>
        <w:rPr>
          <w:rFonts w:hint="default" w:ascii="Times New Roman" w:hAnsi="Times New Roman" w:cs="Times New Roman"/>
          <w:snapToGrid w:val="0"/>
          <w:color w:val="000000"/>
          <w:spacing w:val="-6"/>
          <w:kern w:val="21"/>
          <w:szCs w:val="21"/>
        </w:rPr>
        <w:t>+</w:t>
      </w:r>
      <w:r>
        <w:rPr>
          <w:rFonts w:hint="default" w:ascii="Times New Roman" w:hAnsi="Times New Roman" w:cs="Times New Roman"/>
          <w:snapToGrid w:val="0"/>
          <w:color w:val="000000"/>
          <w:spacing w:val="-6"/>
          <w:kern w:val="21"/>
          <w:szCs w:val="21"/>
        </w:rPr>
        <w:fldChar w:fldCharType="begin"/>
      </w:r>
      <w:r>
        <w:rPr>
          <w:rFonts w:hint="default" w:ascii="Times New Roman" w:hAnsi="Times New Roman" w:cs="Times New Roman"/>
          <w:snapToGrid w:val="0"/>
          <w:color w:val="000000"/>
          <w:spacing w:val="-6"/>
          <w:kern w:val="21"/>
          <w:szCs w:val="21"/>
        </w:rPr>
        <w:instrText xml:space="preserve"> = 4 \* GB3 \* MERGEFORMAT </w:instrText>
      </w:r>
      <w:r>
        <w:rPr>
          <w:rFonts w:hint="default" w:ascii="Times New Roman" w:hAnsi="Times New Roman" w:cs="Times New Roman"/>
          <w:snapToGrid w:val="0"/>
          <w:color w:val="000000"/>
          <w:spacing w:val="-6"/>
          <w:kern w:val="21"/>
          <w:szCs w:val="21"/>
        </w:rPr>
        <w:fldChar w:fldCharType="separate"/>
      </w:r>
      <w:r>
        <w:rPr>
          <w:rFonts w:hint="default" w:ascii="Times New Roman" w:hAnsi="Times New Roman" w:cs="Times New Roman"/>
          <w:szCs w:val="21"/>
        </w:rPr>
        <w:t>④</w:t>
      </w:r>
      <w:r>
        <w:rPr>
          <w:rFonts w:hint="default" w:ascii="Times New Roman" w:hAnsi="Times New Roman" w:cs="Times New Roman"/>
          <w:snapToGrid w:val="0"/>
          <w:color w:val="000000"/>
          <w:spacing w:val="-6"/>
          <w:kern w:val="21"/>
          <w:szCs w:val="21"/>
        </w:rPr>
        <w:fldChar w:fldCharType="end"/>
      </w:r>
      <w:r>
        <w:rPr>
          <w:rFonts w:hint="default" w:ascii="Times New Roman" w:hAnsi="Times New Roman" w:cs="Times New Roman"/>
          <w:snapToGrid w:val="0"/>
          <w:color w:val="000000"/>
          <w:spacing w:val="-6"/>
          <w:kern w:val="21"/>
          <w:szCs w:val="21"/>
        </w:rPr>
        <w:t>-</w:t>
      </w:r>
      <w:r>
        <w:rPr>
          <w:rFonts w:hint="default" w:ascii="Times New Roman" w:hAnsi="Times New Roman" w:cs="Times New Roman"/>
          <w:snapToGrid w:val="0"/>
          <w:color w:val="000000"/>
          <w:spacing w:val="-16"/>
          <w:kern w:val="21"/>
          <w:szCs w:val="21"/>
        </w:rPr>
        <w:fldChar w:fldCharType="begin"/>
      </w:r>
      <w:r>
        <w:rPr>
          <w:rFonts w:hint="default" w:ascii="Times New Roman" w:hAnsi="Times New Roman" w:cs="Times New Roman"/>
          <w:snapToGrid w:val="0"/>
          <w:color w:val="000000"/>
          <w:spacing w:val="-16"/>
          <w:kern w:val="21"/>
          <w:szCs w:val="21"/>
        </w:rPr>
        <w:instrText xml:space="preserve"> = 5 \* GB3 \* MERGEFORMAT </w:instrText>
      </w:r>
      <w:r>
        <w:rPr>
          <w:rFonts w:hint="default" w:ascii="Times New Roman" w:hAnsi="Times New Roman" w:cs="Times New Roman"/>
          <w:snapToGrid w:val="0"/>
          <w:color w:val="000000"/>
          <w:spacing w:val="-16"/>
          <w:kern w:val="21"/>
          <w:szCs w:val="21"/>
        </w:rPr>
        <w:fldChar w:fldCharType="separate"/>
      </w:r>
      <w:r>
        <w:rPr>
          <w:rFonts w:hint="default" w:ascii="Times New Roman" w:hAnsi="Times New Roman" w:cs="Times New Roman"/>
          <w:szCs w:val="21"/>
        </w:rPr>
        <w:t>⑤</w:t>
      </w:r>
      <w:r>
        <w:rPr>
          <w:rFonts w:hint="default" w:ascii="Times New Roman" w:hAnsi="Times New Roman" w:cs="Times New Roman"/>
          <w:snapToGrid w:val="0"/>
          <w:color w:val="000000"/>
          <w:spacing w:val="-16"/>
          <w:kern w:val="21"/>
          <w:szCs w:val="21"/>
        </w:rPr>
        <w:fldChar w:fldCharType="end"/>
      </w:r>
      <w:r>
        <w:rPr>
          <w:rFonts w:hint="default" w:ascii="Times New Roman" w:hAnsi="Times New Roman" w:cs="Times New Roman"/>
          <w:snapToGrid w:val="0"/>
          <w:color w:val="000000"/>
          <w:spacing w:val="-16"/>
          <w:kern w:val="21"/>
          <w:szCs w:val="21"/>
        </w:rPr>
        <w:t>；</w:t>
      </w:r>
      <w:r>
        <w:rPr>
          <w:rFonts w:hint="default" w:ascii="Times New Roman" w:hAnsi="Times New Roman" w:cs="Times New Roman"/>
          <w:snapToGrid w:val="0"/>
          <w:color w:val="000000"/>
          <w:spacing w:val="-6"/>
          <w:kern w:val="21"/>
          <w:szCs w:val="21"/>
        </w:rPr>
        <w:fldChar w:fldCharType="begin"/>
      </w:r>
      <w:r>
        <w:rPr>
          <w:rFonts w:hint="default" w:ascii="Times New Roman" w:hAnsi="Times New Roman" w:cs="Times New Roman"/>
          <w:snapToGrid w:val="0"/>
          <w:color w:val="000000"/>
          <w:spacing w:val="-6"/>
          <w:kern w:val="21"/>
          <w:szCs w:val="21"/>
        </w:rPr>
        <w:instrText xml:space="preserve"> = 7 \* GB3 \* MERGEFORMAT </w:instrText>
      </w:r>
      <w:r>
        <w:rPr>
          <w:rFonts w:hint="default" w:ascii="Times New Roman" w:hAnsi="Times New Roman" w:cs="Times New Roman"/>
          <w:snapToGrid w:val="0"/>
          <w:color w:val="000000"/>
          <w:spacing w:val="-6"/>
          <w:kern w:val="21"/>
          <w:szCs w:val="21"/>
        </w:rPr>
        <w:fldChar w:fldCharType="separate"/>
      </w:r>
      <w:r>
        <w:rPr>
          <w:rFonts w:hint="default" w:ascii="Times New Roman" w:hAnsi="Times New Roman" w:cs="Times New Roman"/>
          <w:szCs w:val="21"/>
        </w:rPr>
        <w:t>⑦</w:t>
      </w:r>
      <w:r>
        <w:rPr>
          <w:rFonts w:hint="default" w:ascii="Times New Roman" w:hAnsi="Times New Roman" w:cs="Times New Roman"/>
          <w:snapToGrid w:val="0"/>
          <w:color w:val="000000"/>
          <w:spacing w:val="-6"/>
          <w:kern w:val="21"/>
          <w:szCs w:val="21"/>
        </w:rPr>
        <w:fldChar w:fldCharType="end"/>
      </w:r>
      <w:r>
        <w:rPr>
          <w:rFonts w:hint="default" w:ascii="Times New Roman" w:hAnsi="Times New Roman" w:cs="Times New Roman"/>
          <w:snapToGrid w:val="0"/>
          <w:color w:val="000000"/>
          <w:spacing w:val="-6"/>
          <w:kern w:val="21"/>
          <w:szCs w:val="21"/>
        </w:rPr>
        <w:t>=</w:t>
      </w:r>
      <w:r>
        <w:rPr>
          <w:rFonts w:hint="default" w:ascii="Times New Roman" w:hAnsi="Times New Roman" w:cs="Times New Roman"/>
          <w:snapToGrid w:val="0"/>
          <w:color w:val="000000"/>
          <w:spacing w:val="-16"/>
          <w:kern w:val="21"/>
          <w:szCs w:val="21"/>
        </w:rPr>
        <w:fldChar w:fldCharType="begin"/>
      </w:r>
      <w:r>
        <w:rPr>
          <w:rFonts w:hint="default" w:ascii="Times New Roman" w:hAnsi="Times New Roman" w:cs="Times New Roman"/>
          <w:snapToGrid w:val="0"/>
          <w:color w:val="000000"/>
          <w:spacing w:val="-16"/>
          <w:kern w:val="21"/>
          <w:szCs w:val="21"/>
        </w:rPr>
        <w:instrText xml:space="preserve"> = 6 \* GB3 \* MERGEFORMAT </w:instrText>
      </w:r>
      <w:r>
        <w:rPr>
          <w:rFonts w:hint="default" w:ascii="Times New Roman" w:hAnsi="Times New Roman" w:cs="Times New Roman"/>
          <w:snapToGrid w:val="0"/>
          <w:color w:val="000000"/>
          <w:spacing w:val="-16"/>
          <w:kern w:val="21"/>
          <w:szCs w:val="21"/>
        </w:rPr>
        <w:fldChar w:fldCharType="separate"/>
      </w:r>
      <w:r>
        <w:rPr>
          <w:rFonts w:hint="default" w:ascii="Times New Roman" w:hAnsi="Times New Roman" w:cs="Times New Roman"/>
          <w:szCs w:val="21"/>
        </w:rPr>
        <w:t>⑥</w:t>
      </w:r>
      <w:r>
        <w:rPr>
          <w:rFonts w:hint="default" w:ascii="Times New Roman" w:hAnsi="Times New Roman" w:cs="Times New Roman"/>
          <w:snapToGrid w:val="0"/>
          <w:color w:val="000000"/>
          <w:spacing w:val="-16"/>
          <w:kern w:val="21"/>
          <w:szCs w:val="21"/>
        </w:rPr>
        <w:fldChar w:fldCharType="end"/>
      </w:r>
      <w:r>
        <w:rPr>
          <w:rFonts w:hint="default" w:ascii="Times New Roman" w:hAnsi="Times New Roman" w:cs="Times New Roman"/>
          <w:snapToGrid w:val="0"/>
          <w:color w:val="000000"/>
          <w:spacing w:val="-16"/>
          <w:kern w:val="21"/>
          <w:szCs w:val="21"/>
        </w:rPr>
        <w:t>-</w:t>
      </w:r>
      <w:r>
        <w:rPr>
          <w:rFonts w:hint="default" w:ascii="Times New Roman" w:hAnsi="Times New Roman" w:cs="Times New Roman"/>
          <w:snapToGrid w:val="0"/>
          <w:color w:val="000000"/>
          <w:spacing w:val="-6"/>
          <w:kern w:val="21"/>
          <w:szCs w:val="21"/>
        </w:rPr>
        <w:fldChar w:fldCharType="begin"/>
      </w:r>
      <w:r>
        <w:rPr>
          <w:rFonts w:hint="default" w:ascii="Times New Roman" w:hAnsi="Times New Roman" w:cs="Times New Roman"/>
          <w:snapToGrid w:val="0"/>
          <w:color w:val="000000"/>
          <w:spacing w:val="-6"/>
          <w:kern w:val="21"/>
          <w:szCs w:val="21"/>
        </w:rPr>
        <w:instrText xml:space="preserve"> = 1 \* GB3 \* MERGEFORMAT </w:instrText>
      </w:r>
      <w:r>
        <w:rPr>
          <w:rFonts w:hint="default" w:ascii="Times New Roman" w:hAnsi="Times New Roman" w:cs="Times New Roman"/>
          <w:snapToGrid w:val="0"/>
          <w:color w:val="000000"/>
          <w:spacing w:val="-6"/>
          <w:kern w:val="21"/>
          <w:szCs w:val="21"/>
        </w:rPr>
        <w:fldChar w:fldCharType="separate"/>
      </w:r>
      <w:r>
        <w:rPr>
          <w:rFonts w:hint="default" w:ascii="Times New Roman" w:hAnsi="Times New Roman" w:cs="Times New Roman"/>
          <w:szCs w:val="21"/>
        </w:rPr>
        <w:t>①</w:t>
      </w:r>
      <w:r>
        <w:rPr>
          <w:rFonts w:hint="default" w:ascii="Times New Roman" w:hAnsi="Times New Roman" w:cs="Times New Roman"/>
          <w:snapToGrid w:val="0"/>
          <w:color w:val="000000"/>
          <w:spacing w:val="-6"/>
          <w:kern w:val="21"/>
          <w:szCs w:val="21"/>
        </w:rPr>
        <w:fldChar w:fldCharType="end"/>
      </w:r>
    </w:p>
    <w:p w14:paraId="1776614C">
      <w:pPr>
        <w:rPr>
          <w:rFonts w:hint="default" w:ascii="Times New Roman" w:hAnsi="Times New Roman" w:cs="Times New Roman"/>
        </w:rPr>
      </w:pPr>
    </w:p>
    <w:p w14:paraId="45A394DC">
      <w:pPr>
        <w:rPr>
          <w:rFonts w:hint="default" w:ascii="Times New Roman" w:hAnsi="Times New Roman" w:cs="Times New Roman"/>
        </w:rPr>
        <w:sectPr>
          <w:footerReference r:id="rId12" w:type="default"/>
          <w:pgSz w:w="16838" w:h="11906" w:orient="landscape"/>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0EE0CBE7">
      <w:pPr>
        <w:pStyle w:val="2"/>
        <w:bidi w:val="0"/>
        <w:rPr>
          <w:rFonts w:hint="default" w:ascii="Times New Roman" w:hAnsi="Times New Roman" w:cs="Times New Roman"/>
          <w:lang w:val="en-US" w:eastAsia="zh-CN"/>
        </w:rPr>
      </w:pPr>
      <w:r>
        <w:rPr>
          <w:rFonts w:hint="default" w:ascii="Times New Roman" w:hAnsi="Times New Roman" w:cs="Times New Roman"/>
          <w:lang w:val="en-US" w:eastAsia="zh-CN"/>
        </w:rPr>
        <w:t>附件1委托书</w:t>
      </w:r>
    </w:p>
    <w:p w14:paraId="0001187C">
      <w:pPr>
        <w:jc w:val="center"/>
        <w:rPr>
          <w:rFonts w:hint="default" w:ascii="Times New Roman" w:hAnsi="Times New Roman" w:eastAsia="宋体" w:cs="Times New Roman"/>
          <w:b/>
          <w:color w:val="000000"/>
          <w:sz w:val="48"/>
          <w:szCs w:val="48"/>
        </w:rPr>
      </w:pPr>
    </w:p>
    <w:p w14:paraId="3D01EC0A">
      <w:pPr>
        <w:jc w:val="center"/>
        <w:rPr>
          <w:rFonts w:hint="default" w:ascii="Times New Roman" w:hAnsi="Times New Roman" w:eastAsia="宋体" w:cs="Times New Roman"/>
          <w:b/>
          <w:color w:val="000000"/>
          <w:sz w:val="48"/>
          <w:szCs w:val="48"/>
        </w:rPr>
      </w:pPr>
    </w:p>
    <w:p w14:paraId="19204265">
      <w:pPr>
        <w:jc w:val="center"/>
        <w:rPr>
          <w:rFonts w:hint="default" w:ascii="Times New Roman" w:hAnsi="Times New Roman" w:eastAsia="宋体" w:cs="Times New Roman"/>
          <w:b/>
          <w:color w:val="000000"/>
        </w:rPr>
      </w:pPr>
      <w:r>
        <w:rPr>
          <w:rFonts w:hint="default" w:ascii="Times New Roman" w:hAnsi="Times New Roman" w:eastAsia="宋体" w:cs="Times New Roman"/>
          <w:b/>
          <w:color w:val="000000"/>
          <w:sz w:val="48"/>
          <w:szCs w:val="48"/>
        </w:rPr>
        <w:t>委托书</w:t>
      </w:r>
    </w:p>
    <w:p w14:paraId="7F8ADCF8">
      <w:pPr>
        <w:ind w:firstLine="600" w:firstLineChars="200"/>
        <w:rPr>
          <w:rFonts w:hint="default" w:ascii="Times New Roman" w:hAnsi="Times New Roman" w:eastAsia="宋体" w:cs="Times New Roman"/>
          <w:color w:val="000000"/>
          <w:sz w:val="30"/>
          <w:szCs w:val="30"/>
          <w:lang w:val="zh-CN"/>
        </w:rPr>
      </w:pPr>
    </w:p>
    <w:p w14:paraId="484EE563">
      <w:pPr>
        <w:spacing w:line="360" w:lineRule="auto"/>
        <w:ind w:left="72" w:leftChars="30" w:right="-382" w:rightChars="-159" w:firstLine="600" w:firstLineChars="200"/>
        <w:rPr>
          <w:rFonts w:hint="default" w:ascii="Times New Roman" w:hAnsi="Times New Roman" w:eastAsia="宋体" w:cs="Times New Roman"/>
          <w:color w:val="000000"/>
          <w:sz w:val="30"/>
          <w:szCs w:val="30"/>
          <w:highlight w:val="green"/>
          <w:lang w:val="en-US" w:eastAsia="zh-CN"/>
        </w:rPr>
      </w:pPr>
    </w:p>
    <w:p w14:paraId="057B14D1">
      <w:pPr>
        <w:spacing w:line="360" w:lineRule="auto"/>
        <w:ind w:left="0" w:leftChars="0" w:right="-382" w:rightChars="-159" w:firstLine="0" w:firstLineChars="0"/>
        <w:rPr>
          <w:rFonts w:hint="default" w:ascii="Times New Roman" w:hAnsi="Times New Roman" w:eastAsia="宋体" w:cs="Times New Roman"/>
          <w:color w:val="000000"/>
          <w:sz w:val="30"/>
          <w:szCs w:val="30"/>
          <w:highlight w:val="none"/>
          <w:lang w:val="en-US" w:eastAsia="zh-CN"/>
        </w:rPr>
      </w:pPr>
      <w:r>
        <w:rPr>
          <w:rFonts w:hint="default" w:ascii="Times New Roman" w:hAnsi="Times New Roman" w:cs="Times New Roman"/>
          <w:color w:val="000000"/>
          <w:sz w:val="30"/>
          <w:szCs w:val="30"/>
          <w:highlight w:val="none"/>
          <w:lang w:val="en-US" w:eastAsia="zh-CN"/>
        </w:rPr>
        <w:t>鄂尔多斯市奇胜安环科技有限公司</w:t>
      </w:r>
      <w:r>
        <w:rPr>
          <w:rFonts w:hint="default" w:ascii="Times New Roman" w:hAnsi="Times New Roman" w:eastAsia="宋体" w:cs="Times New Roman"/>
          <w:color w:val="000000"/>
          <w:sz w:val="30"/>
          <w:szCs w:val="30"/>
          <w:highlight w:val="none"/>
          <w:lang w:val="en-US" w:eastAsia="zh-CN"/>
        </w:rPr>
        <w:t>：</w:t>
      </w:r>
    </w:p>
    <w:p w14:paraId="69952427">
      <w:pPr>
        <w:pStyle w:val="3"/>
        <w:rPr>
          <w:rFonts w:hint="default" w:ascii="Times New Roman" w:hAnsi="Times New Roman" w:eastAsia="宋体" w:cs="Times New Roman"/>
          <w:color w:val="000000"/>
          <w:sz w:val="30"/>
          <w:szCs w:val="30"/>
          <w:lang w:val="en-US" w:eastAsia="zh-CN"/>
        </w:rPr>
      </w:pPr>
    </w:p>
    <w:p w14:paraId="235290E2">
      <w:pPr>
        <w:pStyle w:val="4"/>
        <w:rPr>
          <w:rFonts w:hint="default" w:ascii="Times New Roman" w:hAnsi="Times New Roman" w:eastAsia="宋体" w:cs="Times New Roman"/>
          <w:color w:val="000000"/>
          <w:sz w:val="30"/>
          <w:szCs w:val="30"/>
          <w:lang w:val="en-US" w:eastAsia="zh-CN"/>
        </w:rPr>
      </w:pPr>
    </w:p>
    <w:p w14:paraId="442CB6C7">
      <w:pPr>
        <w:rPr>
          <w:rFonts w:hint="default" w:ascii="Times New Roman" w:hAnsi="Times New Roman" w:cs="Times New Roman"/>
          <w:lang w:val="en-US" w:eastAsia="zh-CN"/>
        </w:rPr>
      </w:pPr>
    </w:p>
    <w:p w14:paraId="499CFC72">
      <w:pPr>
        <w:spacing w:line="360" w:lineRule="auto"/>
        <w:ind w:left="72" w:leftChars="30" w:right="-382" w:rightChars="-159" w:firstLine="600" w:firstLineChars="200"/>
        <w:rPr>
          <w:rFonts w:hint="default" w:ascii="Times New Roman" w:hAnsi="Times New Roman" w:eastAsia="宋体" w:cs="Times New Roman"/>
          <w:color w:val="000000"/>
          <w:sz w:val="30"/>
          <w:szCs w:val="30"/>
        </w:rPr>
      </w:pPr>
      <w:r>
        <w:rPr>
          <w:rFonts w:hint="default" w:ascii="Times New Roman" w:hAnsi="Times New Roman" w:eastAsia="宋体" w:cs="Times New Roman"/>
          <w:color w:val="000000"/>
          <w:sz w:val="30"/>
          <w:szCs w:val="30"/>
        </w:rPr>
        <w:t>根据《中华人民共和国环境保护法</w:t>
      </w:r>
      <w:bookmarkStart w:id="7" w:name="_GoBack"/>
      <w:r>
        <w:rPr>
          <w:rFonts w:hint="eastAsia" w:cs="Times New Roman"/>
          <w:color w:val="000000"/>
          <w:sz w:val="30"/>
          <w:szCs w:val="30"/>
          <w:lang w:eastAsia="zh-CN"/>
        </w:rPr>
        <w:t>》《</w:t>
      </w:r>
      <w:bookmarkEnd w:id="7"/>
      <w:r>
        <w:rPr>
          <w:rFonts w:hint="default" w:ascii="Times New Roman" w:hAnsi="Times New Roman" w:eastAsia="宋体" w:cs="Times New Roman"/>
          <w:color w:val="000000"/>
          <w:sz w:val="30"/>
          <w:szCs w:val="30"/>
        </w:rPr>
        <w:t>中华人民共和国环境影响评价法》和国务院《建设项目环境保护管理条例》等有关规定，现委托</w:t>
      </w:r>
      <w:r>
        <w:rPr>
          <w:rFonts w:hint="default" w:ascii="Times New Roman" w:hAnsi="Times New Roman" w:cs="Times New Roman"/>
          <w:color w:val="000000"/>
          <w:sz w:val="30"/>
          <w:szCs w:val="30"/>
          <w:lang w:val="en-US" w:eastAsia="zh-CN"/>
        </w:rPr>
        <w:t>鄂尔多斯市奇胜安环科技有限公司</w:t>
      </w:r>
      <w:r>
        <w:rPr>
          <w:rFonts w:hint="default" w:ascii="Times New Roman" w:hAnsi="Times New Roman" w:eastAsia="宋体" w:cs="Times New Roman"/>
          <w:color w:val="000000"/>
          <w:sz w:val="30"/>
          <w:szCs w:val="30"/>
        </w:rPr>
        <w:t>进行该建设项目的环境影响评价工作。请</w:t>
      </w:r>
      <w:r>
        <w:rPr>
          <w:rFonts w:hint="default" w:ascii="Times New Roman" w:hAnsi="Times New Roman" w:cs="Times New Roman"/>
          <w:color w:val="000000"/>
          <w:sz w:val="30"/>
          <w:szCs w:val="30"/>
          <w:lang w:eastAsia="zh-CN"/>
        </w:rPr>
        <w:t>鄂尔多斯市奇胜安环科技有限公司</w:t>
      </w:r>
      <w:r>
        <w:rPr>
          <w:rFonts w:hint="default" w:ascii="Times New Roman" w:hAnsi="Times New Roman" w:eastAsia="宋体" w:cs="Times New Roman"/>
          <w:color w:val="000000"/>
          <w:sz w:val="30"/>
          <w:szCs w:val="30"/>
        </w:rPr>
        <w:t>按照建设项目环境影响评价有关技术规范的要求尽快开展工作。</w:t>
      </w:r>
    </w:p>
    <w:p w14:paraId="0F5352EE">
      <w:pPr>
        <w:rPr>
          <w:rFonts w:hint="default" w:ascii="Times New Roman" w:hAnsi="Times New Roman" w:eastAsia="宋体" w:cs="Times New Roman"/>
          <w:color w:val="000000"/>
          <w:sz w:val="30"/>
          <w:szCs w:val="30"/>
        </w:rPr>
      </w:pPr>
    </w:p>
    <w:p w14:paraId="670E940D">
      <w:pPr>
        <w:spacing w:line="360" w:lineRule="auto"/>
        <w:ind w:left="72" w:leftChars="30" w:right="-382" w:rightChars="-159" w:firstLine="600" w:firstLineChars="200"/>
        <w:rPr>
          <w:rFonts w:hint="default" w:ascii="Times New Roman" w:hAnsi="Times New Roman" w:eastAsia="宋体" w:cs="Times New Roman"/>
          <w:color w:val="000000"/>
          <w:sz w:val="30"/>
          <w:szCs w:val="30"/>
          <w:lang w:val="zh-CN"/>
        </w:rPr>
      </w:pPr>
    </w:p>
    <w:p w14:paraId="3895268D">
      <w:pPr>
        <w:spacing w:line="480" w:lineRule="auto"/>
        <w:ind w:right="1410"/>
        <w:jc w:val="right"/>
        <w:rPr>
          <w:rFonts w:hint="default" w:ascii="Times New Roman" w:hAnsi="Times New Roman" w:eastAsia="宋体" w:cs="Times New Roman"/>
          <w:color w:val="000000"/>
          <w:sz w:val="30"/>
          <w:szCs w:val="30"/>
        </w:rPr>
      </w:pPr>
    </w:p>
    <w:p w14:paraId="220019FE">
      <w:pPr>
        <w:spacing w:line="480" w:lineRule="auto"/>
        <w:ind w:right="1410"/>
        <w:jc w:val="right"/>
        <w:rPr>
          <w:rFonts w:hint="default" w:ascii="Times New Roman" w:hAnsi="Times New Roman" w:eastAsia="宋体" w:cs="Times New Roman"/>
          <w:color w:val="000000"/>
          <w:sz w:val="30"/>
          <w:szCs w:val="30"/>
        </w:rPr>
      </w:pPr>
    </w:p>
    <w:p w14:paraId="78B39444">
      <w:pPr>
        <w:pStyle w:val="4"/>
        <w:ind w:left="0" w:leftChars="0" w:firstLine="0" w:firstLineChars="0"/>
        <w:rPr>
          <w:rFonts w:hint="default"/>
          <w:lang w:val="en-US" w:eastAsia="zh-CN"/>
        </w:rPr>
      </w:pPr>
    </w:p>
    <w:p w14:paraId="387B2B35">
      <w:pPr>
        <w:keepNext w:val="0"/>
        <w:keepLines w:val="0"/>
        <w:pageBreakBefore w:val="0"/>
        <w:widowControl w:val="0"/>
        <w:kinsoku/>
        <w:wordWrap/>
        <w:overflowPunct/>
        <w:topLinePunct w:val="0"/>
        <w:autoSpaceDE/>
        <w:autoSpaceDN/>
        <w:bidi w:val="0"/>
        <w:adjustRightInd/>
        <w:snapToGrid/>
        <w:spacing w:line="480" w:lineRule="auto"/>
        <w:ind w:right="0"/>
        <w:jc w:val="right"/>
        <w:textAlignment w:val="auto"/>
        <w:rPr>
          <w:rFonts w:hint="default" w:ascii="Times New Roman" w:hAnsi="Times New Roman" w:eastAsia="宋体" w:cs="Times New Roman"/>
          <w:color w:val="000000"/>
          <w:sz w:val="30"/>
          <w:szCs w:val="30"/>
          <w:highlight w:val="none"/>
          <w:lang w:val="en-US" w:eastAsia="zh-CN"/>
        </w:rPr>
      </w:pPr>
      <w:r>
        <w:rPr>
          <w:rFonts w:hint="default" w:ascii="Times New Roman" w:hAnsi="Times New Roman" w:eastAsia="宋体" w:cs="Times New Roman"/>
          <w:color w:val="000000"/>
          <w:sz w:val="30"/>
          <w:szCs w:val="30"/>
          <w:highlight w:val="none"/>
          <w:lang w:val="en-US" w:eastAsia="zh-CN"/>
        </w:rPr>
        <w:t>鄂尔多斯市鄂苏工业园区市政工程建设有限责任公司</w:t>
      </w:r>
    </w:p>
    <w:p w14:paraId="3F92D74F">
      <w:pPr>
        <w:keepNext w:val="0"/>
        <w:keepLines w:val="0"/>
        <w:pageBreakBefore w:val="0"/>
        <w:widowControl w:val="0"/>
        <w:kinsoku/>
        <w:wordWrap/>
        <w:overflowPunct/>
        <w:topLinePunct w:val="0"/>
        <w:autoSpaceDE/>
        <w:autoSpaceDN/>
        <w:bidi w:val="0"/>
        <w:adjustRightInd/>
        <w:snapToGrid/>
        <w:spacing w:line="480" w:lineRule="auto"/>
        <w:ind w:right="0"/>
        <w:jc w:val="right"/>
        <w:textAlignment w:val="auto"/>
        <w:rPr>
          <w:rFonts w:hint="default" w:ascii="Times New Roman" w:hAnsi="Times New Roman" w:eastAsia="宋体" w:cs="Times New Roman"/>
          <w:color w:val="000000"/>
          <w:sz w:val="30"/>
          <w:szCs w:val="30"/>
          <w:highlight w:val="none"/>
        </w:rPr>
      </w:pPr>
      <w:r>
        <w:rPr>
          <w:rFonts w:hint="default" w:ascii="Times New Roman" w:hAnsi="Times New Roman" w:eastAsia="宋体" w:cs="Times New Roman"/>
          <w:color w:val="000000"/>
          <w:sz w:val="30"/>
          <w:szCs w:val="30"/>
          <w:highlight w:val="none"/>
        </w:rPr>
        <w:t>20</w:t>
      </w:r>
      <w:r>
        <w:rPr>
          <w:rFonts w:hint="default" w:ascii="Times New Roman" w:hAnsi="Times New Roman" w:eastAsia="宋体" w:cs="Times New Roman"/>
          <w:color w:val="000000"/>
          <w:sz w:val="30"/>
          <w:szCs w:val="30"/>
          <w:highlight w:val="none"/>
          <w:lang w:val="en-US" w:eastAsia="zh-CN"/>
        </w:rPr>
        <w:t>2</w:t>
      </w:r>
      <w:r>
        <w:rPr>
          <w:rFonts w:hint="eastAsia" w:ascii="Times New Roman" w:hAnsi="Times New Roman" w:eastAsia="宋体" w:cs="Times New Roman"/>
          <w:color w:val="000000"/>
          <w:sz w:val="30"/>
          <w:szCs w:val="30"/>
          <w:highlight w:val="none"/>
          <w:lang w:val="en-US" w:eastAsia="zh-CN"/>
        </w:rPr>
        <w:t>5</w:t>
      </w:r>
      <w:r>
        <w:rPr>
          <w:rFonts w:hint="default" w:ascii="Times New Roman" w:hAnsi="Times New Roman" w:eastAsia="宋体" w:cs="Times New Roman"/>
          <w:color w:val="000000"/>
          <w:sz w:val="30"/>
          <w:szCs w:val="30"/>
          <w:highlight w:val="none"/>
        </w:rPr>
        <w:t>年</w:t>
      </w:r>
      <w:r>
        <w:rPr>
          <w:rFonts w:hint="eastAsia" w:cs="Times New Roman"/>
          <w:color w:val="000000"/>
          <w:sz w:val="30"/>
          <w:szCs w:val="30"/>
          <w:highlight w:val="none"/>
          <w:lang w:val="en-US" w:eastAsia="zh-CN"/>
        </w:rPr>
        <w:t>10</w:t>
      </w:r>
      <w:r>
        <w:rPr>
          <w:rFonts w:hint="default" w:ascii="Times New Roman" w:hAnsi="Times New Roman" w:eastAsia="宋体" w:cs="Times New Roman"/>
          <w:color w:val="000000"/>
          <w:sz w:val="30"/>
          <w:szCs w:val="30"/>
          <w:highlight w:val="none"/>
        </w:rPr>
        <w:t>月</w:t>
      </w:r>
    </w:p>
    <w:p w14:paraId="560ADF41">
      <w:pPr>
        <w:rPr>
          <w:rFonts w:hint="default" w:ascii="Times New Roman" w:hAnsi="Times New Roman" w:eastAsia="黑体" w:cs="Times New Roman"/>
          <w:lang w:val="en-US" w:eastAsia="zh-CN"/>
        </w:rPr>
      </w:pPr>
    </w:p>
    <w:p w14:paraId="4A2E6664">
      <w:pPr>
        <w:pStyle w:val="2"/>
        <w:bidi w:val="0"/>
        <w:rPr>
          <w:rFonts w:hint="default" w:ascii="Times New Roman" w:hAnsi="Times New Roman" w:cs="Times New Roman"/>
          <w:lang w:val="en-US" w:eastAsia="zh-CN"/>
        </w:rPr>
      </w:pPr>
      <w:r>
        <w:rPr>
          <w:rFonts w:hint="default" w:ascii="Times New Roman" w:hAnsi="Times New Roman" w:cs="Times New Roman"/>
          <w:lang w:val="en-US" w:eastAsia="zh-CN"/>
        </w:rPr>
        <w:t>附件2备案文件</w:t>
      </w:r>
    </w:p>
    <w:p w14:paraId="747978E3">
      <w:pPr>
        <w:ind w:left="0" w:leftChars="0" w:firstLine="0" w:firstLineChars="0"/>
        <w:rPr>
          <w:rFonts w:hint="default" w:ascii="Times New Roman" w:hAnsi="Times New Roman" w:cs="Times New Roman"/>
        </w:rPr>
      </w:pPr>
      <w:r>
        <w:rPr>
          <w:rFonts w:hint="default" w:ascii="Times New Roman" w:hAnsi="Times New Roman" w:cs="Times New Roman"/>
        </w:rPr>
        <w:drawing>
          <wp:inline distT="0" distB="0" distL="114300" distR="114300">
            <wp:extent cx="5495925" cy="8076565"/>
            <wp:effectExtent l="0" t="0" r="9525" b="635"/>
            <wp:docPr id="1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6"/>
                    <pic:cNvPicPr>
                      <a:picLocks noChangeAspect="1"/>
                    </pic:cNvPicPr>
                  </pic:nvPicPr>
                  <pic:blipFill>
                    <a:blip r:embed="rId30"/>
                    <a:stretch>
                      <a:fillRect/>
                    </a:stretch>
                  </pic:blipFill>
                  <pic:spPr>
                    <a:xfrm>
                      <a:off x="0" y="0"/>
                      <a:ext cx="5495925" cy="8076565"/>
                    </a:xfrm>
                    <a:prstGeom prst="rect">
                      <a:avLst/>
                    </a:prstGeom>
                    <a:noFill/>
                    <a:ln>
                      <a:noFill/>
                    </a:ln>
                  </pic:spPr>
                </pic:pic>
              </a:graphicData>
            </a:graphic>
          </wp:inline>
        </w:drawing>
      </w:r>
    </w:p>
    <w:p w14:paraId="762E2558">
      <w:pPr>
        <w:rPr>
          <w:rFonts w:hint="default" w:ascii="Times New Roman" w:hAnsi="Times New Roman" w:eastAsia="宋体" w:cs="Times New Roman"/>
          <w:lang w:val="en-US" w:eastAsia="zh-CN"/>
        </w:rPr>
      </w:pPr>
    </w:p>
    <w:p w14:paraId="10ED889D">
      <w:pPr>
        <w:pStyle w:val="2"/>
        <w:bidi w:val="0"/>
        <w:rPr>
          <w:rFonts w:hint="default" w:ascii="Times New Roman" w:hAnsi="Times New Roman" w:cs="Times New Roman"/>
          <w:lang w:val="en-US" w:eastAsia="zh-CN"/>
        </w:rPr>
      </w:pPr>
      <w:r>
        <w:rPr>
          <w:rFonts w:hint="default" w:ascii="Times New Roman" w:hAnsi="Times New Roman" w:cs="Times New Roman"/>
          <w:lang w:val="en-US" w:eastAsia="zh-CN"/>
        </w:rPr>
        <w:t>附件</w:t>
      </w:r>
      <w:r>
        <w:rPr>
          <w:rFonts w:hint="eastAsia" w:cs="Times New Roman"/>
          <w:lang w:val="en-US" w:eastAsia="zh-CN"/>
        </w:rPr>
        <w:t>3</w:t>
      </w:r>
      <w:r>
        <w:rPr>
          <w:rFonts w:hint="default" w:ascii="Times New Roman" w:hAnsi="Times New Roman" w:cs="Times New Roman"/>
          <w:lang w:val="en-US" w:eastAsia="zh-CN"/>
        </w:rPr>
        <w:t>供水协议</w:t>
      </w:r>
    </w:p>
    <w:p w14:paraId="43391161">
      <w:pPr>
        <w:ind w:left="0" w:leftChars="0" w:firstLine="0" w:firstLineChars="0"/>
        <w:rPr>
          <w:rFonts w:hint="default" w:ascii="Times New Roman" w:hAnsi="Times New Roman" w:cs="Times New Roman"/>
        </w:rPr>
      </w:pPr>
      <w:r>
        <w:drawing>
          <wp:inline distT="0" distB="0" distL="114300" distR="114300">
            <wp:extent cx="5238750" cy="6696075"/>
            <wp:effectExtent l="0" t="0" r="0" b="9525"/>
            <wp:docPr id="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
                    <pic:cNvPicPr>
                      <a:picLocks noChangeAspect="1"/>
                    </pic:cNvPicPr>
                  </pic:nvPicPr>
                  <pic:blipFill>
                    <a:blip r:embed="rId31"/>
                    <a:stretch>
                      <a:fillRect/>
                    </a:stretch>
                  </pic:blipFill>
                  <pic:spPr>
                    <a:xfrm>
                      <a:off x="0" y="0"/>
                      <a:ext cx="5238750" cy="6696075"/>
                    </a:xfrm>
                    <a:prstGeom prst="rect">
                      <a:avLst/>
                    </a:prstGeom>
                    <a:noFill/>
                    <a:ln>
                      <a:noFill/>
                    </a:ln>
                  </pic:spPr>
                </pic:pic>
              </a:graphicData>
            </a:graphic>
          </wp:inline>
        </w:drawing>
      </w:r>
      <w:r>
        <w:drawing>
          <wp:inline distT="0" distB="0" distL="114300" distR="114300">
            <wp:extent cx="5181600" cy="7105650"/>
            <wp:effectExtent l="0" t="0" r="0" b="0"/>
            <wp:docPr id="7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3"/>
                    <pic:cNvPicPr>
                      <a:picLocks noChangeAspect="1"/>
                    </pic:cNvPicPr>
                  </pic:nvPicPr>
                  <pic:blipFill>
                    <a:blip r:embed="rId32"/>
                    <a:stretch>
                      <a:fillRect/>
                    </a:stretch>
                  </pic:blipFill>
                  <pic:spPr>
                    <a:xfrm>
                      <a:off x="0" y="0"/>
                      <a:ext cx="5181600" cy="7105650"/>
                    </a:xfrm>
                    <a:prstGeom prst="rect">
                      <a:avLst/>
                    </a:prstGeom>
                    <a:noFill/>
                    <a:ln>
                      <a:noFill/>
                    </a:ln>
                  </pic:spPr>
                </pic:pic>
              </a:graphicData>
            </a:graphic>
          </wp:inline>
        </w:drawing>
      </w:r>
      <w:r>
        <w:drawing>
          <wp:inline distT="0" distB="0" distL="114300" distR="114300">
            <wp:extent cx="5181600" cy="6657975"/>
            <wp:effectExtent l="0" t="0" r="0" b="9525"/>
            <wp:docPr id="5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4"/>
                    <pic:cNvPicPr>
                      <a:picLocks noChangeAspect="1"/>
                    </pic:cNvPicPr>
                  </pic:nvPicPr>
                  <pic:blipFill>
                    <a:blip r:embed="rId33"/>
                    <a:stretch>
                      <a:fillRect/>
                    </a:stretch>
                  </pic:blipFill>
                  <pic:spPr>
                    <a:xfrm>
                      <a:off x="0" y="0"/>
                      <a:ext cx="5181600" cy="6657975"/>
                    </a:xfrm>
                    <a:prstGeom prst="rect">
                      <a:avLst/>
                    </a:prstGeom>
                    <a:noFill/>
                    <a:ln>
                      <a:noFill/>
                    </a:ln>
                  </pic:spPr>
                </pic:pic>
              </a:graphicData>
            </a:graphic>
          </wp:inline>
        </w:drawing>
      </w:r>
      <w:r>
        <w:drawing>
          <wp:inline distT="0" distB="0" distL="114300" distR="114300">
            <wp:extent cx="5181600" cy="6648450"/>
            <wp:effectExtent l="0" t="0" r="0" b="0"/>
            <wp:docPr id="5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
                    <pic:cNvPicPr>
                      <a:picLocks noChangeAspect="1"/>
                    </pic:cNvPicPr>
                  </pic:nvPicPr>
                  <pic:blipFill>
                    <a:blip r:embed="rId34"/>
                    <a:stretch>
                      <a:fillRect/>
                    </a:stretch>
                  </pic:blipFill>
                  <pic:spPr>
                    <a:xfrm>
                      <a:off x="0" y="0"/>
                      <a:ext cx="5181600" cy="6648450"/>
                    </a:xfrm>
                    <a:prstGeom prst="rect">
                      <a:avLst/>
                    </a:prstGeom>
                    <a:noFill/>
                    <a:ln>
                      <a:noFill/>
                    </a:ln>
                  </pic:spPr>
                </pic:pic>
              </a:graphicData>
            </a:graphic>
          </wp:inline>
        </w:drawing>
      </w:r>
      <w:r>
        <w:drawing>
          <wp:inline distT="0" distB="0" distL="114300" distR="114300">
            <wp:extent cx="5181600" cy="6696075"/>
            <wp:effectExtent l="0" t="0" r="0" b="9525"/>
            <wp:docPr id="5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6"/>
                    <pic:cNvPicPr>
                      <a:picLocks noChangeAspect="1"/>
                    </pic:cNvPicPr>
                  </pic:nvPicPr>
                  <pic:blipFill>
                    <a:blip r:embed="rId35"/>
                    <a:stretch>
                      <a:fillRect/>
                    </a:stretch>
                  </pic:blipFill>
                  <pic:spPr>
                    <a:xfrm>
                      <a:off x="0" y="0"/>
                      <a:ext cx="5181600" cy="6696075"/>
                    </a:xfrm>
                    <a:prstGeom prst="rect">
                      <a:avLst/>
                    </a:prstGeom>
                    <a:noFill/>
                    <a:ln>
                      <a:noFill/>
                    </a:ln>
                  </pic:spPr>
                </pic:pic>
              </a:graphicData>
            </a:graphic>
          </wp:inline>
        </w:drawing>
      </w:r>
      <w:r>
        <w:drawing>
          <wp:inline distT="0" distB="0" distL="114300" distR="114300">
            <wp:extent cx="5200650" cy="6657975"/>
            <wp:effectExtent l="0" t="0" r="0" b="9525"/>
            <wp:docPr id="5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7"/>
                    <pic:cNvPicPr>
                      <a:picLocks noChangeAspect="1"/>
                    </pic:cNvPicPr>
                  </pic:nvPicPr>
                  <pic:blipFill>
                    <a:blip r:embed="rId36"/>
                    <a:stretch>
                      <a:fillRect/>
                    </a:stretch>
                  </pic:blipFill>
                  <pic:spPr>
                    <a:xfrm>
                      <a:off x="0" y="0"/>
                      <a:ext cx="5200650" cy="6657975"/>
                    </a:xfrm>
                    <a:prstGeom prst="rect">
                      <a:avLst/>
                    </a:prstGeom>
                    <a:noFill/>
                    <a:ln>
                      <a:noFill/>
                    </a:ln>
                  </pic:spPr>
                </pic:pic>
              </a:graphicData>
            </a:graphic>
          </wp:inline>
        </w:drawing>
      </w:r>
      <w:r>
        <w:drawing>
          <wp:inline distT="0" distB="0" distL="114300" distR="114300">
            <wp:extent cx="5133975" cy="6629400"/>
            <wp:effectExtent l="0" t="0" r="9525" b="0"/>
            <wp:docPr id="5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8"/>
                    <pic:cNvPicPr>
                      <a:picLocks noChangeAspect="1"/>
                    </pic:cNvPicPr>
                  </pic:nvPicPr>
                  <pic:blipFill>
                    <a:blip r:embed="rId37"/>
                    <a:stretch>
                      <a:fillRect/>
                    </a:stretch>
                  </pic:blipFill>
                  <pic:spPr>
                    <a:xfrm>
                      <a:off x="0" y="0"/>
                      <a:ext cx="5133975" cy="6629400"/>
                    </a:xfrm>
                    <a:prstGeom prst="rect">
                      <a:avLst/>
                    </a:prstGeom>
                    <a:noFill/>
                    <a:ln>
                      <a:noFill/>
                    </a:ln>
                  </pic:spPr>
                </pic:pic>
              </a:graphicData>
            </a:graphic>
          </wp:inline>
        </w:drawing>
      </w:r>
    </w:p>
    <w:p w14:paraId="425CD129">
      <w:pPr>
        <w:rPr>
          <w:rFonts w:hint="default" w:ascii="Times New Roman" w:hAnsi="Times New Roman" w:cs="Times New Roman"/>
        </w:rPr>
      </w:pPr>
    </w:p>
    <w:p w14:paraId="27323BDF">
      <w:pPr>
        <w:rPr>
          <w:rFonts w:hint="default" w:ascii="Times New Roman" w:hAnsi="Times New Roman" w:cs="Times New Roman"/>
        </w:rPr>
      </w:pPr>
    </w:p>
    <w:p w14:paraId="6B4F9D8E">
      <w:pPr>
        <w:rPr>
          <w:rFonts w:hint="default" w:ascii="Times New Roman" w:hAnsi="Times New Roman" w:cs="Times New Roman"/>
        </w:rPr>
      </w:pPr>
    </w:p>
    <w:p w14:paraId="7009B890">
      <w:pPr>
        <w:rPr>
          <w:rFonts w:hint="default" w:ascii="Times New Roman" w:hAnsi="Times New Roman" w:cs="Times New Roman"/>
        </w:rPr>
      </w:pPr>
    </w:p>
    <w:p w14:paraId="5F5BECCA">
      <w:pPr>
        <w:rPr>
          <w:rFonts w:hint="default" w:ascii="Times New Roman" w:hAnsi="Times New Roman" w:cs="Times New Roman"/>
        </w:rPr>
      </w:pPr>
    </w:p>
    <w:p w14:paraId="1D0AA821">
      <w:pPr>
        <w:pStyle w:val="23"/>
        <w:rPr>
          <w:rFonts w:hint="default" w:ascii="Times New Roman" w:hAnsi="Times New Roman" w:cs="Times New Roman"/>
        </w:rPr>
      </w:pPr>
    </w:p>
    <w:p w14:paraId="20D5D1AE">
      <w:pPr>
        <w:pStyle w:val="23"/>
        <w:rPr>
          <w:rFonts w:hint="default" w:ascii="Times New Roman" w:hAnsi="Times New Roman" w:cs="Times New Roman"/>
        </w:rPr>
      </w:pPr>
    </w:p>
    <w:p w14:paraId="3FDF24C4">
      <w:pPr>
        <w:pStyle w:val="23"/>
        <w:rPr>
          <w:rFonts w:hint="default" w:ascii="Times New Roman" w:hAnsi="Times New Roman" w:cs="Times New Roman"/>
        </w:rPr>
      </w:pPr>
    </w:p>
    <w:p w14:paraId="1584971E">
      <w:pPr>
        <w:pStyle w:val="2"/>
        <w:bidi w:val="0"/>
        <w:rPr>
          <w:rFonts w:hint="eastAsia"/>
          <w:lang w:val="en-US" w:eastAsia="zh-CN"/>
        </w:rPr>
      </w:pPr>
      <w:r>
        <w:rPr>
          <w:rFonts w:hint="eastAsia"/>
          <w:lang w:val="en-US" w:eastAsia="zh-CN"/>
        </w:rPr>
        <w:t>附件4废水处理合同</w:t>
      </w:r>
    </w:p>
    <w:p w14:paraId="14B36FD7">
      <w:pPr>
        <w:ind w:left="0" w:leftChars="0" w:firstLine="0" w:firstLineChars="0"/>
        <w:rPr>
          <w:rFonts w:hint="default"/>
          <w:lang w:val="en-US" w:eastAsia="zh-CN"/>
        </w:rPr>
      </w:pPr>
      <w:r>
        <w:drawing>
          <wp:inline distT="0" distB="0" distL="114300" distR="114300">
            <wp:extent cx="5274310" cy="7446010"/>
            <wp:effectExtent l="0" t="0" r="2540" b="2540"/>
            <wp:docPr id="5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9"/>
                    <pic:cNvPicPr>
                      <a:picLocks noChangeAspect="1"/>
                    </pic:cNvPicPr>
                  </pic:nvPicPr>
                  <pic:blipFill>
                    <a:blip r:embed="rId38"/>
                    <a:stretch>
                      <a:fillRect/>
                    </a:stretch>
                  </pic:blipFill>
                  <pic:spPr>
                    <a:xfrm>
                      <a:off x="0" y="0"/>
                      <a:ext cx="5274310" cy="7446010"/>
                    </a:xfrm>
                    <a:prstGeom prst="rect">
                      <a:avLst/>
                    </a:prstGeom>
                    <a:noFill/>
                    <a:ln>
                      <a:noFill/>
                    </a:ln>
                  </pic:spPr>
                </pic:pic>
              </a:graphicData>
            </a:graphic>
          </wp:inline>
        </w:drawing>
      </w:r>
      <w:r>
        <w:drawing>
          <wp:inline distT="0" distB="0" distL="114300" distR="114300">
            <wp:extent cx="5274310" cy="7527925"/>
            <wp:effectExtent l="0" t="0" r="2540" b="15875"/>
            <wp:docPr id="5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0"/>
                    <pic:cNvPicPr>
                      <a:picLocks noChangeAspect="1"/>
                    </pic:cNvPicPr>
                  </pic:nvPicPr>
                  <pic:blipFill>
                    <a:blip r:embed="rId39"/>
                    <a:stretch>
                      <a:fillRect/>
                    </a:stretch>
                  </pic:blipFill>
                  <pic:spPr>
                    <a:xfrm>
                      <a:off x="0" y="0"/>
                      <a:ext cx="5274310" cy="7527925"/>
                    </a:xfrm>
                    <a:prstGeom prst="rect">
                      <a:avLst/>
                    </a:prstGeom>
                    <a:noFill/>
                    <a:ln>
                      <a:noFill/>
                    </a:ln>
                  </pic:spPr>
                </pic:pic>
              </a:graphicData>
            </a:graphic>
          </wp:inline>
        </w:drawing>
      </w:r>
      <w:r>
        <w:drawing>
          <wp:inline distT="0" distB="0" distL="114300" distR="114300">
            <wp:extent cx="5270500" cy="7469505"/>
            <wp:effectExtent l="0" t="0" r="6350" b="17145"/>
            <wp:docPr id="6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1"/>
                    <pic:cNvPicPr>
                      <a:picLocks noChangeAspect="1"/>
                    </pic:cNvPicPr>
                  </pic:nvPicPr>
                  <pic:blipFill>
                    <a:blip r:embed="rId40"/>
                    <a:stretch>
                      <a:fillRect/>
                    </a:stretch>
                  </pic:blipFill>
                  <pic:spPr>
                    <a:xfrm>
                      <a:off x="0" y="0"/>
                      <a:ext cx="5270500" cy="7469505"/>
                    </a:xfrm>
                    <a:prstGeom prst="rect">
                      <a:avLst/>
                    </a:prstGeom>
                    <a:noFill/>
                    <a:ln>
                      <a:noFill/>
                    </a:ln>
                  </pic:spPr>
                </pic:pic>
              </a:graphicData>
            </a:graphic>
          </wp:inline>
        </w:drawing>
      </w:r>
      <w:r>
        <w:drawing>
          <wp:inline distT="0" distB="0" distL="114300" distR="114300">
            <wp:extent cx="5273675" cy="7443470"/>
            <wp:effectExtent l="0" t="0" r="3175" b="5080"/>
            <wp:docPr id="6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2"/>
                    <pic:cNvPicPr>
                      <a:picLocks noChangeAspect="1"/>
                    </pic:cNvPicPr>
                  </pic:nvPicPr>
                  <pic:blipFill>
                    <a:blip r:embed="rId41"/>
                    <a:stretch>
                      <a:fillRect/>
                    </a:stretch>
                  </pic:blipFill>
                  <pic:spPr>
                    <a:xfrm>
                      <a:off x="0" y="0"/>
                      <a:ext cx="5273675" cy="7443470"/>
                    </a:xfrm>
                    <a:prstGeom prst="rect">
                      <a:avLst/>
                    </a:prstGeom>
                    <a:noFill/>
                    <a:ln>
                      <a:noFill/>
                    </a:ln>
                  </pic:spPr>
                </pic:pic>
              </a:graphicData>
            </a:graphic>
          </wp:inline>
        </w:drawing>
      </w:r>
      <w:r>
        <w:drawing>
          <wp:inline distT="0" distB="0" distL="114300" distR="114300">
            <wp:extent cx="5270500" cy="7478395"/>
            <wp:effectExtent l="0" t="0" r="6350" b="8255"/>
            <wp:docPr id="6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3"/>
                    <pic:cNvPicPr>
                      <a:picLocks noChangeAspect="1"/>
                    </pic:cNvPicPr>
                  </pic:nvPicPr>
                  <pic:blipFill>
                    <a:blip r:embed="rId42"/>
                    <a:stretch>
                      <a:fillRect/>
                    </a:stretch>
                  </pic:blipFill>
                  <pic:spPr>
                    <a:xfrm>
                      <a:off x="0" y="0"/>
                      <a:ext cx="5270500" cy="7478395"/>
                    </a:xfrm>
                    <a:prstGeom prst="rect">
                      <a:avLst/>
                    </a:prstGeom>
                    <a:noFill/>
                    <a:ln>
                      <a:noFill/>
                    </a:ln>
                  </pic:spPr>
                </pic:pic>
              </a:graphicData>
            </a:graphic>
          </wp:inline>
        </w:drawing>
      </w:r>
      <w:r>
        <w:drawing>
          <wp:inline distT="0" distB="0" distL="114300" distR="114300">
            <wp:extent cx="5274310" cy="7454900"/>
            <wp:effectExtent l="0" t="0" r="2540" b="12700"/>
            <wp:docPr id="6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4"/>
                    <pic:cNvPicPr>
                      <a:picLocks noChangeAspect="1"/>
                    </pic:cNvPicPr>
                  </pic:nvPicPr>
                  <pic:blipFill>
                    <a:blip r:embed="rId43"/>
                    <a:stretch>
                      <a:fillRect/>
                    </a:stretch>
                  </pic:blipFill>
                  <pic:spPr>
                    <a:xfrm>
                      <a:off x="0" y="0"/>
                      <a:ext cx="5274310" cy="7454900"/>
                    </a:xfrm>
                    <a:prstGeom prst="rect">
                      <a:avLst/>
                    </a:prstGeom>
                    <a:noFill/>
                    <a:ln>
                      <a:noFill/>
                    </a:ln>
                  </pic:spPr>
                </pic:pic>
              </a:graphicData>
            </a:graphic>
          </wp:inline>
        </w:drawing>
      </w:r>
      <w:r>
        <w:drawing>
          <wp:inline distT="0" distB="0" distL="114300" distR="114300">
            <wp:extent cx="5272405" cy="7459980"/>
            <wp:effectExtent l="0" t="0" r="4445" b="7620"/>
            <wp:docPr id="6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5"/>
                    <pic:cNvPicPr>
                      <a:picLocks noChangeAspect="1"/>
                    </pic:cNvPicPr>
                  </pic:nvPicPr>
                  <pic:blipFill>
                    <a:blip r:embed="rId44"/>
                    <a:stretch>
                      <a:fillRect/>
                    </a:stretch>
                  </pic:blipFill>
                  <pic:spPr>
                    <a:xfrm>
                      <a:off x="0" y="0"/>
                      <a:ext cx="5272405" cy="7459980"/>
                    </a:xfrm>
                    <a:prstGeom prst="rect">
                      <a:avLst/>
                    </a:prstGeom>
                    <a:noFill/>
                    <a:ln>
                      <a:noFill/>
                    </a:ln>
                  </pic:spPr>
                </pic:pic>
              </a:graphicData>
            </a:graphic>
          </wp:inline>
        </w:drawing>
      </w:r>
      <w:r>
        <w:drawing>
          <wp:inline distT="0" distB="0" distL="114300" distR="114300">
            <wp:extent cx="5270500" cy="7444740"/>
            <wp:effectExtent l="0" t="0" r="6350" b="3810"/>
            <wp:docPr id="6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6"/>
                    <pic:cNvPicPr>
                      <a:picLocks noChangeAspect="1"/>
                    </pic:cNvPicPr>
                  </pic:nvPicPr>
                  <pic:blipFill>
                    <a:blip r:embed="rId45"/>
                    <a:stretch>
                      <a:fillRect/>
                    </a:stretch>
                  </pic:blipFill>
                  <pic:spPr>
                    <a:xfrm>
                      <a:off x="0" y="0"/>
                      <a:ext cx="5270500" cy="7444740"/>
                    </a:xfrm>
                    <a:prstGeom prst="rect">
                      <a:avLst/>
                    </a:prstGeom>
                    <a:noFill/>
                    <a:ln>
                      <a:noFill/>
                    </a:ln>
                  </pic:spPr>
                </pic:pic>
              </a:graphicData>
            </a:graphic>
          </wp:inline>
        </w:drawing>
      </w:r>
      <w:r>
        <w:drawing>
          <wp:inline distT="0" distB="0" distL="114300" distR="114300">
            <wp:extent cx="5269865" cy="7540625"/>
            <wp:effectExtent l="0" t="0" r="6985" b="3175"/>
            <wp:docPr id="6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7"/>
                    <pic:cNvPicPr>
                      <a:picLocks noChangeAspect="1"/>
                    </pic:cNvPicPr>
                  </pic:nvPicPr>
                  <pic:blipFill>
                    <a:blip r:embed="rId46"/>
                    <a:stretch>
                      <a:fillRect/>
                    </a:stretch>
                  </pic:blipFill>
                  <pic:spPr>
                    <a:xfrm>
                      <a:off x="0" y="0"/>
                      <a:ext cx="5269865" cy="7540625"/>
                    </a:xfrm>
                    <a:prstGeom prst="rect">
                      <a:avLst/>
                    </a:prstGeom>
                    <a:noFill/>
                    <a:ln>
                      <a:noFill/>
                    </a:ln>
                  </pic:spPr>
                </pic:pic>
              </a:graphicData>
            </a:graphic>
          </wp:inline>
        </w:drawing>
      </w:r>
      <w:r>
        <w:drawing>
          <wp:inline distT="0" distB="0" distL="114300" distR="114300">
            <wp:extent cx="5270500" cy="7435215"/>
            <wp:effectExtent l="0" t="0" r="6350" b="13335"/>
            <wp:docPr id="6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8"/>
                    <pic:cNvPicPr>
                      <a:picLocks noChangeAspect="1"/>
                    </pic:cNvPicPr>
                  </pic:nvPicPr>
                  <pic:blipFill>
                    <a:blip r:embed="rId47"/>
                    <a:stretch>
                      <a:fillRect/>
                    </a:stretch>
                  </pic:blipFill>
                  <pic:spPr>
                    <a:xfrm>
                      <a:off x="0" y="0"/>
                      <a:ext cx="5270500" cy="7435215"/>
                    </a:xfrm>
                    <a:prstGeom prst="rect">
                      <a:avLst/>
                    </a:prstGeom>
                    <a:noFill/>
                    <a:ln>
                      <a:noFill/>
                    </a:ln>
                  </pic:spPr>
                </pic:pic>
              </a:graphicData>
            </a:graphic>
          </wp:inline>
        </w:drawing>
      </w:r>
    </w:p>
    <w:p w14:paraId="2456014F">
      <w:pPr>
        <w:pStyle w:val="2"/>
        <w:bidi w:val="0"/>
        <w:rPr>
          <w:rFonts w:hint="eastAsia"/>
          <w:lang w:val="en-US" w:eastAsia="zh-CN"/>
        </w:rPr>
      </w:pPr>
      <w:r>
        <w:rPr>
          <w:rFonts w:hint="eastAsia"/>
          <w:lang w:val="en-US" w:eastAsia="zh-CN"/>
        </w:rPr>
        <w:t>附件5管委会同意建设的函</w:t>
      </w:r>
    </w:p>
    <w:p w14:paraId="3FFE4893">
      <w:pPr>
        <w:ind w:left="0" w:leftChars="0" w:firstLine="0" w:firstLineChars="0"/>
        <w:rPr>
          <w:rFonts w:hint="default"/>
          <w:lang w:val="en-US" w:eastAsia="zh-CN"/>
        </w:rPr>
      </w:pPr>
      <w:r>
        <w:drawing>
          <wp:inline distT="0" distB="0" distL="114300" distR="114300">
            <wp:extent cx="5048250" cy="7096125"/>
            <wp:effectExtent l="0" t="0" r="0" b="9525"/>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48"/>
                    <a:stretch>
                      <a:fillRect/>
                    </a:stretch>
                  </pic:blipFill>
                  <pic:spPr>
                    <a:xfrm>
                      <a:off x="0" y="0"/>
                      <a:ext cx="5048250" cy="7096125"/>
                    </a:xfrm>
                    <a:prstGeom prst="rect">
                      <a:avLst/>
                    </a:prstGeom>
                    <a:noFill/>
                    <a:ln>
                      <a:noFill/>
                    </a:ln>
                  </pic:spPr>
                </pic:pic>
              </a:graphicData>
            </a:graphic>
          </wp:inline>
        </w:drawing>
      </w:r>
      <w:r>
        <w:drawing>
          <wp:inline distT="0" distB="0" distL="114300" distR="114300">
            <wp:extent cx="5105400" cy="7105650"/>
            <wp:effectExtent l="0" t="0" r="0" b="0"/>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49"/>
                    <a:stretch>
                      <a:fillRect/>
                    </a:stretch>
                  </pic:blipFill>
                  <pic:spPr>
                    <a:xfrm>
                      <a:off x="0" y="0"/>
                      <a:ext cx="5105400" cy="7105650"/>
                    </a:xfrm>
                    <a:prstGeom prst="rect">
                      <a:avLst/>
                    </a:prstGeom>
                    <a:noFill/>
                    <a:ln>
                      <a:noFill/>
                    </a:ln>
                  </pic:spPr>
                </pic:pic>
              </a:graphicData>
            </a:graphic>
          </wp:inline>
        </w:drawing>
      </w:r>
    </w:p>
    <w:p w14:paraId="02447A72">
      <w:pPr>
        <w:ind w:left="0" w:leftChars="0" w:firstLine="0" w:firstLineChars="0"/>
        <w:rPr>
          <w:rFonts w:hint="default" w:ascii="Times New Roman" w:hAnsi="Times New Roman" w:cs="Times New Roman"/>
        </w:rPr>
      </w:pPr>
    </w:p>
    <w:p w14:paraId="4ED33C5D">
      <w:pPr>
        <w:ind w:left="0" w:leftChars="0" w:firstLine="0" w:firstLineChars="0"/>
        <w:rPr>
          <w:rFonts w:hint="default" w:ascii="Times New Roman" w:hAnsi="Times New Roman" w:cs="Times New Roman"/>
        </w:rPr>
      </w:pPr>
    </w:p>
    <w:p w14:paraId="036E423D">
      <w:pPr>
        <w:ind w:left="0" w:leftChars="0" w:firstLine="0" w:firstLineChars="0"/>
        <w:rPr>
          <w:rFonts w:hint="default" w:ascii="Times New Roman" w:hAnsi="Times New Roman" w:cs="Times New Roman"/>
        </w:rPr>
      </w:pPr>
    </w:p>
    <w:p w14:paraId="125A640A">
      <w:pPr>
        <w:ind w:left="0" w:leftChars="0" w:firstLine="0" w:firstLineChars="0"/>
        <w:rPr>
          <w:rFonts w:hint="default" w:ascii="Times New Roman" w:hAnsi="Times New Roman" w:cs="Times New Roman"/>
        </w:rPr>
      </w:pPr>
    </w:p>
    <w:p w14:paraId="574CE2F6">
      <w:pPr>
        <w:ind w:left="0" w:leftChars="0" w:firstLine="0" w:firstLineChars="0"/>
        <w:rPr>
          <w:rFonts w:hint="default" w:ascii="Times New Roman" w:hAnsi="Times New Roman" w:cs="Times New Roman"/>
        </w:rPr>
      </w:pPr>
    </w:p>
    <w:p w14:paraId="56CEC67E">
      <w:pPr>
        <w:ind w:left="0" w:leftChars="0" w:firstLine="0" w:firstLineChars="0"/>
        <w:rPr>
          <w:rFonts w:hint="default" w:ascii="Times New Roman" w:hAnsi="Times New Roman" w:cs="Times New Roman"/>
        </w:rPr>
      </w:pPr>
    </w:p>
    <w:p w14:paraId="112C897E">
      <w:pPr>
        <w:pStyle w:val="2"/>
        <w:bidi w:val="0"/>
        <w:rPr>
          <w:rFonts w:hint="eastAsia"/>
          <w:lang w:val="en-US" w:eastAsia="zh-CN"/>
        </w:rPr>
      </w:pPr>
      <w:r>
        <w:rPr>
          <w:rFonts w:hint="eastAsia"/>
          <w:lang w:val="en-US" w:eastAsia="zh-CN"/>
        </w:rPr>
        <w:t>附件6租赁合同</w:t>
      </w:r>
    </w:p>
    <w:p w14:paraId="7A17E2A7">
      <w:pPr>
        <w:ind w:left="0" w:leftChars="0" w:firstLine="0" w:firstLineChars="0"/>
        <w:rPr>
          <w:rFonts w:hint="default"/>
          <w:lang w:val="en-US" w:eastAsia="zh-CN"/>
        </w:rPr>
      </w:pPr>
      <w:r>
        <w:drawing>
          <wp:inline distT="0" distB="0" distL="114300" distR="114300">
            <wp:extent cx="5269865" cy="7412355"/>
            <wp:effectExtent l="0" t="0" r="6985" b="17145"/>
            <wp:docPr id="7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5"/>
                    <pic:cNvPicPr>
                      <a:picLocks noChangeAspect="1"/>
                    </pic:cNvPicPr>
                  </pic:nvPicPr>
                  <pic:blipFill>
                    <a:blip r:embed="rId50"/>
                    <a:stretch>
                      <a:fillRect/>
                    </a:stretch>
                  </pic:blipFill>
                  <pic:spPr>
                    <a:xfrm>
                      <a:off x="0" y="0"/>
                      <a:ext cx="5269865" cy="7412355"/>
                    </a:xfrm>
                    <a:prstGeom prst="rect">
                      <a:avLst/>
                    </a:prstGeom>
                    <a:noFill/>
                    <a:ln>
                      <a:noFill/>
                    </a:ln>
                  </pic:spPr>
                </pic:pic>
              </a:graphicData>
            </a:graphic>
          </wp:inline>
        </w:drawing>
      </w:r>
      <w:r>
        <w:drawing>
          <wp:inline distT="0" distB="0" distL="114300" distR="114300">
            <wp:extent cx="5269865" cy="7439025"/>
            <wp:effectExtent l="0" t="0" r="6985" b="9525"/>
            <wp:docPr id="7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6"/>
                    <pic:cNvPicPr>
                      <a:picLocks noChangeAspect="1"/>
                    </pic:cNvPicPr>
                  </pic:nvPicPr>
                  <pic:blipFill>
                    <a:blip r:embed="rId51"/>
                    <a:stretch>
                      <a:fillRect/>
                    </a:stretch>
                  </pic:blipFill>
                  <pic:spPr>
                    <a:xfrm>
                      <a:off x="0" y="0"/>
                      <a:ext cx="5269865" cy="7439025"/>
                    </a:xfrm>
                    <a:prstGeom prst="rect">
                      <a:avLst/>
                    </a:prstGeom>
                    <a:noFill/>
                    <a:ln>
                      <a:noFill/>
                    </a:ln>
                  </pic:spPr>
                </pic:pic>
              </a:graphicData>
            </a:graphic>
          </wp:inline>
        </w:drawing>
      </w:r>
      <w:r>
        <w:drawing>
          <wp:inline distT="0" distB="0" distL="114300" distR="114300">
            <wp:extent cx="5273040" cy="7395210"/>
            <wp:effectExtent l="0" t="0" r="3810" b="15240"/>
            <wp:docPr id="7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
                    <pic:cNvPicPr>
                      <a:picLocks noChangeAspect="1"/>
                    </pic:cNvPicPr>
                  </pic:nvPicPr>
                  <pic:blipFill>
                    <a:blip r:embed="rId52"/>
                    <a:stretch>
                      <a:fillRect/>
                    </a:stretch>
                  </pic:blipFill>
                  <pic:spPr>
                    <a:xfrm>
                      <a:off x="0" y="0"/>
                      <a:ext cx="5273040" cy="7395210"/>
                    </a:xfrm>
                    <a:prstGeom prst="rect">
                      <a:avLst/>
                    </a:prstGeom>
                    <a:noFill/>
                    <a:ln>
                      <a:noFill/>
                    </a:ln>
                  </pic:spPr>
                </pic:pic>
              </a:graphicData>
            </a:graphic>
          </wp:inline>
        </w:drawing>
      </w:r>
      <w:r>
        <w:drawing>
          <wp:inline distT="0" distB="0" distL="114300" distR="114300">
            <wp:extent cx="5269865" cy="7412355"/>
            <wp:effectExtent l="0" t="0" r="6985" b="17145"/>
            <wp:docPr id="7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8"/>
                    <pic:cNvPicPr>
                      <a:picLocks noChangeAspect="1"/>
                    </pic:cNvPicPr>
                  </pic:nvPicPr>
                  <pic:blipFill>
                    <a:blip r:embed="rId53"/>
                    <a:stretch>
                      <a:fillRect/>
                    </a:stretch>
                  </pic:blipFill>
                  <pic:spPr>
                    <a:xfrm>
                      <a:off x="0" y="0"/>
                      <a:ext cx="5269865" cy="7412355"/>
                    </a:xfrm>
                    <a:prstGeom prst="rect">
                      <a:avLst/>
                    </a:prstGeom>
                    <a:noFill/>
                    <a:ln>
                      <a:noFill/>
                    </a:ln>
                  </pic:spPr>
                </pic:pic>
              </a:graphicData>
            </a:graphic>
          </wp:inline>
        </w:drawing>
      </w:r>
      <w:r>
        <w:drawing>
          <wp:inline distT="0" distB="0" distL="114300" distR="114300">
            <wp:extent cx="5269865" cy="7457440"/>
            <wp:effectExtent l="0" t="0" r="6985" b="10160"/>
            <wp:docPr id="7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9"/>
                    <pic:cNvPicPr>
                      <a:picLocks noChangeAspect="1"/>
                    </pic:cNvPicPr>
                  </pic:nvPicPr>
                  <pic:blipFill>
                    <a:blip r:embed="rId54"/>
                    <a:stretch>
                      <a:fillRect/>
                    </a:stretch>
                  </pic:blipFill>
                  <pic:spPr>
                    <a:xfrm>
                      <a:off x="0" y="0"/>
                      <a:ext cx="5269865" cy="7457440"/>
                    </a:xfrm>
                    <a:prstGeom prst="rect">
                      <a:avLst/>
                    </a:prstGeom>
                    <a:noFill/>
                    <a:ln>
                      <a:noFill/>
                    </a:ln>
                  </pic:spPr>
                </pic:pic>
              </a:graphicData>
            </a:graphic>
          </wp:inline>
        </w:drawing>
      </w:r>
      <w:r>
        <w:drawing>
          <wp:inline distT="0" distB="0" distL="114300" distR="114300">
            <wp:extent cx="5269865" cy="7385050"/>
            <wp:effectExtent l="0" t="0" r="6985" b="6350"/>
            <wp:docPr id="7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0"/>
                    <pic:cNvPicPr>
                      <a:picLocks noChangeAspect="1"/>
                    </pic:cNvPicPr>
                  </pic:nvPicPr>
                  <pic:blipFill>
                    <a:blip r:embed="rId55"/>
                    <a:stretch>
                      <a:fillRect/>
                    </a:stretch>
                  </pic:blipFill>
                  <pic:spPr>
                    <a:xfrm>
                      <a:off x="0" y="0"/>
                      <a:ext cx="5269865" cy="7385050"/>
                    </a:xfrm>
                    <a:prstGeom prst="rect">
                      <a:avLst/>
                    </a:prstGeom>
                    <a:noFill/>
                    <a:ln>
                      <a:noFill/>
                    </a:ln>
                  </pic:spPr>
                </pic:pic>
              </a:graphicData>
            </a:graphic>
          </wp:inline>
        </w:drawing>
      </w:r>
    </w:p>
    <w:p w14:paraId="3D166EC9">
      <w:pPr>
        <w:ind w:left="0" w:leftChars="0" w:firstLine="0" w:firstLineChars="0"/>
        <w:rPr>
          <w:rFonts w:hint="default" w:ascii="Times New Roman" w:hAnsi="Times New Roman" w:cs="Times New Roman"/>
        </w:rPr>
      </w:pPr>
    </w:p>
    <w:p w14:paraId="20FC4028">
      <w:pPr>
        <w:pStyle w:val="2"/>
        <w:bidi w:val="0"/>
        <w:rPr>
          <w:rFonts w:hint="eastAsia"/>
          <w:highlight w:val="none"/>
          <w:lang w:val="en-US" w:eastAsia="zh-CN"/>
        </w:rPr>
      </w:pPr>
      <w:r>
        <w:rPr>
          <w:rFonts w:hint="eastAsia"/>
          <w:highlight w:val="none"/>
          <w:lang w:val="en-US" w:eastAsia="zh-CN"/>
        </w:rPr>
        <w:t>附件6不占文物保护文件</w:t>
      </w:r>
    </w:p>
    <w:p w14:paraId="34130034">
      <w:pPr>
        <w:ind w:left="0" w:leftChars="0" w:firstLine="0" w:firstLineChars="0"/>
        <w:rPr>
          <w:rFonts w:hint="default" w:ascii="Times New Roman" w:hAnsi="Times New Roman" w:cs="Times New Roman"/>
        </w:rPr>
      </w:pPr>
      <w:r>
        <w:rPr>
          <w:highlight w:val="none"/>
        </w:rPr>
        <w:drawing>
          <wp:inline distT="0" distB="0" distL="114300" distR="114300">
            <wp:extent cx="5610860" cy="8203565"/>
            <wp:effectExtent l="0" t="0" r="8890" b="6985"/>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56"/>
                    <a:stretch>
                      <a:fillRect/>
                    </a:stretch>
                  </pic:blipFill>
                  <pic:spPr>
                    <a:xfrm>
                      <a:off x="0" y="0"/>
                      <a:ext cx="5610860" cy="8203565"/>
                    </a:xfrm>
                    <a:prstGeom prst="rect">
                      <a:avLst/>
                    </a:prstGeom>
                    <a:noFill/>
                    <a:ln>
                      <a:noFill/>
                    </a:ln>
                  </pic:spPr>
                </pic:pic>
              </a:graphicData>
            </a:graphic>
          </wp:inline>
        </w:drawing>
      </w:r>
      <w:r>
        <w:rPr>
          <w:highlight w:val="none"/>
        </w:rPr>
        <w:drawing>
          <wp:inline distT="0" distB="0" distL="114300" distR="114300">
            <wp:extent cx="5609590" cy="8021955"/>
            <wp:effectExtent l="0" t="0" r="10160" b="17145"/>
            <wp:docPr id="4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6"/>
                    <pic:cNvPicPr>
                      <a:picLocks noChangeAspect="1"/>
                    </pic:cNvPicPr>
                  </pic:nvPicPr>
                  <pic:blipFill>
                    <a:blip r:embed="rId57"/>
                    <a:stretch>
                      <a:fillRect/>
                    </a:stretch>
                  </pic:blipFill>
                  <pic:spPr>
                    <a:xfrm>
                      <a:off x="0" y="0"/>
                      <a:ext cx="5609590" cy="8021955"/>
                    </a:xfrm>
                    <a:prstGeom prst="rect">
                      <a:avLst/>
                    </a:prstGeom>
                    <a:noFill/>
                    <a:ln>
                      <a:noFill/>
                    </a:ln>
                  </pic:spPr>
                </pic:pic>
              </a:graphicData>
            </a:graphic>
          </wp:inline>
        </w:drawing>
      </w:r>
    </w:p>
    <w:p w14:paraId="14FC36DC">
      <w:pPr>
        <w:pStyle w:val="2"/>
        <w:bidi w:val="0"/>
        <w:rPr>
          <w:rFonts w:hint="default"/>
          <w:lang w:val="en-US" w:eastAsia="zh-CN"/>
        </w:rPr>
      </w:pPr>
      <w:r>
        <w:rPr>
          <w:rFonts w:hint="eastAsia"/>
          <w:lang w:val="en-US" w:eastAsia="zh-CN"/>
        </w:rPr>
        <w:t>附件7企业关系说明性文件</w:t>
      </w:r>
    </w:p>
    <w:p w14:paraId="733D1D38">
      <w:pPr>
        <w:ind w:left="0" w:leftChars="0" w:firstLine="0" w:firstLineChars="0"/>
        <w:rPr>
          <w:rFonts w:hint="default" w:ascii="Times New Roman" w:hAnsi="Times New Roman" w:cs="Times New Roman"/>
        </w:rPr>
      </w:pPr>
      <w:r>
        <w:drawing>
          <wp:inline distT="0" distB="0" distL="114300" distR="114300">
            <wp:extent cx="5274310" cy="7016750"/>
            <wp:effectExtent l="0" t="0" r="2540" b="12700"/>
            <wp:docPr id="3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
                    <pic:cNvPicPr>
                      <a:picLocks noChangeAspect="1"/>
                    </pic:cNvPicPr>
                  </pic:nvPicPr>
                  <pic:blipFill>
                    <a:blip r:embed="rId58"/>
                    <a:stretch>
                      <a:fillRect/>
                    </a:stretch>
                  </pic:blipFill>
                  <pic:spPr>
                    <a:xfrm>
                      <a:off x="0" y="0"/>
                      <a:ext cx="5274310" cy="7016750"/>
                    </a:xfrm>
                    <a:prstGeom prst="rect">
                      <a:avLst/>
                    </a:prstGeom>
                    <a:noFill/>
                    <a:ln>
                      <a:noFill/>
                    </a:ln>
                  </pic:spPr>
                </pic:pic>
              </a:graphicData>
            </a:graphic>
          </wp:inline>
        </w:drawing>
      </w:r>
      <w:r>
        <w:drawing>
          <wp:inline distT="0" distB="0" distL="114300" distR="114300">
            <wp:extent cx="5272405" cy="7496810"/>
            <wp:effectExtent l="0" t="0" r="4445" b="8890"/>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59"/>
                    <a:stretch>
                      <a:fillRect/>
                    </a:stretch>
                  </pic:blipFill>
                  <pic:spPr>
                    <a:xfrm>
                      <a:off x="0" y="0"/>
                      <a:ext cx="5272405" cy="7496810"/>
                    </a:xfrm>
                    <a:prstGeom prst="rect">
                      <a:avLst/>
                    </a:prstGeom>
                    <a:noFill/>
                    <a:ln>
                      <a:noFill/>
                    </a:ln>
                  </pic:spPr>
                </pic:pic>
              </a:graphicData>
            </a:graphic>
          </wp:inline>
        </w:drawing>
      </w:r>
      <w:r>
        <w:drawing>
          <wp:inline distT="0" distB="0" distL="114300" distR="114300">
            <wp:extent cx="5270500" cy="7369175"/>
            <wp:effectExtent l="0" t="0" r="6350" b="3175"/>
            <wp:docPr id="4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6"/>
                    <pic:cNvPicPr>
                      <a:picLocks noChangeAspect="1"/>
                    </pic:cNvPicPr>
                  </pic:nvPicPr>
                  <pic:blipFill>
                    <a:blip r:embed="rId60"/>
                    <a:stretch>
                      <a:fillRect/>
                    </a:stretch>
                  </pic:blipFill>
                  <pic:spPr>
                    <a:xfrm>
                      <a:off x="0" y="0"/>
                      <a:ext cx="5270500" cy="7369175"/>
                    </a:xfrm>
                    <a:prstGeom prst="rect">
                      <a:avLst/>
                    </a:prstGeom>
                    <a:noFill/>
                    <a:ln>
                      <a:noFill/>
                    </a:ln>
                  </pic:spPr>
                </pic:pic>
              </a:graphicData>
            </a:graphic>
          </wp:inline>
        </w:drawing>
      </w:r>
      <w:r>
        <w:drawing>
          <wp:inline distT="0" distB="0" distL="114300" distR="114300">
            <wp:extent cx="5273675" cy="7434580"/>
            <wp:effectExtent l="0" t="0" r="3175" b="13970"/>
            <wp:docPr id="4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9"/>
                    <pic:cNvPicPr>
                      <a:picLocks noChangeAspect="1"/>
                    </pic:cNvPicPr>
                  </pic:nvPicPr>
                  <pic:blipFill>
                    <a:blip r:embed="rId61"/>
                    <a:stretch>
                      <a:fillRect/>
                    </a:stretch>
                  </pic:blipFill>
                  <pic:spPr>
                    <a:xfrm>
                      <a:off x="0" y="0"/>
                      <a:ext cx="5273675" cy="7434580"/>
                    </a:xfrm>
                    <a:prstGeom prst="rect">
                      <a:avLst/>
                    </a:prstGeom>
                    <a:noFill/>
                    <a:ln>
                      <a:noFill/>
                    </a:ln>
                  </pic:spPr>
                </pic:pic>
              </a:graphicData>
            </a:graphic>
          </wp:inline>
        </w:drawing>
      </w:r>
      <w:r>
        <w:drawing>
          <wp:inline distT="0" distB="0" distL="114300" distR="114300">
            <wp:extent cx="5271770" cy="7491095"/>
            <wp:effectExtent l="0" t="0" r="5080" b="14605"/>
            <wp:docPr id="5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3"/>
                    <pic:cNvPicPr>
                      <a:picLocks noChangeAspect="1"/>
                    </pic:cNvPicPr>
                  </pic:nvPicPr>
                  <pic:blipFill>
                    <a:blip r:embed="rId62"/>
                    <a:stretch>
                      <a:fillRect/>
                    </a:stretch>
                  </pic:blipFill>
                  <pic:spPr>
                    <a:xfrm>
                      <a:off x="0" y="0"/>
                      <a:ext cx="5271770" cy="7491095"/>
                    </a:xfrm>
                    <a:prstGeom prst="rect">
                      <a:avLst/>
                    </a:prstGeom>
                    <a:noFill/>
                    <a:ln>
                      <a:noFill/>
                    </a:ln>
                  </pic:spPr>
                </pic:pic>
              </a:graphicData>
            </a:graphic>
          </wp:inline>
        </w:drawing>
      </w:r>
    </w:p>
    <w:p w14:paraId="6DA508C7">
      <w:pPr>
        <w:ind w:left="0" w:leftChars="0" w:firstLine="0" w:firstLineChars="0"/>
        <w:rPr>
          <w:rFonts w:hint="default" w:ascii="Times New Roman" w:hAnsi="Times New Roman" w:cs="Times New Roman"/>
        </w:rPr>
      </w:pPr>
    </w:p>
    <w:p w14:paraId="0029AADD">
      <w:pPr>
        <w:ind w:left="0" w:leftChars="0" w:firstLine="0" w:firstLineChars="0"/>
        <w:rPr>
          <w:rFonts w:hint="default" w:ascii="Times New Roman" w:hAnsi="Times New Roman" w:cs="Times New Roman"/>
        </w:rPr>
        <w:sectPr>
          <w:footerReference r:id="rId13" w:type="default"/>
          <w:pgSz w:w="11906" w:h="16838"/>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0182FD24">
      <w:pPr>
        <w:pStyle w:val="2"/>
        <w:bidi w:val="0"/>
        <w:rPr>
          <w:rFonts w:hint="default" w:ascii="Times New Roman" w:hAnsi="Times New Roman" w:cs="Times New Roman"/>
          <w:lang w:val="en-US" w:eastAsia="zh-CN"/>
        </w:rPr>
      </w:pPr>
      <w:r>
        <w:rPr>
          <w:rFonts w:hint="default" w:ascii="Times New Roman" w:hAnsi="Times New Roman" w:cs="Times New Roman"/>
          <w:lang w:val="en-US" w:eastAsia="zh-CN"/>
        </w:rPr>
        <w:t>附图1项目地理位置图</w:t>
      </w:r>
    </w:p>
    <w:p w14:paraId="30B145FE">
      <w:pPr>
        <w:ind w:left="0" w:leftChars="0" w:firstLine="0" w:firstLineChars="0"/>
        <w:rPr>
          <w:rFonts w:hint="default" w:ascii="Times New Roman" w:hAnsi="Times New Roman" w:cs="Times New Roman"/>
          <w:color w:val="auto"/>
        </w:rPr>
      </w:pPr>
      <w:r>
        <w:rPr>
          <w:rFonts w:hint="default" w:ascii="Times New Roman" w:hAnsi="Times New Roman" w:cs="Times New Roman"/>
          <w:color w:val="auto"/>
        </w:rPr>
        <mc:AlternateContent>
          <mc:Choice Requires="wps">
            <w:drawing>
              <wp:anchor distT="0" distB="0" distL="114300" distR="114300" simplePos="0" relativeHeight="251660288" behindDoc="0" locked="0" layoutInCell="1" allowOverlap="1">
                <wp:simplePos x="0" y="0"/>
                <wp:positionH relativeFrom="column">
                  <wp:posOffset>3985895</wp:posOffset>
                </wp:positionH>
                <wp:positionV relativeFrom="paragraph">
                  <wp:posOffset>1465580</wp:posOffset>
                </wp:positionV>
                <wp:extent cx="911225" cy="327025"/>
                <wp:effectExtent l="4445" t="5080" r="93980" b="201295"/>
                <wp:wrapNone/>
                <wp:docPr id="80" name="文本框 80"/>
                <wp:cNvGraphicFramePr/>
                <a:graphic xmlns:a="http://schemas.openxmlformats.org/drawingml/2006/main">
                  <a:graphicData uri="http://schemas.microsoft.com/office/word/2010/wordprocessingShape">
                    <wps:wsp>
                      <wps:cNvSpPr txBox="1"/>
                      <wps:spPr>
                        <a:xfrm>
                          <a:off x="0" y="0"/>
                          <a:ext cx="911225" cy="327025"/>
                        </a:xfrm>
                        <a:prstGeom prst="wedgeRoundRectCallout">
                          <a:avLst>
                            <a:gd name="adj1" fmla="val 58499"/>
                            <a:gd name="adj2" fmla="val 107864"/>
                            <a:gd name="adj3" fmla="val 16667"/>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882973">
                            <w:pPr>
                              <w:pStyle w:val="48"/>
                              <w:ind w:left="0" w:leftChars="0" w:firstLine="0" w:firstLineChars="0"/>
                              <w:jc w:val="both"/>
                              <w:rPr>
                                <w:rFonts w:hint="eastAsia" w:eastAsia="宋体"/>
                                <w:lang w:val="en-US" w:eastAsia="zh-CN"/>
                              </w:rPr>
                            </w:pPr>
                            <w:r>
                              <w:rPr>
                                <w:rFonts w:hint="eastAsia"/>
                              </w:rPr>
                              <w:t>本项目</w:t>
                            </w:r>
                            <w:r>
                              <w:rPr>
                                <w:rFonts w:hint="eastAsia"/>
                                <w:lang w:val="en-US" w:eastAsia="zh-CN"/>
                              </w:rPr>
                              <w:t>位置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62" type="#_x0000_t62" style="position:absolute;left:0pt;margin-left:313.85pt;margin-top:115.4pt;height:25.75pt;width:71.75pt;z-index:251660288;mso-width-relative:page;mso-height-relative:page;" fillcolor="#FFFFFF [3201]" filled="t" stroked="t" coordsize="21600,21600" o:gfxdata="UEsDBAoAAAAAAIdO4kAAAAAAAAAAAAAAAAAEAAAAZHJzL1BLAwQUAAAACACHTuJAU3OIEdkAAAAL&#10;AQAADwAAAGRycy9kb3ducmV2LnhtbE2PTU/DMAyG70j7D5EncWNJW7ROpekEk9gRiVKJHbPGtNUa&#10;p2qyD/495gRH249eP2+5vblRXHAOgycNyUqBQGq9HajT0Hy8PmxAhGjImtETavjGANtqcVeawvor&#10;veOljp3gEAqF0dDHOBVShrZHZ8LKT0h8+/KzM5HHuZN2NlcOd6NMlVpLZwbiD72ZcNdje6rPTgO9&#10;qN30djo8Hvzz/jPz+6ZJ6kbr+2WinkBEvMU/GH71WR0qdjr6M9kgRg3rNM8Z1ZBmijswkedJCuLI&#10;m02agaxK+b9D9QNQSwMEFAAAAAgAh07iQDhfa+OZAgAATQUAAA4AAABkcnMvZTJvRG9jLnhtbK1U&#10;zXLTMBC+M8M7aHSnttP8Tx0mpBOGmQ7ttDCcFVmODbJWSHLs8gDwBpy4cOe5+hysZCdNWw49kIOy&#10;0q6//fbblc5et5UkO2FsCSqlyUlMiVAcslJtU/rxw/rVlBLrmMqYBCVSeissfb14+eKs0XMxgAJk&#10;JgxBEGXnjU5p4ZyeR5HlhaiYPQEtFDpzMBVzuDXbKDOsQfRKRoM4HkcNmEwb4MJaPD3vnLRHNM8B&#10;hDwvuTgHXldCuQ7VCMkclmSLUlu6CGzzXHB3medWOCJTipW6sGIStDd+jRZnbL41TBcl7ymw51B4&#10;VFPFSoVJD1DnzDFSm/IJVFVyAxZyd8KhirpCgiJYRRI/0uamYFqEWlBqqw+i2/8Hy9/vrgwps5RO&#10;URLFKuz43c8fd7/+3P3+TvAMBWq0nWPcjcZI176BFsdmf27x0Nfd5qby/1gRQT9i3R7kFa0jHA9n&#10;STIYjCjh6DodTGK0ET26/1gb694KqIg3UtqIbCuuoVbZNfZxxaSE2gWV2e7CuiB31nNm2eeEkryS&#10;2L0dk2Q0Hc5mfXePYgbHMUk8mY6HT4NOHwSNx+NJz7NPi4z3TD0HC7LM1qWUYWO2m5U0BDmkdB1+&#10;/ccPwqQiTUrHp6M41PPA57EPEBvJ+JenCEhBKp9PhBlHNbySvlFdQ7zl2k3bd28D2S02z0A3/1bz&#10;dYlZLph1V8ygZNgvfBLcJS65BKQGvUVJAebbv859PM4heilp8AKl1H6tmRGUyHcKJ3SWDIcI68Jm&#10;OJoMcGOOPZtjj6qrFaBk2ERkF0wf7+TezA1Un/DlWPqs6GKKY+6Uur25ct21xpeHi+UyBOEd08xd&#10;qBvNPbQXTMGydpCXB8E6bXr18JaFiexfBH+Nj/ch6v4VXP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U3OIEdkAAAALAQAADwAAAAAAAAABACAAAAAiAAAAZHJzL2Rvd25yZXYueG1sUEsBAhQAFAAA&#10;AAgAh07iQDhfa+OZAgAATQUAAA4AAAAAAAAAAQAgAAAAKAEAAGRycy9lMm9Eb2MueG1sUEsFBgAA&#10;AAAGAAYAWQEAADMGAAAAAA==&#10;" adj="23436,34099,14400">
                <v:fill on="t" focussize="0,0"/>
                <v:stroke weight="0.5pt" color="#000000 [3204]" joinstyle="round"/>
                <v:imagedata o:title=""/>
                <o:lock v:ext="edit" aspectratio="f"/>
                <v:textbox>
                  <w:txbxContent>
                    <w:p w14:paraId="08882973">
                      <w:pPr>
                        <w:pStyle w:val="48"/>
                        <w:ind w:left="0" w:leftChars="0" w:firstLine="0" w:firstLineChars="0"/>
                        <w:jc w:val="both"/>
                        <w:rPr>
                          <w:rFonts w:hint="eastAsia" w:eastAsia="宋体"/>
                          <w:lang w:val="en-US" w:eastAsia="zh-CN"/>
                        </w:rPr>
                      </w:pPr>
                      <w:r>
                        <w:rPr>
                          <w:rFonts w:hint="eastAsia"/>
                        </w:rPr>
                        <w:t>本项目</w:t>
                      </w:r>
                      <w:r>
                        <w:rPr>
                          <w:rFonts w:hint="eastAsia"/>
                          <w:lang w:val="en-US" w:eastAsia="zh-CN"/>
                        </w:rPr>
                        <w:t>位置</w:t>
                      </w:r>
                    </w:p>
                  </w:txbxContent>
                </v:textbox>
              </v:shape>
            </w:pict>
          </mc:Fallback>
        </mc:AlternateContent>
      </w:r>
      <w:r>
        <w:rPr>
          <w:rFonts w:hint="default" w:ascii="Times New Roman" w:hAnsi="Times New Roman" w:cs="Times New Roman"/>
          <w:color w:val="auto"/>
        </w:rPr>
        <mc:AlternateContent>
          <mc:Choice Requires="wps">
            <w:drawing>
              <wp:anchor distT="0" distB="0" distL="114300" distR="114300" simplePos="0" relativeHeight="251659264" behindDoc="0" locked="0" layoutInCell="1" allowOverlap="1">
                <wp:simplePos x="0" y="0"/>
                <wp:positionH relativeFrom="column">
                  <wp:posOffset>4973320</wp:posOffset>
                </wp:positionH>
                <wp:positionV relativeFrom="paragraph">
                  <wp:posOffset>1929765</wp:posOffset>
                </wp:positionV>
                <wp:extent cx="109220" cy="109220"/>
                <wp:effectExtent l="12700" t="12700" r="30480" b="30480"/>
                <wp:wrapNone/>
                <wp:docPr id="68" name="五角星 68"/>
                <wp:cNvGraphicFramePr/>
                <a:graphic xmlns:a="http://schemas.openxmlformats.org/drawingml/2006/main">
                  <a:graphicData uri="http://schemas.microsoft.com/office/word/2010/wordprocessingShape">
                    <wps:wsp>
                      <wps:cNvSpPr/>
                      <wps:spPr>
                        <a:xfrm>
                          <a:off x="0" y="0"/>
                          <a:ext cx="109220" cy="10922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91.6pt;margin-top:151.95pt;height:8.6pt;width:8.6pt;z-index:251659264;v-text-anchor:middle;mso-width-relative:page;mso-height-relative:page;" fillcolor="#FF0000" filled="t" stroked="t" coordsize="109220,109220" o:gfxdata="UEsDBAoAAAAAAIdO4kAAAAAAAAAAAAAAAAAEAAAAZHJzL1BLAwQUAAAACACHTuJAXHreJtoAAAAL&#10;AQAADwAAAGRycy9kb3ducmV2LnhtbE2PPU/DMBCGdyT+g3VIbNROUqUhjVMJUAbYaDswurGbRLHP&#10;Uex+wK/nmOh4d4/ee95qc3WWnc0cBo8SkoUAZrD1esBOwn7XPBXAQlSolfVoJHybAJv6/q5SpfYX&#10;/DTnbewYhWAolYQ+xqnkPLS9cSos/GSQbkc/OxVpnDuuZ3WhcGd5KkTOnRqQPvRqMq+9acftyUl4&#10;G1cvPx+j2+X7YumaIbfvX20j5eNDItbAornGfxj+9EkdanI6+BPqwKyEVZGlhErIRPYMjIhCiCWw&#10;A23SJAFeV/y2Q/0LUEsDBBQAAAAIAIdO4kBYRF3FYgIAAOIEAAAOAAAAZHJzL2Uyb0RvYy54bWyt&#10;VM1uEzEQviPxDpbvdJMoLTTqpooaBSFVtFJBnB2vnbXkP2wnm/IYiAM3jrwDz4MQj8Fn7/YXDj2Q&#10;w2bGM/5m5psZn5zujSY7EaJytqbjgxElwnLXKLup6ft3qxevKImJ2YZpZ0VNr0Wkp/Pnz046PxMT&#10;1zrdiEAAYuOs8zVtU/Kzqoq8FYbFA+eFhVG6YFiCGjZVE1gHdKOryWh0VHUuND44LmLE6bI30gEx&#10;PAXQSam4WDq+NcKmHjUIzRJKiq3ykc5LtlIKni6kjCIRXVNUmsoXQSCv87ean7DZJjDfKj6kwJ6S&#10;wqOaDFMWQW+hliwxsg3qLyijeHDRyXTAnan6QgojqGI8esTNVcu8KLWA6uhvSY//D5a/3V0Gopqa&#10;HqHvlhl0/OePL7+/f/719RvBGQjqfJzB78pfhkGLEHO1exlM/kcdZF9Ivb4lVewT4Tgcj44nE9DN&#10;YRpkoFR3l32I6bVwhmShppi9cFi4ZLvzmHrfG58cLDqtmpXSuihhsz7TgewYGrxajfDLKQP+gZu2&#10;pKvp5HAKM+EMYysxLhCNR+nRbihheoN94CmU2A9ux6cFyUkuWWz7ZArCkIu2SCnT2BOXpbVrrsF8&#10;cP1IRs9XCvfPWUyXLGAGkSi2NF3gI7VD9m6QKGld+PSv8+yP0YCVkg4zjco+blkQlOg3FkNzPJ5O&#10;AZuKMj18mdsS7lvW9y12a84cWB3jPfC8iNk/6RtRBmc+YJkXOSpMzHLE7jkclLPU7xqeAy4Wi+KG&#10;wfcsndsrzzN47qJ1i21yUpVu37EzkIbRLx0d1jTv1n29eN09TfM/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XHreJtoAAAALAQAADwAAAAAAAAABACAAAAAiAAAAZHJzL2Rvd25yZXYueG1sUEsBAhQA&#10;FAAAAAgAh07iQFhEXcViAgAA4gQAAA4AAAAAAAAAAQAgAAAAKQEAAGRycy9lMm9Eb2MueG1sUEsF&#10;BgAAAAAGAAYAWQEAAP0FAAAAAA==&#10;" path="m0,41718l41718,41718,54610,0,67501,41718,109219,41718,75468,67501,88360,109219,54610,83436,20859,109219,33751,67501xe">
                <v:path o:connectlocs="54610,0;0,41718;20859,109219;88360,109219;109219,41718" o:connectangles="247,164,82,82,0"/>
                <v:fill on="t" focussize="0,0"/>
                <v:stroke weight="2pt" color="#FF0000 [3204]" joinstyle="round"/>
                <v:imagedata o:title=""/>
                <o:lock v:ext="edit" aspectratio="f"/>
              </v:shape>
            </w:pict>
          </mc:Fallback>
        </mc:AlternateContent>
      </w:r>
      <w:r>
        <w:rPr>
          <w:rFonts w:hint="default" w:ascii="Times New Roman" w:hAnsi="Times New Roman" w:cs="Times New Roman"/>
          <w:color w:val="auto"/>
        </w:rPr>
        <w:drawing>
          <wp:inline distT="0" distB="0" distL="114300" distR="114300">
            <wp:extent cx="8832850" cy="4924425"/>
            <wp:effectExtent l="0" t="0" r="6350" b="9525"/>
            <wp:docPr id="14" name="图片 14" descr="鄂尔多斯市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鄂尔多斯市地图"/>
                    <pic:cNvPicPr>
                      <a:picLocks noChangeAspect="1"/>
                    </pic:cNvPicPr>
                  </pic:nvPicPr>
                  <pic:blipFill>
                    <a:blip r:embed="rId63"/>
                    <a:stretch>
                      <a:fillRect/>
                    </a:stretch>
                  </pic:blipFill>
                  <pic:spPr>
                    <a:xfrm>
                      <a:off x="0" y="0"/>
                      <a:ext cx="8832850" cy="4924425"/>
                    </a:xfrm>
                    <a:prstGeom prst="rect">
                      <a:avLst/>
                    </a:prstGeom>
                  </pic:spPr>
                </pic:pic>
              </a:graphicData>
            </a:graphic>
          </wp:inline>
        </w:drawing>
      </w:r>
    </w:p>
    <w:p w14:paraId="658E35BE">
      <w:pPr>
        <w:pStyle w:val="2"/>
        <w:bidi w:val="0"/>
        <w:rPr>
          <w:rFonts w:hint="default" w:ascii="Times New Roman" w:hAnsi="Times New Roman" w:cs="Times New Roman"/>
          <w:lang w:val="en-US" w:eastAsia="zh-CN"/>
        </w:rPr>
      </w:pPr>
      <w:r>
        <w:rPr>
          <w:rFonts w:hint="default" w:ascii="Times New Roman" w:hAnsi="Times New Roman" w:cs="Times New Roman"/>
          <w:lang w:val="en-US" w:eastAsia="zh-CN"/>
        </w:rPr>
        <w:t>附图2鄂尔多斯市环境管控单元图</w:t>
      </w:r>
    </w:p>
    <w:p w14:paraId="138DDCEB">
      <w:pPr>
        <w:ind w:left="0" w:leftChars="0" w:firstLine="0" w:firstLineChars="0"/>
        <w:jc w:val="center"/>
        <w:rPr>
          <w:rFonts w:hint="default" w:ascii="Times New Roman" w:hAnsi="Times New Roman" w:eastAsia="宋体" w:cs="Times New Roman"/>
          <w:color w:val="auto"/>
          <w:lang w:val="en-US" w:eastAsia="zh-CN"/>
        </w:rPr>
      </w:pPr>
      <w:r>
        <w:rPr>
          <w:sz w:val="24"/>
        </w:rPr>
        <mc:AlternateContent>
          <mc:Choice Requires="wps">
            <w:drawing>
              <wp:anchor distT="0" distB="0" distL="114300" distR="114300" simplePos="0" relativeHeight="251662336" behindDoc="0" locked="0" layoutInCell="1" allowOverlap="1">
                <wp:simplePos x="0" y="0"/>
                <wp:positionH relativeFrom="column">
                  <wp:posOffset>4410710</wp:posOffset>
                </wp:positionH>
                <wp:positionV relativeFrom="paragraph">
                  <wp:posOffset>2059305</wp:posOffset>
                </wp:positionV>
                <wp:extent cx="1016000" cy="307975"/>
                <wp:effectExtent l="12700" t="12700" r="19050" b="155575"/>
                <wp:wrapNone/>
                <wp:docPr id="21" name="圆角矩形标注 21"/>
                <wp:cNvGraphicFramePr/>
                <a:graphic xmlns:a="http://schemas.openxmlformats.org/drawingml/2006/main">
                  <a:graphicData uri="http://schemas.microsoft.com/office/word/2010/wordprocessingShape">
                    <wps:wsp>
                      <wps:cNvSpPr/>
                      <wps:spPr>
                        <a:xfrm>
                          <a:off x="5471795" y="3395980"/>
                          <a:ext cx="1016000" cy="307975"/>
                        </a:xfrm>
                        <a:prstGeom prst="wedgeRoundRectCallout">
                          <a:avLst>
                            <a:gd name="adj1" fmla="val -46062"/>
                            <a:gd name="adj2" fmla="val 93505"/>
                            <a:gd name="adj3" fmla="val 16667"/>
                          </a:avLst>
                        </a:prstGeom>
                      </wps:spPr>
                      <wps:style>
                        <a:lnRef idx="2">
                          <a:schemeClr val="accent1">
                            <a:lumMod val="75000"/>
                          </a:schemeClr>
                        </a:lnRef>
                        <a:fillRef idx="1">
                          <a:schemeClr val="accent1"/>
                        </a:fillRef>
                        <a:effectRef idx="0">
                          <a:srgbClr val="FFFFFF"/>
                        </a:effectRef>
                        <a:fontRef idx="minor">
                          <a:schemeClr val="lt1"/>
                        </a:fontRef>
                      </wps:style>
                      <wps:txbx>
                        <w:txbxContent>
                          <w:p w14:paraId="713883A1">
                            <w:pPr>
                              <w:keepNext w:val="0"/>
                              <w:keepLines w:val="0"/>
                              <w:pageBreakBefore w:val="0"/>
                              <w:widowControl w:val="0"/>
                              <w:kinsoku/>
                              <w:wordWrap/>
                              <w:overflowPunct/>
                              <w:topLinePunct w:val="0"/>
                              <w:bidi w:val="0"/>
                              <w:adjustRightInd/>
                              <w:snapToGrid/>
                              <w:spacing w:line="240" w:lineRule="auto"/>
                              <w:ind w:left="0" w:leftChars="0" w:firstLine="0" w:firstLineChars="0"/>
                              <w:jc w:val="both"/>
                              <w:textAlignment w:val="auto"/>
                              <w:rPr>
                                <w:rFonts w:hint="default" w:eastAsia="宋体"/>
                                <w:lang w:val="en-US" w:eastAsia="zh-CN"/>
                              </w:rPr>
                            </w:pPr>
                            <w:r>
                              <w:rPr>
                                <w:rFonts w:hint="eastAsia"/>
                                <w:lang w:val="en-US" w:eastAsia="zh-CN"/>
                              </w:rPr>
                              <w:t>本项目位置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347.3pt;margin-top:162.15pt;height:24.25pt;width:80pt;z-index:251662336;v-text-anchor:middle;mso-width-relative:page;mso-height-relative:page;" fillcolor="#4F81BD [3204]" filled="t" stroked="t" coordsize="21600,21600" o:gfxdata="UEsDBAoAAAAAAIdO4kAAAAAAAAAAAAAAAAAEAAAAZHJzL1BLAwQUAAAACACHTuJAmswzBdUAAAAL&#10;AQAADwAAAGRycy9kb3ducmV2LnhtbE2PwVKDMBCG7874Dpl1xpsNpS0iJfSg8gAi3rdkC4zJhiFp&#10;i29vetLj/vvNv9+Wh8UacaHZj44VrFcJCOLO6ZF7Be1n/ZSD8AFZo3FMCn7Iw6G6vyux0O7KH3Rp&#10;Qi9iCfsCFQwhTIWUvhvIol+5iTjuTm62GOI491LPeI3l1sg0STJpceR4YcCJXgfqvpuzVaBl0+24&#10;phbfvpb5PfdGZm2t1OPDOtmDCLSEPxhu+lEdquh0dGfWXhgF2cs2i6iCTbrdgIhEvrslx5g8pznI&#10;qpT/f6h+AVBLAwQUAAAACACHTuJAF1j3WOACAACrBQAADgAAAGRycy9lMm9Eb2MueG1srVTNbtQw&#10;EL4j8Q6W7zTJ7ibbXTVbLbtahFRo1YI4ex1nE+TYwXY2Wx4A7pyRQFyAM2cep4XHYOy4bVo49MDF&#10;mcl8np9vPHNwuKs42jKlSylSHO2FGDFBZVaKTYpfvlg92sdIGyIywqVgKT5nGh/OHj44aOspG8hC&#10;8owpBE6EnrZ1igtj6mkQaFqwiug9WTMBxlyqihhQ1SbIFGnBe8WDQRgmQStVVitJmdbwd9kZsfeo&#10;7uNQ5nlJ2VLSpmLCdF4V48RASbooa41nLts8Z9Qc57lmBvEUQ6XGnRAE5LU9g9kBmW4UqYuS+hTI&#10;fVK4U1NFSgFBr10tiSGoUeVfrqqSKqllbvaorIKuEMcIVBGFd7g5K0jNXC1Ata6vSdf/zy19vj1R&#10;qMxSPIgwEqSCjl98fPf764dfn75f/Pxy+fn95Y9vCIzAVFvrKVw4q0+U1zSItuxdrir7hYLQLsXx&#10;aByNJzFG5ykeDifxZN8zzXYGUQBEYZSEITSBWkQ4noxjGyC48VQrbZ4wWSErpLhl2YadykZkp9DT&#10;BeFcNsYxTrZH2jjqM58/yV5DLXnFoZNbwtGjURImA9/qHmjQB02GcehygB72MMM+JkqSZOzz9GEh&#10;46tMbQ5a8jJblZw7RW3WC64Q5JDi0Wo/erz0l2/BuEAt0B+PHB8ERiqHpwzUVDW0RYsNRoRvYFap&#10;Ua7iW7d1P8hwnISTgQPxpnomsy72OLZcd/x6vOP6liNbxpLoorviTP4KF4C2ve+6bSWzW+/8E1jL&#10;7ByekJLdbOmarkpwdUS0OSEKWgBdhnVjjuHIuYRSpZcwKqR6+6//Fg9vHKwYtTCcQMObhiiGEX8q&#10;4PVPotHITrNTRvF4AIrqW9Z9i2iqhYQWwKOA7Jxo8YZfibmS1SvYSnMbFUxEUIjdEe6VhemWBuw1&#10;yuZzB4MJrok5Emc1tc5ty4WcN0bmpbFkW6I6drwCM+x49/vGLom+7lA3O3b2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E4FAABbQ29udGVudF9U&#10;eXBlc10ueG1sUEsBAhQACgAAAAAAh07iQAAAAAAAAAAAAAAAAAYAAAAAAAAAAAAQAAAAMAQAAF9y&#10;ZWxzL1BLAQIUABQAAAAIAIdO4kCKFGY80QAAAJQBAAALAAAAAAAAAAEAIAAAAFQEAABfcmVscy8u&#10;cmVsc1BLAQIUAAoAAAAAAIdO4kAAAAAAAAAAAAAAAAAEAAAAAAAAAAAAEAAAAAAAAABkcnMvUEsB&#10;AhQAFAAAAAgAh07iQJrMMwXVAAAACwEAAA8AAAAAAAAAAQAgAAAAIgAAAGRycy9kb3ducmV2Lnht&#10;bFBLAQIUABQAAAAIAIdO4kAXWPdY4AIAAKsFAAAOAAAAAAAAAAEAIAAAACQBAABkcnMvZTJvRG9j&#10;LnhtbFBLBQYAAAAABgAGAFkBAAB2BgAAAAA=&#10;" adj="851,30997,14400">
                <v:fill on="t" focussize="0,0"/>
                <v:stroke weight="2pt" color="#376092 [2404]" joinstyle="round"/>
                <v:imagedata o:title=""/>
                <o:lock v:ext="edit" aspectratio="f"/>
                <v:textbox>
                  <w:txbxContent>
                    <w:p w14:paraId="713883A1">
                      <w:pPr>
                        <w:keepNext w:val="0"/>
                        <w:keepLines w:val="0"/>
                        <w:pageBreakBefore w:val="0"/>
                        <w:widowControl w:val="0"/>
                        <w:kinsoku/>
                        <w:wordWrap/>
                        <w:overflowPunct/>
                        <w:topLinePunct w:val="0"/>
                        <w:bidi w:val="0"/>
                        <w:adjustRightInd/>
                        <w:snapToGrid/>
                        <w:spacing w:line="240" w:lineRule="auto"/>
                        <w:ind w:left="0" w:leftChars="0" w:firstLine="0" w:firstLineChars="0"/>
                        <w:jc w:val="both"/>
                        <w:textAlignment w:val="auto"/>
                        <w:rPr>
                          <w:rFonts w:hint="default" w:eastAsia="宋体"/>
                          <w:lang w:val="en-US" w:eastAsia="zh-CN"/>
                        </w:rPr>
                      </w:pPr>
                      <w:r>
                        <w:rPr>
                          <w:rFonts w:hint="eastAsia"/>
                          <w:lang w:val="en-US" w:eastAsia="zh-CN"/>
                        </w:rPr>
                        <w:t>本项目位置</w:t>
                      </w:r>
                    </w:p>
                  </w:txbxContent>
                </v:textbox>
              </v:shap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4352290</wp:posOffset>
                </wp:positionH>
                <wp:positionV relativeFrom="paragraph">
                  <wp:posOffset>2447925</wp:posOffset>
                </wp:positionV>
                <wp:extent cx="75565" cy="75565"/>
                <wp:effectExtent l="12700" t="12700" r="26035" b="26035"/>
                <wp:wrapNone/>
                <wp:docPr id="20" name="五角星 20"/>
                <wp:cNvGraphicFramePr/>
                <a:graphic xmlns:a="http://schemas.openxmlformats.org/drawingml/2006/main">
                  <a:graphicData uri="http://schemas.microsoft.com/office/word/2010/wordprocessingShape">
                    <wps:wsp>
                      <wps:cNvSpPr/>
                      <wps:spPr>
                        <a:xfrm>
                          <a:off x="5295900" y="3886835"/>
                          <a:ext cx="75565" cy="75565"/>
                        </a:xfrm>
                        <a:prstGeom prst="star5">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42.7pt;margin-top:192.75pt;height:5.95pt;width:5.95pt;z-index:251661312;v-text-anchor:middle;mso-width-relative:page;mso-height-relative:page;" fillcolor="#4F81BD [3204]" filled="t" stroked="t" coordsize="75565,75565" o:gfxdata="UEsDBAoAAAAAAIdO4kAAAAAAAAAAAAAAAAAEAAAAZHJzL1BLAwQUAAAACACHTuJAL9Pl8NgAAAAL&#10;AQAADwAAAGRycy9kb3ducmV2LnhtbE2PwU7DMAyG70i8Q2QkbizdunRd13QHBOJMhzinjddWNE6X&#10;ZOvg6QkndrT96ff3l/urGdkFnR8sSVguEmBIrdUDdRI+Dq9POTAfFGk1WkIJ3+hhX93flarQdqZ3&#10;vNShYzGEfKEk9CFMBee+7dEov7ATUrwdrTMqxNF1XDs1x3Az8lWSZNyogeKHXk343GP7VZ+NhHr1&#10;ks6CC3U6ubdPaunHNelByseHZbIDFvAa/mH404/qUEWnxp5JezZKyHKxjqiENBcCWCSy7SYF1sTN&#10;drMGXpX8tkP1C1BLAwQUAAAACACHTuJAafz6BokCAAAOBQAADgAAAGRycy9lMm9Eb2MueG1srVTN&#10;bhMxEL4j8Q6W73STNJukUTcoNApCKrRSQZwdrze7kv+wnZ/yGIgDN468A8+DEI/BZ++2TVsOPXDZ&#10;nfGMv/H3ecanL/dKkq1wvjG6oP2jHiVCc1M2el3QD++XLyaU+MB0yaTRoqDXwtOXs+fPTnd2Kgam&#10;NrIUjgBE++nOFrQOwU6zzPNaKOaPjBUawco4xQJct85Kx3ZAVzIb9HqjbGdcaZ3hwnusLtog7RDd&#10;UwBNVTVcLAzfKKFDi+qEZAGUfN1YT2fptFUleLioKi8CkQUF05C+KAJ7Fb/Z7JRN147ZuuHdEdhT&#10;jvCAk2KNRtFbqAULjGxc8whKNdwZb6pwxI3KWiJJEbDo9x5oc1UzKxIXSO3trej+/8Hyd9tLR5qy&#10;oANIopnCjf/6+fXPjy+/v30nWINAO+unyLuyl67zPMzIdl85Ff/gQfYFzQcn+UkPONcFPZ5MRpPj&#10;vBVY7APhSBjn+SinhCPemsDL7mCs8+G1MIpEo6DoQpcnVdn23Ic29yYnlvVGNuWykTI5br06k45s&#10;Ga56uJz0Xy1iccDfS5Oa7EA2H8ZzcoYGrtA4MJWFCF6vKWFyjcngwaXa93b7wyLH41HvZJCS5Ea9&#10;NWVbe5z3gN2VbvMfHyPSWDBft1tSjW6L1MiOkrciR2tlymvckjNt+3rLlw32nzMfLplDv4IKJjpc&#10;4FNJA36msyipjfv8r/WYjzZClJId+h/cP22YE5TINxoNdtIfDgEbkjPMx7E93GFkdRjRG3VmoHsf&#10;b4flyYz5Qd6YlTPqIwZ/HqsixDRH7VblzjkL7Vzi6eBiPk9pGBLLwrm+sjyCx3vWZr4JpmpSP9yp&#10;04mGMUlidyMd5/DQT1l3z9js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C/T5fDYAAAACwEAAA8A&#10;AAAAAAAAAQAgAAAAIgAAAGRycy9kb3ducmV2LnhtbFBLAQIUABQAAAAIAIdO4kBp/PoGiQIAAA4F&#10;AAAOAAAAAAAAAAEAIAAAACcBAABkcnMvZTJvRG9jLnhtbFBLBQYAAAAABgAGAFkBAAAiBgAAAAA=&#10;" path="m0,28863l28863,28863,37782,0,46701,28863,75564,28863,52213,46701,61133,75564,37782,57726,14431,75564,23351,46701xe">
                <v:path o:connectlocs="37782,0;0,28863;14431,75564;61133,75564;75564,28863" o:connectangles="247,164,82,82,0"/>
                <v:fill on="t" focussize="0,0"/>
                <v:stroke weight="2pt" color="#376092 [2404]" joinstyle="round"/>
                <v:imagedata o:title=""/>
                <o:lock v:ext="edit" aspectratio="f"/>
              </v:shape>
            </w:pict>
          </mc:Fallback>
        </mc:AlternateContent>
      </w:r>
      <w:r>
        <w:drawing>
          <wp:inline distT="0" distB="0" distL="114300" distR="114300">
            <wp:extent cx="7324725" cy="4923790"/>
            <wp:effectExtent l="0" t="0" r="9525" b="10160"/>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64"/>
                    <a:stretch>
                      <a:fillRect/>
                    </a:stretch>
                  </pic:blipFill>
                  <pic:spPr>
                    <a:xfrm>
                      <a:off x="0" y="0"/>
                      <a:ext cx="7324725" cy="4923790"/>
                    </a:xfrm>
                    <a:prstGeom prst="rect">
                      <a:avLst/>
                    </a:prstGeom>
                    <a:noFill/>
                    <a:ln>
                      <a:noFill/>
                    </a:ln>
                  </pic:spPr>
                </pic:pic>
              </a:graphicData>
            </a:graphic>
          </wp:inline>
        </w:drawing>
      </w:r>
    </w:p>
    <w:p w14:paraId="72342730">
      <w:pPr>
        <w:pStyle w:val="2"/>
        <w:bidi w:val="0"/>
        <w:rPr>
          <w:rFonts w:hint="default" w:ascii="Times New Roman" w:hAnsi="Times New Roman" w:cs="Times New Roman"/>
          <w:lang w:val="en-US" w:eastAsia="zh-CN"/>
        </w:rPr>
      </w:pPr>
      <w:r>
        <w:rPr>
          <w:rFonts w:hint="default" w:ascii="Times New Roman" w:hAnsi="Times New Roman" w:cs="Times New Roman"/>
          <w:lang w:val="en-US" w:eastAsia="zh-CN"/>
        </w:rPr>
        <w:t>附图</w:t>
      </w:r>
      <w:r>
        <w:rPr>
          <w:rFonts w:hint="eastAsia" w:cs="Times New Roman"/>
          <w:lang w:val="en-US" w:eastAsia="zh-CN"/>
        </w:rPr>
        <w:t>3</w:t>
      </w:r>
      <w:r>
        <w:rPr>
          <w:rFonts w:hint="default" w:ascii="Times New Roman" w:hAnsi="Times New Roman" w:cs="Times New Roman"/>
          <w:lang w:val="en-US" w:eastAsia="zh-CN"/>
        </w:rPr>
        <w:t>环境敏感目标图</w:t>
      </w:r>
    </w:p>
    <w:p w14:paraId="13B2917E">
      <w:pPr>
        <w:ind w:left="0" w:leftChars="0" w:firstLine="0" w:firstLineChars="0"/>
        <w:jc w:val="center"/>
      </w:pPr>
      <w:r>
        <w:rPr>
          <w:sz w:val="24"/>
        </w:rPr>
        <mc:AlternateContent>
          <mc:Choice Requires="wps">
            <w:drawing>
              <wp:anchor distT="0" distB="0" distL="114300" distR="114300" simplePos="0" relativeHeight="251667456" behindDoc="0" locked="0" layoutInCell="1" allowOverlap="1">
                <wp:simplePos x="0" y="0"/>
                <wp:positionH relativeFrom="column">
                  <wp:posOffset>354965</wp:posOffset>
                </wp:positionH>
                <wp:positionV relativeFrom="paragraph">
                  <wp:posOffset>4596130</wp:posOffset>
                </wp:positionV>
                <wp:extent cx="146685" cy="75565"/>
                <wp:effectExtent l="12700" t="12700" r="31115" b="26035"/>
                <wp:wrapNone/>
                <wp:docPr id="30" name="矩形 30"/>
                <wp:cNvGraphicFramePr/>
                <a:graphic xmlns:a="http://schemas.openxmlformats.org/drawingml/2006/main">
                  <a:graphicData uri="http://schemas.microsoft.com/office/word/2010/wordprocessingShape">
                    <wps:wsp>
                      <wps:cNvSpPr/>
                      <wps:spPr>
                        <a:xfrm>
                          <a:off x="0" y="0"/>
                          <a:ext cx="146685" cy="75565"/>
                        </a:xfrm>
                        <a:prstGeom prst="rect">
                          <a:avLst/>
                        </a:pr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95pt;margin-top:361.9pt;height:5.95pt;width:11.55pt;z-index:251667456;v-text-anchor:middle;mso-width-relative:page;mso-height-relative:page;" filled="f" stroked="t" coordsize="21600,21600" o:gfxdata="UEsDBAoAAAAAAIdO4kAAAAAAAAAAAAAAAAAEAAAAZHJzL1BLAwQUAAAACACHTuJA4gsc3NkAAAAJ&#10;AQAADwAAAGRycy9kb3ducmV2LnhtbE2Py27CMBBF95X6D9ZU6q44IaSBNA5SkVggsQH6ASaeJhH2&#10;OIrNo/36TlewGo3m6M651fLmrLjgGHpPCtJJAgKp8aanVsHXYf02BxGiJqOtJ1TwgwGW9fNTpUvj&#10;r7TDyz62gkMolFpBF+NQShmaDp0OEz8g8e3bj05HXsdWmlFfOdxZOU2Sd+l0T/yh0wOuOmxO+7NT&#10;MJjf02q33c5Gl81sup5vPlPcKPX6kiYfICLe4h2Gf31Wh5qdjv5MJgirIM8XTCoophlXYKBYcLcj&#10;zywvQNaVfGxQ/wFQSwMEFAAAAAgAh07iQB8BnrJeAgAAtAQAAA4AAABkcnMvZTJvRG9jLnhtbK1U&#10;S44TMRDdI3EHy3umk5BkhiidUZQoCGnEjBQQa8dtp1vyD9tJZ7gMEjsOwXEQ1+DZ3fNhYDELsnCq&#10;XOVXfs9VPb88aUWOwofGmpIOzwaUCMNt1Zh9ST9+2Ly6oCREZiqmrBElvRWBXi5evpi3biZGtraq&#10;Ep4AxIRZ60pax+hmRRF4LTQLZ9YJg6C0XrMI1++LyrMW6FoVo8FgWrTWV85bLkLA7roL0h7RPwfQ&#10;Stlwsbb8oIWJHaoXikVQCnXjAl3k20opeLyWMohIVEnBNOYVRWDv0los5my298zVDe+vwJ5zhSec&#10;NGsMit5DrVlk5OCbv6B0w70NVsYzbnXREcmKgMVw8ESbbc2cyFwgdXD3oof/B8vfH288aaqSvoYk&#10;hmm8+K+v33/++EawAXVaF2ZI2rob33sBZqJ6kl6nf5Agp6zo7b2i4hQJx+ZwPJ1eTCjhCJ1PJtNJ&#10;giwezjof4lthNUlGST3eK8vIjlchdql3KamUsZtGKeyzmTKkLeloMh7g3pyhESUaAKZ2IBPMnhKm&#10;9uhwHn2GDFY1VTqeTge/362UJ0eGvtjgB5Su3B9pqfaahbrLy6E+TRnwSNp0aiRrZ6tbaOlt12TB&#10;8U2D81csxBvm0VW4KOYuXmORyuL2trcoqa3/8q/9lI/HRpSSFl0KZp8PzAtK1DuDNngzHI8BG7Mz&#10;npyP4PjHkd3jiDnolQXhISbc8Wym/KjuTOmt/oTxXKaqCDHDUbvTsHdWsZseDDgXy2VOQys7Fq/M&#10;1vEE3r3U8hCtbPIjPqjTi4Zmzm3QD16alsd+znr42C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OILHNzZAAAACQEAAA8AAAAAAAAAAQAgAAAAIgAAAGRycy9kb3ducmV2LnhtbFBLAQIUABQAAAAI&#10;AIdO4kAfAZ6yXgIAALQEAAAOAAAAAAAAAAEAIAAAACgBAABkcnMvZTJvRG9jLnhtbFBLBQYAAAAA&#10;BgAGAFkBAAD4BQAAAAA=&#10;">
                <v:fill on="f" focussize="0,0"/>
                <v:stroke weight="2pt" color="#FFFF00 [2404]" joinstyle="round"/>
                <v:imagedata o:title=""/>
                <o:lock v:ext="edit" aspectratio="f"/>
              </v:rect>
            </w:pict>
          </mc:Fallback>
        </mc:AlternateContent>
      </w:r>
      <w:r>
        <w:rPr>
          <w:sz w:val="24"/>
        </w:rPr>
        <mc:AlternateContent>
          <mc:Choice Requires="wps">
            <w:drawing>
              <wp:anchor distT="0" distB="0" distL="114300" distR="114300" simplePos="0" relativeHeight="251666432" behindDoc="0" locked="0" layoutInCell="1" allowOverlap="1">
                <wp:simplePos x="0" y="0"/>
                <wp:positionH relativeFrom="column">
                  <wp:posOffset>373380</wp:posOffset>
                </wp:positionH>
                <wp:positionV relativeFrom="paragraph">
                  <wp:posOffset>4399915</wp:posOffset>
                </wp:positionV>
                <wp:extent cx="146685" cy="75565"/>
                <wp:effectExtent l="12700" t="12700" r="31115" b="26035"/>
                <wp:wrapNone/>
                <wp:docPr id="29" name="矩形 29"/>
                <wp:cNvGraphicFramePr/>
                <a:graphic xmlns:a="http://schemas.openxmlformats.org/drawingml/2006/main">
                  <a:graphicData uri="http://schemas.microsoft.com/office/word/2010/wordprocessingShape">
                    <wps:wsp>
                      <wps:cNvSpPr/>
                      <wps:spPr>
                        <a:xfrm>
                          <a:off x="0" y="0"/>
                          <a:ext cx="146685" cy="75565"/>
                        </a:xfrm>
                        <a:prstGeom prst="rect">
                          <a:avLst/>
                        </a:prstGeom>
                        <a:noFill/>
                        <a:ln>
                          <a:solidFill>
                            <a:srgbClr val="00FF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4pt;margin-top:346.45pt;height:5.95pt;width:11.55pt;z-index:251666432;v-text-anchor:middle;mso-width-relative:page;mso-height-relative:page;" filled="f" stroked="t" coordsize="21600,21600" o:gfxdata="UEsDBAoAAAAAAIdO4kAAAAAAAAAAAAAAAAAEAAAAZHJzL1BLAwQUAAAACACHTuJAZT1ODtgAAAAJ&#10;AQAADwAAAGRycy9kb3ducmV2LnhtbE2Py07DQAxF90j8w8hIbBCdJColDZlUIlJVNl2k8AHTjEki&#10;Mp4o4z74e8wKVpblq+Nzy83Vj+qMcxwCGUgXCSikNriBOgMf79vHHFRkS86OgdDAN0bYVLc3pS1c&#10;uFCD5wN3SiAUC2ugZ54KrWPbo7dxESYkuX2G2VuWde60m+1F4H7UWZKstLcDyYfeTlj32H4dTt7A&#10;U7Mf3h62XVMvdxx32SvXbdwbc3+XJi+gGK/8F4ZffVGHSpyO4UQuqlEYuZizgdU6W4OSQJ7KPBp4&#10;TpY56KrU/xtUP1BLAwQUAAAACACHTuJA0bRxaF4CAAC0BAAADgAAAGRycy9lMm9Eb2MueG1srVTN&#10;bhMxEL4j8Q6W73STKEnbqJsqShSEVNFKBXF2vHZ2Jf9hO9mUl0HixkPwOIjX4LN3m5TCoQcumxnP&#10;+Jv5Ps/k6vqgFdkLHxprSjo8G1AiDLdVY7Yl/fhh/eaCkhCZqZiyRpT0QQR6PX/96qp1MzGytVWV&#10;8AQgJsxaV9I6RjcrisBroVk4s04YBKX1mkW4fltUnrVA16oYDQbTorW+ct5yEQJOV12Q9oj+JYBW&#10;yoaLleU7LUzsUL1QLIJSqBsX6Dx3K6Xg8VbKICJRJQXTmL8oAnuTvsX8is22nrm64X0L7CUtPOOk&#10;WWNQ9Ai1YpGRnW/+gtIN9zZYGc+41UVHJCsCFsPBM23ua+ZE5gKpgzuKHv4fLH+/v/OkqUo6uqTE&#10;MI0X//X1+88f3wgOoE7rwgxJ9+7O916AmagepNfpFyTIISv6cFRUHCLhOByOp9OLCSUcofPJZDpJ&#10;kMXprvMhvhVWk2SU1OO9soxsfxNil/qYkkoZu26UwjmbKUNaND0ZD/CUnGEQJQYApnYgE8yWEqa2&#10;mHAefYYMVjVVup5uB7/dLJUne5bmYrBeA6Ur90daqr1ioe7ycqhPUwY8kjadGsna2OoBWnrbDVlw&#10;fN3g/g0L8Y55TBUaxd7FW3yksuje9hYltfVf/nWe8vHYiFLSYkrB7POOeUGJemcwBpfD8TiNdXbG&#10;k/MRHP80snkaMTu9tCA8xIY7ns2UH9WjKb3Vn7Cei1QVIWY4anca9s4ydtuDBedischpGGXH4o25&#10;dzyBdy+12EUrm/yIJ3V60TDMeQz6xUvb8tTPWac/m/l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T1ODtgAAAAJAQAADwAAAAAAAAABACAAAAAiAAAAZHJzL2Rvd25yZXYueG1sUEsBAhQAFAAAAAgA&#10;h07iQNG0cWheAgAAtAQAAA4AAAAAAAAAAQAgAAAAJwEAAGRycy9lMm9Eb2MueG1sUEsFBgAAAAAG&#10;AAYAWQEAAPcFAAAAAA==&#10;">
                <v:fill on="f" focussize="0,0"/>
                <v:stroke weight="2pt" color="#00FF00 [2404]" joinstyle="round"/>
                <v:imagedata o:title=""/>
                <o:lock v:ext="edit" aspectratio="f"/>
              </v:rect>
            </w:pict>
          </mc:Fallback>
        </mc:AlternateContent>
      </w:r>
      <w:r>
        <w:rPr>
          <w:sz w:val="24"/>
        </w:rPr>
        <mc:AlternateContent>
          <mc:Choice Requires="wps">
            <w:drawing>
              <wp:anchor distT="0" distB="0" distL="114300" distR="114300" simplePos="0" relativeHeight="251665408" behindDoc="0" locked="0" layoutInCell="1" allowOverlap="1">
                <wp:simplePos x="0" y="0"/>
                <wp:positionH relativeFrom="column">
                  <wp:posOffset>361315</wp:posOffset>
                </wp:positionH>
                <wp:positionV relativeFrom="paragraph">
                  <wp:posOffset>4191000</wp:posOffset>
                </wp:positionV>
                <wp:extent cx="146685" cy="75565"/>
                <wp:effectExtent l="12700" t="12700" r="31115" b="26035"/>
                <wp:wrapNone/>
                <wp:docPr id="28" name="矩形 28"/>
                <wp:cNvGraphicFramePr/>
                <a:graphic xmlns:a="http://schemas.openxmlformats.org/drawingml/2006/main">
                  <a:graphicData uri="http://schemas.microsoft.com/office/word/2010/wordprocessingShape">
                    <wps:wsp>
                      <wps:cNvSpPr/>
                      <wps:spPr>
                        <a:xfrm>
                          <a:off x="0" y="0"/>
                          <a:ext cx="146685" cy="75565"/>
                        </a:xfrm>
                        <a:prstGeom prst="rect">
                          <a:avLst/>
                        </a:prstGeom>
                        <a:noFill/>
                        <a:ln>
                          <a:solidFill>
                            <a:srgbClr val="0000A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45pt;margin-top:330pt;height:5.95pt;width:11.55pt;z-index:251665408;v-text-anchor:middle;mso-width-relative:page;mso-height-relative:page;" filled="f" stroked="t" coordsize="21600,21600" o:gfxdata="UEsDBAoAAAAAAIdO4kAAAAAAAAAAAAAAAAAEAAAAZHJzL1BLAwQUAAAACACHTuJAH1zOB9cAAAAJ&#10;AQAADwAAAGRycy9kb3ducmV2LnhtbE2PwU7DMBBE70j8g7VI3KgdBKENcXoAipQLgsIHuPGSBOJ1&#10;FDup+Xu2Jzitdmc0+6bcJjeIBafQe9KQrRQIpMbbnloNH++7qzWIEA1ZM3hCDT8YYFudn5WmsP5I&#10;b7jsYys4hEJhNHQxjoWUoenQmbDyIxJrn35yJvI6tdJO5sjhbpDXSuXSmZ74Q2dGfOiw+d7PTkP9&#10;1IS63t349Pr1mMycXsbledb68iJT9yAipvhnhhM+o0PFTAc/kw1i0HCbb9ipIc8Vd2LD+jQPfLjL&#10;NiCrUv5vUP0CUEsDBBQAAAAIAIdO4kDdnoWaXgIAALQEAAAOAAAAZHJzL2Uyb0RvYy54bWytVM1u&#10;EzEQviPxDpbvdJMoSUvUTRU1KkKqaKWCODteO2vJf9hONuVlkLjxEDxOxWvw2bv9oXDogRycsWc8&#10;nu+bb/b07GA02YsQlbM1HR+NKBGWu0bZbU0/fbx4c0JJTMw2TDsranorIj1bvn512vmFmLjW6UYE&#10;giQ2Ljpf0zYlv6iqyFthWDxyXlg4pQuGJWzDtmoC65Dd6GoyGs2rzoXGB8dFjDhd9046ZAwvSeik&#10;VFysHd8ZYVOfNQjNEiDFVvlIl6VaKQVPV1JGkYiuKZCmsuIR2Ju8VstTttgG5lvFhxLYS0p4hskw&#10;ZfHoQ6o1S4zsgvorlVE8uOhkOuLOVD2QwghQjEfPuLlpmRcFC6iO/oH0+P/S8g/760BUU9MJ+m6Z&#10;Qcd/fftx9/M7wQHY6XxcIOjGX4dhF2FmqAcZTP4HCHIojN4+MCoOiXAcjqfz+cmMEg7X8Ww2n+WU&#10;1eNdH2J6J5wh2ahpQL8KjWx/GVMfeh+Sn7LuQmmNc7bQlnQoejYdoZWcQYgSAoBpPMBEu6WE6S0U&#10;zlMoKaPTqsnX8+0YtptzHcieZV3gtypSQGV/hOW31yy2fVxxDQC0BY7MTc9GtjauuQWXwfUii55f&#10;KNy/ZDFdswBVoVDMXbrCIrVD9W6wKGld+Pqv8xyPZsNLSQeVAtmXHQuCEv3eQgZvx9NplnXZTGfH&#10;E2zCU8/mqcfuzLkD4DEm3PNi5vik700ZnPmM8VzlV+FiluPtnsNhc5766cGAc7FalTBI2bN0aW88&#10;z8n7Tq12yUlVmvjIzkAaxFxkMAxenpan+xL1+LFZ/g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f&#10;XM4H1wAAAAkBAAAPAAAAAAAAAAEAIAAAACIAAABkcnMvZG93bnJldi54bWxQSwECFAAUAAAACACH&#10;TuJA3Z6Fml4CAAC0BAAADgAAAAAAAAABACAAAAAmAQAAZHJzL2Uyb0RvYy54bWxQSwUGAAAAAAYA&#10;BgBZAQAA9gUAAAAA&#10;">
                <v:fill on="f" focussize="0,0"/>
                <v:stroke weight="2pt" color="#0000A0 [2404]" joinstyle="round"/>
                <v:imagedata o:title=""/>
                <o:lock v:ext="edit" aspectratio="f"/>
              </v:rect>
            </w:pict>
          </mc:Fallback>
        </mc:AlternateContent>
      </w:r>
      <w:r>
        <w:rPr>
          <w:sz w:val="24"/>
        </w:rPr>
        <mc:AlternateContent>
          <mc:Choice Requires="wps">
            <w:drawing>
              <wp:anchor distT="0" distB="0" distL="114300" distR="114300" simplePos="0" relativeHeight="251664384" behindDoc="0" locked="0" layoutInCell="1" allowOverlap="1">
                <wp:simplePos x="0" y="0"/>
                <wp:positionH relativeFrom="column">
                  <wp:posOffset>361950</wp:posOffset>
                </wp:positionH>
                <wp:positionV relativeFrom="paragraph">
                  <wp:posOffset>4021455</wp:posOffset>
                </wp:positionV>
                <wp:extent cx="146685" cy="75565"/>
                <wp:effectExtent l="12700" t="12700" r="31115" b="26035"/>
                <wp:wrapNone/>
                <wp:docPr id="26" name="矩形 26"/>
                <wp:cNvGraphicFramePr/>
                <a:graphic xmlns:a="http://schemas.openxmlformats.org/drawingml/2006/main">
                  <a:graphicData uri="http://schemas.microsoft.com/office/word/2010/wordprocessingShape">
                    <wps:wsp>
                      <wps:cNvSpPr/>
                      <wps:spPr>
                        <a:xfrm>
                          <a:off x="1390650" y="4836160"/>
                          <a:ext cx="146685" cy="75565"/>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5pt;margin-top:316.65pt;height:5.95pt;width:11.55pt;z-index:251664384;v-text-anchor:middle;mso-width-relative:page;mso-height-relative:page;" filled="f" stroked="t" coordsize="21600,21600" o:gfxdata="UEsDBAoAAAAAAIdO4kAAAAAAAAAAAAAAAAAEAAAAZHJzL1BLAwQUAAAACACHTuJAkDNc6tkAAAAJ&#10;AQAADwAAAGRycy9kb3ducmV2LnhtbE2PwU7DMAyG70i8Q2QkLoglXVmpStNJTGIHDkgMLtzSxrTV&#10;Gqdq0nW8PebEjrZ/ff7+cnt2gzjhFHpPGpKVAoHUeNtTq+Hz4+U+BxGiIWsGT6jhBwNsq+ur0hTW&#10;L/SOp0NsBUMoFEZDF+NYSBmaDp0JKz8i8e3bT85EHqdW2sksDHeDXCuVSWd64g+dGXHXYXM8zE5D&#10;vf+advlzuo/zXcboY/uKb4vWtzeJegIR8Rz/w/Cnz+pQsVPtZ7JBDBo2j1wlasjSNAXBgVwlIGpe&#10;PGzWIKtSXjaofgFQSwMEFAAAAAgAh07iQCdh75hqAgAAwAQAAA4AAABkcnMvZTJvRG9jLnhtbK1U&#10;S27bMBDdF+gdCO4byY6lJEbkwIjhokDQBEiLrmmKtATwV5K2nF6mQHc9RI9T9Bp9lJRP0y6yqBf0&#10;DGf4hu9xRucXB63IXvjQWlPRyVFOiTDc1q3ZVvTjh/WbU0pCZKZmyhpR0TsR6MXi9avzzs3F1DZW&#10;1cITgJgw71xFmxjdPMsCb4Rm4cg6YRCU1msW4fptVnvWAV2rbJrnZdZZXztvuQgBu6shSEdE/xJA&#10;K2XLxcrynRYmDqheKBZBKTStC3TR31ZKweO1lEFEoioKprFfUQT2Jq3Z4pzNt565puXjFdhLrvCM&#10;k2atQdEHqBWLjOx8+xeUbrm3wcp4xK3OBiK9ImAxyZ9pc9swJ3oukDq4B9HD/4Pl7/c3nrR1Racl&#10;JYZpvPivr99//vhGsAF1OhfmSLp1N370AsxE9SC9Tv8gQQ7opOOzvCyg611FZ6fH5aQc1RWHSHhK&#10;mJXlaUEJR8JJUZRFgs8ecZwP8a2wmiSjoh5v10vK9lchDqn3KamssetWKeyzuTKkA4FilqM8Z2hK&#10;iWaAqR2IBbOlhKktup1H30MGq9o6HU+ng99uLpUne4YeWa9z/Mab/ZGWaq9YaIa8PjSmKQMeSadB&#10;mWRtbH0HXb0dGi44vm5x/oqFeMM8OgwXxQzGayxSWdzejhYljfVf/rWf8vHwiFLSoWPB7POOeUGJ&#10;emfQEmeT2QywsXdmxckUjn8a2TyNmJ2+tCA8wbQ73pspP6p7U3qrP2FUl6kqQsxw1B40HJ3LOEwS&#10;hp2L5bJPQ1s7Fq/MreMJfHip5S5a2faP+KjOKBoau2+DcQjT5Dz1+6zHD8/i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JAzXOrZAAAACQEAAA8AAAAAAAAAAQAgAAAAIgAAAGRycy9kb3ducmV2Lnht&#10;bFBLAQIUABQAAAAIAIdO4kAnYe+YagIAAMAEAAAOAAAAAAAAAAEAIAAAACgBAABkcnMvZTJvRG9j&#10;LnhtbFBLBQYAAAAABgAGAFkBAAAEBgAAAAA=&#10;">
                <v:fill on="f" focussize="0,0"/>
                <v:stroke weight="2pt" color="#FF0000 [2404]" joinstyle="round"/>
                <v:imagedata o:title=""/>
                <o:lock v:ext="edit" aspectratio="f"/>
              </v:rect>
            </w:pict>
          </mc:Fallback>
        </mc:AlternateContent>
      </w:r>
      <w:r>
        <w:rPr>
          <w:sz w:val="24"/>
        </w:rPr>
        <mc:AlternateContent>
          <mc:Choice Requires="wps">
            <w:drawing>
              <wp:anchor distT="0" distB="0" distL="114300" distR="114300" simplePos="0" relativeHeight="251663360" behindDoc="0" locked="0" layoutInCell="1" allowOverlap="1">
                <wp:simplePos x="0" y="0"/>
                <wp:positionH relativeFrom="column">
                  <wp:posOffset>256540</wp:posOffset>
                </wp:positionH>
                <wp:positionV relativeFrom="paragraph">
                  <wp:posOffset>3638550</wp:posOffset>
                </wp:positionV>
                <wp:extent cx="1331595" cy="1274445"/>
                <wp:effectExtent l="4445" t="4445" r="16510" b="16510"/>
                <wp:wrapNone/>
                <wp:docPr id="25" name="文本框 25"/>
                <wp:cNvGraphicFramePr/>
                <a:graphic xmlns:a="http://schemas.openxmlformats.org/drawingml/2006/main">
                  <a:graphicData uri="http://schemas.microsoft.com/office/word/2010/wordprocessingShape">
                    <wps:wsp>
                      <wps:cNvSpPr txBox="1"/>
                      <wps:spPr>
                        <a:xfrm>
                          <a:off x="1266190" y="4462780"/>
                          <a:ext cx="1331595" cy="1274445"/>
                        </a:xfrm>
                        <a:prstGeom prst="rect">
                          <a:avLst/>
                        </a:prstGeom>
                        <a:solidFill>
                          <a:schemeClr val="lt1"/>
                        </a:solidFill>
                        <a:ln w="6350">
                          <a:solidFill>
                            <a:srgbClr val="8A8729"/>
                          </a:solidFill>
                        </a:ln>
                      </wps:spPr>
                      <wps:style>
                        <a:lnRef idx="0">
                          <a:schemeClr val="accent1"/>
                        </a:lnRef>
                        <a:fillRef idx="0">
                          <a:schemeClr val="accent1"/>
                        </a:fillRef>
                        <a:effectRef idx="0">
                          <a:schemeClr val="accent1"/>
                        </a:effectRef>
                        <a:fontRef idx="minor">
                          <a:schemeClr val="dk1"/>
                        </a:fontRef>
                      </wps:style>
                      <wps:txbx>
                        <w:txbxContent>
                          <w:p w14:paraId="0834CF39">
                            <w:pPr>
                              <w:keepNext w:val="0"/>
                              <w:keepLines w:val="0"/>
                              <w:pageBreakBefore w:val="0"/>
                              <w:kinsoku/>
                              <w:wordWrap/>
                              <w:overflowPunct/>
                              <w:topLinePunct w:val="0"/>
                              <w:bidi w:val="0"/>
                              <w:adjustRightInd/>
                              <w:spacing w:line="360" w:lineRule="auto"/>
                              <w:ind w:left="0" w:leftChars="0" w:right="0" w:firstLine="0" w:firstLineChars="0"/>
                              <w:jc w:val="center"/>
                              <w:textAlignment w:val="auto"/>
                              <w:rPr>
                                <w:rFonts w:hint="eastAsia" w:eastAsia="宋体"/>
                                <w:lang w:val="en-US" w:eastAsia="zh-CN"/>
                              </w:rPr>
                            </w:pPr>
                            <w:r>
                              <w:rPr>
                                <w:rFonts w:hint="eastAsia"/>
                                <w:lang w:val="en-US" w:eastAsia="zh-CN"/>
                              </w:rPr>
                              <w:t>图例</w:t>
                            </w:r>
                          </w:p>
                          <w:p w14:paraId="2F7ED149">
                            <w:pPr>
                              <w:pStyle w:val="3"/>
                              <w:keepNext w:val="0"/>
                              <w:keepLines w:val="0"/>
                              <w:pageBreakBefore w:val="0"/>
                              <w:kinsoku/>
                              <w:wordWrap/>
                              <w:overflowPunct/>
                              <w:topLinePunct w:val="0"/>
                              <w:bidi w:val="0"/>
                              <w:adjustRightInd/>
                              <w:spacing w:beforeLines="0" w:afterLines="0" w:line="360" w:lineRule="auto"/>
                              <w:ind w:left="0" w:leftChars="0" w:right="0" w:firstLine="320" w:firstLineChars="200"/>
                              <w:textAlignment w:val="auto"/>
                              <w:rPr>
                                <w:rFonts w:hint="default" w:ascii="Times New Roman" w:hAnsi="Times New Roman" w:eastAsia="宋体" w:cs="Times New Roman"/>
                                <w:b w:val="0"/>
                                <w:kern w:val="0"/>
                                <w:sz w:val="16"/>
                                <w:szCs w:val="18"/>
                                <w:lang w:val="en-US" w:eastAsia="zh-CN" w:bidi="ar-SA"/>
                              </w:rPr>
                            </w:pPr>
                            <w:r>
                              <w:rPr>
                                <w:rFonts w:hint="eastAsia" w:ascii="Times New Roman" w:hAnsi="Times New Roman" w:eastAsia="宋体" w:cs="Times New Roman"/>
                                <w:b w:val="0"/>
                                <w:kern w:val="0"/>
                                <w:sz w:val="16"/>
                                <w:szCs w:val="18"/>
                                <w:lang w:val="en-US" w:eastAsia="zh-CN" w:bidi="ar-SA"/>
                              </w:rPr>
                              <w:t>项目厂界</w:t>
                            </w:r>
                          </w:p>
                          <w:p w14:paraId="1CAE1E70">
                            <w:pPr>
                              <w:pStyle w:val="4"/>
                              <w:keepNext w:val="0"/>
                              <w:keepLines w:val="0"/>
                              <w:pageBreakBefore w:val="0"/>
                              <w:kinsoku/>
                              <w:wordWrap/>
                              <w:overflowPunct/>
                              <w:topLinePunct w:val="0"/>
                              <w:bidi w:val="0"/>
                              <w:adjustRightInd/>
                              <w:spacing w:beforeLines="0" w:after="0" w:afterLines="0" w:line="360" w:lineRule="auto"/>
                              <w:ind w:left="0" w:leftChars="0" w:right="0" w:firstLine="320" w:firstLineChars="200"/>
                              <w:textAlignment w:val="auto"/>
                              <w:rPr>
                                <w:rFonts w:hint="default" w:ascii="Times New Roman" w:hAnsi="Times New Roman" w:eastAsia="宋体" w:cs="Times New Roman"/>
                                <w:b w:val="0"/>
                                <w:kern w:val="0"/>
                                <w:sz w:val="16"/>
                                <w:szCs w:val="18"/>
                                <w:lang w:val="en-US" w:eastAsia="zh-CN" w:bidi="ar-SA"/>
                              </w:rPr>
                            </w:pPr>
                            <w:r>
                              <w:rPr>
                                <w:rFonts w:hint="eastAsia" w:ascii="Times New Roman" w:hAnsi="Times New Roman" w:eastAsia="宋体" w:cs="Times New Roman"/>
                                <w:b w:val="0"/>
                                <w:kern w:val="0"/>
                                <w:sz w:val="16"/>
                                <w:szCs w:val="18"/>
                                <w:lang w:val="en-US" w:eastAsia="zh-CN" w:bidi="ar-SA"/>
                              </w:rPr>
                              <w:t>声环境保护范围</w:t>
                            </w:r>
                          </w:p>
                          <w:p w14:paraId="0C81F725">
                            <w:pPr>
                              <w:pStyle w:val="16"/>
                              <w:keepNext w:val="0"/>
                              <w:keepLines w:val="0"/>
                              <w:pageBreakBefore w:val="0"/>
                              <w:kinsoku/>
                              <w:wordWrap/>
                              <w:overflowPunct/>
                              <w:topLinePunct w:val="0"/>
                              <w:bidi w:val="0"/>
                              <w:adjustRightInd/>
                              <w:spacing w:before="0" w:after="0" w:line="360" w:lineRule="auto"/>
                              <w:ind w:left="0" w:leftChars="0" w:right="0" w:firstLine="320" w:firstLineChars="200"/>
                              <w:textAlignment w:val="auto"/>
                              <w:rPr>
                                <w:rFonts w:hint="default" w:eastAsia="宋体"/>
                                <w:sz w:val="16"/>
                                <w:szCs w:val="18"/>
                                <w:lang w:val="en-US" w:eastAsia="zh-CN"/>
                              </w:rPr>
                            </w:pPr>
                            <w:r>
                              <w:rPr>
                                <w:rFonts w:hint="eastAsia"/>
                                <w:sz w:val="16"/>
                                <w:szCs w:val="18"/>
                                <w:lang w:val="en-US" w:eastAsia="zh-CN"/>
                              </w:rPr>
                              <w:t>大气环境保护范围</w:t>
                            </w:r>
                          </w:p>
                          <w:p w14:paraId="246F4AA2">
                            <w:pPr>
                              <w:keepNext w:val="0"/>
                              <w:keepLines w:val="0"/>
                              <w:pageBreakBefore w:val="0"/>
                              <w:kinsoku/>
                              <w:wordWrap/>
                              <w:overflowPunct/>
                              <w:topLinePunct w:val="0"/>
                              <w:bidi w:val="0"/>
                              <w:adjustRightInd/>
                              <w:spacing w:line="360" w:lineRule="auto"/>
                              <w:ind w:left="0" w:leftChars="0" w:right="0" w:firstLine="320" w:firstLineChars="200"/>
                              <w:textAlignment w:val="auto"/>
                              <w:rPr>
                                <w:rFonts w:hint="default" w:ascii="Times New Roman" w:hAnsi="Times New Roman" w:eastAsia="宋体" w:cs="Times New Roman"/>
                                <w:kern w:val="0"/>
                                <w:sz w:val="16"/>
                                <w:szCs w:val="18"/>
                                <w:lang w:val="en-US" w:eastAsia="zh-CN" w:bidi="ar-SA"/>
                              </w:rPr>
                            </w:pPr>
                            <w:r>
                              <w:rPr>
                                <w:rFonts w:hint="eastAsia" w:ascii="Times New Roman" w:hAnsi="Times New Roman" w:eastAsia="宋体" w:cs="Times New Roman"/>
                                <w:kern w:val="0"/>
                                <w:sz w:val="16"/>
                                <w:szCs w:val="18"/>
                                <w:lang w:val="en-US" w:eastAsia="zh-CN" w:bidi="ar-SA"/>
                              </w:rPr>
                              <w:t>敏感点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2pt;margin-top:286.5pt;height:100.35pt;width:104.85pt;z-index:251663360;mso-width-relative:page;mso-height-relative:page;" fillcolor="#FFFFFF [3201]" filled="t" stroked="t" coordsize="21600,21600" o:gfxdata="UEsDBAoAAAAAAIdO4kAAAAAAAAAAAAAAAAAEAAAAZHJzL1BLAwQUAAAACACHTuJAySDQGtcAAAAK&#10;AQAADwAAAGRycy9kb3ducmV2LnhtbE2PwU7DMBBE70j8g7VI3KidtqlRyKZCCMQVSgVXN16SqPE6&#10;it2k/D3mRI+rfZp5U27PrhcTjaHzjJAtFAji2tuOG4T9x8vdPYgQDVvTeyaEHwqwra6vSlNYP/M7&#10;TbvYiBTCoTAIbYxDIWWoW3ImLPxAnH7ffnQmpnNspB3NnMJdL5dKbaQzHaeG1gz01FJ93J0cwuuR&#10;vkKr95/xrd5M2fP0KHM3I97eZOoBRKRz/IfhTz+pQ5WcDv7ENogeYa3WiUTI9SptSsAyVxmIA4LW&#10;Kw2yKuXlhOoXUEsDBBQAAAAIAIdO4kC9uKOpaAIAAMcEAAAOAAAAZHJzL2Uyb0RvYy54bWytVM1u&#10;2zAMvg/YOwi6r45d5xd1hqxFhgHFWqAbdlZkOTYgiZqkxO4eYHuDnXbZfc/V5xglO23a7tDDclAo&#10;8ctH8iOZs7edkmQvrGtAFzQ9GVEiNIey0duCfv60fjOjxHmmSyZBi4LeCkffLl+/OmvNQmRQgyyF&#10;JUii3aI1Ba29N4skcbwWirkTMEKjswKrmMer3SalZS2yK5lko9EkacGWxgIXzuHrRe+kA6N9CSFU&#10;VcPFBfCdEtr3rFZI5rEkVzfG0WXMtqoE91dV5YQnsqBYqY8nBkF7E85kecYWW8tM3fAhBfaSFJ7U&#10;pFijMeg91QXzjOxs84xKNdyCg8qfcFBJX0hUBKtIR0+0uamZEbEWlNqZe9Hd/6PlH/fXljRlQbMx&#10;JZop7Pjdzx93v/7c/f5O8A0Fao1bIO7GINJ376DDsTm8O3wMdXeVVeEbKyLBn00m6RxFvi1onk+y&#10;6WyQWnSe8AA4PU3HcwzJEZFm0zzPY6zkgcpY598LUCQYBbXYyygx2186j2kh9AAJkR3Iplw3UsaL&#10;3W7OpSV7hn1fx0/IGH/yCCY1aQs6OR2PIvMjnzummK1m02z+nAIJpUbeIFEvRbB8t+kG3TZQ3qJs&#10;FvrJc4avGyznkjl/zSyOGmqEy+iv8KgkYDYwWJTUYL/96z3gcQLQS0mLo1tQ93XHrKBEftA4G/M0&#10;z8Osx0s+nmZ4sceezbFH79Q5oEoprr3h0Qx4Lw9mZUF9wZ1dhajoYppj7IL6g3nu+4XCneditYog&#10;nG7D/KW+MTxQh55oWO08VE3sXZCp12ZQD+c79mfYxbBAx/eIevj/Wf4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SDQGtcAAAAKAQAADwAAAAAAAAABACAAAAAiAAAAZHJzL2Rvd25yZXYueG1sUEsB&#10;AhQAFAAAAAgAh07iQL24o6loAgAAxwQAAA4AAAAAAAAAAQAgAAAAJgEAAGRycy9lMm9Eb2MueG1s&#10;UEsFBgAAAAAGAAYAWQEAAAAGAAAAAA==&#10;">
                <v:fill on="t" focussize="0,0"/>
                <v:stroke weight="0.5pt" color="#8A8729 [3204]" joinstyle="round"/>
                <v:imagedata o:title=""/>
                <o:lock v:ext="edit" aspectratio="f"/>
                <v:textbox>
                  <w:txbxContent>
                    <w:p w14:paraId="0834CF39">
                      <w:pPr>
                        <w:keepNext w:val="0"/>
                        <w:keepLines w:val="0"/>
                        <w:pageBreakBefore w:val="0"/>
                        <w:kinsoku/>
                        <w:wordWrap/>
                        <w:overflowPunct/>
                        <w:topLinePunct w:val="0"/>
                        <w:bidi w:val="0"/>
                        <w:adjustRightInd/>
                        <w:spacing w:line="360" w:lineRule="auto"/>
                        <w:ind w:left="0" w:leftChars="0" w:right="0" w:firstLine="0" w:firstLineChars="0"/>
                        <w:jc w:val="center"/>
                        <w:textAlignment w:val="auto"/>
                        <w:rPr>
                          <w:rFonts w:hint="eastAsia" w:eastAsia="宋体"/>
                          <w:lang w:val="en-US" w:eastAsia="zh-CN"/>
                        </w:rPr>
                      </w:pPr>
                      <w:r>
                        <w:rPr>
                          <w:rFonts w:hint="eastAsia"/>
                          <w:lang w:val="en-US" w:eastAsia="zh-CN"/>
                        </w:rPr>
                        <w:t>图例</w:t>
                      </w:r>
                    </w:p>
                    <w:p w14:paraId="2F7ED149">
                      <w:pPr>
                        <w:pStyle w:val="3"/>
                        <w:keepNext w:val="0"/>
                        <w:keepLines w:val="0"/>
                        <w:pageBreakBefore w:val="0"/>
                        <w:kinsoku/>
                        <w:wordWrap/>
                        <w:overflowPunct/>
                        <w:topLinePunct w:val="0"/>
                        <w:bidi w:val="0"/>
                        <w:adjustRightInd/>
                        <w:spacing w:beforeLines="0" w:afterLines="0" w:line="360" w:lineRule="auto"/>
                        <w:ind w:left="0" w:leftChars="0" w:right="0" w:firstLine="320" w:firstLineChars="200"/>
                        <w:textAlignment w:val="auto"/>
                        <w:rPr>
                          <w:rFonts w:hint="default" w:ascii="Times New Roman" w:hAnsi="Times New Roman" w:eastAsia="宋体" w:cs="Times New Roman"/>
                          <w:b w:val="0"/>
                          <w:kern w:val="0"/>
                          <w:sz w:val="16"/>
                          <w:szCs w:val="18"/>
                          <w:lang w:val="en-US" w:eastAsia="zh-CN" w:bidi="ar-SA"/>
                        </w:rPr>
                      </w:pPr>
                      <w:r>
                        <w:rPr>
                          <w:rFonts w:hint="eastAsia" w:ascii="Times New Roman" w:hAnsi="Times New Roman" w:eastAsia="宋体" w:cs="Times New Roman"/>
                          <w:b w:val="0"/>
                          <w:kern w:val="0"/>
                          <w:sz w:val="16"/>
                          <w:szCs w:val="18"/>
                          <w:lang w:val="en-US" w:eastAsia="zh-CN" w:bidi="ar-SA"/>
                        </w:rPr>
                        <w:t>项目厂界</w:t>
                      </w:r>
                    </w:p>
                    <w:p w14:paraId="1CAE1E70">
                      <w:pPr>
                        <w:pStyle w:val="4"/>
                        <w:keepNext w:val="0"/>
                        <w:keepLines w:val="0"/>
                        <w:pageBreakBefore w:val="0"/>
                        <w:kinsoku/>
                        <w:wordWrap/>
                        <w:overflowPunct/>
                        <w:topLinePunct w:val="0"/>
                        <w:bidi w:val="0"/>
                        <w:adjustRightInd/>
                        <w:spacing w:beforeLines="0" w:after="0" w:afterLines="0" w:line="360" w:lineRule="auto"/>
                        <w:ind w:left="0" w:leftChars="0" w:right="0" w:firstLine="320" w:firstLineChars="200"/>
                        <w:textAlignment w:val="auto"/>
                        <w:rPr>
                          <w:rFonts w:hint="default" w:ascii="Times New Roman" w:hAnsi="Times New Roman" w:eastAsia="宋体" w:cs="Times New Roman"/>
                          <w:b w:val="0"/>
                          <w:kern w:val="0"/>
                          <w:sz w:val="16"/>
                          <w:szCs w:val="18"/>
                          <w:lang w:val="en-US" w:eastAsia="zh-CN" w:bidi="ar-SA"/>
                        </w:rPr>
                      </w:pPr>
                      <w:r>
                        <w:rPr>
                          <w:rFonts w:hint="eastAsia" w:ascii="Times New Roman" w:hAnsi="Times New Roman" w:eastAsia="宋体" w:cs="Times New Roman"/>
                          <w:b w:val="0"/>
                          <w:kern w:val="0"/>
                          <w:sz w:val="16"/>
                          <w:szCs w:val="18"/>
                          <w:lang w:val="en-US" w:eastAsia="zh-CN" w:bidi="ar-SA"/>
                        </w:rPr>
                        <w:t>声环境保护范围</w:t>
                      </w:r>
                    </w:p>
                    <w:p w14:paraId="0C81F725">
                      <w:pPr>
                        <w:pStyle w:val="16"/>
                        <w:keepNext w:val="0"/>
                        <w:keepLines w:val="0"/>
                        <w:pageBreakBefore w:val="0"/>
                        <w:kinsoku/>
                        <w:wordWrap/>
                        <w:overflowPunct/>
                        <w:topLinePunct w:val="0"/>
                        <w:bidi w:val="0"/>
                        <w:adjustRightInd/>
                        <w:spacing w:before="0" w:after="0" w:line="360" w:lineRule="auto"/>
                        <w:ind w:left="0" w:leftChars="0" w:right="0" w:firstLine="320" w:firstLineChars="200"/>
                        <w:textAlignment w:val="auto"/>
                        <w:rPr>
                          <w:rFonts w:hint="default" w:eastAsia="宋体"/>
                          <w:sz w:val="16"/>
                          <w:szCs w:val="18"/>
                          <w:lang w:val="en-US" w:eastAsia="zh-CN"/>
                        </w:rPr>
                      </w:pPr>
                      <w:r>
                        <w:rPr>
                          <w:rFonts w:hint="eastAsia"/>
                          <w:sz w:val="16"/>
                          <w:szCs w:val="18"/>
                          <w:lang w:val="en-US" w:eastAsia="zh-CN"/>
                        </w:rPr>
                        <w:t>大气环境保护范围</w:t>
                      </w:r>
                    </w:p>
                    <w:p w14:paraId="246F4AA2">
                      <w:pPr>
                        <w:keepNext w:val="0"/>
                        <w:keepLines w:val="0"/>
                        <w:pageBreakBefore w:val="0"/>
                        <w:kinsoku/>
                        <w:wordWrap/>
                        <w:overflowPunct/>
                        <w:topLinePunct w:val="0"/>
                        <w:bidi w:val="0"/>
                        <w:adjustRightInd/>
                        <w:spacing w:line="360" w:lineRule="auto"/>
                        <w:ind w:left="0" w:leftChars="0" w:right="0" w:firstLine="320" w:firstLineChars="200"/>
                        <w:textAlignment w:val="auto"/>
                        <w:rPr>
                          <w:rFonts w:hint="default" w:ascii="Times New Roman" w:hAnsi="Times New Roman" w:eastAsia="宋体" w:cs="Times New Roman"/>
                          <w:kern w:val="0"/>
                          <w:sz w:val="16"/>
                          <w:szCs w:val="18"/>
                          <w:lang w:val="en-US" w:eastAsia="zh-CN" w:bidi="ar-SA"/>
                        </w:rPr>
                      </w:pPr>
                      <w:r>
                        <w:rPr>
                          <w:rFonts w:hint="eastAsia" w:ascii="Times New Roman" w:hAnsi="Times New Roman" w:eastAsia="宋体" w:cs="Times New Roman"/>
                          <w:kern w:val="0"/>
                          <w:sz w:val="16"/>
                          <w:szCs w:val="18"/>
                          <w:lang w:val="en-US" w:eastAsia="zh-CN" w:bidi="ar-SA"/>
                        </w:rPr>
                        <w:t>敏感点</w:t>
                      </w:r>
                    </w:p>
                  </w:txbxContent>
                </v:textbox>
              </v:shape>
            </w:pict>
          </mc:Fallback>
        </mc:AlternateContent>
      </w:r>
      <w:r>
        <w:drawing>
          <wp:anchor distT="0" distB="0" distL="114300" distR="114300" simplePos="0" relativeHeight="251679744" behindDoc="0" locked="0" layoutInCell="1" allowOverlap="1">
            <wp:simplePos x="0" y="0"/>
            <wp:positionH relativeFrom="column">
              <wp:posOffset>7941310</wp:posOffset>
            </wp:positionH>
            <wp:positionV relativeFrom="paragraph">
              <wp:posOffset>97790</wp:posOffset>
            </wp:positionV>
            <wp:extent cx="574675" cy="666750"/>
            <wp:effectExtent l="0" t="0" r="15875" b="0"/>
            <wp:wrapNone/>
            <wp:docPr id="8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2"/>
                    <pic:cNvPicPr>
                      <a:picLocks noChangeAspect="1"/>
                    </pic:cNvPicPr>
                  </pic:nvPicPr>
                  <pic:blipFill>
                    <a:blip r:embed="rId18"/>
                    <a:stretch>
                      <a:fillRect/>
                    </a:stretch>
                  </pic:blipFill>
                  <pic:spPr>
                    <a:xfrm>
                      <a:off x="0" y="0"/>
                      <a:ext cx="574675" cy="666750"/>
                    </a:xfrm>
                    <a:prstGeom prst="rect">
                      <a:avLst/>
                    </a:prstGeom>
                    <a:noFill/>
                    <a:ln>
                      <a:noFill/>
                    </a:ln>
                  </pic:spPr>
                </pic:pic>
              </a:graphicData>
            </a:graphic>
          </wp:anchor>
        </w:drawing>
      </w:r>
      <w:r>
        <w:rPr>
          <w:sz w:val="24"/>
        </w:rPr>
        <mc:AlternateContent>
          <mc:Choice Requires="wps">
            <w:drawing>
              <wp:anchor distT="0" distB="0" distL="114300" distR="114300" simplePos="0" relativeHeight="251668480" behindDoc="0" locked="0" layoutInCell="1" allowOverlap="1">
                <wp:simplePos x="0" y="0"/>
                <wp:positionH relativeFrom="column">
                  <wp:posOffset>3509645</wp:posOffset>
                </wp:positionH>
                <wp:positionV relativeFrom="paragraph">
                  <wp:posOffset>1567180</wp:posOffset>
                </wp:positionV>
                <wp:extent cx="806450" cy="292735"/>
                <wp:effectExtent l="0" t="0" r="0" b="0"/>
                <wp:wrapNone/>
                <wp:docPr id="31" name="文本框 31"/>
                <wp:cNvGraphicFramePr/>
                <a:graphic xmlns:a="http://schemas.openxmlformats.org/drawingml/2006/main">
                  <a:graphicData uri="http://schemas.microsoft.com/office/word/2010/wordprocessingShape">
                    <wps:wsp>
                      <wps:cNvSpPr txBox="1"/>
                      <wps:spPr>
                        <a:xfrm>
                          <a:off x="4482465" y="3049905"/>
                          <a:ext cx="806450" cy="2927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B10497">
                            <w:pPr>
                              <w:ind w:left="0" w:leftChars="0" w:firstLine="0" w:firstLineChars="0"/>
                              <w:rPr>
                                <w:rFonts w:hint="default" w:eastAsia="宋体"/>
                                <w:b/>
                                <w:bCs/>
                                <w:lang w:val="en-US" w:eastAsia="zh-CN"/>
                              </w:rPr>
                            </w:pPr>
                            <w:r>
                              <w:rPr>
                                <w:rFonts w:hint="eastAsia"/>
                                <w:b/>
                                <w:bCs/>
                                <w:lang w:val="en-US" w:eastAsia="zh-CN"/>
                              </w:rPr>
                              <w:t>居民散户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6.35pt;margin-top:123.4pt;height:23.05pt;width:63.5pt;z-index:251668480;mso-width-relative:page;mso-height-relative:page;" filled="f" stroked="f" coordsize="21600,21600" o:gfxdata="UEsDBAoAAAAAAIdO4kAAAAAAAAAAAAAAAAAEAAAAZHJzL1BLAwQUAAAACACHTuJAflvqMtsAAAAL&#10;AQAADwAAAGRycy9kb3ducmV2LnhtbE2Py07DMBBF90j8gzVI7KhTi6RNGqdCkSokBIuWbthNYjeJ&#10;6keI3Qd8PcMKlnPn6D7K9dUadtZTGLyTMJ8lwLRrvRpcJ2H/vnlYAgsRnULjnZbwpQOsq9ubEgvl&#10;L26rz7vYMTJxoUAJfYxjwXloe20xzPyoHf0OfrIY6Zw6ria8kLk1XCRJxi0OjhJ6HHXd6/a4O1kJ&#10;L/XmDbeNsMtvUz+/Hp7Gz/1HKuX93TxZAYv6Gv9g+K1P1aGiTo0/ORWYkZCmYkGoBPGY0QYiskVO&#10;SkNKLnLgVcn/b6h+AFBLAwQUAAAACACHTuJAF+XpmkgCAABzBAAADgAAAGRycy9lMm9Eb2MueG1s&#10;rVRLbtswEN0X6B0I7hvJjuzEhuXATZCiQNAESIuuaYqyBPBXko6UHqC9QVbddN9z5Rx9pOwkTbvI&#10;oht6ODN6M+/N0IuTXklyI5xvjS7p6CCnRGhuqlZvSvrp4/mbY0p8YLpi0mhR0lvh6cny9atFZ+di&#10;bBojK+EIQLSfd7akTQh2nmWeN0Ixf2Cs0AjWxikWcHWbrHKsA7qS2TjPp1lnXGWd4cJ7eM+GIN0h&#10;upcAmrpuuTgzfKuEDgOqE5IFUPJNaz1dpm7rWvBwWddeBCJLCqYhnSgCex3PbLlg841jtmn5rgX2&#10;khaecVKs1Sj6AHXGAiNb1/4FpVrujDd1OOBGZQORpAhYjPJn2lw3zIrEBVJ7+yC6/3+w/MPNlSNt&#10;VdLDESWaKUz8/u77/Y9f9z+/EfggUGf9HHnXFpmhf2t6rM3e7+GMvPvaqfgLRgTxojgeF9MJJbcA&#10;zovZLJ8MUos+EI6E43xaTDAEjoTxbHx0mOLZI5B1PrwTRpFolNRhkklgdnPhA5pC6j4l1tXmvJUy&#10;TVNq0pV0egj4PyL4Qmp8GOkMbUcr9Ot+x3FtqltQdGbYEm/5eYviF8yHK+awFugXDydc4qilQRGz&#10;syhpjPv6L3/Mx7QQpaTDmpXUf9kyJyiR7zXmOBsVRdzLdCkmR2Nc3NPI+mlEb9WpwSZjVOgumTE/&#10;yL1ZO6M+432tYlWEmOaoXdKwN0/DsPx4n1ysVikJm2hZuNDXlkfoQbTVNpi6TUpHmQZtduphF9MA&#10;du8mLvvTe8p6/K9Y/g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W+oy2wAAAAsBAAAPAAAAAAAA&#10;AAEAIAAAACIAAABkcnMvZG93bnJldi54bWxQSwECFAAUAAAACACHTuJAF+XpmkgCAABzBAAADgAA&#10;AAAAAAABACAAAAAqAQAAZHJzL2Uyb0RvYy54bWxQSwUGAAAAAAYABgBZAQAA5AUAAAAA&#10;">
                <v:fill on="f" focussize="0,0"/>
                <v:stroke on="f" weight="0.5pt"/>
                <v:imagedata o:title=""/>
                <o:lock v:ext="edit" aspectratio="f"/>
                <v:textbox>
                  <w:txbxContent>
                    <w:p w14:paraId="59B10497">
                      <w:pPr>
                        <w:ind w:left="0" w:leftChars="0" w:firstLine="0" w:firstLineChars="0"/>
                        <w:rPr>
                          <w:rFonts w:hint="default" w:eastAsia="宋体"/>
                          <w:b/>
                          <w:bCs/>
                          <w:lang w:val="en-US" w:eastAsia="zh-CN"/>
                        </w:rPr>
                      </w:pPr>
                      <w:r>
                        <w:rPr>
                          <w:rFonts w:hint="eastAsia"/>
                          <w:b/>
                          <w:bCs/>
                          <w:lang w:val="en-US" w:eastAsia="zh-CN"/>
                        </w:rPr>
                        <w:t>居民散户</w:t>
                      </w:r>
                    </w:p>
                  </w:txbxContent>
                </v:textbox>
              </v:shape>
            </w:pict>
          </mc:Fallback>
        </mc:AlternateContent>
      </w:r>
      <w:r>
        <w:drawing>
          <wp:inline distT="0" distB="0" distL="114300" distR="114300">
            <wp:extent cx="8392795" cy="4938395"/>
            <wp:effectExtent l="9525" t="9525" r="17780" b="24130"/>
            <wp:docPr id="2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
                    <pic:cNvPicPr>
                      <a:picLocks noChangeAspect="1"/>
                    </pic:cNvPicPr>
                  </pic:nvPicPr>
                  <pic:blipFill>
                    <a:blip r:embed="rId65"/>
                    <a:stretch>
                      <a:fillRect/>
                    </a:stretch>
                  </pic:blipFill>
                  <pic:spPr>
                    <a:xfrm>
                      <a:off x="0" y="0"/>
                      <a:ext cx="8392795" cy="4938395"/>
                    </a:xfrm>
                    <a:prstGeom prst="rect">
                      <a:avLst/>
                    </a:prstGeom>
                    <a:noFill/>
                    <a:ln>
                      <a:gradFill>
                        <a:gsLst>
                          <a:gs pos="25000">
                            <a:srgbClr val="FFD83A"/>
                          </a:gs>
                          <a:gs pos="75000">
                            <a:srgbClr val="FFFD6D"/>
                          </a:gs>
                          <a:gs pos="0">
                            <a:srgbClr val="F8C334"/>
                          </a:gs>
                          <a:gs pos="100000">
                            <a:srgbClr val="FFFEB8"/>
                          </a:gs>
                        </a:gsLst>
                        <a:lin ang="18900000" scaled="0"/>
                      </a:gradFill>
                    </a:ln>
                  </pic:spPr>
                </pic:pic>
              </a:graphicData>
            </a:graphic>
          </wp:inline>
        </w:drawing>
      </w:r>
    </w:p>
    <w:p w14:paraId="06E2341D">
      <w:pPr>
        <w:pStyle w:val="2"/>
        <w:bidi w:val="0"/>
        <w:rPr>
          <w:rFonts w:hint="eastAsia"/>
          <w:lang w:val="en-US" w:eastAsia="zh-CN"/>
        </w:rPr>
      </w:pPr>
      <w:r>
        <w:rPr>
          <w:rFonts w:hint="eastAsia"/>
          <w:lang w:val="en-US" w:eastAsia="zh-CN"/>
        </w:rPr>
        <w:t>附图4项目平面布置图</w:t>
      </w:r>
    </w:p>
    <w:p w14:paraId="3C89F5EB">
      <w:pPr>
        <w:ind w:left="0" w:leftChars="0" w:firstLine="0" w:firstLineChars="0"/>
        <w:jc w:val="center"/>
        <w:rPr>
          <w:rFonts w:hint="default"/>
          <w:lang w:val="en-US" w:eastAsia="zh-CN"/>
        </w:rPr>
      </w:pPr>
      <w:r>
        <w:rPr>
          <w:sz w:val="24"/>
        </w:rPr>
        <mc:AlternateContent>
          <mc:Choice Requires="wps">
            <w:drawing>
              <wp:anchor distT="0" distB="0" distL="114300" distR="114300" simplePos="0" relativeHeight="251710464" behindDoc="0" locked="0" layoutInCell="1" allowOverlap="1">
                <wp:simplePos x="0" y="0"/>
                <wp:positionH relativeFrom="column">
                  <wp:posOffset>275590</wp:posOffset>
                </wp:positionH>
                <wp:positionV relativeFrom="paragraph">
                  <wp:posOffset>4567555</wp:posOffset>
                </wp:positionV>
                <wp:extent cx="190500" cy="135255"/>
                <wp:effectExtent l="12700" t="12700" r="25400" b="23495"/>
                <wp:wrapNone/>
                <wp:docPr id="130" name="矩形 130"/>
                <wp:cNvGraphicFramePr/>
                <a:graphic xmlns:a="http://schemas.openxmlformats.org/drawingml/2006/main">
                  <a:graphicData uri="http://schemas.microsoft.com/office/word/2010/wordprocessingShape">
                    <wps:wsp>
                      <wps:cNvSpPr/>
                      <wps:spPr>
                        <a:xfrm>
                          <a:off x="0" y="0"/>
                          <a:ext cx="190500" cy="135255"/>
                        </a:xfrm>
                        <a:prstGeom prst="rect">
                          <a:avLst/>
                        </a:prstGeom>
                        <a:solidFill>
                          <a:srgbClr val="00B050"/>
                        </a:solidFill>
                        <a:ln>
                          <a:solidFill>
                            <a:srgbClr val="00B05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7pt;margin-top:359.65pt;height:10.65pt;width:15pt;z-index:251710464;v-text-anchor:middle;mso-width-relative:page;mso-height-relative:page;" fillcolor="#00B050" filled="t" stroked="t" coordsize="21600,21600" o:gfxdata="UEsDBAoAAAAAAIdO4kAAAAAAAAAAAAAAAAAEAAAAZHJzL1BLAwQUAAAACACHTuJAtgrWnNgAAAAJ&#10;AQAADwAAAGRycy9kb3ducmV2LnhtbE2PwU7DMAyG70i8Q2QkLmhLSssGpekkkLiBJsYQV7cxbVmT&#10;lCZbx9vjneBk2f70+3OxOtpeHGgMnXcakrkCQa72pnONhu3b0+wWRIjoDPbekYYfCrAqz88KzI2f&#10;3CsdNrERHOJCjhraGIdcylC3ZDHM/UCOd59+tBi5HRtpRpw43PbyWqmFtNg5vtDiQI8t1bvN3moI&#10;afX8vX6Y7O49fZEf+OWvxhuv9eVFou5BRDrGPxhO+qwOJTtVfu9MEL2GLM2Y1LBM7lIQDCxPg4pr&#10;phYgy0L+/6D8BVBLAwQUAAAACACHTuJACZiEzl8CAADgBAAADgAAAGRycy9lMm9Eb2MueG1srVTN&#10;bhMxEL4j8Q6W73Q3aQI0yqYKjYqQKlqpIM6O186u5D9sJ5vyMkjc+hA8DuI1+OzdNm3h0AOX3RnP&#10;+JuZb2Y8P91rRXbCh9aaio6OSkqE4bZuzaainz+dv3pLSYjM1ExZIyp6IwI9Xbx8Me/cTIxtY1Ut&#10;PAGICbPOVbSJ0c2KIvBGaBaOrBMGRmm9ZhGq3xS1Zx3QtSrGZfm66KyvnbdchIDTVW+kA6J/DqCV&#10;suViZflWCxN7VC8UiygpNK0LdJGzlVLweCllEJGoiqLSmL8IAnmdvsVizmYbz1zT8iEF9pwUntSk&#10;WWsQ9B5qxSIjW9/+BaVb7m2wMh5xq4u+kMwIqhiVT7i5bpgTuRZQHdw96eH/wfKPuytP2hqTcAxO&#10;DNNo+e/vt79+/iDpBPx0Lszgdu2u/KAFiKnYvfQ6/VEG2WdOb+45FftIOA5HJ+W0BDKHaXQ8HU+n&#10;CbM4XHY+xPfCapKEinq0LDPJdhch9q53LilWsKqtz1ulsuI36zPlyY6l9pbvEGpAf+SmDOkqOp5O&#10;ciIMQysxLMhJOxQezIYSpjbYBh59jv3odnhekJTkioWmTyYjDLkog4ITiz1vSVrb+ga8e9sPZHD8&#10;vMX9CxbiFfOYQDCGHY2X+Ehlkb0dJEoa67/96zz5YzBgpaTDRKOyr1vmBSXqg8HInIwmE8DGrEym&#10;b8ZQ/EPL+qHFbPWZBasjvAaOZzH5R3UnSm/1F6zyMkWFiRmO2D2Hg3IW+03DY8DFcpndMPaOxQtz&#10;7XgCT100drmNVra52wd2BtIw+HlehiVNm/VQz16Hh2nx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LYK1pzYAAAACQEAAA8AAAAAAAAAAQAgAAAAIgAAAGRycy9kb3ducmV2LnhtbFBLAQIUABQAAAAI&#10;AIdO4kAJmITOXwIAAOAEAAAOAAAAAAAAAAEAIAAAACcBAABkcnMvZTJvRG9jLnhtbFBLBQYAAAAA&#10;BgAGAFkBAAD4BQAAAAA=&#10;">
                <v:fill on="t" focussize="0,0"/>
                <v:stroke weight="2pt" color="#00B050 [2404]" joinstyle="round"/>
                <v:imagedata o:title=""/>
                <o:lock v:ext="edit" aspectratio="f"/>
              </v:rect>
            </w:pict>
          </mc:Fallback>
        </mc:AlternateContent>
      </w:r>
      <w:r>
        <w:rPr>
          <w:sz w:val="24"/>
        </w:rPr>
        <mc:AlternateContent>
          <mc:Choice Requires="wps">
            <w:drawing>
              <wp:anchor distT="0" distB="0" distL="114300" distR="114300" simplePos="0" relativeHeight="251712512" behindDoc="0" locked="0" layoutInCell="1" allowOverlap="1">
                <wp:simplePos x="0" y="0"/>
                <wp:positionH relativeFrom="column">
                  <wp:posOffset>285115</wp:posOffset>
                </wp:positionH>
                <wp:positionV relativeFrom="paragraph">
                  <wp:posOffset>3986530</wp:posOffset>
                </wp:positionV>
                <wp:extent cx="190500" cy="114300"/>
                <wp:effectExtent l="12700" t="12700" r="25400" b="25400"/>
                <wp:wrapNone/>
                <wp:docPr id="128" name="矩形 128"/>
                <wp:cNvGraphicFramePr/>
                <a:graphic xmlns:a="http://schemas.openxmlformats.org/drawingml/2006/main">
                  <a:graphicData uri="http://schemas.microsoft.com/office/word/2010/wordprocessingShape">
                    <wps:wsp>
                      <wps:cNvSpPr/>
                      <wps:spPr>
                        <a:xfrm>
                          <a:off x="0" y="0"/>
                          <a:ext cx="190500" cy="114300"/>
                        </a:xfrm>
                        <a:prstGeom prst="rect">
                          <a:avLst/>
                        </a:prstGeom>
                        <a:solidFill>
                          <a:schemeClr val="accent6"/>
                        </a:solidFill>
                        <a:ln>
                          <a:solidFill>
                            <a:schemeClr val="accent6"/>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52D7251C">
                            <w:pPr>
                              <w:jc w:val="center"/>
                              <w:rPr>
                                <w:rFonts w:hint="eastAsia" w:eastAsia="宋体"/>
                                <w:lang w:val="en-US" w:eastAsia="zh-CN"/>
                              </w:rPr>
                            </w:pPr>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45pt;margin-top:313.9pt;height:9pt;width:15pt;z-index:251712512;v-text-anchor:middle;mso-width-relative:page;mso-height-relative:page;" fillcolor="#F79646 [3209]" filled="t" stroked="t" coordsize="21600,21600" o:gfxdata="UEsDBAoAAAAAAIdO4kAAAAAAAAAAAAAAAAAEAAAAZHJzL1BLAwQUAAAACACHTuJAdgvHM9cAAAAJ&#10;AQAADwAAAGRycy9kb3ducmV2LnhtbE2Py07DMBBF90j8gzVI7KjdKH0Q4lQIqRvEhoIKSycekoh4&#10;nMROU/6e6QqWc+foPvLd2XXihGNoPWlYLhQIpMrblmoN72/7uy2IEA1Z03lCDT8YYFdcX+Ums36m&#10;VzwdYi3YhEJmNDQx9pmUoWrQmbDwPRL/vvzoTORzrKUdzczmrpOJUmvpTEuc0Jgenxqsvg+T03B8&#10;mae2T4/qsd6Xzx+rYUg+46D17c1SPYCIeI5/MFzqc3UouFPpJ7JBdBrS9J5JDetkwxMY2FyEkoV0&#10;tQVZ5PL/guIXUEsDBBQAAAAIAIdO4kA7tySdZwIAAOsEAAAOAAAAZHJzL2Uyb0RvYy54bWytVM1u&#10;EzEQviPxDpbvdLMhbWmUTRU1CkKqaKWCODteO7uS/7CdbMrLIHHjIfo4iNfgs3f7C4ccuHhnPLPf&#10;zHwz49n5XiuyEz601lS0PBpRIgy3dWs2Ff38afXmHSUhMlMzZY2o6K0I9Hz++tWsc1Mxto1VtfAE&#10;ICZMO1fRJkY3LYrAG6FZOLJOGBil9ZpFqH5T1J51QNeqGI9GJ0Vnfe285SIE3C57Ix0Q/SGAVsqW&#10;i6XlWy1M7FG9UCyipNC0LtB5zlZKweOVlEFEoiqKSmM+EQTyOp3FfMamG89c0/IhBXZICi9q0qw1&#10;CPoAtWSRka1v/4LSLfc2WBmPuNVFX0hmBFWUoxfc3DTMiVwLqA7ugfTw/2D5x921J22NSRij8YZp&#10;tPz395+/7n6QdAN+OhemcLtx137QAsRU7F56nb4og+wzp7cPnIp9JByX5dnoeAS2OUxlOXkLGSjF&#10;48/Oh/heWE2SUFGPlmUm2e4yxN713iXFCla19apVKit+s75QnuwY2rs6PTuZnAzoz9yUIV1Fx8eT&#10;nAjD0EoMC3LSDoUHs6GEqQ22gUefYz/7OxwWJCW5ZKHpk8kIQy7KoODEYs9bkuJ+vR/IXNv6Fi3w&#10;tp/N4PiqBdQlC/GaeQwjyMO6xiscUlkUYgeJksb6b/+6T/6YEVgp6TDcKPLrlnlBifpgMD1n5WSS&#10;tiErk+PTMRT/1LJ+ajFbfWFBcImHwfEsJv+o7kXprf6CrV6kqDAxwxG7p3NQLmK/dHgXuFgsshs2&#10;wLF4aW4cT+CpocYuttHKNjc+EdWzM/CHHcijM+xrWrKnevZ6fKPm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2C8cz1wAAAAkBAAAPAAAAAAAAAAEAIAAAACIAAABkcnMvZG93bnJldi54bWxQSwEC&#10;FAAUAAAACACHTuJAO7cknWcCAADrBAAADgAAAAAAAAABACAAAAAmAQAAZHJzL2Uyb0RvYy54bWxQ&#10;SwUGAAAAAAYABgBZAQAA/wUAAAAA&#10;">
                <v:fill on="t" focussize="0,0"/>
                <v:stroke weight="2pt" color="#F79646 [3209]" joinstyle="round"/>
                <v:imagedata o:title=""/>
                <o:lock v:ext="edit" aspectratio="f"/>
                <v:textbox>
                  <w:txbxContent>
                    <w:p w14:paraId="52D7251C">
                      <w:pPr>
                        <w:jc w:val="center"/>
                        <w:rPr>
                          <w:rFonts w:hint="eastAsia" w:eastAsia="宋体"/>
                          <w:lang w:val="en-US" w:eastAsia="zh-CN"/>
                        </w:rPr>
                      </w:pPr>
                      <w:r>
                        <w:rPr>
                          <w:rFonts w:hint="eastAsia"/>
                          <w:lang w:val="en-US" w:eastAsia="zh-CN"/>
                        </w:rPr>
                        <w:t xml:space="preserve"> </w:t>
                      </w:r>
                    </w:p>
                  </w:txbxContent>
                </v:textbox>
              </v:rect>
            </w:pict>
          </mc:Fallback>
        </mc:AlternateContent>
      </w:r>
      <w:r>
        <w:rPr>
          <w:sz w:val="24"/>
        </w:rPr>
        <mc:AlternateContent>
          <mc:Choice Requires="wps">
            <w:drawing>
              <wp:anchor distT="0" distB="0" distL="114300" distR="114300" simplePos="0" relativeHeight="251713536" behindDoc="0" locked="0" layoutInCell="1" allowOverlap="1">
                <wp:simplePos x="0" y="0"/>
                <wp:positionH relativeFrom="column">
                  <wp:posOffset>285115</wp:posOffset>
                </wp:positionH>
                <wp:positionV relativeFrom="paragraph">
                  <wp:posOffset>4272280</wp:posOffset>
                </wp:positionV>
                <wp:extent cx="180975" cy="114300"/>
                <wp:effectExtent l="12700" t="12700" r="15875" b="25400"/>
                <wp:wrapNone/>
                <wp:docPr id="129" name="矩形 129"/>
                <wp:cNvGraphicFramePr/>
                <a:graphic xmlns:a="http://schemas.openxmlformats.org/drawingml/2006/main">
                  <a:graphicData uri="http://schemas.microsoft.com/office/word/2010/wordprocessingShape">
                    <wps:wsp>
                      <wps:cNvSpPr/>
                      <wps:spPr>
                        <a:xfrm>
                          <a:off x="0" y="0"/>
                          <a:ext cx="180975" cy="114300"/>
                        </a:xfrm>
                        <a:prstGeom prst="rect">
                          <a:avLst/>
                        </a:prstGeom>
                        <a:solidFill>
                          <a:schemeClr val="accent5"/>
                        </a:solidFill>
                        <a:ln>
                          <a:solidFill>
                            <a:schemeClr val="accent5"/>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45pt;margin-top:336.4pt;height:9pt;width:14.25pt;z-index:251713536;v-text-anchor:middle;mso-width-relative:page;mso-height-relative:page;" fillcolor="#4BACC6 [3208]" filled="t" stroked="t" coordsize="21600,21600" o:gfxdata="UEsDBAoAAAAAAIdO4kAAAAAAAAAAAAAAAAAEAAAAZHJzL1BLAwQUAAAACACHTuJAJYXkP9oAAAAJ&#10;AQAADwAAAGRycy9kb3ducmV2LnhtbE2Py07DMBBF90j8gzVIbBC100R9hDhd8ChSJRYUFiydeEhC&#10;43EUO235e4YVLGfm6M65xebsenHEMXSeNCQzBQKp9rajRsP729PtCkSIhqzpPaGGbwywKS8vCpNb&#10;f6JXPO5jIziEQm40tDEOuZShbtGZMPMDEt8+/ehM5HFspB3NicNdL+dKLaQzHfGH1gx432J92E9O&#10;g0+2/vGr2n5MD31yiLuUXp5vUq2vrxJ1ByLiOf7B8KvP6lCyU+UnskH0GrJszaSGxXLOFRhYphmI&#10;ihdrtQJZFvJ/g/IHUEsDBBQAAAAIAIdO4kBuOs7nYwIAAOAEAAAOAAAAZHJzL2Uyb0RvYy54bWyt&#10;VEtu2zAQ3RfoHQjuG1mu8zMiB66NFAWCxkBadE1TpCWAv5K05fQyBbrLIXqcotfoI6V820UW3Ugz&#10;nOF83rzh2fleK7ITPrTWVLQ8GFEiDLd1azYV/fzp4s0JJSEyUzNljajojQj0fPb61VnnpmJsG6tq&#10;4QmCmDDtXEWbGN20KAJvhGbhwDphYJTWaxah+k1Re9YhulbFeDQ6Kjrra+ctFyHgdNkb6RDRvySg&#10;lbLlYmn5VgsT+6heKBbRUmhaF+gsVyul4PFKyiAiURVFpzF/kQTyOn2L2RmbbjxzTcuHEthLSnjW&#10;k2atQdL7UEsWGdn69q9QuuXeBivjAbe66BvJiKCLcvQMm+uGOZF7AdTB3YMe/l9Y/nG38qStwYTx&#10;KSWGaYz89/fbXz9/kHQCfDoXpnC7dis/aAFianYvvU5/tEH2GdObe0zFPhKOw/JkdHp8SAmHqSwn&#10;b0cZ8+LhsvMhvhdWkyRU1GNkGUm2uwwRCeF655JyBava+qJVKit+s14oT3YM4528my8WR6liXHni&#10;pgzpKjo+nCA54QyklSALRO3QeDAbSpjaYBt49Dn3k9vhZUlSkUsWmr6YHGGoRRmUlFDscUvS2tY3&#10;wN3bnpDB8YsW9y9ZiCvmwUAUih2NV/hIZVG9HSRKGuu//es8+YMYsFLSgdHo7OuWeUGJ+mBAmdNy&#10;MkkrkJXJ4fEYin9sWT+2mK1eWKBa4jVwPIvJP6o7UXqrv2CV5ykrTMxw5O4xHJRF7DcNjwEX83l2&#10;A+0di5fm2vEUPE3R2Pk2WtnmaT+gM4AG4ueJDkuaNuuxnr0eHqbZ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WF5D/aAAAACQEAAA8AAAAAAAAAAQAgAAAAIgAAAGRycy9kb3ducmV2LnhtbFBLAQIU&#10;ABQAAAAIAIdO4kBuOs7nYwIAAOAEAAAOAAAAAAAAAAEAIAAAACkBAABkcnMvZTJvRG9jLnhtbFBL&#10;BQYAAAAABgAGAFkBAAD+BQAAAAA=&#10;">
                <v:fill on="t" focussize="0,0"/>
                <v:stroke weight="2pt" color="#4BACC6 [3208]" joinstyle="round"/>
                <v:imagedata o:title=""/>
                <o:lock v:ext="edit" aspectratio="f"/>
              </v:rect>
            </w:pict>
          </mc:Fallback>
        </mc:AlternateContent>
      </w:r>
      <w:r>
        <w:rPr>
          <w:sz w:val="24"/>
        </w:rPr>
        <mc:AlternateContent>
          <mc:Choice Requires="wps">
            <w:drawing>
              <wp:anchor distT="0" distB="0" distL="114300" distR="114300" simplePos="0" relativeHeight="251711488" behindDoc="0" locked="0" layoutInCell="1" allowOverlap="1">
                <wp:simplePos x="0" y="0"/>
                <wp:positionH relativeFrom="column">
                  <wp:posOffset>285115</wp:posOffset>
                </wp:positionH>
                <wp:positionV relativeFrom="paragraph">
                  <wp:posOffset>3700780</wp:posOffset>
                </wp:positionV>
                <wp:extent cx="193040" cy="107950"/>
                <wp:effectExtent l="12700" t="12700" r="22860" b="12700"/>
                <wp:wrapNone/>
                <wp:docPr id="127" name="矩形 127"/>
                <wp:cNvGraphicFramePr/>
                <a:graphic xmlns:a="http://schemas.openxmlformats.org/drawingml/2006/main">
                  <a:graphicData uri="http://schemas.microsoft.com/office/word/2010/wordprocessingShape">
                    <wps:wsp>
                      <wps:cNvSpPr/>
                      <wps:spPr>
                        <a:xfrm>
                          <a:off x="0" y="0"/>
                          <a:ext cx="193040" cy="107950"/>
                        </a:xfrm>
                        <a:prstGeom prst="rect">
                          <a:avLst/>
                        </a:prstGeom>
                        <a:solidFill>
                          <a:srgbClr val="7030A0"/>
                        </a:solidFill>
                        <a:ln>
                          <a:solidFill>
                            <a:srgbClr val="7030A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45pt;margin-top:291.4pt;height:8.5pt;width:15.2pt;z-index:251711488;v-text-anchor:middle;mso-width-relative:page;mso-height-relative:page;" fillcolor="#7030A0" filled="t" stroked="t" coordsize="21600,21600" o:gfxdata="UEsDBAoAAAAAAIdO4kAAAAAAAAAAAAAAAAAEAAAAZHJzL1BLAwQUAAAACACHTuJAS3p1ldcAAAAJ&#10;AQAADwAAAGRycy9kb3ducmV2LnhtbE2Py07DMBBF90j8gzVI7KidPmgS4nSB6KYbROAD3HhIosTj&#10;KHbb5O8ZVrCcmaM75xaH2Q3iilPoPGlIVgoEUu1tR42Gr8/jUwoiREPWDJ5Qw4IBDuX9XWFy62/0&#10;gdcqNoJDKORGQxvjmEsZ6hadCSs/IvHt20/ORB6nRtrJ3DjcDXKt1LN0piP+0JoRX1us++riNKjj&#10;ye2X95MaN1W/JH03q7ds1vrxIVEvICLO8Q+GX31Wh5Kdzv5CNohBw3abMalhl665AgP73QbEmRdZ&#10;loIsC/m/QfkDUEsDBBQAAAAIAIdO4kD/jWyfYgIAAOAEAAAOAAAAZHJzL2Uyb0RvYy54bWytVM1u&#10;EzEQviPxDpbvdDdpSmjUTRU1KkKqaKWCODteO7uS/7CdbMrLIHHjIfo4iNfgs3ebtIVDD1x2Zzzj&#10;b2a+mfHZ+U4rshU+tNZUdHRUUiIMt3Vr1hX9/OnyzTtKQmSmZsoaUdE7Eej5/PWrs87NxNg2VtXC&#10;E4CYMOtcRZsY3awoAm+EZuHIOmFglNZrFqH6dVF71gFdq2Jclm+LzvraectFCDhd9kY6IPqXAFop&#10;Wy6Wlm+0MLFH9UKxiJJC07pA5zlbKQWP11IGEYmqKCqN+YsgkFfpW8zP2GztmWtaPqTAXpLCs5o0&#10;aw2C7qGWLDKy8e1fULrl3gYr4xG3uugLyYygilH5jJvbhjmRawHVwe1JD/8Pln/c3njS1piE8ZQS&#10;wzRa/vv7z1/3P0g6AT+dCzO43bobP2gBYip2J71Of5RBdpnTuz2nYhcJx+Ho9LicgG0O06icnp5k&#10;zovDZedDfC+sJkmoqEfLMpNsexUiAsL1wSXFCla19WWrVFb8enWhPNkytHdaHpeLB/QnbsqQrqLj&#10;k0mZEmEYWolhgagdCg9mTQlTa2wDjz7HfnI7vCxISnLJQtMnkxESe0hfGfwSiz1vSVrZ+g68e9sP&#10;ZHD8ssX9KxbiDfOYQCSKHY3X+Ehlkb0dJEoa67/96zz5YzBgpaTDRKOyrxvmBSXqg8HInI4mqREx&#10;K5OT6RiKf2xZPbaYjb6wYHWE18DxLCb/qB5E6a3+glVepKgwMcMRu+dwUC5iv2l4DLhYLLIbxt6x&#10;eGVuHU/gqYvGLjbRyjZ3+8DOQBoGP7M4LGnarMd69jo8TPM/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S3p1ldcAAAAJAQAADwAAAAAAAAABACAAAAAiAAAAZHJzL2Rvd25yZXYueG1sUEsBAhQAFAAA&#10;AAgAh07iQP+NbJ9iAgAA4AQAAA4AAAAAAAAAAQAgAAAAJgEAAGRycy9lMm9Eb2MueG1sUEsFBgAA&#10;AAAGAAYAWQEAAPoFAAAAAA==&#10;">
                <v:fill on="t" focussize="0,0"/>
                <v:stroke weight="2pt" color="#7030A0 [2404]" joinstyle="round"/>
                <v:imagedata o:title=""/>
                <o:lock v:ext="edit" aspectratio="f"/>
              </v:rect>
            </w:pict>
          </mc:Fallback>
        </mc:AlternateContent>
      </w:r>
      <w:r>
        <w:rPr>
          <w:sz w:val="24"/>
        </w:rPr>
        <mc:AlternateContent>
          <mc:Choice Requires="wps">
            <w:drawing>
              <wp:anchor distT="0" distB="0" distL="114300" distR="114300" simplePos="0" relativeHeight="251709440" behindDoc="0" locked="0" layoutInCell="1" allowOverlap="1">
                <wp:simplePos x="0" y="0"/>
                <wp:positionH relativeFrom="column">
                  <wp:posOffset>275590</wp:posOffset>
                </wp:positionH>
                <wp:positionV relativeFrom="paragraph">
                  <wp:posOffset>3405505</wp:posOffset>
                </wp:positionV>
                <wp:extent cx="200025" cy="114300"/>
                <wp:effectExtent l="12700" t="12700" r="15875" b="25400"/>
                <wp:wrapNone/>
                <wp:docPr id="126" name="矩形 126"/>
                <wp:cNvGraphicFramePr/>
                <a:graphic xmlns:a="http://schemas.openxmlformats.org/drawingml/2006/main">
                  <a:graphicData uri="http://schemas.microsoft.com/office/word/2010/wordprocessingShape">
                    <wps:wsp>
                      <wps:cNvSpPr/>
                      <wps:spPr>
                        <a:xfrm>
                          <a:off x="0" y="0"/>
                          <a:ext cx="200025" cy="1143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7pt;margin-top:268.15pt;height:9pt;width:15.75pt;z-index:251709440;v-text-anchor:middle;mso-width-relative:page;mso-height-relative:page;" fillcolor="#4F81BD [3204]" filled="t" stroked="t" coordsize="21600,21600" o:gfxdata="UEsDBAoAAAAAAIdO4kAAAAAAAAAAAAAAAAAEAAAAZHJzL1BLAwQUAAAACACHTuJAC7ugwNkAAAAJ&#10;AQAADwAAAGRycy9kb3ducmV2LnhtbE2PTU/DMAyG70j8h8hI3Fgy2o5Rmu4AAmloFzqmiVvWeG1F&#10;41RN9vXvMSc42n70+nmLxdn14ohj6DxpmE4UCKTa244aDZ/r17s5iBANWdN7Qg0XDLAor68Kk1t/&#10;og88VrERHEIhNxraGIdcylC36EyY+AGJb3s/OhN5HBtpR3PicNfLe6Vm0pmO+ENrBnxusf6uDk7D&#10;9h0vb9tlzDYv66VKhq8VVvug9e3NVD2BiHiOfzD86rM6lOy08weyQfQa0iRlUkOWzBIQDDykjyB2&#10;vMjSBGRZyP8Nyh9QSwMEFAAAAAgAh07iQB6499R4AgAAAgUAAA4AAABkcnMvZTJvRG9jLnhtbK1U&#10;S27bMBDdF+gdCO4bSY6dj2E7cGO4KJA2AdKia5qiLAH8laQtp5cp0F0P0eMUvUYfKTlxki6y6Eaa&#10;4Xzf4wwnFzslyVY43xg9pcVRTonQ3JSNXk/p50/LN2eU+MB0yaTRYkrvhKcXs9evJq0di4GpjSyF&#10;I0ii/bi1U1qHYMdZ5nktFPNHxgoNY2WcYgGqW2elYy2yK5kN8vwka40rrTNceI/TRWekfUb3koSm&#10;qhouFoZvlNChy+qEZAGQfN1YT2ep26oSPFxXlReByCkF0pC+KAJ5Fb/ZbMLGa8ds3fC+BfaSFp5g&#10;UqzRKHqfasECIxvXPEulGu6MN1U44kZlHZDECFAU+RNubmtmRcICqr29J93/v7T84/bGkabEJAxO&#10;KNFM4cr/fP/5+9cPEk/AT2v9GG639sb1mocYwe4qp+IfMMgucXp3z6nYBcJxiCvPByNKOExFMTzO&#10;E+fZQ7B1PrwTRpEoTKnDlSUm2fbKBxSE694l1vJGNuWykTIpbr26lI5sGa53uDwr3i5ixwh55CY1&#10;adHJaIjihDMMbYVhgagsgHu9poTJNbaBB5dqP4r2h0WOT0/y80Fykhv1wZRd7dMRYO5Ld/7P24gw&#10;FszXXUiq0YdIDe/Ic8dslFamvMPNONONrLd82SD+ivlwwxxmFFCwxeEan0oa4DO9RElt3Ld/nUd/&#10;jA6slLSYeWD/umFOUCLfawzVeTEcxiVJynB0OoDiDi2rQ4veqEsD3gu8F5YnMfoHuRcrZ9QXLPs8&#10;VoWJaY7aHcu9chm6XcRzwcV8ntywGJaFK31reUwe71mb+SaYqknz8MBOTxpWI5Hdr3HcvUM9eT08&#10;XbO/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C7ugwNkAAAAJAQAADwAAAAAAAAABACAAAAAiAAAA&#10;ZHJzL2Rvd25yZXYueG1sUEsBAhQAFAAAAAgAh07iQB6499R4AgAAAgUAAA4AAAAAAAAAAQAgAAAA&#10;KAEAAGRycy9lMm9Eb2MueG1sUEsFBgAAAAAGAAYAWQEAABIGAAAAAA==&#10;">
                <v:fill on="t" focussize="0,0"/>
                <v:stroke weight="2pt" color="#376092 [2404]" joinstyle="round"/>
                <v:imagedata o:title=""/>
                <o:lock v:ext="edit" aspectratio="f"/>
              </v:rect>
            </w:pict>
          </mc:Fallback>
        </mc:AlternateContent>
      </w:r>
      <w:r>
        <w:rPr>
          <w:sz w:val="24"/>
        </w:rPr>
        <mc:AlternateContent>
          <mc:Choice Requires="wps">
            <w:drawing>
              <wp:anchor distT="0" distB="0" distL="114300" distR="114300" simplePos="0" relativeHeight="251708416" behindDoc="0" locked="0" layoutInCell="1" allowOverlap="1">
                <wp:simplePos x="0" y="0"/>
                <wp:positionH relativeFrom="column">
                  <wp:posOffset>266065</wp:posOffset>
                </wp:positionH>
                <wp:positionV relativeFrom="paragraph">
                  <wp:posOffset>3091180</wp:posOffset>
                </wp:positionV>
                <wp:extent cx="171450" cy="161925"/>
                <wp:effectExtent l="12700" t="12700" r="25400" b="15875"/>
                <wp:wrapNone/>
                <wp:docPr id="125" name="椭圆 125"/>
                <wp:cNvGraphicFramePr/>
                <a:graphic xmlns:a="http://schemas.openxmlformats.org/drawingml/2006/main">
                  <a:graphicData uri="http://schemas.microsoft.com/office/word/2010/wordprocessingShape">
                    <wps:wsp>
                      <wps:cNvSpPr/>
                      <wps:spPr>
                        <a:xfrm>
                          <a:off x="0" y="0"/>
                          <a:ext cx="171450" cy="161925"/>
                        </a:xfrm>
                        <a:prstGeom prst="ellipse">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11037D0">
                            <w:pPr>
                              <w:jc w:val="center"/>
                              <w:rPr>
                                <w:rFonts w:hint="eastAsia" w:eastAsia="宋体"/>
                                <w:lang w:eastAsia="zh-CN"/>
                              </w:rPr>
                            </w:pPr>
                            <w:r>
                              <w:rPr>
                                <w:rFonts w:hint="eastAsia"/>
                                <w:lang w:eastAsia="zh-CN"/>
                              </w:rPr>
                              <w:t>才</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0.95pt;margin-top:243.4pt;height:12.75pt;width:13.5pt;z-index:251708416;v-text-anchor:middle;mso-width-relative:page;mso-height-relative:page;" filled="f" stroked="t" coordsize="21600,21600" o:gfxdata="UEsDBAoAAAAAAIdO4kAAAAAAAAAAAAAAAAAEAAAAZHJzL1BLAwQUAAAACACHTuJAkCcg/NcAAAAJ&#10;AQAADwAAAGRycy9kb3ducmV2LnhtbE2PS0/DMBCE70j8B2uRuFEnpolCiFOplTgAJwrivI23SVQ/&#10;oth9wK9nOcFptbujmW+a1cVZcaI5jsFryBcZCPJdMKPvNXy8P91VIGJCb9AGTxq+KMKqvb5qsDbh&#10;7N/otE29YBMfa9QwpDTVUsZuIIdxESby/NuH2WHide6lmfHM5s5KlWWldDh6Thhwos1A3WF7dJz7&#10;ul4q9anWxcF+b15wX0wmPGt9e5NnjyASXdKfGH7xGR1aZtqFozdRWA3L/IGVPKuSK7CgrPiw01Dk&#10;6h5k28j/DdofUEsDBBQAAAAIAIdO4kDdamKXZwIAAMUEAAAOAAAAZHJzL2Uyb0RvYy54bWytVEtu&#10;2zAQ3RfoHQjua1mGnTRG5MCw4aJA0ARIi65pirQE8FeStpweoKfostseKz1HHynl07SLLOqFPMMZ&#10;veF7M6Pzi6NW5CB8aK2paDkaUyIMt3VrdhX99HHz5i0lITJTM2WNqOitCPRi8frVeefmYmIbq2rh&#10;CUBMmHeuok2Mbl4UgTdCszCyThgEpfWaRbh+V9SedUDXqpiMxydFZ33tvOUiBJyu+yAdEP1LAK2U&#10;LRdry/damNijeqFYBKXQtC7QRb6tlILHKymDiERVFExjfqII7G16FotzNt955pqWD1dgL7nCM06a&#10;tQZFH6DWLDKy9+1fULrl3gYr44hbXfREsiJgUY6faXPTMCcyF0gd3IPo4f/B8g+Ha0/aGpMwmVFi&#10;mEbLf/34eff9G0kn0KdzYY60G3ftBy/ATGSP0uv0DxrkmDW9fdBUHCPhOCxPy+kManOEypPyrMcs&#10;Hl92PsR3wmqSjIoKpdDAxJrN2eEyRNRE9n1WOjZ20yqVO6cM6So6mU3HqQTDOEqMAUztQCmYHSVM&#10;7TDnPPoMGaxq6/R6Agp+t10pTw4M07HZjPFLhFHuj7RUe81C0+fl0JCmDLKTPr0iyYrH7XGQaWvr&#10;W4jrbT91wfFNC6hLFuI18xgz3BmLGK/wkMqCiB0sShrrv/7rPOWj+4hS0mFsQfLLnnlBiXpvMBdn&#10;5XQK2Jid6ex0Asc/jWyfRsxeryy4l1h5x7OZ8qO6N6W3+jP2dZmqIsQMR+1ezsFZxX6dsPFcLJc5&#10;DbPtWLw0N44n8L5py320ss39TEL16gz6Ybqz7sMmpvV56uesx6/P4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QJyD81wAAAAkBAAAPAAAAAAAAAAEAIAAAACIAAABkcnMvZG93bnJldi54bWxQSwEC&#10;FAAUAAAACACHTuJA3Wpil2cCAADFBAAADgAAAAAAAAABACAAAAAmAQAAZHJzL2Uyb0RvYy54bWxQ&#10;SwUGAAAAAAYABgBZAQAA/wUAAAAA&#10;">
                <v:fill on="f" focussize="0,0"/>
                <v:stroke weight="2pt" color="#FF0000 [2404]" joinstyle="round"/>
                <v:imagedata o:title=""/>
                <o:lock v:ext="edit" aspectratio="f"/>
                <v:textbox>
                  <w:txbxContent>
                    <w:p w14:paraId="611037D0">
                      <w:pPr>
                        <w:jc w:val="center"/>
                        <w:rPr>
                          <w:rFonts w:hint="eastAsia" w:eastAsia="宋体"/>
                          <w:lang w:eastAsia="zh-CN"/>
                        </w:rPr>
                      </w:pPr>
                      <w:r>
                        <w:rPr>
                          <w:rFonts w:hint="eastAsia"/>
                          <w:lang w:eastAsia="zh-CN"/>
                        </w:rPr>
                        <w:t>才</w:t>
                      </w:r>
                    </w:p>
                  </w:txbxContent>
                </v:textbox>
              </v:shape>
            </w:pict>
          </mc:Fallback>
        </mc:AlternateContent>
      </w:r>
      <w:r>
        <w:rPr>
          <w:sz w:val="24"/>
        </w:rPr>
        <mc:AlternateContent>
          <mc:Choice Requires="wps">
            <w:drawing>
              <wp:anchor distT="0" distB="0" distL="114300" distR="114300" simplePos="0" relativeHeight="251707392" behindDoc="0" locked="0" layoutInCell="1" allowOverlap="1">
                <wp:simplePos x="0" y="0"/>
                <wp:positionH relativeFrom="column">
                  <wp:posOffset>275590</wp:posOffset>
                </wp:positionH>
                <wp:positionV relativeFrom="paragraph">
                  <wp:posOffset>2776855</wp:posOffset>
                </wp:positionV>
                <wp:extent cx="171450" cy="161925"/>
                <wp:effectExtent l="12700" t="12700" r="25400" b="15875"/>
                <wp:wrapNone/>
                <wp:docPr id="122" name="椭圆 122"/>
                <wp:cNvGraphicFramePr/>
                <a:graphic xmlns:a="http://schemas.openxmlformats.org/drawingml/2006/main">
                  <a:graphicData uri="http://schemas.microsoft.com/office/word/2010/wordprocessingShape">
                    <wps:wsp>
                      <wps:cNvSpPr/>
                      <wps:spPr>
                        <a:xfrm>
                          <a:off x="0" y="0"/>
                          <a:ext cx="171450" cy="161925"/>
                        </a:xfrm>
                        <a:prstGeom prst="ellipse">
                          <a:avLst/>
                        </a:prstGeom>
                        <a:noFill/>
                        <a:ln>
                          <a:solidFill>
                            <a:srgbClr val="0070C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10674A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1.7pt;margin-top:218.65pt;height:12.75pt;width:13.5pt;z-index:251707392;v-text-anchor:middle;mso-width-relative:page;mso-height-relative:page;" filled="f" stroked="t" coordsize="21600,21600" o:gfxdata="UEsDBAoAAAAAAIdO4kAAAAAAAAAAAAAAAAAEAAAAZHJzL1BLAwQUAAAACACHTuJAb0LDbdgAAAAJ&#10;AQAADwAAAGRycy9kb3ducmV2LnhtbE2PQU/DMAyF70j8h8hIXBBLt1XdVJpOA8EJLhSQOHpNaKI1&#10;TtVk6/bv8U5wsvze0/PnanPyvTiaMbpACuazDIShNmhHnYLPj5f7NYiYkDT2gYyCs4mwqa+vKix1&#10;mOjdHJvUCS6hWKICm9JQShlbazzGWRgMsfcTRo+J17GTesSJy30vF1lWSI+O+ILFwTxZ0+6bg1dw&#10;d7ZfRUPPW/edt2/21W3xcT8pdXszzx5AJHNKf2G44DM61My0CwfSUfQK8mXOyctcLUFwYJWxsGOh&#10;WKxB1pX8/0H9C1BLAwQUAAAACACHTuJAr7fc4GgCAADFBAAADgAAAGRycy9lMm9Eb2MueG1srVTL&#10;bhMxFN0j8Q+W93QeSlo66qSKEhUhVbRSQaxvPHbGkl/YTiblA/gKlmz5rPIdXHumDwqLLthM7vW9&#10;PvY5Pjdn5wetyJ77IK1paXVUUsINs50025Z++njx5i0lIYLpQFnDW3rLAz1fvH51NriG17a3quOe&#10;IIgJzeBa2sfomqIIrOcawpF13GBRWK8hYuq3RedhQHStirosj4vB+s55y3gIuLoei3RC9C8BtEJI&#10;xteW7TQ3cUT1XEFESqGXLtBFvq0QnMUrIQKPRLUUmcb8xUMw3qRvsTiDZuvB9ZJNV4CXXOEZJw3S&#10;4KEPUGuIQHZe/gWlJfM2WBGPmNXFSCQrgiyq8pk2Nz04nrmg1ME9iB7+Hyz7sL/2RHbohLqmxIDG&#10;J//14+fd928kraA+gwsNtt24az9lAcNE9iC8Tr9IgxyyprcPmvJDJAwXq5NqNke1GZaq4+q0nifM&#10;4nGz8yG+41aTFLSUK4UPmFhDA/vLEMfu+660bOyFVArXoVGGDC2t57MyHQFoR4E2wFA7pBTMlhJQ&#10;W/Q5iz5DBqtkl7an3cFvNyvlyR6SO8qTcpUNgZf7oy2dvYbQj325NHFQBqkkfUZFUhQPm8Mk08Z2&#10;tyiut6PrgmMXEqEuIcRr8GgzvDMOYrzCj1AWidgpoqS3/uu/1lM/vj5WKRnQtkjyyw48p0S9N+iL&#10;02o2Q9iYk9n8pMbEP61snlbMTq8scq9w5B3LYeqP6j4U3urPOK/LdCqWwDA8e5RzSlZxHCeceMaX&#10;y9yG3nYQL82NYwl8fLTlLloh83smoUZ1Jv3Q3dkU0ySm8Xma567Hf5/F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G9Cw23YAAAACQEAAA8AAAAAAAAAAQAgAAAAIgAAAGRycy9kb3ducmV2LnhtbFBL&#10;AQIUABQAAAAIAIdO4kCvt9zgaAIAAMUEAAAOAAAAAAAAAAEAIAAAACcBAABkcnMvZTJvRG9jLnht&#10;bFBLBQYAAAAABgAGAFkBAAABBgAAAAA=&#10;">
                <v:fill on="f" focussize="0,0"/>
                <v:stroke weight="2pt" color="#0070C0 [2404]" joinstyle="round"/>
                <v:imagedata o:title=""/>
                <o:lock v:ext="edit" aspectratio="f"/>
                <v:textbox>
                  <w:txbxContent>
                    <w:p w14:paraId="210674AC">
                      <w:pPr>
                        <w:jc w:val="center"/>
                      </w:pPr>
                    </w:p>
                  </w:txbxContent>
                </v:textbox>
              </v:shape>
            </w:pict>
          </mc:Fallback>
        </mc:AlternateContent>
      </w:r>
      <w:r>
        <w:rPr>
          <w:sz w:val="24"/>
        </w:rPr>
        <mc:AlternateContent>
          <mc:Choice Requires="wps">
            <w:drawing>
              <wp:anchor distT="0" distB="0" distL="114300" distR="114300" simplePos="0" relativeHeight="251706368" behindDoc="0" locked="0" layoutInCell="1" allowOverlap="1">
                <wp:simplePos x="0" y="0"/>
                <wp:positionH relativeFrom="column">
                  <wp:posOffset>161290</wp:posOffset>
                </wp:positionH>
                <wp:positionV relativeFrom="paragraph">
                  <wp:posOffset>2415540</wp:posOffset>
                </wp:positionV>
                <wp:extent cx="1562100" cy="2352040"/>
                <wp:effectExtent l="5080" t="4445" r="13970" b="5715"/>
                <wp:wrapNone/>
                <wp:docPr id="121" name="文本框 121"/>
                <wp:cNvGraphicFramePr/>
                <a:graphic xmlns:a="http://schemas.openxmlformats.org/drawingml/2006/main">
                  <a:graphicData uri="http://schemas.microsoft.com/office/word/2010/wordprocessingShape">
                    <wps:wsp>
                      <wps:cNvSpPr txBox="1"/>
                      <wps:spPr>
                        <a:xfrm>
                          <a:off x="1066165" y="4406265"/>
                          <a:ext cx="1562100" cy="23520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47F1869">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eastAsia="宋体"/>
                                <w:lang w:val="en-US" w:eastAsia="zh-CN"/>
                              </w:rPr>
                            </w:pPr>
                            <w:r>
                              <w:rPr>
                                <w:rFonts w:hint="eastAsia"/>
                                <w:lang w:val="en-US" w:eastAsia="zh-CN"/>
                              </w:rPr>
                              <w:t>图例</w:t>
                            </w:r>
                          </w:p>
                          <w:p w14:paraId="4FF80625">
                            <w:pPr>
                              <w:keepNext w:val="0"/>
                              <w:keepLines w:val="0"/>
                              <w:pageBreakBefore w:val="0"/>
                              <w:widowControl w:val="0"/>
                              <w:kinsoku/>
                              <w:wordWrap/>
                              <w:overflowPunct/>
                              <w:topLinePunct w:val="0"/>
                              <w:bidi w:val="0"/>
                              <w:adjustRightInd/>
                              <w:snapToGrid/>
                              <w:spacing w:line="360" w:lineRule="auto"/>
                              <w:ind w:firstLine="0" w:firstLineChars="0"/>
                              <w:textAlignment w:val="auto"/>
                              <w:rPr>
                                <w:rFonts w:hint="default" w:eastAsia="宋体"/>
                                <w:lang w:val="en-US" w:eastAsia="zh-CN"/>
                              </w:rPr>
                            </w:pPr>
                            <w:r>
                              <w:rPr>
                                <w:rFonts w:hint="eastAsia"/>
                                <w:lang w:val="en-US" w:eastAsia="zh-CN"/>
                              </w:rPr>
                              <w:t xml:space="preserve">   水泥筒仓</w:t>
                            </w:r>
                          </w:p>
                          <w:p w14:paraId="12E9A2B6">
                            <w:pPr>
                              <w:keepNext w:val="0"/>
                              <w:keepLines w:val="0"/>
                              <w:pageBreakBefore w:val="0"/>
                              <w:widowControl w:val="0"/>
                              <w:kinsoku/>
                              <w:wordWrap/>
                              <w:overflowPunct/>
                              <w:topLinePunct w:val="0"/>
                              <w:bidi w:val="0"/>
                              <w:adjustRightInd/>
                              <w:snapToGrid/>
                              <w:spacing w:line="360" w:lineRule="auto"/>
                              <w:ind w:firstLine="0" w:firstLineChars="0"/>
                              <w:textAlignment w:val="auto"/>
                              <w:rPr>
                                <w:rFonts w:hint="default" w:eastAsia="宋体"/>
                                <w:lang w:val="en-US" w:eastAsia="zh-CN"/>
                              </w:rPr>
                            </w:pPr>
                            <w:r>
                              <w:rPr>
                                <w:rFonts w:hint="eastAsia"/>
                                <w:lang w:val="en-US" w:eastAsia="zh-CN"/>
                              </w:rPr>
                              <w:t xml:space="preserve">   粉煤灰筒仓</w:t>
                            </w:r>
                          </w:p>
                          <w:p w14:paraId="5C2CE43B">
                            <w:pPr>
                              <w:keepNext w:val="0"/>
                              <w:keepLines w:val="0"/>
                              <w:pageBreakBefore w:val="0"/>
                              <w:widowControl w:val="0"/>
                              <w:kinsoku/>
                              <w:wordWrap/>
                              <w:overflowPunct/>
                              <w:topLinePunct w:val="0"/>
                              <w:bidi w:val="0"/>
                              <w:adjustRightInd/>
                              <w:snapToGrid/>
                              <w:spacing w:line="360" w:lineRule="auto"/>
                              <w:ind w:firstLine="0" w:firstLineChars="0"/>
                              <w:textAlignment w:val="auto"/>
                              <w:rPr>
                                <w:rFonts w:hint="default" w:eastAsia="宋体"/>
                                <w:lang w:val="en-US" w:eastAsia="zh-CN"/>
                              </w:rPr>
                            </w:pPr>
                            <w:r>
                              <w:rPr>
                                <w:rFonts w:hint="eastAsia"/>
                                <w:lang w:val="en-US" w:eastAsia="zh-CN"/>
                              </w:rPr>
                              <w:t xml:space="preserve">    储水罐</w:t>
                            </w:r>
                          </w:p>
                          <w:p w14:paraId="763E0ADB">
                            <w:pPr>
                              <w:keepNext w:val="0"/>
                              <w:keepLines w:val="0"/>
                              <w:pageBreakBefore w:val="0"/>
                              <w:widowControl w:val="0"/>
                              <w:kinsoku/>
                              <w:wordWrap/>
                              <w:overflowPunct/>
                              <w:topLinePunct w:val="0"/>
                              <w:bidi w:val="0"/>
                              <w:adjustRightInd/>
                              <w:snapToGrid/>
                              <w:spacing w:line="360" w:lineRule="auto"/>
                              <w:ind w:firstLine="0" w:firstLineChars="0"/>
                              <w:textAlignment w:val="auto"/>
                              <w:rPr>
                                <w:rFonts w:hint="default" w:eastAsia="宋体"/>
                                <w:lang w:val="en-US" w:eastAsia="zh-CN"/>
                              </w:rPr>
                            </w:pPr>
                            <w:r>
                              <w:rPr>
                                <w:rFonts w:hint="eastAsia"/>
                                <w:lang w:val="en-US" w:eastAsia="zh-CN"/>
                              </w:rPr>
                              <w:t xml:space="preserve">    三级沉淀池</w:t>
                            </w:r>
                          </w:p>
                          <w:p w14:paraId="4BE8E547">
                            <w:pPr>
                              <w:keepNext w:val="0"/>
                              <w:keepLines w:val="0"/>
                              <w:pageBreakBefore w:val="0"/>
                              <w:widowControl w:val="0"/>
                              <w:kinsoku/>
                              <w:wordWrap/>
                              <w:overflowPunct/>
                              <w:topLinePunct w:val="0"/>
                              <w:bidi w:val="0"/>
                              <w:adjustRightInd/>
                              <w:snapToGrid/>
                              <w:spacing w:line="360" w:lineRule="auto"/>
                              <w:ind w:firstLine="0" w:firstLineChars="0"/>
                              <w:textAlignment w:val="auto"/>
                              <w:rPr>
                                <w:rFonts w:hint="default" w:eastAsia="宋体"/>
                                <w:lang w:val="en-US" w:eastAsia="zh-CN"/>
                              </w:rPr>
                            </w:pPr>
                            <w:r>
                              <w:rPr>
                                <w:rFonts w:hint="eastAsia"/>
                                <w:lang w:val="en-US" w:eastAsia="zh-CN"/>
                              </w:rPr>
                              <w:t xml:space="preserve">    磅房</w:t>
                            </w:r>
                          </w:p>
                          <w:p w14:paraId="1980D90B">
                            <w:pPr>
                              <w:keepNext w:val="0"/>
                              <w:keepLines w:val="0"/>
                              <w:pageBreakBefore w:val="0"/>
                              <w:widowControl w:val="0"/>
                              <w:kinsoku/>
                              <w:wordWrap/>
                              <w:overflowPunct/>
                              <w:topLinePunct w:val="0"/>
                              <w:bidi w:val="0"/>
                              <w:adjustRightInd/>
                              <w:snapToGrid/>
                              <w:spacing w:line="360" w:lineRule="auto"/>
                              <w:ind w:firstLine="0" w:firstLineChars="0"/>
                              <w:textAlignment w:val="auto"/>
                              <w:rPr>
                                <w:rFonts w:hint="eastAsia"/>
                                <w:lang w:val="en-US" w:eastAsia="zh-CN"/>
                              </w:rPr>
                            </w:pPr>
                            <w:r>
                              <w:rPr>
                                <w:rFonts w:hint="eastAsia"/>
                                <w:lang w:val="en-US" w:eastAsia="zh-CN"/>
                              </w:rPr>
                              <w:t xml:space="preserve">   危废库</w:t>
                            </w:r>
                          </w:p>
                          <w:p w14:paraId="1BDD666B">
                            <w:pPr>
                              <w:keepNext w:val="0"/>
                              <w:keepLines w:val="0"/>
                              <w:pageBreakBefore w:val="0"/>
                              <w:widowControl w:val="0"/>
                              <w:kinsoku/>
                              <w:wordWrap/>
                              <w:overflowPunct/>
                              <w:topLinePunct w:val="0"/>
                              <w:bidi w:val="0"/>
                              <w:adjustRightInd/>
                              <w:snapToGrid/>
                              <w:spacing w:line="360" w:lineRule="auto"/>
                              <w:ind w:firstLine="0" w:firstLineChars="0"/>
                              <w:textAlignment w:val="auto"/>
                              <w:rPr>
                                <w:rFonts w:hint="default"/>
                                <w:lang w:val="en-US" w:eastAsia="zh-CN"/>
                              </w:rPr>
                            </w:pPr>
                            <w:r>
                              <w:rPr>
                                <w:rFonts w:hint="eastAsia"/>
                                <w:lang w:val="en-US" w:eastAsia="zh-CN"/>
                              </w:rPr>
                              <w:t xml:space="preserve">   办公生活区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7pt;margin-top:190.2pt;height:185.2pt;width:123pt;z-index:251706368;mso-width-relative:page;mso-height-relative:page;" fillcolor="#FFFFFF [3201]" filled="t" stroked="t" coordsize="21600,21600" o:gfxdata="UEsDBAoAAAAAAIdO4kAAAAAAAAAAAAAAAAAEAAAAZHJzL1BLAwQUAAAACACHTuJA35YHXNYAAAAK&#10;AQAADwAAAGRycy9kb3ducmV2LnhtbE2PwU7DMAyG70i8Q2Qkbixpy7aq1J0EEhLixtYLt6zx2oom&#10;qZJsHW+POcHtt/zp9+d6d7WTuFCIo3cI2UqBINd5M7oeoT28PpQgYtLO6Mk7QvimCLvm9qbWlfGL&#10;+6DLPvWCS1ysNMKQ0lxJGbuBrI4rP5Pj3ckHqxOPoZcm6IXL7SRzpTbS6tHxhUHP9DJQ97U/W4S3&#10;zXP6pNa8myIv/NLKLpymiHh/l6knEImu6Q+GX31Wh4adjv7sTBQTQr5+ZBKhKBUHBvJtxuGIsF2r&#10;EmRTy/8vND9QSwMEFAAAAAgAh07iQKKTn5lnAgAAyAQAAA4AAABkcnMvZTJvRG9jLnhtbK1UzW4T&#10;MRC+I/EOlu90N9tkgSibKrQKQqpopYI4O15vdoXXNraT3fIA9A04ceHOc/U5+OxN0j8OPZCDM+P5&#10;8o3nm5nMTvpWkq2wrtGqoKOjlBKhuC4btS7o50/LV28ocZ6pkkmtREGvhaMn85cvZp2ZikzXWpbC&#10;EpAoN+1MQWvvzTRJHK9Fy9yRNkIhWGnbMg/XrpPSsg7srUyyNM2TTtvSWM2Fc7g9G4J0x2ifQ6ir&#10;quHiTPNNK5QfWK2QzKMkVzfG0Xl8bVUJ7i+qyglPZEFRqY8nksBehTOZz9h0bZmpG757AnvOEx7V&#10;1LJGIemB6ox5Rja2eULVNtxqpyt/xHWbDIVERVDFKH2kzVXNjIi1QGpnDqK7/0fLP24vLWlKTEI2&#10;okSxFi2//Xlz++vP7e8fJFxCos64KZBXBljfv9M94Pt7h8tQeV/ZNnyjJhLiaZ6P8gkl1wUdj9M8&#10;gx3FFr0nPAAmeTZK0QcORHY8ydJxbEdyR2Ws8++FbkkwCmrRzSgy2547DzJA95CQ2WnZlMtGyujY&#10;9epUWrJl6PwyfkJ+/OQBTCrSFTQ/nqSR+UEscB8oVpLxr08ZwCcVaINCgxLB8v2q38m20uU1VLN6&#10;GD1n+LIB7zlz/pJZzBoUwDb6CxyV1HiM3lmU1Np+/9d9wGMEEKWkw+wW1H3bMCsokR8UhuPtCIpj&#10;2KMznrzO4Nj7kdX9iNq0pxoiof14XTQD3su9WVndfsHSLkJWhJjiyF1QvzdP/bBRWHouFosIwngb&#10;5s/VleGBOrRE6cXG66qJrQsyDdrs1MOAx/bsljFs0H0/ou7+gO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N+WB1zWAAAACgEAAA8AAAAAAAAAAQAgAAAAIgAAAGRycy9kb3ducmV2LnhtbFBLAQIU&#10;ABQAAAAIAIdO4kCik5+ZZwIAAMgEAAAOAAAAAAAAAAEAIAAAACUBAABkcnMvZTJvRG9jLnhtbFBL&#10;BQYAAAAABgAGAFkBAAD+BQAAAAA=&#10;">
                <v:fill on="t" focussize="0,0"/>
                <v:stroke weight="0.5pt" color="#000000 [3204]" joinstyle="round"/>
                <v:imagedata o:title=""/>
                <o:lock v:ext="edit" aspectratio="f"/>
                <v:textbox>
                  <w:txbxContent>
                    <w:p w14:paraId="447F1869">
                      <w:pPr>
                        <w:keepNext w:val="0"/>
                        <w:keepLines w:val="0"/>
                        <w:pageBreakBefore w:val="0"/>
                        <w:widowControl w:val="0"/>
                        <w:kinsoku/>
                        <w:wordWrap/>
                        <w:overflowPunct/>
                        <w:topLinePunct w:val="0"/>
                        <w:bidi w:val="0"/>
                        <w:adjustRightInd/>
                        <w:snapToGrid/>
                        <w:spacing w:line="360" w:lineRule="auto"/>
                        <w:ind w:firstLine="0" w:firstLineChars="0"/>
                        <w:jc w:val="center"/>
                        <w:textAlignment w:val="auto"/>
                        <w:rPr>
                          <w:rFonts w:hint="eastAsia" w:eastAsia="宋体"/>
                          <w:lang w:val="en-US" w:eastAsia="zh-CN"/>
                        </w:rPr>
                      </w:pPr>
                      <w:r>
                        <w:rPr>
                          <w:rFonts w:hint="eastAsia"/>
                          <w:lang w:val="en-US" w:eastAsia="zh-CN"/>
                        </w:rPr>
                        <w:t>图例</w:t>
                      </w:r>
                    </w:p>
                    <w:p w14:paraId="4FF80625">
                      <w:pPr>
                        <w:keepNext w:val="0"/>
                        <w:keepLines w:val="0"/>
                        <w:pageBreakBefore w:val="0"/>
                        <w:widowControl w:val="0"/>
                        <w:kinsoku/>
                        <w:wordWrap/>
                        <w:overflowPunct/>
                        <w:topLinePunct w:val="0"/>
                        <w:bidi w:val="0"/>
                        <w:adjustRightInd/>
                        <w:snapToGrid/>
                        <w:spacing w:line="360" w:lineRule="auto"/>
                        <w:ind w:firstLine="0" w:firstLineChars="0"/>
                        <w:textAlignment w:val="auto"/>
                        <w:rPr>
                          <w:rFonts w:hint="default" w:eastAsia="宋体"/>
                          <w:lang w:val="en-US" w:eastAsia="zh-CN"/>
                        </w:rPr>
                      </w:pPr>
                      <w:r>
                        <w:rPr>
                          <w:rFonts w:hint="eastAsia"/>
                          <w:lang w:val="en-US" w:eastAsia="zh-CN"/>
                        </w:rPr>
                        <w:t xml:space="preserve">   水泥筒仓</w:t>
                      </w:r>
                    </w:p>
                    <w:p w14:paraId="12E9A2B6">
                      <w:pPr>
                        <w:keepNext w:val="0"/>
                        <w:keepLines w:val="0"/>
                        <w:pageBreakBefore w:val="0"/>
                        <w:widowControl w:val="0"/>
                        <w:kinsoku/>
                        <w:wordWrap/>
                        <w:overflowPunct/>
                        <w:topLinePunct w:val="0"/>
                        <w:bidi w:val="0"/>
                        <w:adjustRightInd/>
                        <w:snapToGrid/>
                        <w:spacing w:line="360" w:lineRule="auto"/>
                        <w:ind w:firstLine="0" w:firstLineChars="0"/>
                        <w:textAlignment w:val="auto"/>
                        <w:rPr>
                          <w:rFonts w:hint="default" w:eastAsia="宋体"/>
                          <w:lang w:val="en-US" w:eastAsia="zh-CN"/>
                        </w:rPr>
                      </w:pPr>
                      <w:r>
                        <w:rPr>
                          <w:rFonts w:hint="eastAsia"/>
                          <w:lang w:val="en-US" w:eastAsia="zh-CN"/>
                        </w:rPr>
                        <w:t xml:space="preserve">   粉煤灰筒仓</w:t>
                      </w:r>
                    </w:p>
                    <w:p w14:paraId="5C2CE43B">
                      <w:pPr>
                        <w:keepNext w:val="0"/>
                        <w:keepLines w:val="0"/>
                        <w:pageBreakBefore w:val="0"/>
                        <w:widowControl w:val="0"/>
                        <w:kinsoku/>
                        <w:wordWrap/>
                        <w:overflowPunct/>
                        <w:topLinePunct w:val="0"/>
                        <w:bidi w:val="0"/>
                        <w:adjustRightInd/>
                        <w:snapToGrid/>
                        <w:spacing w:line="360" w:lineRule="auto"/>
                        <w:ind w:firstLine="0" w:firstLineChars="0"/>
                        <w:textAlignment w:val="auto"/>
                        <w:rPr>
                          <w:rFonts w:hint="default" w:eastAsia="宋体"/>
                          <w:lang w:val="en-US" w:eastAsia="zh-CN"/>
                        </w:rPr>
                      </w:pPr>
                      <w:r>
                        <w:rPr>
                          <w:rFonts w:hint="eastAsia"/>
                          <w:lang w:val="en-US" w:eastAsia="zh-CN"/>
                        </w:rPr>
                        <w:t xml:space="preserve">    储水罐</w:t>
                      </w:r>
                    </w:p>
                    <w:p w14:paraId="763E0ADB">
                      <w:pPr>
                        <w:keepNext w:val="0"/>
                        <w:keepLines w:val="0"/>
                        <w:pageBreakBefore w:val="0"/>
                        <w:widowControl w:val="0"/>
                        <w:kinsoku/>
                        <w:wordWrap/>
                        <w:overflowPunct/>
                        <w:topLinePunct w:val="0"/>
                        <w:bidi w:val="0"/>
                        <w:adjustRightInd/>
                        <w:snapToGrid/>
                        <w:spacing w:line="360" w:lineRule="auto"/>
                        <w:ind w:firstLine="0" w:firstLineChars="0"/>
                        <w:textAlignment w:val="auto"/>
                        <w:rPr>
                          <w:rFonts w:hint="default" w:eastAsia="宋体"/>
                          <w:lang w:val="en-US" w:eastAsia="zh-CN"/>
                        </w:rPr>
                      </w:pPr>
                      <w:r>
                        <w:rPr>
                          <w:rFonts w:hint="eastAsia"/>
                          <w:lang w:val="en-US" w:eastAsia="zh-CN"/>
                        </w:rPr>
                        <w:t xml:space="preserve">    三级沉淀池</w:t>
                      </w:r>
                    </w:p>
                    <w:p w14:paraId="4BE8E547">
                      <w:pPr>
                        <w:keepNext w:val="0"/>
                        <w:keepLines w:val="0"/>
                        <w:pageBreakBefore w:val="0"/>
                        <w:widowControl w:val="0"/>
                        <w:kinsoku/>
                        <w:wordWrap/>
                        <w:overflowPunct/>
                        <w:topLinePunct w:val="0"/>
                        <w:bidi w:val="0"/>
                        <w:adjustRightInd/>
                        <w:snapToGrid/>
                        <w:spacing w:line="360" w:lineRule="auto"/>
                        <w:ind w:firstLine="0" w:firstLineChars="0"/>
                        <w:textAlignment w:val="auto"/>
                        <w:rPr>
                          <w:rFonts w:hint="default" w:eastAsia="宋体"/>
                          <w:lang w:val="en-US" w:eastAsia="zh-CN"/>
                        </w:rPr>
                      </w:pPr>
                      <w:r>
                        <w:rPr>
                          <w:rFonts w:hint="eastAsia"/>
                          <w:lang w:val="en-US" w:eastAsia="zh-CN"/>
                        </w:rPr>
                        <w:t xml:space="preserve">    磅房</w:t>
                      </w:r>
                    </w:p>
                    <w:p w14:paraId="1980D90B">
                      <w:pPr>
                        <w:keepNext w:val="0"/>
                        <w:keepLines w:val="0"/>
                        <w:pageBreakBefore w:val="0"/>
                        <w:widowControl w:val="0"/>
                        <w:kinsoku/>
                        <w:wordWrap/>
                        <w:overflowPunct/>
                        <w:topLinePunct w:val="0"/>
                        <w:bidi w:val="0"/>
                        <w:adjustRightInd/>
                        <w:snapToGrid/>
                        <w:spacing w:line="360" w:lineRule="auto"/>
                        <w:ind w:firstLine="0" w:firstLineChars="0"/>
                        <w:textAlignment w:val="auto"/>
                        <w:rPr>
                          <w:rFonts w:hint="eastAsia"/>
                          <w:lang w:val="en-US" w:eastAsia="zh-CN"/>
                        </w:rPr>
                      </w:pPr>
                      <w:r>
                        <w:rPr>
                          <w:rFonts w:hint="eastAsia"/>
                          <w:lang w:val="en-US" w:eastAsia="zh-CN"/>
                        </w:rPr>
                        <w:t xml:space="preserve">   危废库</w:t>
                      </w:r>
                    </w:p>
                    <w:p w14:paraId="1BDD666B">
                      <w:pPr>
                        <w:keepNext w:val="0"/>
                        <w:keepLines w:val="0"/>
                        <w:pageBreakBefore w:val="0"/>
                        <w:widowControl w:val="0"/>
                        <w:kinsoku/>
                        <w:wordWrap/>
                        <w:overflowPunct/>
                        <w:topLinePunct w:val="0"/>
                        <w:bidi w:val="0"/>
                        <w:adjustRightInd/>
                        <w:snapToGrid/>
                        <w:spacing w:line="360" w:lineRule="auto"/>
                        <w:ind w:firstLine="0" w:firstLineChars="0"/>
                        <w:textAlignment w:val="auto"/>
                        <w:rPr>
                          <w:rFonts w:hint="default"/>
                          <w:lang w:val="en-US" w:eastAsia="zh-CN"/>
                        </w:rPr>
                      </w:pPr>
                      <w:r>
                        <w:rPr>
                          <w:rFonts w:hint="eastAsia"/>
                          <w:lang w:val="en-US" w:eastAsia="zh-CN"/>
                        </w:rPr>
                        <w:t xml:space="preserve">   办公生活区</w:t>
                      </w:r>
                    </w:p>
                  </w:txbxContent>
                </v:textbox>
              </v:shape>
            </w:pict>
          </mc:Fallback>
        </mc:AlternateContent>
      </w:r>
      <w:r>
        <w:rPr>
          <w:sz w:val="24"/>
        </w:rPr>
        <mc:AlternateContent>
          <mc:Choice Requires="wps">
            <w:drawing>
              <wp:anchor distT="0" distB="0" distL="114300" distR="114300" simplePos="0" relativeHeight="251695104" behindDoc="0" locked="0" layoutInCell="1" allowOverlap="1">
                <wp:simplePos x="0" y="0"/>
                <wp:positionH relativeFrom="column">
                  <wp:posOffset>247015</wp:posOffset>
                </wp:positionH>
                <wp:positionV relativeFrom="paragraph">
                  <wp:posOffset>3881755</wp:posOffset>
                </wp:positionV>
                <wp:extent cx="171450" cy="161925"/>
                <wp:effectExtent l="12700" t="12700" r="25400" b="15875"/>
                <wp:wrapNone/>
                <wp:docPr id="123" name="椭圆 123"/>
                <wp:cNvGraphicFramePr/>
                <a:graphic xmlns:a="http://schemas.openxmlformats.org/drawingml/2006/main">
                  <a:graphicData uri="http://schemas.microsoft.com/office/word/2010/wordprocessingShape">
                    <wps:wsp>
                      <wps:cNvSpPr/>
                      <wps:spPr>
                        <a:xfrm>
                          <a:off x="0" y="0"/>
                          <a:ext cx="171450" cy="161925"/>
                        </a:xfrm>
                        <a:prstGeom prst="ellipse">
                          <a:avLst/>
                        </a:prstGeom>
                        <a:noFill/>
                        <a:ln>
                          <a:solidFill>
                            <a:srgbClr val="0070C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43E3290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9.45pt;margin-top:305.65pt;height:12.75pt;width:13.5pt;z-index:251695104;v-text-anchor:middle;mso-width-relative:page;mso-height-relative:page;" filled="f" stroked="t" coordsize="21600,21600" o:gfxdata="UEsDBAoAAAAAAIdO4kAAAAAAAAAAAAAAAAAEAAAAZHJzL1BLAwQUAAAACACHTuJANVJ4OtgAAAAJ&#10;AQAADwAAAGRycy9kb3ducmV2LnhtbE2PwU7DMAyG70i8Q2QkLoilpRCV0nQaCE7sQtkkjlkTmmiN&#10;UzXZur095gQny/an35/r5ckP7Gim6AJKyBcZMINd0A57CZvPt9sSWEwKtRoCGglnE2HZXF7UqtJh&#10;xg9zbFPPKARjpSTYlMaK89hZ41VchNEg7b7D5FWiduq5ntRM4X7gd1kmuFcO6YJVo3mxptu3By/h&#10;5my3osXXlfu679b23a3U836W8voqz56AJXNKfzD86pM6NOS0CwfUkQ0SivKRSAkizwtgBIgHGuyo&#10;FqIE3tT8/wfND1BLAwQUAAAACACHTuJAojjGMWkCAADFBAAADgAAAGRycy9lMm9Eb2MueG1srVTN&#10;bhMxEL4j8Q6W73R3Q9LSVTZVlKgIqaKVCuI88dpZS/7DdrIpD8BTcOTKY8FzMPZu21A49MBlM+MZ&#10;f/b3+ZvMLw5akT33QVrT0OqkpIQbZltptg39+OHy1RtKQgTTgrKGN/SOB3qxePli3ruaT2xnVcs9&#10;QRAT6t41tIvR1UURWMc1hBPruMGisF5DxNRvi9ZDj+haFZOyPC1661vnLeMh4Op6KNIR0T8H0Aoh&#10;GV9bttPcxAHVcwURKYVOukAX+bZCcBavhQg8EtVQZBrzFw/BeJO+xWIO9daD6yQbrwDPucITThqk&#10;wUMfoNYQgey8/AtKS+ZtsCKeMKuLgUhWBFlU5RNtbjtwPHNBqYN7ED38P1j2fn/jiWzRCZPXlBjQ&#10;+OS/vv/4+e0rSSuoT+9CjW237saPWcAwkT0Ir9Mv0iCHrOndg6b8EAnDxeqsms5QbYal6rQ6n8wS&#10;ZvG42fkQ33KrSQoaypXCB0ysoYb9VYhD931XWjb2UiqF61ArQ/qGTmbTMh0BaEeBNsBQO6QUzJYS&#10;UFv0OYs+QwarZJu2p93Bbzcr5ckekjvKs3KVDYGX+6Mtnb2G0A19uTRyUAapJH0GRVIUD5vDKNPG&#10;tncorreD64JjlxKhriDEG/BoM7wzDmK8xo9QFonYMaKks/7Lv9ZTP74+Vinp0bZI8vMOPKdEvTPo&#10;i/NqOkXYmJPp7GyCiT+ubI4rZqdXFrlXOPKO5TD1R3UfCm/1J5zXZToVS2AYnj3IOSarOIwTTjzj&#10;y2VuQ287iFfm1rEEPjzachetkPk9k1CDOqN+6O5sinES0/gc57nr8d9n8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1Ung62AAAAAkBAAAPAAAAAAAAAAEAIAAAACIAAABkcnMvZG93bnJldi54bWxQ&#10;SwECFAAUAAAACACHTuJAojjGMWkCAADFBAAADgAAAAAAAAABACAAAAAnAQAAZHJzL2Uyb0RvYy54&#10;bWxQSwUGAAAAAAYABgBZAQAAAgYAAAAA&#10;">
                <v:fill on="f" focussize="0,0"/>
                <v:stroke weight="2pt" color="#0070C0 [2404]" joinstyle="round"/>
                <v:imagedata o:title=""/>
                <o:lock v:ext="edit" aspectratio="f"/>
                <v:textbox>
                  <w:txbxContent>
                    <w:p w14:paraId="43E3290C">
                      <w:pPr>
                        <w:jc w:val="center"/>
                      </w:pPr>
                    </w:p>
                  </w:txbxContent>
                </v:textbox>
              </v:shape>
            </w:pict>
          </mc:Fallback>
        </mc:AlternateContent>
      </w:r>
      <w:r>
        <w:rPr>
          <w:sz w:val="24"/>
        </w:rPr>
        <mc:AlternateContent>
          <mc:Choice Requires="wps">
            <w:drawing>
              <wp:anchor distT="0" distB="0" distL="114300" distR="114300" simplePos="0" relativeHeight="251684864" behindDoc="0" locked="0" layoutInCell="1" allowOverlap="1">
                <wp:simplePos x="0" y="0"/>
                <wp:positionH relativeFrom="column">
                  <wp:posOffset>3133090</wp:posOffset>
                </wp:positionH>
                <wp:positionV relativeFrom="paragraph">
                  <wp:posOffset>1490980</wp:posOffset>
                </wp:positionV>
                <wp:extent cx="1144270" cy="2286635"/>
                <wp:effectExtent l="12700" t="12700" r="24130" b="24765"/>
                <wp:wrapNone/>
                <wp:docPr id="99" name="矩形 99"/>
                <wp:cNvGraphicFramePr/>
                <a:graphic xmlns:a="http://schemas.openxmlformats.org/drawingml/2006/main">
                  <a:graphicData uri="http://schemas.microsoft.com/office/word/2010/wordprocessingShape">
                    <wps:wsp>
                      <wps:cNvSpPr/>
                      <wps:spPr>
                        <a:xfrm>
                          <a:off x="0" y="0"/>
                          <a:ext cx="1144270" cy="2286635"/>
                        </a:xfrm>
                        <a:prstGeom prst="rect">
                          <a:avLst/>
                        </a:prstGeom>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5810F1E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6.7pt;margin-top:117.4pt;height:180.05pt;width:90.1pt;z-index:251684864;v-text-anchor:middle;mso-width-relative:page;mso-height-relative:page;" fillcolor="#4F81BD [3204]" filled="t" stroked="t" coordsize="21600,21600" o:gfxdata="UEsDBAoAAAAAAIdO4kAAAAAAAAAAAAAAAAAEAAAAZHJzL1BLAwQUAAAACACHTuJACFNikdkAAAAL&#10;AQAADwAAAGRycy9kb3ducmV2LnhtbE2Py07DMBBF90j8gzVI7KidJg0kZNIFomxYUSqk7tx4iCPi&#10;cRS7D/4es4LlaI7uPbdZX9woTjSHwTNCtlAgiDtvBu4Rdu+buwcQIWo2evRMCN8UYN1eXzW6Nv7M&#10;b3Taxl6kEA61RrAxTrWUobPkdFj4iTj9Pv3sdEzn3Esz63MKd6NcKlVKpwdODVZP9GSp+9oeHYLc&#10;Zx9UhJfNq51y5cPq2e2HHeLtTaYeQUS6xD8YfvWTOrTJ6eCPbIIYEYoqLxKKsMyLtCER5X1egjgg&#10;rKqiAtk28v+G9gdQSwMEFAAAAAgAh07iQE7LZ1VtAgAA6wQAAA4AAABkcnMvZTJvRG9jLnhtbK1U&#10;zW4TMRC+I/EOlu90k5D+RdlUIVEQUkUrFcTZ8drZlfyH7WRTXgaJGw/B4yBeg8/ebZuWHnogB2fG&#10;M/vNzDcznl7stSI74UNjTUmHRwNKhOG2asympJ8/rd6cURIiMxVT1oiS3opAL2avX01bNxEjW1tV&#10;CU8AYsKkdSWtY3STogi8FpqFI+uEgVFar1mE6jdF5VkLdK2K0WBwUrTWV85bLkLA7bIz0h7RvwTQ&#10;StlwsbR8q4WJHaoXikWUFOrGBTrL2UopeLySMohIVElRacwngkBep7OYTdlk45mrG96nwF6SwpOa&#10;NGsMgt5DLVlkZOubf6B0w70NVsYjbnXRFZIZQRXDwRNubmrmRK4FVAd3T3r4f7D84+7ak6Yq6fk5&#10;JYZpdPzP95+/f/0guAA7rQsTON24a99rAWIqdS+9Tv8oguwzo7f3jIp9JByXw+F4PDoF2Ry20ejs&#10;5OTtcUItHj53PsT3wmqShJJ6tCwzyXaXIXaudy4pWrCqqVaNUlnxm/VCebJjaO94dTZ8t+zRH7kp&#10;Q1qEPx4PUiYMQysxLBC1Q+HBbChhaoNt4NHn2I++DodBBvn3XJCU5JKFuksmI/RuyqDgxGPHXJLi&#10;fr3v6Vzb6hYt8LabzeD4qgHUJQvxmnkMI3LGusYrHFJZFGJ7iZLa+m/P3Sd/zAislLQYbhT5dcu8&#10;oER9MJiec7QFsDEr4+PTERR/aFkfWsxWLywIHuJhcDyLyT+qO1F6q79gq+cpKkzMcMTu6OyVReyW&#10;Du8CF/N5dsMGOBYvzY3jCTw11Nj5NlrZ5MYnojp2ev6wA3l0+n1NS3aoZ6+HN2r2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AhTYpHZAAAACwEAAA8AAAAAAAAAAQAgAAAAIgAAAGRycy9kb3ducmV2&#10;LnhtbFBLAQIUABQAAAAIAIdO4kBOy2dVbQIAAOsEAAAOAAAAAAAAAAEAIAAAACgBAABkcnMvZTJv&#10;RG9jLnhtbFBLBQYAAAAABgAGAFkBAAAHBgAAAAA=&#10;">
                <v:fill on="t" focussize="0,0"/>
                <v:stroke weight="2pt" color="#000000 [3213]" joinstyle="round"/>
                <v:imagedata o:title=""/>
                <o:lock v:ext="edit" aspectratio="f"/>
                <v:textbox>
                  <w:txbxContent>
                    <w:p w14:paraId="5810F1E3">
                      <w:pPr>
                        <w:jc w:val="center"/>
                      </w:pPr>
                    </w:p>
                  </w:txbxContent>
                </v:textbox>
              </v:rect>
            </w:pict>
          </mc:Fallback>
        </mc:AlternateContent>
      </w:r>
      <w:r>
        <w:rPr>
          <w:sz w:val="24"/>
        </w:rPr>
        <mc:AlternateContent>
          <mc:Choice Requires="wps">
            <w:drawing>
              <wp:anchor distT="0" distB="0" distL="114300" distR="114300" simplePos="0" relativeHeight="251694080" behindDoc="0" locked="0" layoutInCell="1" allowOverlap="1">
                <wp:simplePos x="0" y="0"/>
                <wp:positionH relativeFrom="column">
                  <wp:posOffset>3514090</wp:posOffset>
                </wp:positionH>
                <wp:positionV relativeFrom="paragraph">
                  <wp:posOffset>2005330</wp:posOffset>
                </wp:positionV>
                <wp:extent cx="343535" cy="961390"/>
                <wp:effectExtent l="0" t="0" r="0" b="0"/>
                <wp:wrapNone/>
                <wp:docPr id="108" name="文本框 108"/>
                <wp:cNvGraphicFramePr/>
                <a:graphic xmlns:a="http://schemas.openxmlformats.org/drawingml/2006/main">
                  <a:graphicData uri="http://schemas.microsoft.com/office/word/2010/wordprocessingShape">
                    <wps:wsp>
                      <wps:cNvSpPr txBox="1"/>
                      <wps:spPr>
                        <a:xfrm>
                          <a:off x="3647440" y="3625215"/>
                          <a:ext cx="343535" cy="9613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FE1327">
                            <w:pPr>
                              <w:keepNext w:val="0"/>
                              <w:keepLines w:val="0"/>
                              <w:pageBreakBefore w:val="0"/>
                              <w:widowControl w:val="0"/>
                              <w:kinsoku/>
                              <w:wordWrap/>
                              <w:overflowPunct/>
                              <w:topLinePunct w:val="0"/>
                              <w:bidi w:val="0"/>
                              <w:adjustRightInd/>
                              <w:snapToGrid/>
                              <w:spacing w:line="240" w:lineRule="auto"/>
                              <w:ind w:left="0" w:leftChars="0" w:firstLine="0" w:firstLineChars="0"/>
                              <w:textAlignment w:val="auto"/>
                              <w:rPr>
                                <w:rFonts w:hint="default" w:eastAsia="宋体"/>
                                <w:lang w:val="en-US" w:eastAsia="zh-CN"/>
                              </w:rPr>
                            </w:pPr>
                            <w:r>
                              <w:rPr>
                                <w:rFonts w:hint="eastAsia"/>
                                <w:lang w:val="en-US" w:eastAsia="zh-CN"/>
                              </w:rPr>
                              <w:t>原料堆场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6.7pt;margin-top:157.9pt;height:75.7pt;width:27.05pt;z-index:251694080;mso-width-relative:page;mso-height-relative:page;" filled="f" stroked="f" coordsize="21600,21600" o:gfxdata="UEsDBAoAAAAAAIdO4kAAAAAAAAAAAAAAAAAEAAAAZHJzL1BLAwQUAAAACACHTuJAZpXUoN0AAAAL&#10;AQAADwAAAGRycy9kb3ducmV2LnhtbE2Py07DMBBF90j8gzVI7KidtEmrEKdCkSokBIuWbtg5sZtE&#10;2OMQuw/4eoZVWY7m6N5zy/XFWXYyUxg8SkhmApjB1usBOwn7983DCliICrWyHo2EbxNgXd3elKrQ&#10;/oxbc9rFjlEIhkJJ6GMcC85D2xunwsyPBul38JNTkc6p43pSZwp3lqdC5NypAamhV6Ope9N+7o5O&#10;wku9eVPbJnWrH1s/vx6exq/9Rybl/V0iHoFFc4lXGP70SR0qcmr8EXVgVkKWzReESpgnGW0gIhfL&#10;DFgjYZEvU+BVyf9vqH4BUEsDBBQAAAAIAIdO4kBevVQeRgIAAHUEAAAOAAAAZHJzL2Uyb0RvYy54&#10;bWytVM1u1DAQviPxDpbvNPsPXTVbLa2KkCpaqSDOXsdpItkeY3ublAeAN+DEhTvP1efgs7PbVoVD&#10;D1ycsefzjL9vZnJ03BvNbpQPLdmSjw9GnCkrqWrtdck/fTx79YazEIWthCarSn6rAj9evXxx1Lml&#10;mlBDulKeIYgNy86VvInRLYsiyEYZEQ7IKQtnTd6IiK2/LiovOkQ3upiMRouiI185T1KFgNPTwcl3&#10;Ef1zAlJdt1KdktwaZeMQ1SstIiiFpnWBr/Jr61rJeFHXQUWmSw6mMa9IAnuT1mJ1JJbXXrimlbsn&#10;iOc84QknI1qLpPehTkUUbOvbv0KZVnoKVMcDSaYYiGRFwGI8eqLNVSOcylwgdXD3oof/F1Z+uLn0&#10;rK3QCSMU3gqDkt/9+H738/fdr28sHUKizoUlkFcO2Ni/pR7w/XnAYWLe196kLzgx+KeL2evZDDLf&#10;Jnsyn4zng9iqj0wmwGw6n845kwAcLsbTw1yM4iGQ8yG+U2RYMkruUcsssbg5DxGPAnQPSXktnbVa&#10;53pqy7qSL6bzUb5w78ENbXEx0RmenazYb/odxw1Vt6DoaeiT4ORZi+TnIsRL4dEY4IPRiRdYak1I&#10;QjuLs4b813+dJzzqBS9nHRqt5OHLVnjFmX5vUcnDcZYp5s1s/nqCHP6xZ/PYY7fmhNDLYwypk9lM&#10;+Kj3Zu3JfMaErVNWuISVyF3yuDdP4tD+mFCp1usMQi86Ec/tlZMp9CDnehupbrPSSaZBm5166MZc&#10;gN3kpHZ/vM+oh7/F6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mldSg3QAAAAsBAAAPAAAAAAAA&#10;AAEAIAAAACIAAABkcnMvZG93bnJldi54bWxQSwECFAAUAAAACACHTuJAXr1UHkYCAAB1BAAADgAA&#10;AAAAAAABACAAAAAsAQAAZHJzL2Uyb0RvYy54bWxQSwUGAAAAAAYABgBZAQAA5AUAAAAA&#10;">
                <v:fill on="f" focussize="0,0"/>
                <v:stroke on="f" weight="0.5pt"/>
                <v:imagedata o:title=""/>
                <o:lock v:ext="edit" aspectratio="f"/>
                <v:textbox>
                  <w:txbxContent>
                    <w:p w14:paraId="63FE1327">
                      <w:pPr>
                        <w:keepNext w:val="0"/>
                        <w:keepLines w:val="0"/>
                        <w:pageBreakBefore w:val="0"/>
                        <w:widowControl w:val="0"/>
                        <w:kinsoku/>
                        <w:wordWrap/>
                        <w:overflowPunct/>
                        <w:topLinePunct w:val="0"/>
                        <w:bidi w:val="0"/>
                        <w:adjustRightInd/>
                        <w:snapToGrid/>
                        <w:spacing w:line="240" w:lineRule="auto"/>
                        <w:ind w:left="0" w:leftChars="0" w:firstLine="0" w:firstLineChars="0"/>
                        <w:textAlignment w:val="auto"/>
                        <w:rPr>
                          <w:rFonts w:hint="default" w:eastAsia="宋体"/>
                          <w:lang w:val="en-US" w:eastAsia="zh-CN"/>
                        </w:rPr>
                      </w:pPr>
                      <w:r>
                        <w:rPr>
                          <w:rFonts w:hint="eastAsia"/>
                          <w:lang w:val="en-US" w:eastAsia="zh-CN"/>
                        </w:rPr>
                        <w:t>原料堆场</w:t>
                      </w:r>
                    </w:p>
                  </w:txbxContent>
                </v:textbox>
              </v:shape>
            </w:pict>
          </mc:Fallback>
        </mc:AlternateContent>
      </w:r>
      <w:r>
        <w:rPr>
          <w:sz w:val="24"/>
        </w:rPr>
        <mc:AlternateContent>
          <mc:Choice Requires="wps">
            <w:drawing>
              <wp:anchor distT="0" distB="0" distL="114300" distR="114300" simplePos="0" relativeHeight="251692032" behindDoc="0" locked="0" layoutInCell="1" allowOverlap="1">
                <wp:simplePos x="0" y="0"/>
                <wp:positionH relativeFrom="column">
                  <wp:posOffset>5447665</wp:posOffset>
                </wp:positionH>
                <wp:positionV relativeFrom="paragraph">
                  <wp:posOffset>3919855</wp:posOffset>
                </wp:positionV>
                <wp:extent cx="171450" cy="161925"/>
                <wp:effectExtent l="12700" t="12700" r="25400" b="15875"/>
                <wp:wrapNone/>
                <wp:docPr id="106" name="椭圆 106"/>
                <wp:cNvGraphicFramePr/>
                <a:graphic xmlns:a="http://schemas.openxmlformats.org/drawingml/2006/main">
                  <a:graphicData uri="http://schemas.microsoft.com/office/word/2010/wordprocessingShape">
                    <wps:wsp>
                      <wps:cNvSpPr/>
                      <wps:spPr>
                        <a:xfrm>
                          <a:off x="0" y="0"/>
                          <a:ext cx="171450" cy="161925"/>
                        </a:xfrm>
                        <a:prstGeom prst="ellipse">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28.95pt;margin-top:308.65pt;height:12.75pt;width:13.5pt;z-index:251692032;v-text-anchor:middle;mso-width-relative:page;mso-height-relative:page;" filled="f" stroked="t" coordsize="21600,21600" o:gfxdata="UEsDBAoAAAAAAIdO4kAAAAAAAAAAAAAAAAAEAAAAZHJzL1BLAwQUAAAACACHTuJA3IcAIdgAAAAL&#10;AQAADwAAAGRycy9kb3ducmV2LnhtbE2Py07DMBBF90j8gzVI7KgTk7RuiFOplVgAKwrq2o3dJKo9&#10;jmL3AV/PsILl3Dm6j3p19Y6d7RSHgAryWQbMYhvMgJ2Cz4/nBwksJo1Gu4BWwZeNsGpub2pdmXDB&#10;d3vepo6RCcZKK+hTGivOY9tbr+MsjBbpdwiT14nOqeNm0hcy946LLJtzrwekhF6PdtPb9rg9ecp9&#10;WxdC7MS6PLrvzas+lKMJL0rd3+XZE7Bkr+kPht/6VB0a6rQPJzSROQWyXCwJVTDPF4/AiJCyIGVP&#10;SiEk8Kbm/zc0P1BLAwQUAAAACACHTuJAqtgUlmECAAC6BAAADgAAAGRycy9lMm9Eb2MueG1srVRL&#10;btswEN0X6B0I7mtJhp00QuTAiOGiQNAESIuuaYq0BPBXkracHqCn6LLbHis9Rx8lxUnTLrKoF/T8&#10;ODPvcUbnFwetyF740FpT0WKSUyIMt3VrthX99HH95i0lITJTM2WNqOidCPRi8frVeedKMbWNVbXw&#10;BElMKDtX0SZGV2ZZ4I3QLEysEwZOab1mEarfZrVnHbJrlU3z/CTrrK+dt1yEAOtqcNIxo39JQitl&#10;y8XK8p0WJg5ZvVAsAlJoWhfoou9WSsHjtZRBRKIqCqSxP1EE8iad2eKclVvPXNPysQX2khaeYdKs&#10;NSh6TLVikZGdb/9KpVvubbAyTrjV2QCkZwQoivwZN7cNc6LHAqqDO5Ie/l9a/mF/40lbYxLyE0oM&#10;03jyXz9+3n//RpIF/HQulAi7dTd+1ALEBPYgvU7/gEEOPad3R07FIRIOY3FazOZgm8NVnBRn03nK&#10;mT1edj7Ed8JqkoSKCqXwgAk1K9n+KsQh+iEqmY1dt0rBzkplSFfR6XyWpxIM4ygxBhC1A6RgtpQw&#10;tcWc8+j7lMGqtk7X0+3gt5tL5cmeYTrW6xy/sbk/wlLtFQvNENe7xjBlACXxMzCSpI2t78Cot8Oo&#10;BcfXLe5fsRBvmMdsoVFsX7zGIZVF93aUKGms//ove4rHk8NLSYdZBbIvO+YFJeq9wTCcFbMZ0sZe&#10;mc1Pp1D8U8/mqcfs9KUF4AJ77ngvpvioHkTprf6MJV2mqnAxw1F74HBULuOwQ1hzLpbLPgwD7Vi8&#10;MreOp+TDSy130cq2f8RHdkbSMNL9JIzrl3bmqd5HPX5yF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3IcAIdgAAAALAQAADwAAAAAAAAABACAAAAAiAAAAZHJzL2Rvd25yZXYueG1sUEsBAhQAFAAA&#10;AAgAh07iQKrYFJZhAgAAugQAAA4AAAAAAAAAAQAgAAAAJwEAAGRycy9lMm9Eb2MueG1sUEsFBgAA&#10;AAAGAAYAWQEAAPoFAAAAAA==&#10;">
                <v:fill on="f" focussize="0,0"/>
                <v:stroke weight="2pt" color="#FF0000 [2404]" joinstyle="round"/>
                <v:imagedata o:title=""/>
                <o:lock v:ext="edit" aspectratio="f"/>
              </v:shape>
            </w:pict>
          </mc:Fallback>
        </mc:AlternateContent>
      </w:r>
      <w:r>
        <w:rPr>
          <w:sz w:val="24"/>
        </w:rPr>
        <mc:AlternateContent>
          <mc:Choice Requires="wps">
            <w:drawing>
              <wp:anchor distT="0" distB="0" distL="114300" distR="114300" simplePos="0" relativeHeight="251691008" behindDoc="0" locked="0" layoutInCell="1" allowOverlap="1">
                <wp:simplePos x="0" y="0"/>
                <wp:positionH relativeFrom="column">
                  <wp:posOffset>5142865</wp:posOffset>
                </wp:positionH>
                <wp:positionV relativeFrom="paragraph">
                  <wp:posOffset>3929380</wp:posOffset>
                </wp:positionV>
                <wp:extent cx="171450" cy="161925"/>
                <wp:effectExtent l="12700" t="12700" r="25400" b="15875"/>
                <wp:wrapNone/>
                <wp:docPr id="105" name="椭圆 105"/>
                <wp:cNvGraphicFramePr/>
                <a:graphic xmlns:a="http://schemas.openxmlformats.org/drawingml/2006/main">
                  <a:graphicData uri="http://schemas.microsoft.com/office/word/2010/wordprocessingShape">
                    <wps:wsp>
                      <wps:cNvSpPr/>
                      <wps:spPr>
                        <a:xfrm>
                          <a:off x="0" y="0"/>
                          <a:ext cx="171450" cy="161925"/>
                        </a:xfrm>
                        <a:prstGeom prst="ellipse">
                          <a:avLst/>
                        </a:prstGeom>
                        <a:noFill/>
                        <a:ln>
                          <a:solidFill>
                            <a:srgbClr val="0070C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04.95pt;margin-top:309.4pt;height:12.75pt;width:13.5pt;z-index:251691008;v-text-anchor:middle;mso-width-relative:page;mso-height-relative:page;" filled="f" stroked="t" coordsize="21600,21600" o:gfxdata="UEsDBAoAAAAAAIdO4kAAAAAAAAAAAAAAAAAEAAAAZHJzL1BLAwQUAAAACACHTuJAFXtfCdkAAAAL&#10;AQAADwAAAGRycy9kb3ducmV2LnhtbE2PPU/DMBCGdyT+g3VILKi1Q6MoDXGqgmCChUAlRjc2sdX4&#10;HMVu0/57jgnGe+/R+1Fvzn5gJzNFF1BCthTADHZBO+wlfH68LEpgMSnUaghoJFxMhE1zfVWrSocZ&#10;382pTT0jE4yVkmBTGivOY2eNV3EZRoP0+w6TV4nOqed6UjOZ+4HfC1FwrxxSglWjebKmO7RHL+Hu&#10;YndFi89b95V3b/bVbdXjYZby9iYTD8CSOac/GH7rU3VoqNM+HFFHNkgoxXpNqIQiK2kDEeWqIGVP&#10;Sp6vgDc1/7+h+QFQSwMEFAAAAAgAh07iQHsspXViAgAAugQAAA4AAABkcnMvZTJvRG9jLnhtbK1U&#10;S27bMBDdF+gdCO4bSYadNEbkwLCRokDQBEiLrmmKtATwV5K2nB6gp+iy2x4rPUcfKeXTtIssuqFm&#10;OMM3nMc3Ojs/aEX2wofOmppWRyUlwnDbdGZb008fL968pSREZhqmrBE1vRWBni9evzrr3VxMbGtV&#10;IzwBiAnz3tW0jdHNiyLwVmgWjqwTBkFpvWYRrt8WjWc90LUqJmV5XPTWN85bLkLA7noI0hHRvwTQ&#10;StlxsbZ8p4WJA6oXikW0FNrOBbrIt5VS8HglZRCRqJqi05hXFIG9SWuxOGPzrWeu7fh4BfaSKzzr&#10;SbPOoOgD1JpFRna++wtKd9zbYGU84lYXQyOZEXRRlc+4uWmZE7kXUB3cA+nh/8HyD/trT7oGSihn&#10;lBim8eS/fvy8+/6NpB3w07swR9qNu/ajF2CmZg/S6/RFG+SQOb194FQcIuHYrE6q6Qxsc4Sq4+p0&#10;kjGLx8POh/hOWE2SUVOhFB4wdc3mbH8ZImoi+z4rbRt70SmVX04Z0td0MpuWqQSDHCVkAFM7tBTM&#10;lhKmttA5jz5DBqu6Jh1PQMFvNyvlyZ4ldZQn5SoLAuX+SEu11yy0Q14OJV6Qpgw+iZ+BkWRtbHML&#10;Rr0dpBYcv+hw/pKFeM08tIWLYvriFRapLG5vR4uS1vqv/9pP+XhyRCnpoVV09mXHvKBEvTcQw2k1&#10;nQI2Zmc6O5nA8U8jm6cRs9Mri4YrzLnj2Uz5Ud2b0lv9GUO6TFURYoaj9sDh6KziMEMYcy6Wy5wG&#10;QTsWL82N4wl8eKnlLlrZ5Ud8ZGckDZLOLI7jl2bmqZ+zHn85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Ve18J2QAAAAsBAAAPAAAAAAAAAAEAIAAAACIAAABkcnMvZG93bnJldi54bWxQSwECFAAU&#10;AAAACACHTuJAeyyldWICAAC6BAAADgAAAAAAAAABACAAAAAoAQAAZHJzL2Uyb0RvYy54bWxQSwUG&#10;AAAAAAYABgBZAQAA/AUAAAAA&#10;">
                <v:fill on="f" focussize="0,0"/>
                <v:stroke weight="2pt" color="#0070C0 [2404]" joinstyle="round"/>
                <v:imagedata o:title=""/>
                <o:lock v:ext="edit" aspectratio="f"/>
              </v:shape>
            </w:pict>
          </mc:Fallback>
        </mc:AlternateContent>
      </w:r>
      <w:r>
        <w:rPr>
          <w:sz w:val="24"/>
        </w:rPr>
        <mc:AlternateContent>
          <mc:Choice Requires="wps">
            <w:drawing>
              <wp:anchor distT="0" distB="0" distL="114300" distR="114300" simplePos="0" relativeHeight="251689984" behindDoc="0" locked="0" layoutInCell="1" allowOverlap="1">
                <wp:simplePos x="0" y="0"/>
                <wp:positionH relativeFrom="column">
                  <wp:posOffset>4799965</wp:posOffset>
                </wp:positionH>
                <wp:positionV relativeFrom="paragraph">
                  <wp:posOffset>3910330</wp:posOffset>
                </wp:positionV>
                <wp:extent cx="171450" cy="161925"/>
                <wp:effectExtent l="12700" t="12700" r="25400" b="15875"/>
                <wp:wrapNone/>
                <wp:docPr id="104" name="椭圆 104"/>
                <wp:cNvGraphicFramePr/>
                <a:graphic xmlns:a="http://schemas.openxmlformats.org/drawingml/2006/main">
                  <a:graphicData uri="http://schemas.microsoft.com/office/word/2010/wordprocessingShape">
                    <wps:wsp>
                      <wps:cNvSpPr/>
                      <wps:spPr>
                        <a:xfrm>
                          <a:off x="0" y="0"/>
                          <a:ext cx="171450" cy="161925"/>
                        </a:xfrm>
                        <a:prstGeom prst="ellipse">
                          <a:avLst/>
                        </a:prstGeom>
                        <a:noFill/>
                        <a:ln>
                          <a:solidFill>
                            <a:srgbClr val="0070C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77.95pt;margin-top:307.9pt;height:12.75pt;width:13.5pt;z-index:251689984;v-text-anchor:middle;mso-width-relative:page;mso-height-relative:page;" filled="f" stroked="t" coordsize="21600,21600" o:gfxdata="UEsDBAoAAAAAAIdO4kAAAAAAAAAAAAAAAAAEAAAAZHJzL1BLAwQUAAAACACHTuJAdFv5xNoAAAAL&#10;AQAADwAAAGRycy9kb3ducmV2LnhtbE2PPU/DMBCGdyT+g3VILIg6KU1aQpyqIJjKQgCJ0Y2POGp8&#10;jmK3af89xwTjvffo/SjXJ9eLI46h86QgnSUgkBpvOmoVfLy/3K5AhKjJ6N4TKjhjgHV1eVHqwviJ&#10;3vBYx1awCYVCK7AxDoWUobHodJj5AYl/3350OvI5ttKMemJz18t5kuTS6Y44weoBnyw2+/rgFNyc&#10;7Wde0/Om+1o0r3bbbfTjflLq+ipNHkBEPMU/GH7rc3WouNPOH8gE0StYZtk9owryNOMNTCxXc1Z2&#10;rCzSO5BVKf9vqH4AUEsDBBQAAAAIAIdO4kAYUm1SYgIAALoEAAAOAAAAZHJzL2Uyb0RvYy54bWyt&#10;VM1uEzEQviPxDpbvZHejpKWrbqooURBSRSsVxHnitbOW/IftZFMegKfgyJXHKs/B2Lv9oXDogctm&#10;xjOeme/zNzm/OGpFDtwHaU1Dq0lJCTfMttLsGvrp4+bNW0pCBNOCsoY39JYHerF4/eq8dzWf2s6q&#10;lnuCRUyoe9fQLkZXF0VgHdcQJtZxg0FhvYaIrt8VrYceq2tVTMvypOitb523jIeAp+shSMeK/iUF&#10;rRCS8bVle81NHKp6riAipNBJF+giTysEZ/FKiMAjUQ1FpDF/sQna2/QtFudQ7zy4TrJxBHjJCM8w&#10;aZAGmz6UWkMEsvfyr1JaMm+DFXHCrC4GIJkRRFGVz7i56cDxjAWpDu6B9PD/yrIPh2tPZItKKGeU&#10;GND45L9+/Lz7/o2kE+Snd6HGtBt37UcvoJnAHoXX6RdhkGPm9PaBU36MhOFhdVrN5sg2w1B1Up1N&#10;56lm8XjZ+RDfcatJMhrKlcIHTKihhsNliEP2fVY6NnYjlcJzqJUhfUOn81mZWgDKUaAM0NQOIQWz&#10;owTUDnXOos8lg1WyTdfT7eB325Xy5ABJHeVpucqCwOH+SEu91xC6IS+HRgzKIJTEz8BIsra2vUVG&#10;vR2kFhzbSLx/CSFeg0dt4aC4ffEKP0JZnN6OFiWd9V//dZ7y8ckxSkmPWkVkX/bgOSXqvUExnFWz&#10;GZaN2ZnNT6fo+KeR7dOI2euVRcAV7rlj2Uz5Ud2bwlv9GZd0mbpiCAzD3gOHo7OKww7hmjO+XOY0&#10;FLSDeGluHEvFh5da7qMVMj/iIzsjaSjprIRx/dLOPPVz1uNfzu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Fv5xNoAAAALAQAADwAAAAAAAAABACAAAAAiAAAAZHJzL2Rvd25yZXYueG1sUEsBAhQA&#10;FAAAAAgAh07iQBhSbVJiAgAAugQAAA4AAAAAAAAAAQAgAAAAKQEAAGRycy9lMm9Eb2MueG1sUEsF&#10;BgAAAAAGAAYAWQEAAP0FAAAAAA==&#10;">
                <v:fill on="f" focussize="0,0"/>
                <v:stroke weight="2pt" color="#0070C0 [2404]" joinstyle="round"/>
                <v:imagedata o:title=""/>
                <o:lock v:ext="edit" aspectratio="f"/>
              </v:shape>
            </w:pict>
          </mc:Fallback>
        </mc:AlternateContent>
      </w:r>
      <w:r>
        <w:rPr>
          <w:sz w:val="24"/>
        </w:rPr>
        <mc:AlternateContent>
          <mc:Choice Requires="wps">
            <w:drawing>
              <wp:anchor distT="0" distB="0" distL="114300" distR="114300" simplePos="0" relativeHeight="251693056" behindDoc="0" locked="0" layoutInCell="1" allowOverlap="1">
                <wp:simplePos x="0" y="0"/>
                <wp:positionH relativeFrom="column">
                  <wp:posOffset>5723890</wp:posOffset>
                </wp:positionH>
                <wp:positionV relativeFrom="paragraph">
                  <wp:posOffset>3910330</wp:posOffset>
                </wp:positionV>
                <wp:extent cx="171450" cy="161925"/>
                <wp:effectExtent l="12700" t="12700" r="25400" b="15875"/>
                <wp:wrapNone/>
                <wp:docPr id="107" name="椭圆 107"/>
                <wp:cNvGraphicFramePr/>
                <a:graphic xmlns:a="http://schemas.openxmlformats.org/drawingml/2006/main">
                  <a:graphicData uri="http://schemas.microsoft.com/office/word/2010/wordprocessingShape">
                    <wps:wsp>
                      <wps:cNvSpPr/>
                      <wps:spPr>
                        <a:xfrm>
                          <a:off x="0" y="0"/>
                          <a:ext cx="171450" cy="161925"/>
                        </a:xfrm>
                        <a:prstGeom prst="ellipse">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50.7pt;margin-top:307.9pt;height:12.75pt;width:13.5pt;z-index:251693056;v-text-anchor:middle;mso-width-relative:page;mso-height-relative:page;" filled="f" stroked="t" coordsize="21600,21600" o:gfxdata="UEsDBAoAAAAAAIdO4kAAAAAAAAAAAAAAAAAEAAAAZHJzL1BLAwQUAAAACACHTuJAtyavJNcAAAAL&#10;AQAADwAAAGRycy9kb3ducmV2LnhtbE2PyU7DMBCG70i8gzVI3KgXkqoNcSq1EgfgREGc3XiaRPUS&#10;xe4CT89wosf559O/1KuLd+yEUxpi0CBnAhiGNtohdBo+P54fFsBSNsEaFwNq+MYEq+b2pjaVjefw&#10;jqdt7hiZhFQZDX3OY8V5anv0Js3iiIF++zh5k+mcOm4ncyZz77gSYs69GQIl9GbETY/tYXv0lPu2&#10;LpT6Uuvy4H42r2Zfjja+aH1/J8UTsIyX/A/DX32qDg112sVjsIk5DUshC0I1zGVJG4hYqgUpO1IK&#10;+Qi8qfn1huYXUEsDBBQAAAAIAIdO4kDJptyxYQIAALoEAAAOAAAAZHJzL2Uyb0RvYy54bWytVEtu&#10;2zAQ3RfoHQjua0mGnTRC5MCI4aJA0ARIi65pirQE8FeStpweoKfostseKz1HHyXFSdMusqgX9Pw4&#10;M+9xRucXB63IXvjQWlPRYpJTIgy3dWu2Ff30cf3mLSUhMlMzZY2o6J0I9GLx+tV550oxtY1VtfAE&#10;SUwoO1fRJkZXZlngjdAsTKwTBk5pvWYRqt9mtWcdsmuVTfP8JOusr523XIQA62pw0jGjf0lCK2XL&#10;xcrynRYmDlm9UCwCUmhaF+ii71ZKweO1lEFEoioKpLE/UQTyJp3Z4pyVW89c0/KxBfaSFp5h0qw1&#10;KHpMtWKRkZ1v/0qlW+5tsDJOuNXZAKRnBCiK/Bk3tw1zoscCqoM7kh7+X1r+YX/jSVtjEvJTSgzT&#10;ePJfP37ef/9GkgX8dC6UCLt1N37UAsQE9iC9Tv+AQQ49p3dHTsUhEg5jcVrM5mCbw1WcFGfTecqZ&#10;PV52PsR3wmqShIoKpfCACTUr2f4qxCH6ISqZjV23SsHOSmVIV9HpfJanEgzjKDEGELUDpGC2lDC1&#10;xZzz6PuUwaq2TtfT7eC3m0vlyZ5hOtbrHL+xuT/CUu0VC80Q17vGMGUAJfEzMJKkja3vwKi3w6gF&#10;x9ct7l+xEG+Yx2yhUWxfvMYhlUX3dpQoaaz/+i97iseTw0tJh1kFsi875gUl6r3BMJwVsxnSxl6Z&#10;zU+nUPxTz+apx+z0pQXgAnvueC+m+KgeROmt/owlXaaqcDHDUXvgcFQu47BDWHMulss+DAPtWLwy&#10;t46n5MNLLXfRyrZ/xEd2RtIw0v0kjOuXduap3kc9fnIW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3Jq8k1wAAAAsBAAAPAAAAAAAAAAEAIAAAACIAAABkcnMvZG93bnJldi54bWxQSwECFAAUAAAA&#10;CACHTuJAyabcsWECAAC6BAAADgAAAAAAAAABACAAAAAmAQAAZHJzL2Uyb0RvYy54bWxQSwUGAAAA&#10;AAYABgBZAQAA+QUAAAAA&#10;">
                <v:fill on="f" focussize="0,0"/>
                <v:stroke weight="2pt" color="#FF0000 [2404]" joinstyle="round"/>
                <v:imagedata o:title=""/>
                <o:lock v:ext="edit" aspectratio="f"/>
              </v:shape>
            </w:pict>
          </mc:Fallback>
        </mc:AlternateContent>
      </w:r>
      <w:r>
        <w:rPr>
          <w:sz w:val="24"/>
        </w:rPr>
        <mc:AlternateContent>
          <mc:Choice Requires="wps">
            <w:drawing>
              <wp:anchor distT="0" distB="0" distL="114300" distR="114300" simplePos="0" relativeHeight="251697152" behindDoc="0" locked="0" layoutInCell="1" allowOverlap="1">
                <wp:simplePos x="0" y="0"/>
                <wp:positionH relativeFrom="column">
                  <wp:posOffset>4942840</wp:posOffset>
                </wp:positionH>
                <wp:positionV relativeFrom="paragraph">
                  <wp:posOffset>3081655</wp:posOffset>
                </wp:positionV>
                <wp:extent cx="809625" cy="295910"/>
                <wp:effectExtent l="0" t="0" r="0" b="0"/>
                <wp:wrapNone/>
                <wp:docPr id="110" name="文本框 110"/>
                <wp:cNvGraphicFramePr/>
                <a:graphic xmlns:a="http://schemas.openxmlformats.org/drawingml/2006/main">
                  <a:graphicData uri="http://schemas.microsoft.com/office/word/2010/wordprocessingShape">
                    <wps:wsp>
                      <wps:cNvSpPr txBox="1"/>
                      <wps:spPr>
                        <a:xfrm>
                          <a:off x="0" y="0"/>
                          <a:ext cx="809625" cy="2959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227F9E">
                            <w:pPr>
                              <w:keepNext w:val="0"/>
                              <w:keepLines w:val="0"/>
                              <w:pageBreakBefore w:val="0"/>
                              <w:widowControl w:val="0"/>
                              <w:kinsoku/>
                              <w:wordWrap/>
                              <w:overflowPunct/>
                              <w:topLinePunct w:val="0"/>
                              <w:bidi w:val="0"/>
                              <w:adjustRightInd/>
                              <w:snapToGrid/>
                              <w:spacing w:line="240" w:lineRule="auto"/>
                              <w:ind w:left="0" w:leftChars="0" w:firstLine="0" w:firstLineChars="0"/>
                              <w:textAlignment w:val="auto"/>
                              <w:rPr>
                                <w:rFonts w:hint="default" w:eastAsia="宋体"/>
                                <w:lang w:val="en-US" w:eastAsia="zh-CN"/>
                              </w:rPr>
                            </w:pPr>
                            <w:r>
                              <w:rPr>
                                <w:rFonts w:hint="eastAsia"/>
                                <w:lang w:val="en-US" w:eastAsia="zh-CN"/>
                              </w:rPr>
                              <w:t>HZS240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9.2pt;margin-top:242.65pt;height:23.3pt;width:63.75pt;z-index:251697152;mso-width-relative:page;mso-height-relative:page;" filled="f" stroked="f" coordsize="21600,21600" o:gfxdata="UEsDBAoAAAAAAIdO4kAAAAAAAAAAAAAAAAAEAAAAZHJzL1BLAwQUAAAACACHTuJAoPRfVd0AAAAL&#10;AQAADwAAAGRycy9kb3ducmV2LnhtbE2Py07DMBBF90j8gzVI7KidtqFJyKRCkSokBIuWbtg58TSJ&#10;8CPE7gO+HrOC5ege3XumXF+MZiea/OAsQjITwMi2Tg22Q9i/be4yYD5Iq6R2lhC+yMO6ur4qZaHc&#10;2W7ptAsdiyXWFxKhD2EsOPdtT0b6mRvJxuzgJiNDPKeOq0meY7nRfC7EPTdysHGhlyPVPbUfu6NB&#10;eK43r3LbzE32reunl8Pj+Ll/TxFvbxLxACzQJfzB8Ksf1aGKTo07WuWZRlitsmVEEZZZugAWiVyk&#10;ObAGIV0kOfCq5P9/qH4AUEsDBBQAAAAIAIdO4kAld7DYPAIAAGkEAAAOAAAAZHJzL2Uyb0RvYy54&#10;bWytVMFuEzEQvSPxD5bvdJPQlCbqpgqtipAqWqkgzo7X213J9hjb6W75APgDTly48135Dp69SVoV&#10;Dj1w8Y5nxm/83oz35LQ3mt0pH1qyJR8fjDhTVlLV2tuSf/p48eqYsxCFrYQmq0p+rwI/Xbx8cdK5&#10;uZpQQ7pSngHEhnnnSt7E6OZFEWSjjAgH5JRFsCZvRMTW3xaVFx3QjS4mo9FR0ZGvnCepQoD3fAjy&#10;LaJ/DiDVdSvVOcm1UTYOqF5pEUEpNK0LfJFvW9dKxqu6DioyXXIwjXlFEdirtBaLEzG/9cI1rdxe&#10;QTznCk84GdFaFN1DnYso2Nq3f0GZVnoKVMcDSaYYiGRFwGI8eqLNTSOcylwgdXB70cP/g5Uf7q49&#10;aytMwhiaWGHQ8s2P75ufvze/vrHkhESdC3Nk3jjkxv4t9Ujf+QOciXlfe5O+4MQQB9j9XmDVRybh&#10;PB7NjiZTziRCk9l0NqAXD4edD/GdIsOSUXKP/mVZxd1liLgIUncpqZali1br3ENtWVfyo9fTUT6w&#10;j+CEtjiYKAxXTVbsV/2W14qqe9DyNMxGcPKiRfFLEeK18BgGMMFziVdYak0oQluLs4b813/5Uz56&#10;hChnHYar5OHLWnjFmX5v0b3Z+PAQsDFvDqdvJtj4x5HV44hdmzPC/I7xMJ3MZsqPemfWnsxnvKpl&#10;qoqQsBK1Sx535lkcRh6vUqrlMidh/pyIl/bGyQQ9yLlcR6rbrHSSadBmqx4mMDdg+1rSiD/e56yH&#10;P8Ti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KD0X1XdAAAACwEAAA8AAAAAAAAAAQAgAAAAIgAA&#10;AGRycy9kb3ducmV2LnhtbFBLAQIUABQAAAAIAIdO4kAld7DYPAIAAGkEAAAOAAAAAAAAAAEAIAAA&#10;ACwBAABkcnMvZTJvRG9jLnhtbFBLBQYAAAAABgAGAFkBAADaBQAAAAA=&#10;">
                <v:fill on="f" focussize="0,0"/>
                <v:stroke on="f" weight="0.5pt"/>
                <v:imagedata o:title=""/>
                <o:lock v:ext="edit" aspectratio="f"/>
                <v:textbox>
                  <w:txbxContent>
                    <w:p w14:paraId="6B227F9E">
                      <w:pPr>
                        <w:keepNext w:val="0"/>
                        <w:keepLines w:val="0"/>
                        <w:pageBreakBefore w:val="0"/>
                        <w:widowControl w:val="0"/>
                        <w:kinsoku/>
                        <w:wordWrap/>
                        <w:overflowPunct/>
                        <w:topLinePunct w:val="0"/>
                        <w:bidi w:val="0"/>
                        <w:adjustRightInd/>
                        <w:snapToGrid/>
                        <w:spacing w:line="240" w:lineRule="auto"/>
                        <w:ind w:left="0" w:leftChars="0" w:firstLine="0" w:firstLineChars="0"/>
                        <w:textAlignment w:val="auto"/>
                        <w:rPr>
                          <w:rFonts w:hint="default" w:eastAsia="宋体"/>
                          <w:lang w:val="en-US" w:eastAsia="zh-CN"/>
                        </w:rPr>
                      </w:pPr>
                      <w:r>
                        <w:rPr>
                          <w:rFonts w:hint="eastAsia"/>
                          <w:lang w:val="en-US" w:eastAsia="zh-CN"/>
                        </w:rPr>
                        <w:t>HZS240</w:t>
                      </w:r>
                    </w:p>
                  </w:txbxContent>
                </v:textbox>
              </v:shape>
            </w:pict>
          </mc:Fallback>
        </mc:AlternateContent>
      </w:r>
      <w:r>
        <w:rPr>
          <w:sz w:val="24"/>
        </w:rPr>
        <mc:AlternateContent>
          <mc:Choice Requires="wps">
            <w:drawing>
              <wp:anchor distT="0" distB="0" distL="114300" distR="114300" simplePos="0" relativeHeight="251683840" behindDoc="0" locked="0" layoutInCell="1" allowOverlap="1">
                <wp:simplePos x="0" y="0"/>
                <wp:positionH relativeFrom="column">
                  <wp:posOffset>4733290</wp:posOffset>
                </wp:positionH>
                <wp:positionV relativeFrom="paragraph">
                  <wp:posOffset>2710180</wp:posOffset>
                </wp:positionV>
                <wp:extent cx="1210310" cy="1133475"/>
                <wp:effectExtent l="12700" t="12700" r="15240" b="15875"/>
                <wp:wrapNone/>
                <wp:docPr id="98" name="矩形 98"/>
                <wp:cNvGraphicFramePr/>
                <a:graphic xmlns:a="http://schemas.openxmlformats.org/drawingml/2006/main">
                  <a:graphicData uri="http://schemas.microsoft.com/office/word/2010/wordprocessingShape">
                    <wps:wsp>
                      <wps:cNvSpPr/>
                      <wps:spPr>
                        <a:xfrm>
                          <a:off x="0" y="0"/>
                          <a:ext cx="1210310" cy="1133475"/>
                        </a:xfrm>
                        <a:prstGeom prst="rect">
                          <a:avLst/>
                        </a:prstGeom>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72.7pt;margin-top:213.4pt;height:89.25pt;width:95.3pt;z-index:251683840;v-text-anchor:middle;mso-width-relative:page;mso-height-relative:page;" fillcolor="#4F81BD [3204]" filled="t" stroked="t" coordsize="21600,21600" o:gfxdata="UEsDBAoAAAAAAIdO4kAAAAAAAAAAAAAAAAAEAAAAZHJzL1BLAwQUAAAACACHTuJA7FN4VdgAAAAL&#10;AQAADwAAAGRycy9kb3ducmV2LnhtbE2Py07DMBBF90j8gzVI7Kid5gGETLpAlA0rSoXUnRsPcURs&#10;R7H74O8ZVnQ5mqt7z2lWZzeKI81xCB4hWygQ5LtgBt8jbD/Wdw8gYtLe6DF4QvihCKv2+qrRtQkn&#10;/07HTeoFl/hYawSb0lRLGTtLTsdFmMjz7yvMTic+516aWZ+43I1yqVQlnR48L1g90bOl7ntzcAhy&#10;l31SEV/Xb3bKVYjli9sNW8Tbm0w9gUh0Tv9h+MNndGiZaR8O3kQxItwXZcFRhGJZsQMnHvOK7fYI&#10;lSpzkG0jLx3aX1BLAwQUAAAACACHTuJA9eLxSGcCAADgBAAADgAAAGRycy9lMm9Eb2MueG1srVTN&#10;btswDL4P2DsIuq+2k3RtgzhF1iDDgGIt0A07K7IUC9DfKCVO9zIDdttD7HGGvcYo2W3TroceloND&#10;itRH8iOp2fneaLITEJSzNa2OSkqE5a5RdlPTz59Wb04pCZHZhmlnRU1vRaDn89evZp2fipFrnW4E&#10;EASxYdr5mrYx+mlRBN4Kw8KR88KiUTowLKIKm6IB1iG60cWoLN8WnYPGg+MiBDxd9kY6IMJLAJ2U&#10;ioul41sjbOxRQWgWsaTQKh/oPGcrpeDxSsogItE1xUpj/mIQlNfpW8xnbLoB5lvFhxTYS1J4UpNh&#10;ymLQe6gli4xsQf0DZRQHF5yMR9yZoi8kM4JVVOUTbm5a5kWuBakO/p708P9g+cfdNRDV1PQM+26Z&#10;wY7/+f7z968fBA+Qnc6HKTrd+GsYtIBiKnUvwaR/LILsM6O394yKfSQcD6tRVY4rJJujrarG48nJ&#10;cUItHq57CPG9cIYkoaaALctMst1liL3rnUuKFpxWzUppnRXYrC80kB3D9k5Wp9W75YD+yE1b0tV0&#10;dDwpUyYMh1bisKBoPBYe7IYSpje4DTxCjv3odjgMUubfc0FSkksW2j6ZjDC4aYsFJx575pK0ds0t&#10;8g6uH8jg+Urh/UsW4jUDnEBMFHc0XuFHaofZu0GipHXw7bnz5I+DgVZKOpxorOzrloGgRH+wODJn&#10;1WSCsDErk+OTESpwaFkfWuzWXDhktcLXwPMsJv+o70QJznzBVV6kqGhilmPsnsNBuYj9puFjwMVi&#10;kd1w7D2Ll/bG8wSeumjdYhudVLnbD+wMpOHg53kZljRt1qGevR4epvl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7FN4VdgAAAALAQAADwAAAAAAAAABACAAAAAiAAAAZHJzL2Rvd25yZXYueG1sUEsB&#10;AhQAFAAAAAgAh07iQPXi8UhnAgAA4AQAAA4AAAAAAAAAAQAgAAAAJwEAAGRycy9lMm9Eb2MueG1s&#10;UEsFBgAAAAAGAAYAWQEAAAAGAAAAAA==&#10;">
                <v:fill on="t" focussize="0,0"/>
                <v:stroke weight="2pt" color="#000000 [3213]" joinstyle="round"/>
                <v:imagedata o:title=""/>
                <o:lock v:ext="edit" aspectratio="f"/>
              </v:rect>
            </w:pict>
          </mc:Fallback>
        </mc:AlternateContent>
      </w:r>
      <w:r>
        <w:rPr>
          <w:sz w:val="24"/>
        </w:rPr>
        <mc:AlternateContent>
          <mc:Choice Requires="wps">
            <w:drawing>
              <wp:anchor distT="0" distB="0" distL="114300" distR="114300" simplePos="0" relativeHeight="251696128" behindDoc="0" locked="0" layoutInCell="1" allowOverlap="1">
                <wp:simplePos x="0" y="0"/>
                <wp:positionH relativeFrom="column">
                  <wp:posOffset>4942840</wp:posOffset>
                </wp:positionH>
                <wp:positionV relativeFrom="paragraph">
                  <wp:posOffset>1738630</wp:posOffset>
                </wp:positionV>
                <wp:extent cx="809625" cy="295910"/>
                <wp:effectExtent l="0" t="0" r="0" b="0"/>
                <wp:wrapNone/>
                <wp:docPr id="109" name="文本框 109"/>
                <wp:cNvGraphicFramePr/>
                <a:graphic xmlns:a="http://schemas.openxmlformats.org/drawingml/2006/main">
                  <a:graphicData uri="http://schemas.microsoft.com/office/word/2010/wordprocessingShape">
                    <wps:wsp>
                      <wps:cNvSpPr txBox="1"/>
                      <wps:spPr>
                        <a:xfrm>
                          <a:off x="0" y="0"/>
                          <a:ext cx="809625" cy="2959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91A7BC">
                            <w:pPr>
                              <w:keepNext w:val="0"/>
                              <w:keepLines w:val="0"/>
                              <w:pageBreakBefore w:val="0"/>
                              <w:widowControl w:val="0"/>
                              <w:kinsoku/>
                              <w:wordWrap/>
                              <w:overflowPunct/>
                              <w:topLinePunct w:val="0"/>
                              <w:bidi w:val="0"/>
                              <w:adjustRightInd/>
                              <w:snapToGrid/>
                              <w:spacing w:line="240" w:lineRule="auto"/>
                              <w:ind w:left="0" w:leftChars="0" w:firstLine="0" w:firstLineChars="0"/>
                              <w:textAlignment w:val="auto"/>
                              <w:rPr>
                                <w:rFonts w:hint="default" w:eastAsia="宋体"/>
                                <w:lang w:val="en-US" w:eastAsia="zh-CN"/>
                              </w:rPr>
                            </w:pPr>
                            <w:r>
                              <w:rPr>
                                <w:rFonts w:hint="eastAsia"/>
                                <w:lang w:val="en-US" w:eastAsia="zh-CN"/>
                              </w:rPr>
                              <w:t>HZS180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9.2pt;margin-top:136.9pt;height:23.3pt;width:63.75pt;z-index:251696128;mso-width-relative:page;mso-height-relative:page;" filled="f" stroked="f" coordsize="21600,21600" o:gfxdata="UEsDBAoAAAAAAIdO4kAAAAAAAAAAAAAAAAAEAAAAZHJzL1BLAwQUAAAACACHTuJAkhZDid0AAAAL&#10;AQAADwAAAGRycy9kb3ducmV2LnhtbE2Py07DMBBF90j8gzWV2FG7aUvSEKdCkSokBIuWbtg58TSJ&#10;ao9D7D7g6zErWI7m6N5zi/XVGnbG0feOJMymAhhS43RPrYT9++Y+A+aDIq2MI5TwhR7W5e1NoXLt&#10;LrTF8y60LIaQz5WELoQh59w3HVrlp25Air+DG60K8Rxbrkd1ieHW8ESIB25VT7GhUwNWHTbH3clK&#10;eKk2b2pbJzb7NtXz6+Fp+Nx/LKW8m8zEI7CA1/AHw69+VIcyOtXuRNozIyFNs0VEJSTpPG6IxEos&#10;V8BqCfNELICXBf+/ofwBUEsDBBQAAAAIAIdO4kAT5SYWPgIAAGkEAAAOAAAAZHJzL2Uyb0RvYy54&#10;bWytVMGO0zAQvSPxD5bvNGlpy7ZquipbFSFV7EoFcXYdp4lke4ztNikfAH/AiQt3vqvfwdhJu9XC&#10;YQ9cnPHMeGbem5nMbhslyUFYV4HOaL+XUiI0h7zSu4x++rh6dUOJ80znTIIWGT0KR2/nL1/MajMV&#10;AyhB5sISDKLdtDYZLb030yRxvBSKuR4YodFYgFXM49XuktyyGqMrmQzSdJzUYHNjgQvnULtsjbSL&#10;aJ8TEIqi4mIJfK+E9m1UKyTzCMmVlXF0HqstCsH9fVE44YnMKCL18cQkKG/DmcxnbLqzzJQV70pg&#10;zynhCSbFKo1JL6GWzDOyt9VfoVTFLTgofI+DSlogkRFE0U+fcLMpmRERC1LtzIV09//C8g+HB0uq&#10;HCchnVCimcKWn358P/38ffr1jQQlUlQbN0XPjUFf37yFBt3PeofKgLwprApfxETQjgQfLwSLxhOO&#10;ypt0Mh6MKOFoGkxGk35sQPL42Fjn3wlQJAgZtdi/SCs7rJ3HQtD17BJyaVhVUsYeSk3qjI5fj9L4&#10;4GLBF1LjwwChLTVIvtk2Ha4t5EeEZaGdDWf4qsLka+b8A7M4DIgE18Xf41FIwCTQSZSUYL/+Sx/8&#10;sUdopaTG4cqo+7JnVlAi32vs3qQ/HIZpjJfh6M0AL/basr226L26A5zfPi6m4VEM/l6excKC+oxb&#10;tQhZ0cQ0x9wZ9Wfxzrcjj1vJxWIRnXD+DPNrvTE8hG7pXOw9FFVkOtDUctOxhxMYG9BtSxjx63v0&#10;evxDzP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khZDid0AAAALAQAADwAAAAAAAAABACAAAAAi&#10;AAAAZHJzL2Rvd25yZXYueG1sUEsBAhQAFAAAAAgAh07iQBPlJhY+AgAAaQQAAA4AAAAAAAAAAQAg&#10;AAAALAEAAGRycy9lMm9Eb2MueG1sUEsFBgAAAAAGAAYAWQEAANwFAAAAAA==&#10;">
                <v:fill on="f" focussize="0,0"/>
                <v:stroke on="f" weight="0.5pt"/>
                <v:imagedata o:title=""/>
                <o:lock v:ext="edit" aspectratio="f"/>
                <v:textbox>
                  <w:txbxContent>
                    <w:p w14:paraId="0A91A7BC">
                      <w:pPr>
                        <w:keepNext w:val="0"/>
                        <w:keepLines w:val="0"/>
                        <w:pageBreakBefore w:val="0"/>
                        <w:widowControl w:val="0"/>
                        <w:kinsoku/>
                        <w:wordWrap/>
                        <w:overflowPunct/>
                        <w:topLinePunct w:val="0"/>
                        <w:bidi w:val="0"/>
                        <w:adjustRightInd/>
                        <w:snapToGrid/>
                        <w:spacing w:line="240" w:lineRule="auto"/>
                        <w:ind w:left="0" w:leftChars="0" w:firstLine="0" w:firstLineChars="0"/>
                        <w:textAlignment w:val="auto"/>
                        <w:rPr>
                          <w:rFonts w:hint="default" w:eastAsia="宋体"/>
                          <w:lang w:val="en-US" w:eastAsia="zh-CN"/>
                        </w:rPr>
                      </w:pPr>
                      <w:r>
                        <w:rPr>
                          <w:rFonts w:hint="eastAsia"/>
                          <w:lang w:val="en-US" w:eastAsia="zh-CN"/>
                        </w:rPr>
                        <w:t>HZS180</w:t>
                      </w:r>
                    </w:p>
                  </w:txbxContent>
                </v:textbox>
              </v:shape>
            </w:pict>
          </mc:Fallback>
        </mc:AlternateContent>
      </w:r>
      <w:r>
        <w:rPr>
          <w:sz w:val="24"/>
        </w:rPr>
        <mc:AlternateContent>
          <mc:Choice Requires="wps">
            <w:drawing>
              <wp:anchor distT="0" distB="0" distL="114300" distR="114300" simplePos="0" relativeHeight="251686912" behindDoc="0" locked="0" layoutInCell="1" allowOverlap="1">
                <wp:simplePos x="0" y="0"/>
                <wp:positionH relativeFrom="column">
                  <wp:posOffset>5076190</wp:posOffset>
                </wp:positionH>
                <wp:positionV relativeFrom="paragraph">
                  <wp:posOffset>1119505</wp:posOffset>
                </wp:positionV>
                <wp:extent cx="171450" cy="161925"/>
                <wp:effectExtent l="12700" t="12700" r="25400" b="15875"/>
                <wp:wrapNone/>
                <wp:docPr id="101" name="椭圆 101"/>
                <wp:cNvGraphicFramePr/>
                <a:graphic xmlns:a="http://schemas.openxmlformats.org/drawingml/2006/main">
                  <a:graphicData uri="http://schemas.microsoft.com/office/word/2010/wordprocessingShape">
                    <wps:wsp>
                      <wps:cNvSpPr/>
                      <wps:spPr>
                        <a:xfrm>
                          <a:off x="0" y="0"/>
                          <a:ext cx="171450" cy="161925"/>
                        </a:xfrm>
                        <a:prstGeom prst="ellipse">
                          <a:avLst/>
                        </a:prstGeom>
                        <a:noFill/>
                        <a:ln>
                          <a:solidFill>
                            <a:srgbClr val="0070C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99.7pt;margin-top:88.15pt;height:12.75pt;width:13.5pt;z-index:251686912;v-text-anchor:middle;mso-width-relative:page;mso-height-relative:page;" filled="f" stroked="t" coordsize="21600,21600" o:gfxdata="UEsDBAoAAAAAAIdO4kAAAAAAAAAAAAAAAAAEAAAAZHJzL1BLAwQUAAAACACHTuJArgIpf9oAAAAL&#10;AQAADwAAAGRycy9kb3ducmV2LnhtbE2PwU7DMAyG70i8Q2QkLoglLVPXlabTQHCCCwUkjlkTmmiN&#10;UzXZur095gRH+//0+3O9OfmBHc0UXUAJ2UIAM9gF7bCX8PH+fFsCi0mhVkNAI+FsImyay4taVTrM&#10;+GaObeoZlWCslASb0lhxHjtrvIqLMBqk7DtMXiUap57rSc1U7geeC1FwrxzSBatG82hNt28PXsLN&#10;2X4WLT5t3deye7Uvbqse9rOU11eZuAeWzCn9wfCrT+rQkNMuHFBHNkhYrddLQilYFXfAiCjzgjY7&#10;CbnISuBNzf//0PwAUEsDBBQAAAAIAIdO4kD31YTqYQIAALoEAAAOAAAAZHJzL2Uyb0RvYy54bWyt&#10;VEtu2zAU3BfoHQjua0mGnTRC5MCw4aJA0ARIi65pirIE8FeStpweoKfostseKz1Hh5TyadpFFt3I&#10;78fHN/OGPr84KkkOwvnO6IoWk5wSobmpO72r6KePmzdvKfGB6ZpJo0VFb4WnF4vXr857W4qpaY2s&#10;hSNoon3Z24q2IdgyyzxvhWJ+YqzQSDbGKRbgul1WO9aju5LZNM9Pst642jrDhfeIrockHTu6lzQ0&#10;TdNxsTZ8r4QOQ1cnJAuA5NvOerpI0zaN4OGqabwIRFYUSEP64hLY2/jNFues3Dlm246PI7CXjPAM&#10;k2KdxqUPrdYsMLJ33V+tVMed8aYJE25UNgBJjABFkT/j5qZlViQsoNrbB9L9/2vLPxyuHelqKCEv&#10;KNFMYeW/fvy8+/6NxAj46a0vUXZjr93oeZgR7LFxKv4CBjkmTm8fOBXHQDiCxWkxm4NtjlRxUpxN&#10;57Fn9njYOh/eCaNINCoqpMQCI2pWssOlD0P1fVUMa7PppESclVKTvqLT+SyPVzDIsYEMYCoLSF7v&#10;KGFyB53z4FJLb2RXx+PxtHe77Uo6cmBRHflpvkqCwHB/lMW718y3Q11KjRikBpTIz8BItLamvgWj&#10;zgxS85ZvOpy/ZD5cMwdtYVC8vnCFTyMNpjejRUlr3Nd/xWM9Vo4sJT20CmRf9swJSuR7DTGcFbMZ&#10;2obkzOanUzjuaWb7NKP3amUAGOvGdMmM9UHem40z6jMe6TLeihTTHHcPHI7OKgxvCM+ci+UylUHQ&#10;loVLfWN5bD5sarkPpunSEh/ZGUmDpJMSxucX38xTP1U9/uU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uAil/2gAAAAsBAAAPAAAAAAAAAAEAIAAAACIAAABkcnMvZG93bnJldi54bWxQSwECFAAU&#10;AAAACACHTuJA99WE6mECAAC6BAAADgAAAAAAAAABACAAAAApAQAAZHJzL2Uyb0RvYy54bWxQSwUG&#10;AAAAAAYABgBZAQAA/AUAAAAA&#10;">
                <v:fill on="f" focussize="0,0"/>
                <v:stroke weight="2pt" color="#0070C0 [2404]" joinstyle="round"/>
                <v:imagedata o:title=""/>
                <o:lock v:ext="edit" aspectratio="f"/>
              </v:shape>
            </w:pict>
          </mc:Fallback>
        </mc:AlternateContent>
      </w:r>
      <w:r>
        <w:rPr>
          <w:sz w:val="24"/>
        </w:rPr>
        <mc:AlternateContent>
          <mc:Choice Requires="wps">
            <w:drawing>
              <wp:anchor distT="0" distB="0" distL="114300" distR="114300" simplePos="0" relativeHeight="251687936" behindDoc="0" locked="0" layoutInCell="1" allowOverlap="1">
                <wp:simplePos x="0" y="0"/>
                <wp:positionH relativeFrom="column">
                  <wp:posOffset>5380990</wp:posOffset>
                </wp:positionH>
                <wp:positionV relativeFrom="paragraph">
                  <wp:posOffset>1119505</wp:posOffset>
                </wp:positionV>
                <wp:extent cx="171450" cy="161925"/>
                <wp:effectExtent l="12700" t="12700" r="25400" b="15875"/>
                <wp:wrapNone/>
                <wp:docPr id="102" name="椭圆 102"/>
                <wp:cNvGraphicFramePr/>
                <a:graphic xmlns:a="http://schemas.openxmlformats.org/drawingml/2006/main">
                  <a:graphicData uri="http://schemas.microsoft.com/office/word/2010/wordprocessingShape">
                    <wps:wsp>
                      <wps:cNvSpPr/>
                      <wps:spPr>
                        <a:xfrm>
                          <a:off x="0" y="0"/>
                          <a:ext cx="171450" cy="161925"/>
                        </a:xfrm>
                        <a:prstGeom prst="ellipse">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55D3381E">
                            <w:pPr>
                              <w:jc w:val="center"/>
                              <w:rPr>
                                <w:rFonts w:hint="eastAsia" w:eastAsia="宋体"/>
                                <w:lang w:eastAsia="zh-CN"/>
                              </w:rPr>
                            </w:pPr>
                            <w:r>
                              <w:rPr>
                                <w:rFonts w:hint="eastAsia"/>
                                <w:lang w:eastAsia="zh-CN"/>
                              </w:rPr>
                              <w:t>才</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23.7pt;margin-top:88.15pt;height:12.75pt;width:13.5pt;z-index:251687936;v-text-anchor:middle;mso-width-relative:page;mso-height-relative:page;" filled="f" stroked="t" coordsize="21600,21600" o:gfxdata="UEsDBAoAAAAAAIdO4kAAAAAAAAAAAAAAAAAEAAAAZHJzL1BLAwQUAAAACACHTuJAT/UbYtgAAAAL&#10;AQAADwAAAGRycy9kb3ducmV2LnhtbE2Py07DMBBF90j9B2sqsaN2TNpEIU6lVmIBrCiI9TR2k6h+&#10;RLH7gK9nWNHlzD26j3p9dZadzRSH4BVkCwHM+DbowXcKPj+eH0pgMaHXaIM3Cr5NhHUzu6ux0uHi&#10;3815lzpGJj5WqKBPaaw4j21vHMZFGI0n7RAmh4nOqeN6wguZO8ulECvucPCU0ONotr1pj7uTo9y3&#10;TS7ll9wsj/Zn+4qH5ajDi1L380w8AUvmmv5h+KtP1aGhTvtw8joyq6DMi5xQEorVIzAiyiKnz16B&#10;FFkJvKn57YbmF1BLAwQUAAAACACHTuJAWQF0MWgCAADFBAAADgAAAGRycy9lMm9Eb2MueG1srVRL&#10;btswEN0X6B0I7mtJhp00QuTAsOGiQNAESIuuaYqyBPBXkracHqCn6LLbHis9Rx8p5dO0iyzqBT3D&#10;Gb7he5zR+cVRSXIQzndGV7SY5JQIzU3d6V1FP33cvHlLiQ9M10waLSp6Kzy9WLx+dd7bUkxNa2Qt&#10;HAGI9mVvK9qGYMss87wVivmJsUIj2BinWIDrdlntWA90JbNpnp9kvXG1dYYL77G7HoJ0RHQvATRN&#10;03GxNnyvhA4DqhOSBVDybWc9XaTbNo3g4appvAhEVhRMQ1pRBPY2rtninJU7x2zb8fEK7CVXeMZJ&#10;sU6j6APUmgVG9q77C0p13BlvmjDhRmUDkaQIWBT5M21uWmZF4gKpvX0Q3f8/WP7hcO1IV6MT8ikl&#10;mik8+a8fP+++fyNxB/r01pdIu7HXbvQ8zEj22DgV/0GDHJOmtw+aimMgHJvFaTGbQ22OUHFSnE3n&#10;ETN7PGydD++EUSQaFRVS4gEja1ayw6UPQ/Z9VtzWZtNJiX1WSk36ik7nszyWYGjHBm0AU1lQ8npH&#10;CZM79DkPLkF6I7s6Ho+nvdttV9KRA0N3bDY5fuPl/kiLtdfMt0NeCo1pUoNK1GdQJFrhuD2OMm1N&#10;fQtxnRm6zlu+6QB1yXy4Zg5thjtjEMMVlkYaEDGjRUlr3Nd/7cd8vD6ilPRoW5D8smdOUCLfa/TF&#10;WTGbATYkZzY/ncJxTyPbpxG9VysD7gVG3vJkxvwg783GGfUZ87qMVRFimqP2IOforMIwTph4LpbL&#10;lIbetixc6hvLI/jwaMt9ME2X3jMKNagz6ofuTk0xTmIcn6d+ynr8+i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E/1G2LYAAAACwEAAA8AAAAAAAAAAQAgAAAAIgAAAGRycy9kb3ducmV2LnhtbFBL&#10;AQIUABQAAAAIAIdO4kBZAXQxaAIAAMUEAAAOAAAAAAAAAAEAIAAAACcBAABkcnMvZTJvRG9jLnht&#10;bFBLBQYAAAAABgAGAFkBAAABBgAAAAA=&#10;">
                <v:fill on="f" focussize="0,0"/>
                <v:stroke weight="2pt" color="#FF0000 [2404]" joinstyle="round"/>
                <v:imagedata o:title=""/>
                <o:lock v:ext="edit" aspectratio="f"/>
                <v:textbox>
                  <w:txbxContent>
                    <w:p w14:paraId="55D3381E">
                      <w:pPr>
                        <w:jc w:val="center"/>
                        <w:rPr>
                          <w:rFonts w:hint="eastAsia" w:eastAsia="宋体"/>
                          <w:lang w:eastAsia="zh-CN"/>
                        </w:rPr>
                      </w:pPr>
                      <w:r>
                        <w:rPr>
                          <w:rFonts w:hint="eastAsia"/>
                          <w:lang w:eastAsia="zh-CN"/>
                        </w:rPr>
                        <w:t>才</w:t>
                      </w:r>
                    </w:p>
                  </w:txbxContent>
                </v:textbox>
              </v:shape>
            </w:pict>
          </mc:Fallback>
        </mc:AlternateContent>
      </w:r>
      <w:r>
        <w:rPr>
          <w:sz w:val="24"/>
        </w:rPr>
        <mc:AlternateContent>
          <mc:Choice Requires="wps">
            <w:drawing>
              <wp:anchor distT="0" distB="0" distL="114300" distR="114300" simplePos="0" relativeHeight="251688960" behindDoc="0" locked="0" layoutInCell="1" allowOverlap="1">
                <wp:simplePos x="0" y="0"/>
                <wp:positionH relativeFrom="column">
                  <wp:posOffset>5638165</wp:posOffset>
                </wp:positionH>
                <wp:positionV relativeFrom="paragraph">
                  <wp:posOffset>1138555</wp:posOffset>
                </wp:positionV>
                <wp:extent cx="171450" cy="161925"/>
                <wp:effectExtent l="12700" t="12700" r="25400" b="15875"/>
                <wp:wrapNone/>
                <wp:docPr id="103" name="椭圆 103"/>
                <wp:cNvGraphicFramePr/>
                <a:graphic xmlns:a="http://schemas.openxmlformats.org/drawingml/2006/main">
                  <a:graphicData uri="http://schemas.microsoft.com/office/word/2010/wordprocessingShape">
                    <wps:wsp>
                      <wps:cNvSpPr/>
                      <wps:spPr>
                        <a:xfrm>
                          <a:off x="0" y="0"/>
                          <a:ext cx="171450" cy="161925"/>
                        </a:xfrm>
                        <a:prstGeom prst="ellipse">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43.95pt;margin-top:89.65pt;height:12.75pt;width:13.5pt;z-index:251688960;v-text-anchor:middle;mso-width-relative:page;mso-height-relative:page;" filled="f" stroked="t" coordsize="21600,21600" o:gfxdata="UEsDBAoAAAAAAIdO4kAAAAAAAAAAAAAAAAAEAAAAZHJzL1BLAwQUAAAACACHTuJA35HJttgAAAAL&#10;AQAADwAAAGRycy9kb3ducmV2LnhtbE2Py07DMBBF90j8gzVI7Kgdk9IkxKnUSiwoKwpiPY3dJKof&#10;Uew+4Os7rGA5c4/uo15enGUnM8UheAXZTAAzvg168J2Cz4+XhwJYTOg12uCNgm8TYdnc3tRY6XD2&#10;7+a0TR0jEx8rVNCnNFacx7Y3DuMsjMaTtg+Tw0Tn1HE94ZnMneVSiCfucPCU0ONo1r1pD9ujo9y3&#10;VS7ll1zND/ZnvcH9fNThVan7u0w8A0vmkv5g+K1P1aGhTrtw9Doyq6AoFiWhJCzKR2BElFlOn50C&#10;KfICeFPz/xuaK1BLAwQUAAAACACHTuJARV/9LmECAAC6BAAADgAAAGRycy9lMm9Eb2MueG1srVTN&#10;bhMxEL4j8Q6W73R3Q9LSVTZV1CgIqaKVCuLseO3sSv7DdrIpD8BTcOTKY8Fz8Hl324bCoQdycObP&#10;M/N9ntn5xUErshc+tNZUtDjJKRGG27o124p+/LB+9YaSEJmpmbJGVPROBHqxePli3rlSTGxjVS08&#10;QRITys5VtInRlVkWeCM0CyfWCQOntF6zCNVvs9qzDtm1yiZ5fpp11tfOWy5CgHU1OOmY0T8noZWy&#10;5WJl+U4LE4esXigWASk0rQt00XcrpeDxWsogIlEVBdLYnygCeZPObDFn5dYz17R8bIE9p4UnmDRr&#10;DYo+pFqxyMjOt3+l0i33NlgZT7jV2QCkZwQoivwJN7cNc6LHAqqDeyA9/L+0/P3+xpO2xiTkrykx&#10;TOPJf33/8fPbV5Is4KdzoUTYrbvxoxYgJrAH6XX6Bwxy6Dm9e+BUHCLhMBZnxXQGtjlcxWlxPpml&#10;nNnjZedDfCusJkmoqFAKD5hQs5Ltr0Icou+jktnYdasU7KxUhnQVncymeSrBMI4SYwBRO0AKZksJ&#10;U1vMOY++Txmsaut0Pd0Ofru5VJ7sGaZjvc7xG5v7IyzVXrHQDHG9awxTBlASPwMjSdrY+g6MejuM&#10;WnB83eL+FQvxhnnMFhrF9sVrHFJZdG9HiZLG+i//sqd4PDm8lHSYVSD7vGNeUKLeGQzDeTGdIm3s&#10;lensbALFH3s2xx6z05cWgAvsueO9mOKjuhelt/oTlnSZqsLFDEftgcNRuYzDDmHNuVgu+zAMtGPx&#10;ytw6npIPL7XcRSvb/hEf2RlJw0j3kzCuX9qZY72PevzkLH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35HJttgAAAALAQAADwAAAAAAAAABACAAAAAiAAAAZHJzL2Rvd25yZXYueG1sUEsBAhQAFAAA&#10;AAgAh07iQEVf/S5hAgAAugQAAA4AAAAAAAAAAQAgAAAAJwEAAGRycy9lMm9Eb2MueG1sUEsFBgAA&#10;AAAGAAYAWQEAAPoFAAAAAA==&#10;">
                <v:fill on="f" focussize="0,0"/>
                <v:stroke weight="2pt" color="#FF0000 [2404]" joinstyle="round"/>
                <v:imagedata o:title=""/>
                <o:lock v:ext="edit" aspectratio="f"/>
              </v:shape>
            </w:pict>
          </mc:Fallback>
        </mc:AlternateContent>
      </w:r>
      <w:r>
        <w:rPr>
          <w:sz w:val="24"/>
        </w:rPr>
        <mc:AlternateContent>
          <mc:Choice Requires="wps">
            <w:drawing>
              <wp:anchor distT="0" distB="0" distL="114300" distR="114300" simplePos="0" relativeHeight="251685888" behindDoc="0" locked="0" layoutInCell="1" allowOverlap="1">
                <wp:simplePos x="0" y="0"/>
                <wp:positionH relativeFrom="column">
                  <wp:posOffset>4799965</wp:posOffset>
                </wp:positionH>
                <wp:positionV relativeFrom="paragraph">
                  <wp:posOffset>1148080</wp:posOffset>
                </wp:positionV>
                <wp:extent cx="171450" cy="161925"/>
                <wp:effectExtent l="12700" t="12700" r="25400" b="15875"/>
                <wp:wrapNone/>
                <wp:docPr id="100" name="椭圆 100"/>
                <wp:cNvGraphicFramePr/>
                <a:graphic xmlns:a="http://schemas.openxmlformats.org/drawingml/2006/main">
                  <a:graphicData uri="http://schemas.microsoft.com/office/word/2010/wordprocessingShape">
                    <wps:wsp>
                      <wps:cNvSpPr/>
                      <wps:spPr>
                        <a:xfrm>
                          <a:off x="5133340" y="2558415"/>
                          <a:ext cx="171450" cy="161925"/>
                        </a:xfrm>
                        <a:prstGeom prst="ellipse">
                          <a:avLst/>
                        </a:prstGeom>
                        <a:noFill/>
                        <a:ln>
                          <a:solidFill>
                            <a:srgbClr val="0070C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77.95pt;margin-top:90.4pt;height:12.75pt;width:13.5pt;z-index:251685888;v-text-anchor:middle;mso-width-relative:page;mso-height-relative:page;" filled="f" stroked="t" coordsize="21600,21600" o:gfxdata="UEsDBAoAAAAAAIdO4kAAAAAAAAAAAAAAAAAEAAAAZHJzL1BLAwQUAAAACACHTuJAgMWyENoAAAAL&#10;AQAADwAAAGRycy9kb3ducmV2LnhtbE2PwU7DMBBE70j8g7VIXBC1G2gaQpyqIDjBhdBKHN3YxFbj&#10;dRS7Tfv3LCc47szT7Ey1OvmeHc0YXUAJ85kAZrAN2mEnYfP5elsAi0mhVn1AI+FsIqzqy4tKlTpM&#10;+GGOTeoYhWAslQSb0lByHltrvIqzMBgk7zuMXiU6x47rUU0U7nueCZFzrxzSB6sG82xNu28OXsLN&#10;2W7zBl/W7uu+fbdvbq2e9pOU11dz8QgsmVP6g+G3PlWHmjrtwgF1ZL2E5WLxQCgZhaANRCyLjJSd&#10;hEzkd8Driv/fUP8AUEsDBBQAAAAIAIdO4kC1KyHzbQIAAMYEAAAOAAAAZHJzL2Uyb0RvYy54bWyt&#10;VEtu2zAQ3RfoHQjuG0n+5GNEDgwbLgoETQC36JqmKEsAfyVpy+kBeoouu+2x2nP0kVI+TbvIohtp&#10;hjN6w/dmRpdXRyXJQTjfGl3S4iSnRGhuqlbvSvrxw/rNOSU+MF0xabQo6Z3w9Gr++tVlZ2diZBoj&#10;K+EIQLSfdbakTQh2lmWeN0Ixf2Ks0AjWxikW4LpdVjnWAV3JbJTnp1lnXGWd4cJ7nK76IB0Q3UsA&#10;TV23XKwM3yuhQ4/qhGQBlHzTWk/n6bZ1LXi4qWsvApElBdOQnigCexuf2fySzXaO2ablwxXYS67w&#10;jJNirUbRB6gVC4zsXfsXlGq5M97U4YQblfVEkiJgUeTPtNk0zIrEBVJ7+yC6/3+w/P3h1pG2wiTk&#10;0EQzhZb/+v7j57evJJ5An876GdI29tYNnocZyR5rp+IbNMixpNNiPB5PgHJX0tF0ej4ppr2+4hgI&#10;R0JxVkymiHMkFKfFxSjFs0cg63x4K4wi0SipkBLNjAqwGTtc+4D6yL7PisfarFspUxelJl0sPIlE&#10;OMNo1hgJmMqCntc7SpjcYeZ5cAnSG9lW8fMI5N1uu5SOHFiclPwsXybyKPdHWqy9Yr7p81IockSa&#10;1HhFrXp1orU11R3UdaYfO2/5usX318yHW+YwZ7goNjHc4FFLg9ubwaKkMe7Lv85jPtqPKCUd5hbM&#10;Pu+ZE5TIdxqDcVFMYgtCcibTsxEc9zSyfRrRe7U0IFxg5y1PZswP8t6snVGfsLCLWBUhpjlq9xoO&#10;zjL0+4SV52KxSGkYbsvCtd5YHsH7Ti32wdRtauKjOoNoGO+k4rCKcX+e+inr8fcz/w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AxbIQ2gAAAAsBAAAPAAAAAAAAAAEAIAAAACIAAABkcnMvZG93bnJl&#10;di54bWxQSwECFAAUAAAACACHTuJAtSsh820CAADGBAAADgAAAAAAAAABACAAAAApAQAAZHJzL2Uy&#10;b0RvYy54bWxQSwUGAAAAAAYABgBZAQAACAYAAAAA&#10;">
                <v:fill on="f" focussize="0,0"/>
                <v:stroke weight="2pt" color="#0070C0 [2404]" joinstyle="round"/>
                <v:imagedata o:title=""/>
                <o:lock v:ext="edit" aspectratio="f"/>
              </v:shape>
            </w:pict>
          </mc:Fallback>
        </mc:AlternateContent>
      </w:r>
      <w:r>
        <w:rPr>
          <w:sz w:val="24"/>
        </w:rPr>
        <mc:AlternateContent>
          <mc:Choice Requires="wps">
            <w:drawing>
              <wp:anchor distT="0" distB="0" distL="114300" distR="114300" simplePos="0" relativeHeight="251698176" behindDoc="0" locked="0" layoutInCell="1" allowOverlap="1">
                <wp:simplePos x="0" y="0"/>
                <wp:positionH relativeFrom="column">
                  <wp:posOffset>6200140</wp:posOffset>
                </wp:positionH>
                <wp:positionV relativeFrom="paragraph">
                  <wp:posOffset>1176655</wp:posOffset>
                </wp:positionV>
                <wp:extent cx="200025" cy="114300"/>
                <wp:effectExtent l="12700" t="12700" r="15875" b="25400"/>
                <wp:wrapNone/>
                <wp:docPr id="113" name="矩形 113"/>
                <wp:cNvGraphicFramePr/>
                <a:graphic xmlns:a="http://schemas.openxmlformats.org/drawingml/2006/main">
                  <a:graphicData uri="http://schemas.microsoft.com/office/word/2010/wordprocessingShape">
                    <wps:wsp>
                      <wps:cNvSpPr/>
                      <wps:spPr>
                        <a:xfrm>
                          <a:off x="6533515" y="2558415"/>
                          <a:ext cx="200025" cy="1143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8.2pt;margin-top:92.65pt;height:9pt;width:15.75pt;z-index:251698176;v-text-anchor:middle;mso-width-relative:page;mso-height-relative:page;" fillcolor="#4F81BD [3204]" filled="t" stroked="t" coordsize="21600,21600" o:gfxdata="UEsDBAoAAAAAAIdO4kAAAAAAAAAAAAAAAAAEAAAAZHJzL1BLAwQUAAAACACHTuJAPoeu6NsAAAAM&#10;AQAADwAAAGRycy9kb3ducmV2LnhtbE2Py07DMBBF90j8gzVI7Kjdhr5CnC5AIBV1Q0pVdefG0yQi&#10;Hkex+/p7pitYju7RvWeyxcW14oR9aDxpGA4UCKTS24YqDd/r96cZiBANWdN6Qg1XDLDI7+8yk1p/&#10;pi88FbESXEIhNRrqGLtUylDW6EwY+A6Js4PvnYl89pW0vTlzuWvlSKmJdKYhXqhNh681lj/F0WnY&#10;fuL1Y7uM483beqmSbrfC4hC0fnwYqhcQES/xD4abPqtDzk57fyQbRKthPp08M8rBbJyAuBFKTecg&#10;9hpGKklA5pn8/0T+C1BLAwQUAAAACACHTuJAVmnMDoYCAAAOBQAADgAAAGRycy9lMm9Eb2MueG1s&#10;rVRLbtswEN0X6B0I7htZ/uRjRA7cGC4KpE2AtOiapihLAH8lacvpZQp010P0OEWv0UdKiZ2kiyy6&#10;kWY4jzN8jzM8v9gpSbbC+cboguZHA0qE5qZs9Lqgnz8t35xS4gPTJZNGi4LeCU8vZq9fnbd2Koam&#10;NrIUjiCJ9tPWFrQOwU6zzPNaKOaPjBUawco4xQJct85Kx1pkVzIbDgbHWWtcaZ3hwnusLrog7TO6&#10;lyQ0VdVwsTB8o4QOXVYnJAug5OvGejpLp60qwcN1VXkRiCwomIb0RRHYq/jNZudsunbM1g3vj8Be&#10;coQnnBRrNIo+pFqwwMjGNc9SqYY7400VjrhRWUckKQIW+eCJNrc1syJxgdTePoju/19a/nF740hT&#10;ohPyESWaKVz5n+8/f//6QeIK9GmtnwJ2a29c73mYkeyucir+QYPsCno8GY0m+YSSu4IOJ5PTMeyk&#10;r9gFwgHA9Q+GiHMA8nw8GiT9s30i63x4J4wi0Siow/UlVdn2ygekAvQeEut6I5ty2UiZHLdeXUpH&#10;tgxXPV6e5m8XsTq2PIJJTdp4vDGKE87QwBUaB6ayEMHrNSVMrjEZPLhU+9Fuf1hkdHI8OBsmkNyo&#10;D6bsap9MQPO+dId/foxIY8F83W1JNfotUgMdNe9UjtbKlHe4JWe69vWWLxvsv2I+3DCHfgUVTHS4&#10;xqeSBvxMb1FSG/ftX+sRjzZClJIW/Q/uXzfMCUrke40GO8vH4zgwyRlPToZw3GFkdRjRG3VpoHuO&#10;t8PyZEZ8kPdm5Yz6gsGfx6oIMc1Ru1O5dy5DN5d4OriYzxMMQ2JZuNK3lsfk8Z61mW+CqZrUD3t1&#10;etEwJknsfqTjHB76CbV/xmZ/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D6HrujbAAAADAEAAA8A&#10;AAAAAAAAAQAgAAAAIgAAAGRycy9kb3ducmV2LnhtbFBLAQIUABQAAAAIAIdO4kBWacwOhgIAAA4F&#10;AAAOAAAAAAAAAAEAIAAAACoBAABkcnMvZTJvRG9jLnhtbFBLBQYAAAAABgAGAFkBAAAiBgAAAAA=&#10;">
                <v:fill on="t" focussize="0,0"/>
                <v:stroke weight="2pt" color="#376092 [2404]" joinstyle="round"/>
                <v:imagedata o:title=""/>
                <o:lock v:ext="edit" aspectratio="f"/>
              </v:rect>
            </w:pict>
          </mc:Fallback>
        </mc:AlternateContent>
      </w:r>
      <w:r>
        <w:rPr>
          <w:sz w:val="24"/>
        </w:rPr>
        <mc:AlternateContent>
          <mc:Choice Requires="wps">
            <w:drawing>
              <wp:anchor distT="0" distB="0" distL="114300" distR="114300" simplePos="0" relativeHeight="251699200" behindDoc="0" locked="0" layoutInCell="1" allowOverlap="1">
                <wp:simplePos x="0" y="0"/>
                <wp:positionH relativeFrom="column">
                  <wp:posOffset>6495415</wp:posOffset>
                </wp:positionH>
                <wp:positionV relativeFrom="paragraph">
                  <wp:posOffset>1129030</wp:posOffset>
                </wp:positionV>
                <wp:extent cx="277495" cy="182880"/>
                <wp:effectExtent l="12700" t="12700" r="14605" b="13970"/>
                <wp:wrapNone/>
                <wp:docPr id="114" name="矩形 114"/>
                <wp:cNvGraphicFramePr/>
                <a:graphic xmlns:a="http://schemas.openxmlformats.org/drawingml/2006/main">
                  <a:graphicData uri="http://schemas.microsoft.com/office/word/2010/wordprocessingShape">
                    <wps:wsp>
                      <wps:cNvSpPr/>
                      <wps:spPr>
                        <a:xfrm>
                          <a:off x="7857490" y="3491865"/>
                          <a:ext cx="277495" cy="182880"/>
                        </a:xfrm>
                        <a:prstGeom prst="rect">
                          <a:avLst/>
                        </a:prstGeom>
                        <a:solidFill>
                          <a:srgbClr val="7030A0"/>
                        </a:solidFill>
                        <a:ln>
                          <a:solidFill>
                            <a:srgbClr val="7030A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11.45pt;margin-top:88.9pt;height:14.4pt;width:21.85pt;z-index:251699200;v-text-anchor:middle;mso-width-relative:page;mso-height-relative:page;" fillcolor="#7030A0" filled="t" stroked="t" coordsize="21600,21600" o:gfxdata="UEsDBAoAAAAAAIdO4kAAAAAAAAAAAAAAAAAEAAAAZHJzL1BLAwQUAAAACACHTuJAOtm1ytcAAAAN&#10;AQAADwAAAGRycy9kb3ducmV2LnhtbE2PwW6DMBBE75XyD9ZG6q2xoRI0FJND1VxyqUr7AQ7eAgKv&#10;EXYS+PtuTu1tRvs0O1MeFjeKK86h96Qh2SkQSI23PbUavr+OTy8gQjRkzegJNawY4FBtHkpTWH+j&#10;T7zWsRUcQqEwGroYp0LK0HToTNj5CYlvP352JrKdW2lnc+NwN8pUqUw60xN/6MyEbx02Q31xGtTx&#10;5PL146Sm53pYk6Ff1Pt+0fpxm6hXEBGX+AfDvT5Xh4o7nf2FbBAje5Wme2ZZ5TmPuCMqyzIQZw0p&#10;K5BVKf+vqH4BUEsDBBQAAAAIAIdO4kDMTcK7bwIAAOwEAAAOAAAAZHJzL2Uyb0RvYy54bWytVEtu&#10;2zAQ3RfoHQjuG0mOHDtG5MCIkaJA0AZIi65pirIE8FeStpxepkB3PUSPU/QafaSUb7vIohtqhjN6&#10;M/NmhmfnByXJXjjfGV3R4iinRGhu6k5vK/rp4+WbOSU+MF0zabSo6K3w9Hz5+tVZbxdiYloja+EI&#10;QLRf9LaibQh2kWWet0Ixf2Ss0DA2xikWoLptVjvWA13JbJLnJ1lvXG2d4cJ73K4HIx0R3UsATdN0&#10;XKwN3ymhw4DqhGQBJfm2s54uU7ZNI3j40DReBCIrikpDOhEE8iae2fKMLbaO2bbjYwrsJSk8q0mx&#10;TiPoPdSaBUZ2rvsLSnXcGW+acMSNyoZCEiOoosifcXPTMitSLaDa23vS/f+D5e/31450NSahKCnR&#10;TKHlv7/9+PXzO4k34Ke3fgG3G3vtRs1DjMUeGqfiF2WQQ0Vn8+msPAWztxU9Lk+L+cl04FccAuFw&#10;mMxgn1LC4VDMJ/N54j97ALLOh7fCKBKFijq0L7HK9lc+IDhc71xiXG9kV192UibFbTcX0pE9Q6tn&#10;+XG+ukN/4iY16ZHJtMyRKGcY4AaDA1FZkOD1lhImt9gMHlyK/eRv/7IgMck18+2QTEKITCB9qfGJ&#10;jA4cRmlj6lv0wJlhOL3llx3+v2I+XDOHaUSi2NfwAUcjDbI3o0RJa9zXf91HfwwJrJT0mG5U9mXH&#10;nKBEvtMYn9OiLAEbklJOZxMo7rFl89iid+rCgNUCL4PlSYz+Qd6JjTPqM9Z6FaPCxDRH7IHDUbkI&#10;w9bhYeBitUpuWAHLwpW+sTyCxy5qs9oF03Sp2w/sjKRhCRKL48LGLXusJ6+HR2r5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DrZtcrXAAAADQEAAA8AAAAAAAAAAQAgAAAAIgAAAGRycy9kb3ducmV2&#10;LnhtbFBLAQIUABQAAAAIAIdO4kDMTcK7bwIAAOwEAAAOAAAAAAAAAAEAIAAAACYBAABkcnMvZTJv&#10;RG9jLnhtbFBLBQYAAAAABgAGAFkBAAAHBgAAAAA=&#10;">
                <v:fill on="t" focussize="0,0"/>
                <v:stroke weight="2pt" color="#7030A0 [2404]" joinstyle="round"/>
                <v:imagedata o:title=""/>
                <o:lock v:ext="edit" aspectratio="f"/>
              </v:rect>
            </w:pict>
          </mc:Fallback>
        </mc:AlternateContent>
      </w:r>
      <w:r>
        <w:rPr>
          <w:sz w:val="24"/>
        </w:rPr>
        <mc:AlternateContent>
          <mc:Choice Requires="wps">
            <w:drawing>
              <wp:anchor distT="0" distB="0" distL="114300" distR="114300" simplePos="0" relativeHeight="251682816" behindDoc="0" locked="0" layoutInCell="1" allowOverlap="1">
                <wp:simplePos x="0" y="0"/>
                <wp:positionH relativeFrom="column">
                  <wp:posOffset>4723765</wp:posOffset>
                </wp:positionH>
                <wp:positionV relativeFrom="paragraph">
                  <wp:posOffset>1357630</wp:posOffset>
                </wp:positionV>
                <wp:extent cx="1210310" cy="1133475"/>
                <wp:effectExtent l="12700" t="12700" r="15240" b="15875"/>
                <wp:wrapNone/>
                <wp:docPr id="96" name="矩形 96"/>
                <wp:cNvGraphicFramePr/>
                <a:graphic xmlns:a="http://schemas.openxmlformats.org/drawingml/2006/main">
                  <a:graphicData uri="http://schemas.microsoft.com/office/word/2010/wordprocessingShape">
                    <wps:wsp>
                      <wps:cNvSpPr/>
                      <wps:spPr>
                        <a:xfrm>
                          <a:off x="5076190" y="2615565"/>
                          <a:ext cx="1210310" cy="1133475"/>
                        </a:xfrm>
                        <a:prstGeom prst="rect">
                          <a:avLst/>
                        </a:prstGeom>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71.95pt;margin-top:106.9pt;height:89.25pt;width:95.3pt;z-index:251682816;v-text-anchor:middle;mso-width-relative:page;mso-height-relative:page;" fillcolor="#4F81BD [3204]" filled="t" stroked="t" coordsize="21600,21600" o:gfxdata="UEsDBAoAAAAAAIdO4kAAAAAAAAAAAAAAAAAEAAAAZHJzL1BLAwQUAAAACACHTuJAr1B9a9kAAAAL&#10;AQAADwAAAGRycy9kb3ducmV2LnhtbE2Py07DMBBF90j8gzVI7KidOAUSMukCUTasKBVSd248JBGx&#10;HcXug79nWNHlaI7uPbdend0ojjTHIXiEbKFAkG+DHXyHsP1Y3z2CiMl4a8bgCeGHIqya66vaVDac&#10;/DsdN6kTHOJjZRD6lKZKytj25ExchIk8/77C7Ezic+6knc2Jw90oc6XupTOD54beTPTcU/u9OTgE&#10;ucs+qYiv67d+0irE5YvbDVvE25tMPYFIdE7/MPzpszo07LQPB2+jGBEeCl0yipBnmjcwUepiCWKP&#10;oMtcg2xqebmh+QVQSwMEFAAAAAgAh07iQMeZItl2AgAA7AQAAA4AAABkcnMvZTJvRG9jLnhtbK1U&#10;S27bMBDdF+gdCO4bSY7tJEbkwo3hokDQBEiLrmmKsgTwV5K2nF6mQHc9RI9T9Bp9pJTESbPIol7Q&#10;M5rH+byZ4fnbvZJkJ5xvjS5pcZRTIjQ3Vas3Jf38afXmlBIfmK6YNFqU9FZ4+nb++tV5Z2diZBoj&#10;K+EInGg/62xJmxDsLMs8b4Ri/shYoWGsjVMsQHWbrHKsg3cls1GeT7POuMo6w4X3+LrsjXTw6F7i&#10;0NR1y8XS8K0SOvRenZAsoCTftNbTecq2rgUPV3XtRSCypKg0pBNBIK/jmc3P2WzjmG1aPqTAXpLC&#10;k5oUazWC3rtassDI1rX/uFItd8abOhxxo7K+kMQIqijyJ9zcNMyKVAuo9vaedP//3PKPu2tH2qqk&#10;Z1NKNFPo+J/vP3//+kHwAex01s8AurHXbtA8xFjqvnYq/qMIsi/pJD+ZFmfg9bako2kxmUwnPbti&#10;HwgHoBgV+XEBAAeiKI6PxycJkT24ss6H98IoEoWSOrQvscp2lz4gPKB3kBjZG9lWq1bKpLjN+kI6&#10;smNo9Xh1Wrxbxvi48ggmNemQ4GScx0wYBrjG4EBUFiR4vaGEyQ02gweXYj+67Q+D5On3XJCY5JL5&#10;pk8meRhgUiOlyGnPYpTWprpFD5zph9Nbvmpx/5L5cM0cphGJYl/DFY5aGmRvBomSxrhvz32PeAwJ&#10;rJR0mG5U9nXLnKBEftAYn7NiPIbbkJTx5GQExR1a1ocWvVUXBqwWeBksT2LEB3kn1s6oL1jrRYwK&#10;E9McsXsOB+Ui9FuHh4GLxSLBsAKWhUt9Y3l0HruozWIbTN2mbj+wM5CGJUgdHRY2btmhnlAPj9T8&#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K9QfWvZAAAACwEAAA8AAAAAAAAAAQAgAAAAIgAAAGRy&#10;cy9kb3ducmV2LnhtbFBLAQIUABQAAAAIAIdO4kDHmSLZdgIAAOwEAAAOAAAAAAAAAAEAIAAAACgB&#10;AABkcnMvZTJvRG9jLnhtbFBLBQYAAAAABgAGAFkBAAAQBgAAAAA=&#10;">
                <v:fill on="t" focussize="0,0"/>
                <v:stroke weight="2pt" color="#000000 [3213]" joinstyle="round"/>
                <v:imagedata o:title=""/>
                <o:lock v:ext="edit" aspectratio="f"/>
              </v:rect>
            </w:pict>
          </mc:Fallback>
        </mc:AlternateContent>
      </w:r>
      <w:r>
        <w:rPr>
          <w:sz w:val="24"/>
        </w:rPr>
        <mc:AlternateContent>
          <mc:Choice Requires="wps">
            <w:drawing>
              <wp:anchor distT="0" distB="0" distL="114300" distR="114300" simplePos="0" relativeHeight="251705344" behindDoc="0" locked="0" layoutInCell="1" allowOverlap="1">
                <wp:simplePos x="0" y="0"/>
                <wp:positionH relativeFrom="column">
                  <wp:posOffset>7105015</wp:posOffset>
                </wp:positionH>
                <wp:positionV relativeFrom="paragraph">
                  <wp:posOffset>1138555</wp:posOffset>
                </wp:positionV>
                <wp:extent cx="552450" cy="210820"/>
                <wp:effectExtent l="12700" t="12700" r="25400" b="24130"/>
                <wp:wrapNone/>
                <wp:docPr id="120" name="矩形 120"/>
                <wp:cNvGraphicFramePr/>
                <a:graphic xmlns:a="http://schemas.openxmlformats.org/drawingml/2006/main">
                  <a:graphicData uri="http://schemas.microsoft.com/office/word/2010/wordprocessingShape">
                    <wps:wsp>
                      <wps:cNvSpPr/>
                      <wps:spPr>
                        <a:xfrm>
                          <a:off x="0" y="0"/>
                          <a:ext cx="552450" cy="210820"/>
                        </a:xfrm>
                        <a:prstGeom prst="rect">
                          <a:avLst/>
                        </a:prstGeom>
                        <a:solidFill>
                          <a:srgbClr val="00B050"/>
                        </a:solidFill>
                        <a:ln>
                          <a:solidFill>
                            <a:srgbClr val="00B05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59.45pt;margin-top:89.65pt;height:16.6pt;width:43.5pt;z-index:251705344;v-text-anchor:middle;mso-width-relative:page;mso-height-relative:page;" fillcolor="#00B050" filled="t" stroked="t" coordsize="21600,21600" o:gfxdata="UEsDBAoAAAAAAIdO4kAAAAAAAAAAAAAAAAAEAAAAZHJzL1BLAwQUAAAACACHTuJAEoAIe9oAAAAN&#10;AQAADwAAAGRycy9kb3ducmV2LnhtbE2PwU7DMBBE70j8g7VIXBC1nSjQhjiVQOIGQi0grpvYJKGx&#10;HWy3KX/P9gS3nd3R7JtqfbQjO5gQB+8UyIUAZlzr9eA6BW+vj9dLYDGh0zh6ZxT8mAjr+vyswlL7&#10;2W3MYZs6RiEulqigT2kqOY9tbyzGhZ+Mo9unDxYTydBxHXCmcDvyTIgbbnFw9KHHyTz0pt1t91ZB&#10;zJun75f72e7e82f+gV/+KhReqcsLKe6AJXNMf2Y44RM61MTU+L3TkY2kpVyuyEvT7SoHdrJkoqBV&#10;oyCTWQG8rvj/FvUvUEsDBBQAAAAIAIdO4kAYL2DtXQIAAOAEAAAOAAAAZHJzL2Uyb0RvYy54bWyt&#10;VM1uEzEQviPxDpbvdDdRAiVqUoVGRUgVrRQQZ8drZy35D9vJprwMEjceoo+DeA0+e7e/cOiBy+6M&#10;Z/zNzDczPjk9GE32IkTl7JyOjmpKhOWuUXY7p58/nb86piQmZhumnRVzei0iPV28fHHS+ZkYu9bp&#10;RgQCEBtnnZ/TNiU/q6rIW2FYPHJeWBilC4YlqGFbNYF1QDe6Gtf166pzofHBcREjTle9kQ6I4TmA&#10;TkrFxcrxnRE29ahBaJZQUmyVj3RRspVS8HQpZRSJ6DlFpal8EQTyJn+rxQmbbQPzreJDCuw5KTyp&#10;yTBlEfQOasUSI7ug/oIyigcXnUxH3JmqL6QwgipG9RNu1i3zotQCqqO/Iz3+P1j+cX8ViGowCWNw&#10;YplBy39///nr5gfJJ+Cn83EGt7W/CoMWIeZiDzKY/EcZ5FA4vb7jVBwS4TicTseTKZA5TONRfdxj&#10;VveXfYjpvXCGZGFOA1pWmGT7i5gQEK63LjlWdFo150rrooTt5kwHsme5vfW7GpH6K4/ctCUdok8n&#10;dU6EYWglhgWi8Sg82i0lTG+xDTyFEvvR7fi8IDnJFYttn0xBGHLRFlVkFnvesrRxzTV4D64fyOj5&#10;ucL9CxbTFQuYQCSKHU2X+EjtkL0bJEpaF7796zz7YzBgpaTDRKOyrzsWBCX6g8XIvB1NJoBNRZlM&#10;3+R+h4eWzUOL3ZkzB1ZHeA08L2L2T/pWlMGZL1jlZY4KE7McsXsOB+Us9ZuGx4CL5bK4Yew9Sxd2&#10;7XkGz120brlLTqrS7Xt2BtIw+GUIhiXNm/VQL173D9Pi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KACHvaAAAADQEAAA8AAAAAAAAAAQAgAAAAIgAAAGRycy9kb3ducmV2LnhtbFBLAQIUABQAAAAI&#10;AIdO4kAYL2DtXQIAAOAEAAAOAAAAAAAAAAEAIAAAACkBAABkcnMvZTJvRG9jLnhtbFBLBQYAAAAA&#10;BgAGAFkBAAD4BQAAAAA=&#10;">
                <v:fill on="t" focussize="0,0"/>
                <v:stroke weight="2pt" color="#00B050 [2404]" joinstyle="round"/>
                <v:imagedata o:title=""/>
                <o:lock v:ext="edit" aspectratio="f"/>
              </v:rect>
            </w:pict>
          </mc:Fallback>
        </mc:AlternateContent>
      </w:r>
      <w:r>
        <w:rPr>
          <w:sz w:val="24"/>
        </w:rPr>
        <mc:AlternateContent>
          <mc:Choice Requires="wps">
            <w:drawing>
              <wp:anchor distT="0" distB="0" distL="114300" distR="114300" simplePos="0" relativeHeight="251704320" behindDoc="0" locked="0" layoutInCell="1" allowOverlap="1">
                <wp:simplePos x="0" y="0"/>
                <wp:positionH relativeFrom="column">
                  <wp:posOffset>7495540</wp:posOffset>
                </wp:positionH>
                <wp:positionV relativeFrom="paragraph">
                  <wp:posOffset>1814830</wp:posOffset>
                </wp:positionV>
                <wp:extent cx="142875" cy="267335"/>
                <wp:effectExtent l="12700" t="12700" r="15875" b="24765"/>
                <wp:wrapNone/>
                <wp:docPr id="119" name="矩形 119"/>
                <wp:cNvGraphicFramePr/>
                <a:graphic xmlns:a="http://schemas.openxmlformats.org/drawingml/2006/main">
                  <a:graphicData uri="http://schemas.microsoft.com/office/word/2010/wordprocessingShape">
                    <wps:wsp>
                      <wps:cNvSpPr/>
                      <wps:spPr>
                        <a:xfrm>
                          <a:off x="8305165" y="3368040"/>
                          <a:ext cx="142875" cy="267335"/>
                        </a:xfrm>
                        <a:prstGeom prst="rect">
                          <a:avLst/>
                        </a:prstGeom>
                        <a:solidFill>
                          <a:schemeClr val="accent6"/>
                        </a:solidFill>
                        <a:ln>
                          <a:solidFill>
                            <a:schemeClr val="accent6"/>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90.2pt;margin-top:142.9pt;height:21.05pt;width:11.25pt;z-index:251704320;v-text-anchor:middle;mso-width-relative:page;mso-height-relative:page;" fillcolor="#F79646 [3209]" filled="t" stroked="t" coordsize="21600,21600" o:gfxdata="UEsDBAoAAAAAAIdO4kAAAAAAAAAAAAAAAAAEAAAAZHJzL1BLAwQUAAAACACHTuJAEBozldsAAAAN&#10;AQAADwAAAGRycy9kb3ducmV2LnhtbE2PwU7DMBBE70j8g7VI3Kgd00Ia4lQIqRfEhYJKj07sJhHx&#10;Oomdpvw92xMcR/s0+ybfnF3HTnYMrUcFyUIAs1h502Kt4PNje5cCC1Gj0Z1Hq+DHBtgU11e5zoyf&#10;8d2edrFmVIIh0wqaGPuM81A11umw8L1Fuh396HSkONbcjHqmctdxKcQDd7pF+tDo3r40tvreTU7B&#10;/m2e2n65F8/1tnz9Wg2DPMRBqdubRDwBi/Yc/2C46JM6FORU+glNYB3lJBVLYhXIdEUjLogUcg2s&#10;VHAvH9fAi5z/X1H8AlBLAwQUAAAACACHTuJAbn9HBW4CAADsBAAADgAAAGRycy9lMm9Eb2MueG1s&#10;rVRLbtswEN0X6B0I7hvJf8eIHBgxXBQImgBp0TVNUZYA/krSltPLFOiuh8hxil6jj5TybRdZdEPN&#10;cEZvZt7M8Oz8qCQ5COcbows6OMkpEZqbstG7gn7+tHk3p8QHpksmjRYFvRWeni/fvjlr7UIMTW1k&#10;KRwBiPaL1ha0DsEusszzWijmT4wVGsbKOMUCVLfLSsdaoCuZDfN8mrXGldYZLrzH7boz0h7RvQbQ&#10;VFXDxdrwvRI6dKhOSBZQkq8b6+kyZVtVgoerqvIiEFlQVBrSiSCQt/HMlmdssXPM1g3vU2CvSeFF&#10;TYo1GkEfoNYsMLJ3zV9QquHOeFOFE25U1hWSGEEVg/wFNzc1syLVAqq9fSDd/z9Y/vFw7UhTYhIG&#10;p5RoptDy399//rr7QeIN+GmtX8Dtxl67XvMQY7HHyqn4RRnkWND5KJ8MphNKbgs6Gk3n+bjnVxwD&#10;4XAYjIfzGewcDsPpbDSaRPzsEcg6H94Lo0gUCurQvsQqO1z60Lneu8S43sim3DRSJsXtthfSkQND&#10;qzez0+l42qM/c5OatIg+GecYAc4wwBUGB6KyIMHrHSVM7rAZPLgU+9nf/nVBYpJr5usumYTQ5yI1&#10;Co6MdhxGaWvKW/TAmW44veWbBv9fMh+umcM0IlHsa7jCUUmD7E0vUVIb9+1f99EfQwIrJS2mG5V9&#10;3TMnKJEfNMbndDBGc0hIyngyG0JxTy3bpxa9VxcGrA7wMliexOgf5L1YOaO+YK1XMSpMTHPE7jjs&#10;lYvQbR0eBi5Wq+SGFbAsXOobyyN47KI2q30wVZO6/chOTxqWIM1Lv7Bxy57qyevxkVr+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BAaM5XbAAAADQEAAA8AAAAAAAAAAQAgAAAAIgAAAGRycy9kb3du&#10;cmV2LnhtbFBLAQIUABQAAAAIAIdO4kBuf0cFbgIAAOwEAAAOAAAAAAAAAAEAIAAAACoBAABkcnMv&#10;ZTJvRG9jLnhtbFBLBQYAAAAABgAGAFkBAAAKBgAAAAA=&#10;">
                <v:fill on="t" focussize="0,0"/>
                <v:stroke weight="2pt" color="#F79646 [3209]" joinstyle="round"/>
                <v:imagedata o:title=""/>
                <o:lock v:ext="edit" aspectratio="f"/>
              </v:rect>
            </w:pict>
          </mc:Fallback>
        </mc:AlternateContent>
      </w:r>
      <w:r>
        <w:rPr>
          <w:sz w:val="24"/>
        </w:rPr>
        <mc:AlternateContent>
          <mc:Choice Requires="wps">
            <w:drawing>
              <wp:anchor distT="0" distB="0" distL="114300" distR="114300" simplePos="0" relativeHeight="251703296" behindDoc="0" locked="0" layoutInCell="1" allowOverlap="1">
                <wp:simplePos x="0" y="0"/>
                <wp:positionH relativeFrom="column">
                  <wp:posOffset>7857490</wp:posOffset>
                </wp:positionH>
                <wp:positionV relativeFrom="paragraph">
                  <wp:posOffset>2510155</wp:posOffset>
                </wp:positionV>
                <wp:extent cx="523875" cy="333375"/>
                <wp:effectExtent l="95250" t="0" r="0" b="0"/>
                <wp:wrapNone/>
                <wp:docPr id="118" name="文本框 118"/>
                <wp:cNvGraphicFramePr/>
                <a:graphic xmlns:a="http://schemas.openxmlformats.org/drawingml/2006/main">
                  <a:graphicData uri="http://schemas.microsoft.com/office/word/2010/wordprocessingShape">
                    <wps:wsp>
                      <wps:cNvSpPr txBox="1"/>
                      <wps:spPr>
                        <a:xfrm rot="16020000">
                          <a:off x="9076690" y="4053840"/>
                          <a:ext cx="523875" cy="3333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45CBA8">
                            <w:pPr>
                              <w:ind w:left="0" w:leftChars="0" w:firstLine="0" w:firstLineChars="0"/>
                              <w:rPr>
                                <w:rFonts w:hint="default" w:eastAsia="宋体"/>
                                <w:lang w:val="en-US" w:eastAsia="zh-CN"/>
                              </w:rPr>
                            </w:pPr>
                            <w:r>
                              <w:rPr>
                                <w:rFonts w:hint="eastAsia"/>
                                <w:lang w:val="en-US" w:eastAsia="zh-CN"/>
                              </w:rPr>
                              <w:t>大门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8.7pt;margin-top:197.65pt;height:26.25pt;width:41.25pt;rotation:-6094848f;z-index:251703296;mso-width-relative:page;mso-height-relative:page;" filled="f" stroked="f" coordsize="21600,21600" o:gfxdata="UEsDBAoAAAAAAIdO4kAAAAAAAAAAAAAAAAAEAAAAZHJzL1BLAwQUAAAACACHTuJAgJd9PdwAAAAN&#10;AQAADwAAAGRycy9kb3ducmV2LnhtbE2PQU7DMBBF90jcwRokNojaqVOahDhdoLJohQS0HMCNTRxh&#10;j6PYbcPtcVdl+TVP/7+pV5Oz5KTH0HsUkM0YEI2tVz12Ar72r48FkBAlKmk9agG/OsCqub2pZaX8&#10;GT/1aRc7kkowVFKAiXGoKA2t0U6GmR80ptu3H52MKY4dVaM8p3Jn6ZyxJ+pkj2nByEG/GN3+7I5O&#10;wNq+hY/tuChatrEbvmbmYf8+CXF/l7FnIFFP8QrDRT+pQ5OcDv6IKhCb8pwv88QK4OWCA7kgPCtL&#10;IAcBeb4sgDY1/f9F8wdQSwMEFAAAAAgAh07iQDd+nnNPAgAAhAQAAA4AAABkcnMvZTJvRG9jLnht&#10;bK1Uy27bMBC8F+g/ELw3kp9xDMuBmyBFgaAJkBY90xQVCeCrJB0p/YD2D3Lqpfd+V76jQ0p2g7SH&#10;HOqDsOQOZndml16ddkqSO+F8Y3RBR0c5JUJzUzb6tqCfPl68WVDiA9Mlk0aLgt4LT0/Xr1+tWrsU&#10;Y1MbWQpHQKL9srUFrUOwyyzzvBaK+SNjhUayMk6xgKO7zUrHWrArmY3zfJ61xpXWGS68x+15n6QD&#10;o3sJoamqhotzw3dK6NCzOiFZgCRfN9bTdeq2qgQPV1XlRSCyoFAa0hdFEG/jN1uv2PLWMVs3fGiB&#10;vaSFZ5oUazSKHqjOWWBk55q/qFTDnfGmCkfcqKwXkhyBilH+zJubmlmRtMBqbw+m+/9Hyz/cXTvS&#10;lNiEEQavmcLIHx++P/749fjzG4mXsKi1fgnkjQU2dG9NB/j+3uMyKu8qp4gzcHg0zzHoPE+GQCIB&#10;/CQ/ns9P4Pp9Qaf5bLKYDt6LLhAOwGw8WRzPKOEATPBDjMJZzxv5rfPhnTCKxKCgDqNNBdjdpQ89&#10;dA+JcG0uGinTeKUmbUHnk1nf0SEDcqlRI6rrVcQodNtukLw15T0UJ1Fo3Vt+0aD4JfPhmjnsCS7x&#10;ksIVPpU0KGKGiJLauK//uo94jA9ZSlrsXUH9lx1zghL5XmOwJ6MprCEhHaaz4zEO7mlm+zSjd+rM&#10;YLVHqbsURnyQ+7ByRn3Gg9vEqkgxzVG7oGEfnoX+NeDBcrHZJBBW07JwqW8sj9S9nZtdMFWTnI42&#10;9d4M7mE506yGhxS3/+k5of78eax/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XfT3cAAAADQEA&#10;AA8AAAAAAAAAAQAgAAAAIgAAAGRycy9kb3ducmV2LnhtbFBLAQIUABQAAAAIAIdO4kA3fp5zTwIA&#10;AIQEAAAOAAAAAAAAAAEAIAAAACsBAABkcnMvZTJvRG9jLnhtbFBLBQYAAAAABgAGAFkBAADsBQAA&#10;AAA=&#10;">
                <v:fill on="f" focussize="0,0"/>
                <v:stroke on="f" weight="0.5pt"/>
                <v:imagedata o:title=""/>
                <o:lock v:ext="edit" aspectratio="f"/>
                <v:textbox>
                  <w:txbxContent>
                    <w:p w14:paraId="5145CBA8">
                      <w:pPr>
                        <w:ind w:left="0" w:leftChars="0" w:firstLine="0" w:firstLineChars="0"/>
                        <w:rPr>
                          <w:rFonts w:hint="default" w:eastAsia="宋体"/>
                          <w:lang w:val="en-US" w:eastAsia="zh-CN"/>
                        </w:rPr>
                      </w:pPr>
                      <w:r>
                        <w:rPr>
                          <w:rFonts w:hint="eastAsia"/>
                          <w:lang w:val="en-US" w:eastAsia="zh-CN"/>
                        </w:rPr>
                        <w:t>大门</w:t>
                      </w:r>
                    </w:p>
                  </w:txbxContent>
                </v:textbox>
              </v:shape>
            </w:pict>
          </mc:Fallback>
        </mc:AlternateContent>
      </w:r>
      <w:r>
        <w:rPr>
          <w:sz w:val="24"/>
        </w:rPr>
        <mc:AlternateContent>
          <mc:Choice Requires="wps">
            <w:drawing>
              <wp:anchor distT="0" distB="0" distL="114300" distR="114300" simplePos="0" relativeHeight="251702272" behindDoc="0" locked="0" layoutInCell="1" allowOverlap="1">
                <wp:simplePos x="0" y="0"/>
                <wp:positionH relativeFrom="column">
                  <wp:posOffset>7838440</wp:posOffset>
                </wp:positionH>
                <wp:positionV relativeFrom="paragraph">
                  <wp:posOffset>2824480</wp:posOffset>
                </wp:positionV>
                <wp:extent cx="209550" cy="9525"/>
                <wp:effectExtent l="0" t="0" r="0" b="0"/>
                <wp:wrapNone/>
                <wp:docPr id="117" name="直接连接符 117"/>
                <wp:cNvGraphicFramePr/>
                <a:graphic xmlns:a="http://schemas.openxmlformats.org/drawingml/2006/main">
                  <a:graphicData uri="http://schemas.microsoft.com/office/word/2010/wordprocessingShape">
                    <wps:wsp>
                      <wps:cNvCnPr/>
                      <wps:spPr>
                        <a:xfrm flipV="1">
                          <a:off x="0" y="0"/>
                          <a:ext cx="209550" cy="952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617.2pt;margin-top:222.4pt;height:0.75pt;width:16.5pt;z-index:251702272;mso-width-relative:page;mso-height-relative:page;" filled="f" stroked="t" coordsize="21600,21600" o:gfxdata="UEsDBAoAAAAAAIdO4kAAAAAAAAAAAAAAAAAEAAAAZHJzL1BLAwQUAAAACACHTuJALmypbNkAAAAN&#10;AQAADwAAAGRycy9kb3ducmV2LnhtbE2PwU7DMBBE70j8g7VI3KiT1AQIcXqoxBEBMQJxc2OThMbr&#10;KHbb8PdsTuU4s0+zM+VmdgM72in0HiWkqwSYxcabHlsJ7+rp5h5YiBqNHjxaCb82wKa6vCh1YfwJ&#10;3+yxji2jEAyFltDFOBach6azToeVHy3S7dtPTkeSU8vNpE8U7gaeJUnOne6RPnR6tNvONvv64CR8&#10;zc8/r/XHg1Ji+7LP+luVxk8l5fVVmjwCi3aOZxiW+lQdKuq08wc0gQ2ks7UQxEoQQtCIBcnyO7J2&#10;i5WvgVcl/7+i+gNQSwMEFAAAAAgAh07iQDRhviLnAQAAqwMAAA4AAABkcnMvZTJvRG9jLnhtbK1T&#10;zW4TMRC+I/EOlu9kN1ED7SqbSnQVLggiAb07XnvXkv/kcbPJS/ACSNzgxJF734byGB17lwDl0gMX&#10;azwz/jzf58+ry4PRZC8CKGdrOp+VlAjLXatsV9MP7zfPzimByGzLtLOipkcB9HL99Mlq8JVYuN7p&#10;VgSCIBaqwde0j9FXRQG8F4bBzHlhsShdMCziNnRFG9iA6EYXi7J8XgwutD44LgAw24xFOiGGxwA6&#10;KRUXjeM3Rtg4ogahWURK0CsPdJ2nlVLw+FZKEJHomiLTmFe8BONdWov1ilVdYL5XfBqBPWaEB5wM&#10;UxYvPUE1LDJyE9Q/UEbx4MDJOOPOFCORrAiymJcPtHnXMy8yF5Qa/El0+H+w/M1+G4hq0QnzF5RY&#10;ZvDJ7z59//Hxy8/bz7jefftKUgmFGjxU2H9lt2Hagd+GxPoggyFSK3+NOFkHZEYOWebjSWZxiIRj&#10;clFeLJf4ABxLF8vFMmEXI0gC8wHiK+EMSUFNtbJJA1ax/WuIY+uvlpS2bqO0xjyrtCUDwi/PyoTO&#10;0JwSTYGh8UgQbEcJ0x26nseQIcFp1abj6TSEbnelA9kz9MrZ5nz+spkm+6st3d0w6Me+XJratEUe&#10;SaRRlhTtXHvMauU8vmFmOvktmeTPfT79+4+t7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ubKls&#10;2QAAAA0BAAAPAAAAAAAAAAEAIAAAACIAAABkcnMvZG93bnJldi54bWxQSwECFAAUAAAACACHTuJA&#10;NGG+IucBAACrAwAADgAAAAAAAAABACAAAAAoAQAAZHJzL2Uyb0RvYy54bWxQSwUGAAAAAAYABgBZ&#10;AQAAgQUAAAAA&#10;">
                <v:fill on="f" focussize="0,0"/>
                <v:stroke weight="2pt" color="#4F81BD [3204]" joinstyle="round"/>
                <v:imagedata o:title=""/>
                <o:lock v:ext="edit" aspectratio="f"/>
              </v:line>
            </w:pict>
          </mc:Fallback>
        </mc:AlternateContent>
      </w:r>
      <w:r>
        <w:rPr>
          <w:sz w:val="24"/>
        </w:rPr>
        <mc:AlternateContent>
          <mc:Choice Requires="wps">
            <w:drawing>
              <wp:anchor distT="0" distB="0" distL="114300" distR="114300" simplePos="0" relativeHeight="251701248" behindDoc="0" locked="0" layoutInCell="1" allowOverlap="1">
                <wp:simplePos x="0" y="0"/>
                <wp:positionH relativeFrom="column">
                  <wp:posOffset>7828915</wp:posOffset>
                </wp:positionH>
                <wp:positionV relativeFrom="paragraph">
                  <wp:posOffset>2414905</wp:posOffset>
                </wp:positionV>
                <wp:extent cx="209550" cy="9525"/>
                <wp:effectExtent l="0" t="0" r="0" b="0"/>
                <wp:wrapNone/>
                <wp:docPr id="116" name="直接连接符 116"/>
                <wp:cNvGraphicFramePr/>
                <a:graphic xmlns:a="http://schemas.openxmlformats.org/drawingml/2006/main">
                  <a:graphicData uri="http://schemas.microsoft.com/office/word/2010/wordprocessingShape">
                    <wps:wsp>
                      <wps:cNvCnPr/>
                      <wps:spPr>
                        <a:xfrm flipV="1">
                          <a:off x="8743315" y="3853815"/>
                          <a:ext cx="209550" cy="952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616.45pt;margin-top:190.15pt;height:0.75pt;width:16.5pt;z-index:251701248;mso-width-relative:page;mso-height-relative:page;" filled="f" stroked="t" coordsize="21600,21600" o:gfxdata="UEsDBAoAAAAAAIdO4kAAAAAAAAAAAAAAAAAEAAAAZHJzL1BLAwQUAAAACACHTuJAl8WzmtkAAAAN&#10;AQAADwAAAGRycy9kb3ducmV2LnhtbE2PwU7DMBBE70j8g7VI3Kgdh1ZpiNNDJY4ISBCImxsvSWhs&#10;R7Hbhr9nc4LjzD7NzhS72Q7sjFPovVOQrAQwdI03vWsVvNWPdxmwELUzevAOFfxggF15fVXo3PiL&#10;e8VzFVtGIS7kWkEX45hzHpoOrQ4rP6Kj25efrI4kp5abSV8o3A5cCrHhVveOPnR6xH2HzbE6WQWf&#10;89P3S/W+rev7/fNR9us6iR+1Urc3iXgAFnGOfzAs9ak6lNTp4E/OBDaQlqncEqsgzUQKbEHkZk3W&#10;YbGSDHhZ8P8ryl9QSwMEFAAAAAgAh07iQFWgWKf1AQAAtwMAAA4AAABkcnMvZTJvRG9jLnhtbK1T&#10;S44TMRDdI3EHy3vSnU8PmVY6IzFR2CCIxGfvuO1uS/7J5Uknl+ACSOxgxZI9t2E4BmV3GGDYzIKN&#10;VXY9v6r3XF5dHY0mBxFAOdvQ6aSkRFjuWmW7hr59s32ypAQisy3TzoqGngTQq/XjR6vB12Lmeqdb&#10;EQiSWKgH39A+Rl8XBfBeGAYT54XFpHTBsIjb0BVtYAOyG13MyvKiGFxofXBcAODpZkzSM2N4CKGT&#10;UnGxcfzGCBtH1iA0iygJeuWBrnO3UgoeX0kJIhLdUFQa84pFMN6ntVivWN0F5nvFzy2wh7RwT5Nh&#10;ymLRO6oNi4zcBPUPlVE8OHAyTrgzxSgkO4IqpuU9b173zIusBa0Gf2c6/D9a/vKwC0S1OAnTC0os&#10;M/jktx++fn//6ce3j7jefvlMUgqNGjzUiL+2u3Degd+FpPoogyFSK/8OebIPqIwcG7p8upjPpxUl&#10;p4bOl9V8iXG2XBwj4QiYlZdVhY/BEXBZzXK2GAkTsQ8QnwtnSAoaqpVNfrCaHV5ARCKE/oKkY+u2&#10;SutcQFsyIH21KBM7w0GVOCAYGo9iwXaUMN3hD+AxZEpwWrXpeiKC0O2vdSAHhnOz2C6nzzapbyz3&#10;FyzV3jDoR1xOnWHaIjoZNlqUor1rT9m5fI7vmfnOs5cG5s99vv37v61/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JfFs5rZAAAADQEAAA8AAAAAAAAAAQAgAAAAIgAAAGRycy9kb3ducmV2LnhtbFBL&#10;AQIUABQAAAAIAIdO4kBVoFin9QEAALcDAAAOAAAAAAAAAAEAIAAAACgBAABkcnMvZTJvRG9jLnht&#10;bFBLBQYAAAAABgAGAFkBAACPBQAAAAA=&#10;">
                <v:fill on="f" focussize="0,0"/>
                <v:stroke weight="2pt" color="#4F81BD [3204]" joinstyle="round"/>
                <v:imagedata o:title=""/>
                <o:lock v:ext="edit" aspectratio="f"/>
              </v:line>
            </w:pict>
          </mc:Fallback>
        </mc:AlternateContent>
      </w:r>
      <w:r>
        <w:rPr>
          <w:sz w:val="24"/>
        </w:rPr>
        <mc:AlternateContent>
          <mc:Choice Requires="wps">
            <w:drawing>
              <wp:anchor distT="0" distB="0" distL="114300" distR="114300" simplePos="0" relativeHeight="251700224" behindDoc="0" locked="0" layoutInCell="1" allowOverlap="1">
                <wp:simplePos x="0" y="0"/>
                <wp:positionH relativeFrom="column">
                  <wp:posOffset>7324090</wp:posOffset>
                </wp:positionH>
                <wp:positionV relativeFrom="paragraph">
                  <wp:posOffset>3957955</wp:posOffset>
                </wp:positionV>
                <wp:extent cx="209550" cy="152400"/>
                <wp:effectExtent l="12700" t="12700" r="25400" b="25400"/>
                <wp:wrapNone/>
                <wp:docPr id="115" name="矩形 115"/>
                <wp:cNvGraphicFramePr/>
                <a:graphic xmlns:a="http://schemas.openxmlformats.org/drawingml/2006/main">
                  <a:graphicData uri="http://schemas.microsoft.com/office/word/2010/wordprocessingShape">
                    <wps:wsp>
                      <wps:cNvSpPr/>
                      <wps:spPr>
                        <a:xfrm>
                          <a:off x="8238490" y="5396865"/>
                          <a:ext cx="209550" cy="152400"/>
                        </a:xfrm>
                        <a:prstGeom prst="rect">
                          <a:avLst/>
                        </a:prstGeom>
                        <a:solidFill>
                          <a:schemeClr val="accent5"/>
                        </a:solidFill>
                        <a:ln>
                          <a:solidFill>
                            <a:schemeClr val="accent5"/>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76.7pt;margin-top:311.65pt;height:12pt;width:16.5pt;z-index:251700224;v-text-anchor:middle;mso-width-relative:page;mso-height-relative:page;" fillcolor="#4BACC6 [3208]" filled="t" stroked="t" coordsize="21600,21600" o:gfxdata="UEsDBAoAAAAAAIdO4kAAAAAAAAAAAAAAAAAEAAAAZHJzL1BLAwQUAAAACACHTuJAXztkPtsAAAAN&#10;AQAADwAAAGRycy9kb3ducmV2LnhtbE2PzU7DMBCE70i8g7VIXBB1XJe0CnF64KdISBwoPXB0YpOE&#10;2usodtry9mxPcJzZT7Mz5frkHTvYMfYBFYhZBsxiE0yPrYLdx/PtClhMGo12Aa2CHxthXV1elLow&#10;4Yjv9rBNLaMQjIVW0KU0FJzHprNex1kYLNLtK4xeJ5Jjy82ojxTuHZ9nWc697pE+dHqwD51t9tvJ&#10;KwhiE56+683n9OjEPr1KfHu5kUpdX4nsHliyp/QHw7k+VYeKOtVhQhOZIy3u5IJYBflcSmBnRKxy&#10;smqyFksJvCr5/xXVL1BLAwQUAAAACACHTuJA92z8wHECAADsBAAADgAAAGRycy9lMm9Eb2MueG1s&#10;rVRLbtswEN0X6B0I7hvZjuXaRuTAtZGiQNAYSIuuaYqyBPBXkracXqZAdzlEj1P0Gn2klG+7yKIb&#10;aYYzfDPzZoZn50clyUE43xhd0OHJgBKhuSkbvSvo508Xb6aU+MB0yaTRoqA3wtPzxetXZ62di5Gp&#10;jSyFIwDRft7agtYh2HmWeV4LxfyJsULDWBmnWIDqdlnpWAt0JbPRYDDJWuNK6wwX3uN03Rlpj+he&#10;AmiqquFibfheCR06VCckCyjJ1431dJGyrSrBw1VVeRGILCgqDemLIJC38Zstzth855itG96nwF6S&#10;wrOaFGs0gt5DrVlgZO+av6BUw53xpgon3KisKyQxgiqGg2fcXNfMilQLqPb2nnT//2D5x8PGkabE&#10;JAxzSjRTaPnv77e/fv4g8QT8tNbP4XZtN67XPMRY7LFyKv5RBjkWdDo6nY5nYPamoPnpbDKdpPts&#10;Lo6BcDiMBrM8h53DYZiPxoPEf/YAZJ0P74VRJAoFdWhfYpUdLn1AcLjeucS43simvGikTIrbbVfS&#10;kQNDq8fvlqvVJGaPK0/cpCYtMsljcMIZBrjC4EBUFiR4vaOEyR02gweXYj+57V8WJCa5Zr7ukkkI&#10;fS5SI6XIaMdhlLamvEEPnOmG01t+0eD+JfNhwxymEYliX8MVPpU0yN70EiW1cd/+dR79MSSwUtJi&#10;ulHZ1z1zghL5QWN8ZsPxGLAhKeP87QiKe2zZPrbovVoZsDrEy2B5EqN/kHdi5Yz6grVexqgwMc0R&#10;u+OwV1ah2zo8DFwsl8kNK2BZuNTXlkfw2EVtlvtgqiZ1+4GdnjQsQepov7Bxyx7ryevhkVr8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F87ZD7bAAAADQEAAA8AAAAAAAAAAQAgAAAAIgAAAGRycy9k&#10;b3ducmV2LnhtbFBLAQIUABQAAAAIAIdO4kD3bPzAcQIAAOwEAAAOAAAAAAAAAAEAIAAAACoBAABk&#10;cnMvZTJvRG9jLnhtbFBLBQYAAAAABgAGAFkBAAANBgAAAAA=&#10;">
                <v:fill on="t" focussize="0,0"/>
                <v:stroke weight="2pt" color="#4BACC6 [3208]" joinstyle="round"/>
                <v:imagedata o:title=""/>
                <o:lock v:ext="edit" aspectratio="f"/>
              </v:rect>
            </w:pict>
          </mc:Fallback>
        </mc:AlternateContent>
      </w:r>
      <w:r>
        <w:drawing>
          <wp:inline distT="0" distB="0" distL="114300" distR="114300">
            <wp:extent cx="8862060" cy="4818380"/>
            <wp:effectExtent l="0" t="0" r="15240" b="1270"/>
            <wp:docPr id="11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6"/>
                    <pic:cNvPicPr>
                      <a:picLocks noChangeAspect="1"/>
                    </pic:cNvPicPr>
                  </pic:nvPicPr>
                  <pic:blipFill>
                    <a:blip r:embed="rId66"/>
                    <a:stretch>
                      <a:fillRect/>
                    </a:stretch>
                  </pic:blipFill>
                  <pic:spPr>
                    <a:xfrm>
                      <a:off x="0" y="0"/>
                      <a:ext cx="8862060" cy="4818380"/>
                    </a:xfrm>
                    <a:prstGeom prst="rect">
                      <a:avLst/>
                    </a:prstGeom>
                    <a:noFill/>
                    <a:ln>
                      <a:noFill/>
                    </a:ln>
                  </pic:spPr>
                </pic:pic>
              </a:graphicData>
            </a:graphic>
          </wp:inline>
        </w:drawing>
      </w:r>
    </w:p>
    <w:sectPr>
      <w:pgSz w:w="16838" w:h="11906" w:orient="landscape"/>
      <w:pgMar w:top="1800" w:right="1440" w:bottom="1800" w:left="1440" w:header="851" w:footer="851" w:gutter="0"/>
      <w:pgBorders>
        <w:top w:val="none" w:sz="0" w:space="0"/>
        <w:left w:val="none" w:sz="0" w:space="0"/>
        <w:bottom w:val="none" w:sz="0" w:space="0"/>
        <w:right w:val="none" w:sz="0" w:space="0"/>
      </w:pgBorders>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85BF0CE-7A79-46C3-AA4C-34E5A9AADD6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8A6D2EC0-6CDA-4C84-93F6-88F38326CBC6}"/>
  </w:font>
  <w:font w:name="方正小标宋_GBK">
    <w:panose1 w:val="02000000000000000000"/>
    <w:charset w:val="86"/>
    <w:family w:val="script"/>
    <w:pitch w:val="default"/>
    <w:sig w:usb0="00000001" w:usb1="080E0000" w:usb2="00000000" w:usb3="00000000" w:csb0="00040000" w:csb1="00000000"/>
    <w:embedRegular r:id="rId3" w:fontKey="{86E25251-FE7B-4C7A-865E-C88E20278374}"/>
  </w:font>
  <w:font w:name="楷体_GB2312">
    <w:panose1 w:val="02010609030101010101"/>
    <w:charset w:val="86"/>
    <w:family w:val="modern"/>
    <w:pitch w:val="default"/>
    <w:sig w:usb0="00000001" w:usb1="080E0000" w:usb2="00000000" w:usb3="00000000" w:csb0="00040000" w:csb1="00000000"/>
    <w:embedRegular r:id="rId4" w:fontKey="{EDBD977C-51ED-48EE-8F63-4BA70266779C}"/>
  </w:font>
  <w:font w:name="华文仿宋">
    <w:panose1 w:val="02010600040101010101"/>
    <w:charset w:val="86"/>
    <w:family w:val="auto"/>
    <w:pitch w:val="default"/>
    <w:sig w:usb0="00000287" w:usb1="080F0000" w:usb2="00000000" w:usb3="00000000" w:csb0="0004009F" w:csb1="DFD70000"/>
    <w:embedRegular r:id="rId5" w:fontKey="{DEA2FA5B-0269-4A70-AD60-316CF1E93A3F}"/>
  </w:font>
  <w:font w:name="仿宋">
    <w:panose1 w:val="02010609060101010101"/>
    <w:charset w:val="86"/>
    <w:family w:val="modern"/>
    <w:pitch w:val="default"/>
    <w:sig w:usb0="800002BF" w:usb1="38CF7CFA" w:usb2="00000016" w:usb3="00000000" w:csb0="00040001" w:csb1="00000000"/>
    <w:embedRegular r:id="rId6" w:fontKey="{E80C75F2-D326-4743-98D4-C9B8907E142B}"/>
  </w:font>
  <w:font w:name="Wingdings 2">
    <w:panose1 w:val="05020102010507070707"/>
    <w:charset w:val="02"/>
    <w:family w:val="roman"/>
    <w:pitch w:val="default"/>
    <w:sig w:usb0="00000000" w:usb1="00000000" w:usb2="00000000" w:usb3="00000000" w:csb0="80000000" w:csb1="00000000"/>
    <w:embedRegular r:id="rId7" w:fontKey="{869E6A6F-6A83-40DD-9616-174EF33A29D2}"/>
  </w:font>
  <w:font w:name="Cambria Math">
    <w:panose1 w:val="02040503050406030204"/>
    <w:charset w:val="00"/>
    <w:family w:val="auto"/>
    <w:pitch w:val="default"/>
    <w:sig w:usb0="E00006FF" w:usb1="420024FF" w:usb2="02000000" w:usb3="00000000" w:csb0="2000019F" w:csb1="00000000"/>
    <w:embedRegular r:id="rId8" w:fontKey="{4ED0523C-F14A-4FA8-A1EF-7330AD261371}"/>
  </w:font>
  <w:font w:name="WPSEMBED2">
    <w:panose1 w:val="02010609030101010101"/>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7294F">
    <w:pPr>
      <w:pStyle w:val="1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920AA">
    <w:pPr>
      <w:pStyle w:val="10"/>
      <w:framePr w:wrap="around" w:vAnchor="text" w:hAnchor="margin" w:xAlign="center" w:y="1"/>
      <w:rPr>
        <w:rStyle w:val="20"/>
      </w:rPr>
    </w:pPr>
    <w:r>
      <w:fldChar w:fldCharType="begin"/>
    </w:r>
    <w:r>
      <w:rPr>
        <w:rStyle w:val="20"/>
      </w:rPr>
      <w:instrText xml:space="preserve">PAGE  </w:instrText>
    </w:r>
    <w:r>
      <w:fldChar w:fldCharType="end"/>
    </w:r>
  </w:p>
  <w:p w14:paraId="130FF619">
    <w:pPr>
      <w:pStyle w:val="1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5F437">
    <w:pPr>
      <w:pStyle w:val="10"/>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CF0BB">
    <w:pPr>
      <w:pStyle w:val="10"/>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F2E9A">
    <w:pPr>
      <w:pStyle w:val="10"/>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6B755">
    <w:pPr>
      <w:pStyle w:val="10"/>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7D4FC">
    <w:pPr>
      <w:pStyle w:val="11"/>
      <w:pBdr>
        <w:top w:val="none" w:color="auto" w:sz="0" w:space="0"/>
        <w:left w:val="none" w:color="auto" w:sz="0" w:space="0"/>
        <w:bottom w:val="none" w:color="auto" w:sz="0" w:space="1"/>
        <w:right w:val="none" w:color="auto" w:sz="0" w:space="0"/>
        <w:between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869F6">
    <w:pPr>
      <w:pStyle w:val="11"/>
      <w:keepNext w:val="0"/>
      <w:keepLines w:val="0"/>
      <w:pageBreakBefore w:val="0"/>
      <w:widowControl w:val="0"/>
      <w:pBdr>
        <w:top w:val="none" w:color="auto" w:sz="0" w:space="1"/>
        <w:left w:val="none" w:color="auto" w:sz="0" w:space="4"/>
        <w:bottom w:val="thinThickSmallGap" w:color="auto" w:sz="12" w:space="1"/>
        <w:right w:val="none" w:color="auto" w:sz="0" w:space="4"/>
        <w:between w:val="none" w:color="auto" w:sz="0" w:space="0"/>
      </w:pBdr>
      <w:kinsoku/>
      <w:wordWrap/>
      <w:overflowPunct/>
      <w:topLinePunct w:val="0"/>
      <w:bidi w:val="0"/>
      <w:adjustRightInd/>
      <w:snapToGrid w:val="0"/>
      <w:spacing w:line="240" w:lineRule="auto"/>
      <w:ind w:left="0" w:leftChars="0" w:firstLine="0" w:firstLineChars="0"/>
      <w:jc w:val="both"/>
      <w:textAlignment w:val="auto"/>
    </w:pPr>
    <w:r>
      <w:rPr>
        <w:rFonts w:hint="eastAsia"/>
        <w:lang w:val="en-US" w:eastAsia="zh-CN"/>
      </w:rPr>
      <w:t>蒙苏经济开发区零碳产业园鄂苏市政拌合站项目</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E70EF">
    <w:pPr>
      <w:pStyle w:val="11"/>
      <w:keepNext w:val="0"/>
      <w:keepLines w:val="0"/>
      <w:pageBreakBefore w:val="0"/>
      <w:widowControl w:val="0"/>
      <w:pBdr>
        <w:top w:val="none" w:color="auto" w:sz="0" w:space="1"/>
        <w:left w:val="none" w:color="auto" w:sz="0" w:space="4"/>
        <w:bottom w:val="thinThickSmallGap" w:color="auto" w:sz="12" w:space="1"/>
        <w:right w:val="none" w:color="auto" w:sz="0" w:space="4"/>
        <w:between w:val="none" w:color="auto" w:sz="0" w:space="0"/>
      </w:pBdr>
      <w:kinsoku/>
      <w:wordWrap/>
      <w:overflowPunct/>
      <w:topLinePunct w:val="0"/>
      <w:bidi w:val="0"/>
      <w:adjustRightInd/>
      <w:snapToGrid w:val="0"/>
      <w:spacing w:line="240" w:lineRule="auto"/>
      <w:ind w:left="0" w:leftChars="0" w:firstLine="0" w:firstLineChars="0"/>
      <w:jc w:val="both"/>
      <w:textAlignment w:val="auto"/>
    </w:pPr>
    <w:r>
      <w:rPr>
        <w:rFonts w:hint="eastAsia"/>
        <w:lang w:val="en-US" w:eastAsia="zh-CN"/>
      </w:rPr>
      <w:t>蒙苏经济开发区零碳产业园鄂苏市政拌合站项目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947"/>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306BD"/>
    <w:rsid w:val="00831A80"/>
    <w:rsid w:val="00833743"/>
    <w:rsid w:val="008340A4"/>
    <w:rsid w:val="0087135F"/>
    <w:rsid w:val="00872D9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2696"/>
    <w:rsid w:val="00C763C9"/>
    <w:rsid w:val="00C80057"/>
    <w:rsid w:val="00C82232"/>
    <w:rsid w:val="00C82913"/>
    <w:rsid w:val="00C972B1"/>
    <w:rsid w:val="00CA2CCE"/>
    <w:rsid w:val="00CA43FD"/>
    <w:rsid w:val="00CA7EF8"/>
    <w:rsid w:val="00CC489B"/>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22985"/>
    <w:rsid w:val="00F3383E"/>
    <w:rsid w:val="00F465A7"/>
    <w:rsid w:val="00F50B7C"/>
    <w:rsid w:val="00F550E6"/>
    <w:rsid w:val="00F74345"/>
    <w:rsid w:val="00F80A0A"/>
    <w:rsid w:val="00F82B19"/>
    <w:rsid w:val="00F9212D"/>
    <w:rsid w:val="00F965DA"/>
    <w:rsid w:val="00FA406A"/>
    <w:rsid w:val="00FB503A"/>
    <w:rsid w:val="00FB516C"/>
    <w:rsid w:val="00FD0236"/>
    <w:rsid w:val="00FD18F4"/>
    <w:rsid w:val="00FD54DB"/>
    <w:rsid w:val="00FD619F"/>
    <w:rsid w:val="01290F7E"/>
    <w:rsid w:val="01582B46"/>
    <w:rsid w:val="015D1E09"/>
    <w:rsid w:val="02697903"/>
    <w:rsid w:val="02F96569"/>
    <w:rsid w:val="03EA7B21"/>
    <w:rsid w:val="05F83EAE"/>
    <w:rsid w:val="063E7D85"/>
    <w:rsid w:val="066F120A"/>
    <w:rsid w:val="07293586"/>
    <w:rsid w:val="07295285"/>
    <w:rsid w:val="07636392"/>
    <w:rsid w:val="07770C56"/>
    <w:rsid w:val="087B4221"/>
    <w:rsid w:val="092217DD"/>
    <w:rsid w:val="093A7294"/>
    <w:rsid w:val="0A263993"/>
    <w:rsid w:val="0A2D3AC2"/>
    <w:rsid w:val="0AA755DF"/>
    <w:rsid w:val="0B120D44"/>
    <w:rsid w:val="0B1A6AC6"/>
    <w:rsid w:val="0BD27BF6"/>
    <w:rsid w:val="0C3B3C7D"/>
    <w:rsid w:val="0CAB2EAE"/>
    <w:rsid w:val="0D621C7D"/>
    <w:rsid w:val="0DAB7A54"/>
    <w:rsid w:val="0E73034D"/>
    <w:rsid w:val="0F13775A"/>
    <w:rsid w:val="0F5F45FE"/>
    <w:rsid w:val="0F9A112B"/>
    <w:rsid w:val="10517711"/>
    <w:rsid w:val="106D2F64"/>
    <w:rsid w:val="10B63710"/>
    <w:rsid w:val="10F10820"/>
    <w:rsid w:val="111C2F7A"/>
    <w:rsid w:val="11665CA1"/>
    <w:rsid w:val="127F7563"/>
    <w:rsid w:val="13951726"/>
    <w:rsid w:val="14396509"/>
    <w:rsid w:val="14B94376"/>
    <w:rsid w:val="14DD2C3C"/>
    <w:rsid w:val="156A35F2"/>
    <w:rsid w:val="16087E1D"/>
    <w:rsid w:val="17701D14"/>
    <w:rsid w:val="17735226"/>
    <w:rsid w:val="189F624C"/>
    <w:rsid w:val="1A1C66C0"/>
    <w:rsid w:val="1A42393B"/>
    <w:rsid w:val="1AAD45DE"/>
    <w:rsid w:val="1B046F80"/>
    <w:rsid w:val="1B3267B5"/>
    <w:rsid w:val="1B40161D"/>
    <w:rsid w:val="1B441859"/>
    <w:rsid w:val="1B6606B1"/>
    <w:rsid w:val="1C5E7925"/>
    <w:rsid w:val="1C6E5776"/>
    <w:rsid w:val="1CFD070F"/>
    <w:rsid w:val="1D5F6196"/>
    <w:rsid w:val="1D6132A5"/>
    <w:rsid w:val="1D8E56D5"/>
    <w:rsid w:val="1E7A43DA"/>
    <w:rsid w:val="1FE7539E"/>
    <w:rsid w:val="20671BE0"/>
    <w:rsid w:val="20963CB8"/>
    <w:rsid w:val="20A81A1B"/>
    <w:rsid w:val="20B07FB6"/>
    <w:rsid w:val="20B646FB"/>
    <w:rsid w:val="213B74B1"/>
    <w:rsid w:val="215A2310"/>
    <w:rsid w:val="21DE318A"/>
    <w:rsid w:val="21EF5B80"/>
    <w:rsid w:val="22576990"/>
    <w:rsid w:val="22F47480"/>
    <w:rsid w:val="23DE1C48"/>
    <w:rsid w:val="24000973"/>
    <w:rsid w:val="240210CD"/>
    <w:rsid w:val="24BF09F7"/>
    <w:rsid w:val="252D53FE"/>
    <w:rsid w:val="25EC2D81"/>
    <w:rsid w:val="277057A2"/>
    <w:rsid w:val="28357CA9"/>
    <w:rsid w:val="29206EB8"/>
    <w:rsid w:val="29595666"/>
    <w:rsid w:val="29874881"/>
    <w:rsid w:val="29E325E0"/>
    <w:rsid w:val="2A390483"/>
    <w:rsid w:val="2A452503"/>
    <w:rsid w:val="2BA936A8"/>
    <w:rsid w:val="2BAB5AE3"/>
    <w:rsid w:val="2C315A5A"/>
    <w:rsid w:val="2C4B1C25"/>
    <w:rsid w:val="2C8D3800"/>
    <w:rsid w:val="2D9E56F5"/>
    <w:rsid w:val="2E3415EE"/>
    <w:rsid w:val="2E667F96"/>
    <w:rsid w:val="2E8226AB"/>
    <w:rsid w:val="2ECF7665"/>
    <w:rsid w:val="2FD065E6"/>
    <w:rsid w:val="2FD96870"/>
    <w:rsid w:val="30580BC9"/>
    <w:rsid w:val="311E2ED7"/>
    <w:rsid w:val="315619EE"/>
    <w:rsid w:val="315C449C"/>
    <w:rsid w:val="31794E58"/>
    <w:rsid w:val="31B82709"/>
    <w:rsid w:val="31D05482"/>
    <w:rsid w:val="31FA230E"/>
    <w:rsid w:val="32400B34"/>
    <w:rsid w:val="329E6876"/>
    <w:rsid w:val="333015F2"/>
    <w:rsid w:val="334B6320"/>
    <w:rsid w:val="33D934D4"/>
    <w:rsid w:val="33FE2F6A"/>
    <w:rsid w:val="340E07E5"/>
    <w:rsid w:val="34235BF7"/>
    <w:rsid w:val="358C5FA8"/>
    <w:rsid w:val="35C15DF1"/>
    <w:rsid w:val="36074A7F"/>
    <w:rsid w:val="36317AE8"/>
    <w:rsid w:val="36923549"/>
    <w:rsid w:val="36B75FBF"/>
    <w:rsid w:val="36BD0C45"/>
    <w:rsid w:val="37E00298"/>
    <w:rsid w:val="38B302F9"/>
    <w:rsid w:val="38F12CD3"/>
    <w:rsid w:val="38F94775"/>
    <w:rsid w:val="392971ED"/>
    <w:rsid w:val="39325651"/>
    <w:rsid w:val="3A872856"/>
    <w:rsid w:val="3B3360B0"/>
    <w:rsid w:val="3B3763D1"/>
    <w:rsid w:val="3BC07235"/>
    <w:rsid w:val="3C2F6E1E"/>
    <w:rsid w:val="3C3E5CA8"/>
    <w:rsid w:val="3C4F64BA"/>
    <w:rsid w:val="3CDA245A"/>
    <w:rsid w:val="3D1E06B7"/>
    <w:rsid w:val="3D947997"/>
    <w:rsid w:val="3ED56575"/>
    <w:rsid w:val="3EDA0523"/>
    <w:rsid w:val="407A6407"/>
    <w:rsid w:val="4200449D"/>
    <w:rsid w:val="423A3BCC"/>
    <w:rsid w:val="424E57D2"/>
    <w:rsid w:val="42B26C49"/>
    <w:rsid w:val="433A6FE6"/>
    <w:rsid w:val="43480868"/>
    <w:rsid w:val="4350713C"/>
    <w:rsid w:val="436653E0"/>
    <w:rsid w:val="43C4431A"/>
    <w:rsid w:val="44B951CC"/>
    <w:rsid w:val="44CD14E0"/>
    <w:rsid w:val="44F20B0B"/>
    <w:rsid w:val="452E5F4C"/>
    <w:rsid w:val="45612018"/>
    <w:rsid w:val="458946E9"/>
    <w:rsid w:val="45A47C0E"/>
    <w:rsid w:val="46577FD6"/>
    <w:rsid w:val="46D955A7"/>
    <w:rsid w:val="47133957"/>
    <w:rsid w:val="47A07E0C"/>
    <w:rsid w:val="4870272E"/>
    <w:rsid w:val="49DC7715"/>
    <w:rsid w:val="4A023139"/>
    <w:rsid w:val="4A7B576F"/>
    <w:rsid w:val="4AF561A9"/>
    <w:rsid w:val="4C4A0649"/>
    <w:rsid w:val="4C7E5ECA"/>
    <w:rsid w:val="4C876AA5"/>
    <w:rsid w:val="4D0E00FB"/>
    <w:rsid w:val="4D176606"/>
    <w:rsid w:val="4DEC4FB0"/>
    <w:rsid w:val="4E075D8A"/>
    <w:rsid w:val="4EC00FAD"/>
    <w:rsid w:val="4F9843DC"/>
    <w:rsid w:val="4FC62A8C"/>
    <w:rsid w:val="4FE20F0D"/>
    <w:rsid w:val="4FE51552"/>
    <w:rsid w:val="50504C4B"/>
    <w:rsid w:val="508A1E77"/>
    <w:rsid w:val="509C6E7C"/>
    <w:rsid w:val="5162104E"/>
    <w:rsid w:val="53A039CC"/>
    <w:rsid w:val="53A1505A"/>
    <w:rsid w:val="54063E08"/>
    <w:rsid w:val="543437E8"/>
    <w:rsid w:val="54F73313"/>
    <w:rsid w:val="54F80955"/>
    <w:rsid w:val="555170A7"/>
    <w:rsid w:val="5587536D"/>
    <w:rsid w:val="559B174B"/>
    <w:rsid w:val="55CE0CF4"/>
    <w:rsid w:val="56B22A9C"/>
    <w:rsid w:val="571038A5"/>
    <w:rsid w:val="579E5971"/>
    <w:rsid w:val="57B72A76"/>
    <w:rsid w:val="57C3426C"/>
    <w:rsid w:val="57CE1F93"/>
    <w:rsid w:val="588743D1"/>
    <w:rsid w:val="5887701A"/>
    <w:rsid w:val="59AE001B"/>
    <w:rsid w:val="59C0439F"/>
    <w:rsid w:val="5ABE2233"/>
    <w:rsid w:val="5BDF5D95"/>
    <w:rsid w:val="5BFE7528"/>
    <w:rsid w:val="5E2467F1"/>
    <w:rsid w:val="5F1A2B43"/>
    <w:rsid w:val="5F5F4E16"/>
    <w:rsid w:val="5FA32C02"/>
    <w:rsid w:val="5FB837BB"/>
    <w:rsid w:val="60CC405A"/>
    <w:rsid w:val="61E215D8"/>
    <w:rsid w:val="621B3775"/>
    <w:rsid w:val="62364782"/>
    <w:rsid w:val="6394356A"/>
    <w:rsid w:val="63C61B2C"/>
    <w:rsid w:val="63D40BE9"/>
    <w:rsid w:val="64102431"/>
    <w:rsid w:val="64A5243A"/>
    <w:rsid w:val="64F531DE"/>
    <w:rsid w:val="65373578"/>
    <w:rsid w:val="671F124A"/>
    <w:rsid w:val="677A33C6"/>
    <w:rsid w:val="681F6961"/>
    <w:rsid w:val="686065CC"/>
    <w:rsid w:val="68610A2F"/>
    <w:rsid w:val="68805514"/>
    <w:rsid w:val="69316E2F"/>
    <w:rsid w:val="694E2071"/>
    <w:rsid w:val="69766163"/>
    <w:rsid w:val="697A3B33"/>
    <w:rsid w:val="69D44760"/>
    <w:rsid w:val="6A520EC7"/>
    <w:rsid w:val="6A7969C0"/>
    <w:rsid w:val="6AF87E20"/>
    <w:rsid w:val="6B322639"/>
    <w:rsid w:val="6C636C38"/>
    <w:rsid w:val="6DB34098"/>
    <w:rsid w:val="6DB545B6"/>
    <w:rsid w:val="6DE02FB4"/>
    <w:rsid w:val="6E514CED"/>
    <w:rsid w:val="6EB563D5"/>
    <w:rsid w:val="6ED92677"/>
    <w:rsid w:val="6F225983"/>
    <w:rsid w:val="6FFC5590"/>
    <w:rsid w:val="706D1DD0"/>
    <w:rsid w:val="70856B87"/>
    <w:rsid w:val="70D527EE"/>
    <w:rsid w:val="715B5300"/>
    <w:rsid w:val="71D27F8A"/>
    <w:rsid w:val="72255306"/>
    <w:rsid w:val="72553024"/>
    <w:rsid w:val="72A44BC2"/>
    <w:rsid w:val="73122968"/>
    <w:rsid w:val="731F5D5E"/>
    <w:rsid w:val="73C51AD5"/>
    <w:rsid w:val="740067D2"/>
    <w:rsid w:val="741E793C"/>
    <w:rsid w:val="745E3944"/>
    <w:rsid w:val="755415DF"/>
    <w:rsid w:val="7635099D"/>
    <w:rsid w:val="77762421"/>
    <w:rsid w:val="77B56B1F"/>
    <w:rsid w:val="780F09F4"/>
    <w:rsid w:val="78A90480"/>
    <w:rsid w:val="7A364017"/>
    <w:rsid w:val="7A6106E4"/>
    <w:rsid w:val="7A8265E1"/>
    <w:rsid w:val="7B686D42"/>
    <w:rsid w:val="7B841746"/>
    <w:rsid w:val="7C34212B"/>
    <w:rsid w:val="7C6C5AC7"/>
    <w:rsid w:val="7CC6544B"/>
    <w:rsid w:val="7D0239FF"/>
    <w:rsid w:val="7D5E40CD"/>
    <w:rsid w:val="7DCD56F2"/>
    <w:rsid w:val="7F001CE7"/>
    <w:rsid w:val="7F0602A6"/>
    <w:rsid w:val="7FE47E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unhideWhenUsed="0" w:uiPriority="0" w:semiHidden="0" w:name="Body Text Indent 2" w:locked="1"/>
    <w:lsdException w:qFormat="1" w:unhideWhenUsed="0" w:uiPriority="0" w:semiHidden="0" w:name="Body Text Indent 3" w:locked="1"/>
    <w:lsdException w:unhideWhenUsed="0" w:uiPriority="0" w:semiHidden="0" w:name="Block Text" w:locked="1"/>
    <w:lsdException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72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locked/>
    <w:uiPriority w:val="99"/>
    <w:pPr>
      <w:keepNext/>
      <w:overflowPunct w:val="0"/>
      <w:snapToGrid w:val="0"/>
      <w:spacing w:line="360" w:lineRule="auto"/>
      <w:ind w:left="0" w:firstLine="0" w:firstLineChars="0"/>
      <w:outlineLvl w:val="0"/>
    </w:pPr>
    <w:rPr>
      <w:rFonts w:eastAsia="黑体"/>
      <w:b/>
      <w:bCs/>
      <w:color w:val="000000"/>
      <w:kern w:val="44"/>
      <w:szCs w:val="30"/>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3">
    <w:name w:val="Normal Indent"/>
    <w:basedOn w:val="1"/>
    <w:next w:val="4"/>
    <w:unhideWhenUsed/>
    <w:qFormat/>
    <w:locked/>
    <w:uiPriority w:val="0"/>
    <w:pPr>
      <w:spacing w:beforeLines="0" w:afterLines="0"/>
      <w:ind w:firstLine="602"/>
    </w:pPr>
    <w:rPr>
      <w:rFonts w:hint="default" w:ascii="Calibri" w:hAnsi="Calibri" w:eastAsia="宋体"/>
      <w:b/>
      <w:sz w:val="24"/>
      <w:szCs w:val="20"/>
    </w:rPr>
  </w:style>
  <w:style w:type="paragraph" w:styleId="4">
    <w:name w:val="Body Text First Indent 2"/>
    <w:basedOn w:val="5"/>
    <w:next w:val="1"/>
    <w:unhideWhenUsed/>
    <w:qFormat/>
    <w:locked/>
    <w:uiPriority w:val="0"/>
    <w:pPr>
      <w:tabs>
        <w:tab w:val="left" w:pos="0"/>
      </w:tabs>
      <w:spacing w:beforeLines="0" w:afterLines="0" w:line="240" w:lineRule="auto"/>
      <w:ind w:firstLine="420"/>
    </w:pPr>
    <w:rPr>
      <w:rFonts w:hint="eastAsia"/>
      <w:sz w:val="21"/>
      <w:szCs w:val="20"/>
    </w:rPr>
  </w:style>
  <w:style w:type="paragraph" w:styleId="5">
    <w:name w:val="Body Text Indent"/>
    <w:basedOn w:val="1"/>
    <w:next w:val="1"/>
    <w:link w:val="40"/>
    <w:qFormat/>
    <w:uiPriority w:val="0"/>
    <w:pPr>
      <w:spacing w:after="120"/>
      <w:ind w:left="420" w:leftChars="200"/>
    </w:pPr>
    <w:rPr>
      <w:kern w:val="0"/>
      <w:sz w:val="24"/>
      <w:szCs w:val="20"/>
    </w:rPr>
  </w:style>
  <w:style w:type="paragraph" w:styleId="6">
    <w:name w:val="annotation text"/>
    <w:basedOn w:val="1"/>
    <w:link w:val="32"/>
    <w:semiHidden/>
    <w:qFormat/>
    <w:uiPriority w:val="0"/>
    <w:pPr>
      <w:jc w:val="left"/>
    </w:pPr>
    <w:rPr>
      <w:kern w:val="0"/>
      <w:sz w:val="24"/>
      <w:szCs w:val="20"/>
    </w:rPr>
  </w:style>
  <w:style w:type="paragraph" w:styleId="7">
    <w:name w:val="Body Text"/>
    <w:basedOn w:val="1"/>
    <w:link w:val="31"/>
    <w:qFormat/>
    <w:uiPriority w:val="0"/>
    <w:pPr>
      <w:widowControl/>
      <w:snapToGrid w:val="0"/>
      <w:spacing w:before="60" w:after="160" w:line="259" w:lineRule="auto"/>
      <w:ind w:right="113"/>
    </w:pPr>
    <w:rPr>
      <w:kern w:val="0"/>
      <w:sz w:val="18"/>
      <w:szCs w:val="20"/>
    </w:rPr>
  </w:style>
  <w:style w:type="paragraph" w:styleId="8">
    <w:name w:val="Date"/>
    <w:basedOn w:val="1"/>
    <w:next w:val="1"/>
    <w:link w:val="27"/>
    <w:qFormat/>
    <w:uiPriority w:val="0"/>
    <w:pPr>
      <w:ind w:left="100" w:leftChars="2500"/>
    </w:pPr>
    <w:rPr>
      <w:kern w:val="0"/>
      <w:sz w:val="24"/>
      <w:szCs w:val="20"/>
    </w:rPr>
  </w:style>
  <w:style w:type="paragraph" w:styleId="9">
    <w:name w:val="Balloon Text"/>
    <w:basedOn w:val="1"/>
    <w:link w:val="36"/>
    <w:semiHidden/>
    <w:qFormat/>
    <w:uiPriority w:val="0"/>
    <w:rPr>
      <w:kern w:val="0"/>
      <w:sz w:val="18"/>
      <w:szCs w:val="20"/>
    </w:rPr>
  </w:style>
  <w:style w:type="paragraph" w:styleId="10">
    <w:name w:val="footer"/>
    <w:basedOn w:val="1"/>
    <w:link w:val="26"/>
    <w:qFormat/>
    <w:uiPriority w:val="99"/>
    <w:pPr>
      <w:tabs>
        <w:tab w:val="center" w:pos="4153"/>
        <w:tab w:val="right" w:pos="8306"/>
      </w:tabs>
      <w:snapToGrid w:val="0"/>
      <w:jc w:val="left"/>
    </w:pPr>
    <w:rPr>
      <w:kern w:val="0"/>
      <w:sz w:val="18"/>
      <w:szCs w:val="20"/>
    </w:rPr>
  </w:style>
  <w:style w:type="paragraph" w:styleId="11">
    <w:name w:val="header"/>
    <w:basedOn w:val="1"/>
    <w:link w:val="38"/>
    <w:qFormat/>
    <w:uiPriority w:val="0"/>
    <w:pPr>
      <w:pBdr>
        <w:bottom w:val="single" w:color="auto" w:sz="6" w:space="1"/>
      </w:pBdr>
      <w:tabs>
        <w:tab w:val="center" w:pos="4153"/>
        <w:tab w:val="right" w:pos="8306"/>
      </w:tabs>
      <w:snapToGrid w:val="0"/>
      <w:jc w:val="center"/>
    </w:pPr>
    <w:rPr>
      <w:kern w:val="0"/>
      <w:sz w:val="18"/>
      <w:szCs w:val="20"/>
    </w:rPr>
  </w:style>
  <w:style w:type="paragraph" w:styleId="12">
    <w:name w:val="Body Text Indent 3"/>
    <w:basedOn w:val="1"/>
    <w:qFormat/>
    <w:locked/>
    <w:uiPriority w:val="0"/>
    <w:pPr>
      <w:ind w:firstLine="570"/>
    </w:pPr>
    <w:rPr>
      <w:sz w:val="24"/>
    </w:rPr>
  </w:style>
  <w:style w:type="paragraph" w:styleId="13">
    <w:name w:val="Normal (Web)"/>
    <w:basedOn w:val="1"/>
    <w:link w:val="29"/>
    <w:qFormat/>
    <w:uiPriority w:val="0"/>
    <w:pPr>
      <w:widowControl/>
      <w:spacing w:before="100" w:beforeAutospacing="1" w:after="100" w:afterAutospacing="1"/>
      <w:jc w:val="left"/>
    </w:pPr>
    <w:rPr>
      <w:rFonts w:ascii="宋体" w:hAnsi="宋体"/>
      <w:kern w:val="0"/>
      <w:sz w:val="24"/>
      <w:szCs w:val="20"/>
    </w:rPr>
  </w:style>
  <w:style w:type="paragraph" w:styleId="14">
    <w:name w:val="Title"/>
    <w:basedOn w:val="1"/>
    <w:next w:val="1"/>
    <w:qFormat/>
    <w:locked/>
    <w:uiPriority w:val="0"/>
    <w:pPr>
      <w:spacing w:line="360" w:lineRule="auto"/>
      <w:jc w:val="center"/>
      <w:outlineLvl w:val="0"/>
    </w:pPr>
    <w:rPr>
      <w:rFonts w:ascii="Cambria" w:hAnsi="Cambria" w:eastAsia="黑体" w:cs="Times New Roman"/>
      <w:sz w:val="36"/>
    </w:rPr>
  </w:style>
  <w:style w:type="paragraph" w:styleId="15">
    <w:name w:val="annotation subject"/>
    <w:basedOn w:val="6"/>
    <w:next w:val="6"/>
    <w:link w:val="37"/>
    <w:semiHidden/>
    <w:qFormat/>
    <w:uiPriority w:val="0"/>
    <w:rPr>
      <w:b/>
      <w:sz w:val="24"/>
      <w:szCs w:val="20"/>
    </w:rPr>
  </w:style>
  <w:style w:type="paragraph" w:styleId="16">
    <w:name w:val="Body Text First Indent"/>
    <w:basedOn w:val="1"/>
    <w:next w:val="1"/>
    <w:qFormat/>
    <w:locked/>
    <w:uiPriority w:val="0"/>
    <w:pPr>
      <w:ind w:firstLine="420" w:firstLineChars="100"/>
    </w:pPr>
  </w:style>
  <w:style w:type="table" w:styleId="18">
    <w:name w:val="Table Grid"/>
    <w:basedOn w:val="17"/>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qFormat/>
    <w:locked/>
    <w:uiPriority w:val="0"/>
  </w:style>
  <w:style w:type="character" w:styleId="21">
    <w:name w:val="Emphasis"/>
    <w:basedOn w:val="19"/>
    <w:qFormat/>
    <w:locked/>
    <w:uiPriority w:val="0"/>
    <w:rPr>
      <w:i/>
    </w:rPr>
  </w:style>
  <w:style w:type="character" w:styleId="22">
    <w:name w:val="annotation reference"/>
    <w:semiHidden/>
    <w:qFormat/>
    <w:uiPriority w:val="0"/>
    <w:rPr>
      <w:sz w:val="21"/>
    </w:rPr>
  </w:style>
  <w:style w:type="paragraph" w:customStyle="1" w:styleId="23">
    <w:name w:val="样式 样式 样式 四号 左侧:  1.53 厘米 + 首行缩进:  2 字符 + 居中 左侧:  2 字符 首行缩进:  2..."/>
    <w:basedOn w:val="24"/>
    <w:qFormat/>
    <w:uiPriority w:val="0"/>
    <w:pPr>
      <w:jc w:val="center"/>
    </w:pPr>
  </w:style>
  <w:style w:type="paragraph" w:customStyle="1" w:styleId="24">
    <w:name w:val="样式 样式 四号 左侧:  1.53 厘米 + 首行缩进:  2 字符"/>
    <w:basedOn w:val="25"/>
    <w:qFormat/>
    <w:uiPriority w:val="0"/>
    <w:pPr>
      <w:ind w:left="200" w:leftChars="200"/>
    </w:pPr>
    <w:rPr>
      <w:szCs w:val="20"/>
    </w:rPr>
  </w:style>
  <w:style w:type="paragraph" w:customStyle="1" w:styleId="25">
    <w:name w:val="样式 四号 左侧:  1.53 厘米"/>
    <w:basedOn w:val="1"/>
    <w:qFormat/>
    <w:uiPriority w:val="0"/>
    <w:pPr>
      <w:adjustRightInd w:val="0"/>
    </w:pPr>
    <w:rPr>
      <w:w w:val="90"/>
      <w:sz w:val="28"/>
      <w:szCs w:val="28"/>
    </w:rPr>
  </w:style>
  <w:style w:type="character" w:customStyle="1" w:styleId="26">
    <w:name w:val="页脚 Char"/>
    <w:link w:val="10"/>
    <w:qFormat/>
    <w:locked/>
    <w:uiPriority w:val="99"/>
    <w:rPr>
      <w:sz w:val="18"/>
    </w:rPr>
  </w:style>
  <w:style w:type="character" w:customStyle="1" w:styleId="27">
    <w:name w:val="日期 Char"/>
    <w:link w:val="8"/>
    <w:qFormat/>
    <w:locked/>
    <w:uiPriority w:val="0"/>
    <w:rPr>
      <w:rFonts w:ascii="Times New Roman" w:hAnsi="Times New Roman" w:eastAsia="宋体"/>
      <w:sz w:val="24"/>
    </w:rPr>
  </w:style>
  <w:style w:type="character" w:customStyle="1" w:styleId="28">
    <w:name w:val="页脚 字符"/>
    <w:basedOn w:val="19"/>
    <w:qFormat/>
    <w:uiPriority w:val="99"/>
  </w:style>
  <w:style w:type="character" w:customStyle="1" w:styleId="29">
    <w:name w:val="普通(网站) Char"/>
    <w:link w:val="13"/>
    <w:qFormat/>
    <w:locked/>
    <w:uiPriority w:val="0"/>
    <w:rPr>
      <w:rFonts w:ascii="宋体" w:hAnsi="宋体" w:eastAsia="宋体"/>
      <w:sz w:val="24"/>
    </w:rPr>
  </w:style>
  <w:style w:type="character" w:customStyle="1" w:styleId="30">
    <w:name w:val="正文文本 字符1"/>
    <w:semiHidden/>
    <w:qFormat/>
    <w:uiPriority w:val="0"/>
    <w:rPr>
      <w:rFonts w:ascii="Times New Roman" w:hAnsi="Times New Roman" w:eastAsia="宋体"/>
      <w:sz w:val="24"/>
    </w:rPr>
  </w:style>
  <w:style w:type="character" w:customStyle="1" w:styleId="31">
    <w:name w:val="正文文本 Char"/>
    <w:link w:val="7"/>
    <w:qFormat/>
    <w:locked/>
    <w:uiPriority w:val="0"/>
    <w:rPr>
      <w:sz w:val="18"/>
    </w:rPr>
  </w:style>
  <w:style w:type="character" w:customStyle="1" w:styleId="32">
    <w:name w:val="批注文字 Char"/>
    <w:link w:val="6"/>
    <w:qFormat/>
    <w:locked/>
    <w:uiPriority w:val="0"/>
    <w:rPr>
      <w:rFonts w:ascii="Times New Roman" w:hAnsi="Times New Roman" w:eastAsia="宋体"/>
      <w:sz w:val="24"/>
    </w:rPr>
  </w:style>
  <w:style w:type="character" w:customStyle="1" w:styleId="33">
    <w:name w:val="表格 Char"/>
    <w:link w:val="34"/>
    <w:qFormat/>
    <w:locked/>
    <w:uiPriority w:val="0"/>
    <w:rPr>
      <w:rFonts w:ascii="宋体"/>
      <w:sz w:val="21"/>
    </w:rPr>
  </w:style>
  <w:style w:type="paragraph" w:customStyle="1" w:styleId="34">
    <w:name w:val="表格"/>
    <w:basedOn w:val="1"/>
    <w:next w:val="1"/>
    <w:link w:val="33"/>
    <w:qFormat/>
    <w:uiPriority w:val="0"/>
    <w:pPr>
      <w:adjustRightInd w:val="0"/>
      <w:snapToGrid w:val="0"/>
      <w:spacing w:beforeLines="10" w:afterLines="10" w:line="259" w:lineRule="auto"/>
      <w:jc w:val="center"/>
    </w:pPr>
    <w:rPr>
      <w:rFonts w:ascii="宋体"/>
      <w:kern w:val="0"/>
      <w:szCs w:val="20"/>
    </w:rPr>
  </w:style>
  <w:style w:type="character" w:customStyle="1" w:styleId="35">
    <w:name w:val="日期 字符"/>
    <w:semiHidden/>
    <w:qFormat/>
    <w:uiPriority w:val="0"/>
    <w:rPr>
      <w:rFonts w:ascii="Times New Roman" w:hAnsi="Times New Roman" w:eastAsia="宋体"/>
      <w:sz w:val="24"/>
    </w:rPr>
  </w:style>
  <w:style w:type="character" w:customStyle="1" w:styleId="36">
    <w:name w:val="批注框文本 Char"/>
    <w:link w:val="9"/>
    <w:semiHidden/>
    <w:qFormat/>
    <w:locked/>
    <w:uiPriority w:val="0"/>
    <w:rPr>
      <w:rFonts w:ascii="Times New Roman" w:hAnsi="Times New Roman" w:eastAsia="宋体"/>
      <w:sz w:val="18"/>
    </w:rPr>
  </w:style>
  <w:style w:type="character" w:customStyle="1" w:styleId="37">
    <w:name w:val="批注主题 Char"/>
    <w:link w:val="15"/>
    <w:semiHidden/>
    <w:qFormat/>
    <w:locked/>
    <w:uiPriority w:val="0"/>
    <w:rPr>
      <w:rFonts w:ascii="Times New Roman" w:hAnsi="Times New Roman" w:eastAsia="宋体"/>
      <w:b/>
      <w:kern w:val="2"/>
      <w:sz w:val="24"/>
    </w:rPr>
  </w:style>
  <w:style w:type="character" w:customStyle="1" w:styleId="38">
    <w:name w:val="页眉 Char"/>
    <w:link w:val="11"/>
    <w:qFormat/>
    <w:locked/>
    <w:uiPriority w:val="0"/>
    <w:rPr>
      <w:sz w:val="18"/>
    </w:rPr>
  </w:style>
  <w:style w:type="character" w:customStyle="1" w:styleId="39">
    <w:name w:val="批注文字 字符1"/>
    <w:semiHidden/>
    <w:qFormat/>
    <w:uiPriority w:val="0"/>
    <w:rPr>
      <w:rFonts w:ascii="Times New Roman" w:hAnsi="Times New Roman" w:eastAsia="宋体"/>
      <w:sz w:val="24"/>
    </w:rPr>
  </w:style>
  <w:style w:type="character" w:customStyle="1" w:styleId="40">
    <w:name w:val="正文文本缩进 Char"/>
    <w:link w:val="5"/>
    <w:semiHidden/>
    <w:qFormat/>
    <w:locked/>
    <w:uiPriority w:val="0"/>
    <w:rPr>
      <w:rFonts w:ascii="Times New Roman" w:hAnsi="Times New Roman" w:eastAsia="宋体"/>
      <w:sz w:val="24"/>
    </w:rPr>
  </w:style>
  <w:style w:type="paragraph" w:customStyle="1" w:styleId="41">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2">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43">
    <w:name w:val="Table Text"/>
    <w:basedOn w:val="1"/>
    <w:semiHidden/>
    <w:qFormat/>
    <w:uiPriority w:val="0"/>
    <w:rPr>
      <w:rFonts w:ascii="宋体" w:hAnsi="宋体" w:eastAsia="宋体" w:cs="宋体"/>
      <w:sz w:val="24"/>
      <w:szCs w:val="24"/>
      <w:lang w:val="en-US" w:eastAsia="en-US" w:bidi="ar-SA"/>
    </w:rPr>
  </w:style>
  <w:style w:type="table" w:customStyle="1" w:styleId="44">
    <w:name w:val="Table Normal"/>
    <w:unhideWhenUsed/>
    <w:qFormat/>
    <w:uiPriority w:val="0"/>
    <w:tblPr>
      <w:tblCellMar>
        <w:top w:w="0" w:type="dxa"/>
        <w:left w:w="0" w:type="dxa"/>
        <w:bottom w:w="0" w:type="dxa"/>
        <w:right w:w="0" w:type="dxa"/>
      </w:tblCellMar>
    </w:tblPr>
  </w:style>
  <w:style w:type="paragraph" w:customStyle="1" w:styleId="45">
    <w:name w:val="表头-格式"/>
    <w:basedOn w:val="1"/>
    <w:qFormat/>
    <w:uiPriority w:val="0"/>
    <w:pPr>
      <w:widowControl/>
      <w:adjustRightInd w:val="0"/>
      <w:snapToGrid w:val="0"/>
      <w:ind w:firstLine="960" w:firstLineChars="200"/>
      <w:jc w:val="center"/>
    </w:pPr>
    <w:rPr>
      <w:rFonts w:eastAsia="黑体"/>
      <w:kern w:val="0"/>
      <w:szCs w:val="21"/>
      <w:lang w:bidi="en-US"/>
    </w:rPr>
  </w:style>
  <w:style w:type="paragraph" w:customStyle="1" w:styleId="46">
    <w:name w:val="表格内容"/>
    <w:basedOn w:val="1"/>
    <w:qFormat/>
    <w:uiPriority w:val="0"/>
    <w:pPr>
      <w:spacing w:line="240" w:lineRule="auto"/>
    </w:pPr>
    <w:rPr>
      <w:sz w:val="21"/>
      <w:szCs w:val="21"/>
    </w:rPr>
  </w:style>
  <w:style w:type="table" w:customStyle="1" w:styleId="47">
    <w:name w:val="样式1"/>
    <w:basedOn w:val="17"/>
    <w:qFormat/>
    <w:uiPriority w:val="99"/>
    <w:pPr>
      <w:jc w:val="center"/>
    </w:pPr>
    <w:rPr>
      <w:sz w:val="21"/>
    </w:rPr>
    <w:tblPr>
      <w:jc w:val="center"/>
      <w:tblBorders>
        <w:top w:val="thinThickSmallGap" w:color="auto" w:sz="12" w:space="0"/>
        <w:bottom w:val="thickThinSmallGap" w:color="auto" w:sz="12" w:space="0"/>
        <w:insideH w:val="single" w:color="auto" w:sz="4" w:space="0"/>
        <w:insideV w:val="single" w:color="auto" w:sz="4" w:space="0"/>
      </w:tblBorders>
    </w:tblPr>
    <w:trPr>
      <w:jc w:val="center"/>
    </w:trPr>
    <w:tcPr>
      <w:vAlign w:val="center"/>
    </w:tcPr>
    <w:tblStylePr w:type="firstRow">
      <w:rPr>
        <w:b/>
      </w:rPr>
    </w:tblStylePr>
  </w:style>
  <w:style w:type="paragraph" w:customStyle="1" w:styleId="48">
    <w:name w:val="表内容"/>
    <w:basedOn w:val="1"/>
    <w:qFormat/>
    <w:uiPriority w:val="0"/>
    <w:pPr>
      <w:spacing w:line="0" w:lineRule="atLeast"/>
      <w:jc w:val="center"/>
    </w:pPr>
    <w:rPr>
      <w:rFonts w:cstheme="minorBidi"/>
      <w:sz w:val="21"/>
      <w:szCs w:val="22"/>
    </w:rPr>
  </w:style>
  <w:style w:type="character" w:customStyle="1" w:styleId="49">
    <w:name w:val="font121"/>
    <w:basedOn w:val="19"/>
    <w:qFormat/>
    <w:uiPriority w:val="0"/>
    <w:rPr>
      <w:rFonts w:hint="default" w:ascii="Times New Roman" w:hAnsi="Times New Roman" w:cs="Times New Roman"/>
      <w:color w:val="000000"/>
      <w:sz w:val="20"/>
      <w:szCs w:val="20"/>
      <w:u w:val="none"/>
      <w:vertAlign w:val="superscript"/>
    </w:rPr>
  </w:style>
  <w:style w:type="paragraph" w:customStyle="1" w:styleId="50">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9" Type="http://schemas.openxmlformats.org/officeDocument/2006/relationships/fontTable" Target="fontTable.xml"/><Relationship Id="rId68" Type="http://schemas.openxmlformats.org/officeDocument/2006/relationships/customXml" Target="../customXml/item2.xml"/><Relationship Id="rId67" Type="http://schemas.openxmlformats.org/officeDocument/2006/relationships/customXml" Target="../customXml/item1.xml"/><Relationship Id="rId66" Type="http://schemas.openxmlformats.org/officeDocument/2006/relationships/image" Target="media/image51.png"/><Relationship Id="rId65" Type="http://schemas.openxmlformats.org/officeDocument/2006/relationships/image" Target="media/image50.png"/><Relationship Id="rId64" Type="http://schemas.openxmlformats.org/officeDocument/2006/relationships/image" Target="media/image49.png"/><Relationship Id="rId63" Type="http://schemas.openxmlformats.org/officeDocument/2006/relationships/image" Target="media/image48.jpeg"/><Relationship Id="rId62" Type="http://schemas.openxmlformats.org/officeDocument/2006/relationships/image" Target="media/image47.png"/><Relationship Id="rId61" Type="http://schemas.openxmlformats.org/officeDocument/2006/relationships/image" Target="media/image46.png"/><Relationship Id="rId60" Type="http://schemas.openxmlformats.org/officeDocument/2006/relationships/image" Target="media/image45.png"/><Relationship Id="rId6" Type="http://schemas.openxmlformats.org/officeDocument/2006/relationships/footer" Target="footer1.xml"/><Relationship Id="rId59" Type="http://schemas.openxmlformats.org/officeDocument/2006/relationships/image" Target="media/image44.png"/><Relationship Id="rId58" Type="http://schemas.openxmlformats.org/officeDocument/2006/relationships/image" Target="media/image43.png"/><Relationship Id="rId57" Type="http://schemas.openxmlformats.org/officeDocument/2006/relationships/image" Target="media/image42.png"/><Relationship Id="rId56" Type="http://schemas.openxmlformats.org/officeDocument/2006/relationships/image" Target="media/image41.png"/><Relationship Id="rId55" Type="http://schemas.openxmlformats.org/officeDocument/2006/relationships/image" Target="media/image40.png"/><Relationship Id="rId54" Type="http://schemas.openxmlformats.org/officeDocument/2006/relationships/image" Target="media/image39.png"/><Relationship Id="rId53" Type="http://schemas.openxmlformats.org/officeDocument/2006/relationships/image" Target="media/image38.png"/><Relationship Id="rId52" Type="http://schemas.openxmlformats.org/officeDocument/2006/relationships/image" Target="media/image37.png"/><Relationship Id="rId51" Type="http://schemas.openxmlformats.org/officeDocument/2006/relationships/image" Target="media/image36.png"/><Relationship Id="rId50" Type="http://schemas.openxmlformats.org/officeDocument/2006/relationships/image" Target="media/image35.png"/><Relationship Id="rId5" Type="http://schemas.openxmlformats.org/officeDocument/2006/relationships/header" Target="header1.xml"/><Relationship Id="rId49" Type="http://schemas.openxmlformats.org/officeDocument/2006/relationships/image" Target="media/image34.png"/><Relationship Id="rId48" Type="http://schemas.openxmlformats.org/officeDocument/2006/relationships/image" Target="media/image33.png"/><Relationship Id="rId47" Type="http://schemas.openxmlformats.org/officeDocument/2006/relationships/image" Target="media/image32.png"/><Relationship Id="rId46" Type="http://schemas.openxmlformats.org/officeDocument/2006/relationships/image" Target="media/image31.png"/><Relationship Id="rId45" Type="http://schemas.openxmlformats.org/officeDocument/2006/relationships/image" Target="media/image30.png"/><Relationship Id="rId44" Type="http://schemas.openxmlformats.org/officeDocument/2006/relationships/image" Target="media/image29.png"/><Relationship Id="rId43" Type="http://schemas.openxmlformats.org/officeDocument/2006/relationships/image" Target="media/image28.png"/><Relationship Id="rId42" Type="http://schemas.openxmlformats.org/officeDocument/2006/relationships/image" Target="media/image27.png"/><Relationship Id="rId41" Type="http://schemas.openxmlformats.org/officeDocument/2006/relationships/image" Target="media/image26.png"/><Relationship Id="rId40" Type="http://schemas.openxmlformats.org/officeDocument/2006/relationships/image" Target="media/image25.png"/><Relationship Id="rId4" Type="http://schemas.openxmlformats.org/officeDocument/2006/relationships/endnotes" Target="endnotes.xml"/><Relationship Id="rId39" Type="http://schemas.openxmlformats.org/officeDocument/2006/relationships/image" Target="media/image24.png"/><Relationship Id="rId38" Type="http://schemas.openxmlformats.org/officeDocument/2006/relationships/image" Target="media/image23.png"/><Relationship Id="rId37" Type="http://schemas.openxmlformats.org/officeDocument/2006/relationships/image" Target="media/image22.png"/><Relationship Id="rId36" Type="http://schemas.openxmlformats.org/officeDocument/2006/relationships/image" Target="media/image21.png"/><Relationship Id="rId35" Type="http://schemas.openxmlformats.org/officeDocument/2006/relationships/image" Target="media/image20.png"/><Relationship Id="rId34" Type="http://schemas.openxmlformats.org/officeDocument/2006/relationships/image" Target="media/image19.png"/><Relationship Id="rId33" Type="http://schemas.openxmlformats.org/officeDocument/2006/relationships/image" Target="media/image18.png"/><Relationship Id="rId32" Type="http://schemas.openxmlformats.org/officeDocument/2006/relationships/image" Target="media/image17.png"/><Relationship Id="rId31" Type="http://schemas.openxmlformats.org/officeDocument/2006/relationships/image" Target="media/image16.png"/><Relationship Id="rId30" Type="http://schemas.openxmlformats.org/officeDocument/2006/relationships/image" Target="media/image15.png"/><Relationship Id="rId3" Type="http://schemas.openxmlformats.org/officeDocument/2006/relationships/footnotes" Target="footnotes.xml"/><Relationship Id="rId29" Type="http://schemas.openxmlformats.org/officeDocument/2006/relationships/image" Target="media/image14.png"/><Relationship Id="rId28" Type="http://schemas.openxmlformats.org/officeDocument/2006/relationships/image" Target="media/image13.wmf"/><Relationship Id="rId27" Type="http://schemas.openxmlformats.org/officeDocument/2006/relationships/oleObject" Target="embeddings/oleObject1.bin"/><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extobjs>
    <extobj name="ECB019B1-382A-4266-B25C-5B523AA43C14-1">
      <extobjdata type="ECB019B1-382A-4266-B25C-5B523AA43C14" data="ewoJIkZpbGVJZCIgOiAiMzAzNzM0Mzk3NTgyIiwKCSJHcm91cElkIiA6ICIxOTY1NTU4NTUiLAoJIkltYWdlIiA6ICJpVkJPUncwS0dnb0FBQUFOU1VoRVVnQUFCak1BQUFPZ0NBWUFBQUI0RG9RWkFBQUFBWE5TUjBJQXJzNGM2UUFBSUFCSlJFRlVlSnpzM1hsOFZPWFovL0h2ZldhU3NHOEZCRUZGWmRHb3laeUpQTlVxUXBGYXJkcHFxMzNzZ2d0aXJhM0Zha3ZkcTlZaVd1V3gxZHBhNjFMci90TzZkVkhVNGthbExwbEpRZ3dnU01FaXNwVkZBZ25KekxsK2YyUW1uU1NUamNVSitIbS9Ycnh5NXR6THVjNlFUSExPZGU3N2xn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DZ2EvRjlmNXJ2KzhVN3NiL2YrNzcvdFU0MGNiN3ZEOXBaeHdjQUFBQUFBQjBUem5VQUFBQUFIZVdjK3o5SlA1UlVudDRYalVaUE5yT0N0dG9GUVZCUlhsNytYcGIreGdWQnNDamJvUW9MQy9jcUtDZ1lMbW1VY3k0cXFVUlNWTkpIa2c3ZWtmTUFBQUFBQUFDZFF6SURBQURzN3U2VDFGdFNmYlpDNTF4UDU5eDBTYmUwMTFFMEdqM2V6SDRqYVpoekxyOTV1WmxWUzlvZ3laTVVOR3Q3cXBsTmwxUWtxZDQ1TnplUlNGeGVVVkZSMmQ1eGk0cUtlb2JENGVtU3pqQ3pFYzY1V2pON1c5S044WGo4NyswMEQvbStQOTg1ZDdDa3liRlk3TUgyamdjQUFBQUF3TzZHWkFZQUFOZ1RYQk9QeDIvTVZoQ05SdGRsdm81RUloT2NjK20vZ1hwNG5qZks5LzFKcWRkaDUxd2c2VTFKSzgzc2FPZmNhak83dEw2K2ZsRmxaZVVLU1pibEdEK1VkS3VrdFpLZWNNNE5OYk1UUTZIUWhLS2lvaVBiU1dpNGNEajhoaHFTSUc5S2Vzek05cFYwcktSamZkOC9PeDZQLzdHMXhwRkk1SnhVSWdNQUFBQUFnRDBXeVF3QUFOQ2xSYVBSSWpYYzZKZVpPVWxqbzlIb3Q4MnNOaDZQUDlIWi9weHpqMHJxbGVxdmg2U3pKWDFMa29JZ09MK3NyR3hrdXE3dit5K1pXWFU4SG4rcHRmNktpb3IybC9RTE0xdVdUQ1kvVzFGUnNVYVNJcEhJUlo3bi9USVVDdDBxNlF0dGhCUXlzMjVCRUh5MnZMejhyZlRPNHVMaTQwS2gwTi9NN05hU2twSkhTa3RMVzR3OEtTd3M3T1djdTA1U1VsS29NKzhEQUFBQUFBQzdFNUlaQUFDZ00wS0hIWFpZSkQ4L2YwbHBhZW1tVCtpWVg1VjBqU1E1NXlUcFRFbG5PdWYrSXltZHpDaU1SQ0tudE5LK3lYUlI4WGg4U0hvN0dvMHVESUxnN3JLeXNuYW5vR3FONTNuZmxaUm5adGVsRXhtU1ZGWldkcHZ2K3o5MHprMHFMaTRlVmw1ZS9tRXJYU1E5enpzcUhvODNHVUZTWGw3K1FqUWFmZFU1TjdHdXJ1NGdTZk9iTnl3b0tKZ2g2VE5tZHJkejd2enRQUWNBQUFBQUFMbzZraGtBQUtERGlvcUt1b1hENFQrWTJhRys3MzhncWR6TTNqU3pKV1pXVmw5Zi8zRTRISzVOSnBQMVZWVlZ0WklTTzNyTVdDejI4eEVqUnR3b1NRTUdES2lXOU9QMTY5ZmZHUTZITTZkNytsL24zRmRiNmFKbjVvdElKRExLT2JkZjZtV1RhYWJpOGZnY05Wc0xRNUpYVkZRME9Cd09EMGttazBNOHo5c3JtVXcrV1ZGUnNVV1NQTTg3WHBKcWEydi8zS3lkU1pvdDZmeFFLSFMwcE1kYWljOUtTMHZYdFZLMktYV01iYzBMSXBISVdFa1htdGxNU1J0VGlSNEFBQUFBQVBaSUpETUFBRUNIZmZ6eHg4a0JBd1lzbDNTb2MyNWZTZnM2NTA1T0ZTZERvZEFhNTl6eXZMeThWZEZvZExtWmZTUnBlVEtaL0ZEU2lyeTh2QlhacGt0cVIyTFpzbVVKU1Jvd1lFRDZkVzFHK1pXU1N1UHgrRHZaR3Z1K2Y0bm5lVytrWDN1ZWQ3YVpYU1MxbkdhcXVMajQ1RkFvZEs2WjdlV2MyMHZTS0VuZHd1SHdha2tLaFVLU3RNbnp2TmNsYlZIREZGRUhTVnE1Y09IQy96US90bk51WWVvNG96cDV6aW9zTE13M3M4OUsyckpseTVibG1XVWpSNDRzOER6dkhqUDc5N3AxNjJZTUhEancrNTN0SHdBQUFBQ0EzUW5KREFBQTBHSExsaTFMOU92WGI3SG5lVEpydWc2MmN5N2tuQnNxYVdqR3ZxU2s2bkE0dk5YTXRnUkJzQ1VTaVd4d3pzMDJzNFdKUktLMHNyTHkzOXNiaisvN3hVRVFySlkwUEJLSkRNOVd4OHlXbXRtUWtwS1N2cVdscFp0aXNkaVZha2lBdEpobXFyaTQrR2d6Q3lTVlMxb3RhWXFaclRlekg0WkNvZFdiTm0xYXZXVEprc1pSRWtWRlJaOXh6dVduNnJZUUJNRWF6L01rcVg5bno2MWJ0MjZYUzlwYjBoMlp4NVNrM3IxNy8wTFNZYzY1azFlc1dGRXpjT0RBem5ZUEFBQUFBTUJ1aFdRR0FBRG9qS1RuZVIra1gyUk9iWlJPYmpqbk1oTWRJVWw5SmZWTjEwMlZIK09jVzV1WGwvZm4wYU5IWC83ZWUrKzFOczFTTm5tKzc0ODNzLzBsSGVGNTNsUXpxMjJ0c25QT2s5UTltVXo2SlNVbC93cUNZR3hHY1pOcHBwTEo1TC9qOGZpWjZVTGY5NzhvcWJxc3JPenRiSDE3bnRjamRlNVpqKzk1WG0wcWhvSk9uSi9uKy81MWtxNHlzeW96dXlxek1CcU5IbTltUHpDenUrUHgrRjg2MFM4QUFBQUFBTHN0a2hrQUFLQkRDZ3NMZStYbjV4ZVpXV0Y2bjVrcE0wbVJsdDV1UG5vak5lcmhYMmIyYUJBRVQxWlVWSlJMU3JaejZGQTBHbzFJR21kbW5xUlpydUVBOHlSVm1ObGY0dkY0NCtMZlJVVkZZL0x5OG1wS1Mwcy9rQ1RmOXc5M3pyMHRTVUVRRkVwNk9sVTFMS25BekJxbm1RcUZRcitUOUtPT3ZpZEJFQ1JTSXkreS9rMWxadm1wOTJKclIvbzc5TkJEOThyTHkzdklPWGVzcE5jbGZhMnNyR3hqeHJudEwrbEI1OXlpMnRyYWl6c2FKd0FBQUFBQXV6dVNHUUFBb0UzRnhjV0hoRUtoODlTUVROakxPZmVaNWttSzVySk1RU1V6cXphem1VRVEvS21pb3VKOWRYQnhjTi8zZnlmcFhETXo1NXd6c3orWjJZM3hlTHpVOS8zZk5xOGZEb2VmRG9KZ3JxVHptcGZGNC9GNWtucEpValFhL2FXa2k4enN5dlEwVXlsZVVWSFJ3TlM1OWpPemdkRm85Q2ZwZFRUU1grdnE2cjZRU0NRMmhzTmhPZWNHWkl2ZE9UY3c5WDVrbllZcVV6UWFQVUxTVTVJR1NybzJGb3Y5WEJtSm5xS2lvcDdoY1BocE5Zd3lPYTJxcXFxNnZUNEJBQUFBQU5oVGtNd0FBQUROaFl1S2lnWjRubmU0Yys2UzFDaUI5S2lLR2pVc2ZPMUp5czlzMUVvQ0kzRE9yWmIwMUpZdFc2N3A1SFJTYWM4RlFmQm1LQlQ2aTVuOTJ6bjNTaXdXeTdyWWR5cU9QczY1TFcxMU9HYk1tTjVtTmxsU3RlZDVvNkxSNlBHeFdPeDUzL2VYT2VlR3EyRjZyUFI1MUVqNmxuTnVsWm10a2xRcWFWVnRiVzNOa2lWTHFuM2ZYK21jMjYra3BLUkhhV2xwOHhFWUI2WDZlTGV0ZUlxTGk0K1dORHUxUHNmNHNyS3lONXJYQ1lmREowa3FrcVJRS0ZRWmpVYXpkZlZBTkJwOVFOS3ZZckhZRDlzNkpnQUFBQUFBdXhPU0dRQUFvSkh2KzRXU3pwWDBSVW1qblhONWFoZ2Q4SnFrZjVoWlJTS1JXQk1PaDIrUmRIaTZYV1lpSTJPNnFmZWRjdzlLZWpJV2k3MnI5cWVUeWlvZWovOHB2ZDNLRGZ4R0pTVWxQWUlnR0JJRXdZcTI2dlhvMGVOaTU5dzhTU1BON0g4a25SMkpSUDVYMG8vTWJGTWlrVmp0bkZzZERvY2ZNYlBObWROWVpmR0twRzhtazhuajlOOHByQ1RKU1RwZTB0WTFhOWE4Mms3TWowbmFWRjlmLzduV0ZrUlBKQktMdytId0hkbkt6Q3ppbkR2S3pGNTB6cjFuWnErM2RmNEFBQUFBQU94dVNHWUFBSUJHenJsOXpld2M1MXovMUxSUWo1alo3eEtKeFB1VmxaWHJKQ1dIRHgvZWZkQ2dRWTBqTExJbE1zenN0bVF5K2Z1S2lvb0YyczRreHZaSUpwT25lZzJMV05TMVZpY1NpWXh3emwxcVppYzQ1KzR5czRjOHozUE91Y2ZON0J2eGVQeWxkRjNmOTdQT3ArWDcvaHVTYm96SDQ4K2EyZStkYzkvMFBPLzZrU05IemxteVpNbkhxVG8va0hTZ3BGK3RXTEdpSnRYVVJTS1JzNXh6LzRySDQ2OUtVaEFFWDNQTzdXMW0xN1NXeUpDa2lvcUttS1JZSytmMFkrZmNVYzY1UDhaaXNRZmJmcGNBQUFBQUFOajlrTXdBQU9EVEsxeFlXTmd0YysyRjJ0cmF1UVVGQmUrWTJiemEydHA3Rnl4WXNMeDVveFVyVnRRTUdqUm9kZWFDMzVLVW1pTHBoV1F5T2IyaW9xTE5rUkU3aTNOdXJxUytrbFJTVXJLdm1kMHNxZDQ1OTZ0b05QcDU1OXlQSmEweHN6dk1iSzBrenpsM242UTM0L0g0YSttUkhyRlk3R2JmOTRjNDU0YTBkOHlTa3BJZVpuYWtwREdTVkZaVzlvcnYrL2M2NTZiMDd0MzdYZC8zWDVDMGo2UkpadmF1NTNuWHBOdjZ2bis4Yys0K005dFdVbEl5SURVdFZTUjFMbC8yZmIrMW9TZXZ4K1B4V2R2NU5nRUFBQUFBc05zam1RRUF3S2VQS3lrcE9TQUlncW5PdVgwaWtjaUZaV1ZsR3lVcGxkZzRycjBPekd4UnhpaU1mem5ubmtrbWs0OVZWRlNVU3FyZlJYRjc2VFhBMHp0U294QmNKQkk1M2N4dWs5UW5DSUtqUE04N1FOTE5RUkJVU2JyZDg3d3J5OHZMTjBXajBZbG1kbmdpa1NocTNuazhIdjlSbG1NR3pybFE1bzY2dXJvRDgvTHlKR2xoUnR2emZOK3ZrdlFkU2QrV3RDWjEzSitXbHBadVN0Y3pzd1dTVmpybkZwV1dscVpIYS9SSmZTMXh6cFcwY3U2MWJiNHpBQUFBQUFEczRWejdWUUFBd0o2a3VMajRKTS96cm5mT0hXSm1kWkxPeWx5WG9vTjlmRHNVQ3QwYkJNRXZ6ZXorK3ZyNnhWVlZWYTFPN2JRam90SG9FYWsxSVE2UU5OM012dWw1M292SlpQSm81OXpSa3I3cW5OdmZ6Qlk0NXliSFlyRlNxV0VFUlRLWnZNTHp2RXZOYklPa24zcWVkMDhRQkY5T24yODBHbDBZQk1IZFpXVmx0N1J5N0hzbGZjM01yakt6elpMa2VkNDNKQjFyWmtQajhmamFYWEhPQUFBQUFBQ2dLVVptQUFEdzZlQjgzeDhxYVpaejdneHJzTkhNSHEydXJuNnhzNTJaMlN0YnRtd1pzV2pSb3BXN0lOWW1naUE0d1BPODM2YU8rODdtelp2LzJxTkhqejZoVU9nQjUxeUJtZjNEeks3MFBPK0owdExTeGxFaHFTbWNyaW9xS25veUZBcjkwVG5ucDhvN2s3aTVXZEpZU2I5TXJjVWhTZXVDSUpoV1ZsWkdJZ01BQUFBQWdFOElJek1BQVBnVThIMy9HNUorSXFuWU9WZHJaczlJdWpPOUNQVnVJSjFJQ05JN1NrcEtEcEwwUVNwcDBhYVJJMGNXOU8zYk44aE1kZ0FBQUFBQWdOMEh5UXdBQVBaZ0kwZU9MT2pWcTljczU5dzNuSE1Eekd4MUVBVFRuSE12cE5mSkFBQUFBQUFBNk9xWVpnb0FnRDNVb1ljZXVrODRIUDZWYys0cnpybEEwbHhKM3k0dkwxK2U2OWdBQUFBQUFBQTZ3MnUvQ2dBQTJCM2w1K2ZQOUR6dlZFbjFrbjZSU0NTK0VZL0hTV1FBQUFBQUFJRGREaU16QUFEWVE1blpYWkxHQkVGdzNaWXRXMTVjc21USnRsekhCQUFBQUFBQUFBQUFrTWtyTEN6TXozVVFBQUFBQUFBQUFBQUFraFNPUkNJbmtyd0FBQUFBQUFCN29sQ3VBd0FBQURzc0ZJbEVwampuZmhrT2gzc05HelpzN2tjZmZSVGtPaWdBQUFBQUFJQ2RoUVhBQVFEWXpVVWlrWEdlNTEzbm5OdEwwakUxTlRWRGN4MFRBQUFBQUFEQXprUXlBd0NBM1Zna0V2bVNjKzcza29hYTJVdDFkWFhuVmxWVmZaRHJ1QUFBQUFBQUFIWW1sK3NBQUFEQTlvbEdvMGVZMmVQT3VlR1NLcDF6SjVhV2xwTElBQUFBQUFBQWU1eHdyZ01BQUFDZFYxUlVOTnpNWnFZU0dVc1RpY1QzS2lvcVNHUUFBQUFBQUlBOUV0Tk1BUUN3Ry9JODd6TG4zRGhKdFdaMmFVVkZ4ZXU1amdrQUFBQUFBR0JYWVdRR0FBQzdtVWdrY3JybmVWTWtoWUlnbUZaV1Z2WmtybU1DQUFBQUFBRFlsVWhtQUFDd0d5a3FLanJVT1hldm1SV1kyWVBWMWRYM1NBcHlIUmNBQUFBQUFNQ3V4RFJUQUFEc1BqelA4OFk3NTB4U1JUS1ovTVdTSlV1MjVUb29BQUFBQUFDQVhZMlJHUUFBN0Q2Q21wcWFQL2JvMFdPaEpEZC8vdngzY3gwUUFBQUFBQUFBQUFBQUFBQUFBQUFBQUFBQUFBQUFBQUFBdXJKUXJnTUFBQUJ0aTBhalJ3d2VQSGpVNnRXcmwrVTZGZ0FBQUFBQWdGeGdBWEFBQUxxdzRjT0hkemV6QzBLaDBKeElKSEtUcEx4Y3h3UUFBQUFBQVBCSkk1a0JBRUFYTm1qUW9MR1NqcFVrTS91WHBQcmNSZ1FBQUFBQUFQREpJNWtCQUVEWDlrMUpRODFzWlgxOS9ZTzVEZ1lBQUFBQUFDQVhTR1lBQU5CRmpSa3pabTlKazUxemxrd21MNnFxcXFyT2RVd0FBQUFBQUFDNVFESURBSUF1cW52MzdqT2NjejJDSUpoWFVWSHhSSzdqQVFBQUFBQUF5SlZ3cmdNQUFBQXQrYjYvdHhxbW1FcVkyUU81amdjQUFBQUFBQ0NYR0prQkFFQVhaR2FuT3VmeUpYMWdadVc1amdjQUFBQUFBQ0NYU0dZQUFOREZISERBQVgyZGN5ZEtVaEFFNVlsRTR0MWN4d1FBQUFBQUFKQkxKRE1BQU9oaWV2ZnVQY1k1TjFxU25ITXZzL0EzQUFBQUFBRDR0Q09aQVFCQTF6TkMwbUJKaVdReStWU3Vnd0VBQUFBQUFNZzFGZ0FIQUtDTGNjNjlaV1lYbXRtQWlvcUtGYm1PQndBQUFBQUFBQUFBQUFBQUFBQUFBQUFBQUFBQUFBQUFBQUFBQUFBQUFBQUFBTmdGWEs0REFBQUEveFdKUkw0bGFXTW9GSnBiV2xxNktkZnhBQUFBQUFBQWRBVmVyZ01BQUFDTm5PZDVEM3FlOTVjZ0NMNlU2MkFBQUFBQUFBQzZDcElaQUFCMEVjWEZ4WHRMa3BsVm05bTZYTWNEQUFBQUFBRFFWWVJ6SFFBQUFHaGdaZ2RJa25OdWpYTnVmYTdqQVFBQUFBQUE2Q29ZbVFFQVFCY1JDb1ZHcERZM0pwUEp6VGtOQmdBQUFBQUFvQXNobVFFQVFCZGhab2VtdnY3SHpEYm1PaDRBQUFBQUFJQ3VnbVFHQUFCZGhPZDVJeVRKT2JlNm9xTGlQN21PQndBQUFBQUFvS3NnbVFFQVFOZVJuL3Fha0pUTVpTQUFBQUFBQUFCZENja01BQUFBQUFBQUFBRFFwWkhNQUFBQUFBQUFBQUFBWFJySkRBQUF1b0RDd3NJaGtnWktrcGt0eW5FNEFBQUFBQUFBWFVvNDF3RUF3S2ZKaUlNT0dpSExQeWpYY2FEcnFVbXFWeWdSL0Nma3VZcHR5YURmaURGRngrYzZKblJOeVdTdytOOUxLdC9QZFJ4bzNmRFJvNGVGdlI2amNoMEgwQmwxOVluM1Y3NWYrZTljeHdFQUFBQzB4dVU2QUFENHRCZ3hJakxDZGJNL216UXkxN0dnNnpFek9kZndpOW40OVl5MmZaU29jMTljc2JSc2NhNERRVXQ3SDFDNGIzNSsvdjF5aXVRNkZxQXpuT3k5UkgzeW15UkxBUUFBMEZVeE1nTUFQaW5oWUlnNU45QnpYcmNCL2Z1clc3ZUNYRWNFWURleWJWdWQxbS9Zb0dRUTlBL25hNWdra2hsZFVMNFgzbHZTQ0NmMTY5T250L0x6OG5NZEV0Q20rdnA2ZmJ4NXN3S3pmVVBoOEQ2U1NHWUFBQUNnU3lLWkFRQ2ZzTzdkdSt1NzU1MmphSEZScmtNQnNCdXByRnFnVzIvL3JUWnMycFRyVU5BQmVlR3d2anQxaWlKRmgrWTZGS0JOVlFzVzZmOXV1ME5iYXJibU9oUUFBQUNnVFNRekFPQVRGZ3A1R25uQS92SWpKRE1BZE55MnVqcUZ3L3pwdHJ0d25xZUR4NHpTRWY5emVLNURBZG9WQ29keUhRSUFBQURRTGkvWEFRQUFBQUFBQUFBQUFMU0ZaQVlBQUFBQUFBQUFBT2pTU0dZQUFBQUFBQUFBQUlBdWpXUUdBQUFBQUFBQUFBRG8wa2htQUFBQUFBQUFBQUNBTG8xa0JnQUFBQUFBQUFBQTZOSklaZ0FBQUFBQUFBQUFnQzZOWkFZQUFBQUFBQUFBQU9qU1NHWUFBQUFBQUFBQUFJQXVqV1FHQUFBQUFBQUFBQURvMGtobUFBQUFBQUFBQUFDQUxvMWtCZ0FBQUFBQUFBQUE2TkpJWmdBQUFBQUFBQUFBZ0M2TlpBWUFBQUFBQUFBQUFPalNTR1lBQUFBQUFBQUFBSUF1aldRR0FPQlR5OHlVU0NRVUJFR3VRd0dBM2NyTW1UTjE5dGxuNjhVWFg4eGFObjM2ZEsxYnQ2N1QvU1lTQ1pXVmxXVXRlK3V0dHpSOSt2Uld5OHZLeXJSaHc0YXNaYSsvL3JyZWZmZmREc2N4WThZTWpSOC9Yb3NYTCs1d0cyQVhjTkZvOUE3Zjk0L05ZUXhoMy9mdjluMy94aDNweFBmOVJiN3Z4dzg1NUpBQmJkV0xScVBQUjZQUmRTVWxKUWZ0eVBFQUFNQ2VLWnpyQUFBQXlKVkhIbmxFczJiTjB0ZS8vblZkZXVtbG5XbzdiOTQ4K2I2dmJ0MjY3YUxvY2l1UlNPaUdHMjVRdjM3OU5HM2F0RnlIQTZBTHFhdXIwL1BQUDYvcTZtb1ZGQlMwS0o4N2Q2NVdyVnExWFo4ZHQ5OSt1eDU4OEVGTm1qUkpGMTk4c1lZTUdkSlk5dUdISDJyT25EbWFOR2xTa3pabXB2dnZ2MSsvK2Mxdk5IcjBhUDNoRDM5UU9QemZ5NXhWcTFicEp6LzVpY3hNMDZkUDE5ZSs5clYyNDZpcHFWRjFkVFhKYnVSVWNYSHhGeVI5VDlJRjBXajBGdWZjbGFXbHBmV1M1UHYrajV4elk3ZWoyOW14V095K2psWWVNV0pFMkRsM3Jwa3RsM1RaZGh4UEpTVWwrNXJaYUVrZnZQdnV1K3ZicWQ1UDBtZnE2K3QzK0Y1Rk5CcWRLT2tYbldtVFNDUk9xYWlvV05Gc3QxZFlXTmhqUitOSnE2cXFxcFdVMkZuOUFRRHdhVUl5QXdDd3g1czllN1plZi8xMWZlVXJYOUhZc2R0ejNkL1VtMisrcVduVHBtbmZmZmZWakJremROQkJMUjhlckt1cjA3WnQyN1JseTVZbS96WnQydFQ0YjhPR0RWcTNicDNXclZ1bmZ2MzY2ZFpiYjIzU3g4OS8vbk90WDkvZU5YL0hYSC85OWVyWnMyZUg2eWVUU1QzenpETWFNbVFJeVF3QVRiejIybXVxcnE3V3NHSERkUFRSUjNlNmZTS1JhSkpzeUhUNjZhZHIyYkpsZXVtbGx6UjM3bHhObVRKRjU1eHpqand2KzREeUZTdFc2TnBycjFVOEh0ZkFnUU4xNFlVWHR1aDd5SkFodXVhYWEzVHR0ZGZxaGh0dVVGVlZsUzY3N0RMbDVlVnA4ZUxGV3J4NHNhTFJhSlBFQ2RBVmxKZVh2eENKUkw3dGVkN2RrcWFiMlpFbEpTVmZMeTB0L1VqU09FbGYyWTV1MTBucWNESmpad2lDNENqbm5NenM1WjNWWnpRYVBjbk1IbTJqeXV0bWRvOXpya1RTQjVMV1pwUVZTc3FUVko3ZVlXYjdPdWNHaGNQaEZrK3BSQ0tSSXMvejRqc3g5c214V096Qm5kVWZBQUNmSmlRekFBQjd2QWNlZUVBTEZpelF4SWtUZDBwL2h4eHlpTWFQSDYrWFgzNVpaNTExbHFaUG42N1RUanROQ3hjdTFKUXBVN1J0MjdaTzk1bWZuOS9pQnQrOGVmTzBhdFdxblJKemZYMzlUdWtIQUI1NzdERkowaGxubk5GcWtxRTFhOWFzMFhubm5hZkpreWZydE5OT2ExRStmUGh3L2VwWHY5TGYvLzUzM1hqampWcXlaRW1ieDdqbm5uc1VqOGQxd2drbmFQcjA2ZXJidDIvV2VzY2ZmN3dHRHg2c2l5KytXRTgvL2JTMmJ0MnFtVE5uYXM2Y09icnJycnQwMDAwM2tjeEFsMVJXVnZaUWNYSHhZcy96L3V5Y096b0lndXNsVGEycHFUazNQei8vd3M3MjUzbGU5UzRJc3ozalUxL243S3dPRTRuRTJsQW85RkxxWlUvbjNDUXpXNlpVZ3NMTUtwMXo2ZW8zeDJLeFg2ZGYrTDVmNXB3YkhvdkZEcy9ZZDZlazg5czZwcGtGa3Y2OW83R2JXUzcrRHdBQTJDT1F6QUFBN05IZWZmZGRMVml3UUlNSEQ5WXh4eHl6VS9yczFhdVhicm5sRnYzeGozL1ViYmZkcHBreloycmR1blU2Kyt5enRjOCsreWcvUDEvZHVuVlRqeDQ5MUwxN2QzWHYzbDN2dlBPT1ZxNWNxVzkrODVzNjRJQUQxS2RQSC9YcDAwZDkrL1pWLy83OTFiOS8vMWFmVkg3OTlkZXo3bCswYUpHbVRwMnFDUk1tNlBycnI4OWFaK3JVcVZxMGFORk9PVzlnVHhhSlJJN2F1SEZqNmJKbHkycHpIVXRYTm4vK2ZNVmlNZlh2MzE5Zi9lcFhPOVcydHJaV0YxOThzVmFzV0tFSEhuaEFKNXh3Z25yMjdLbEZpeGJwalRmZWFGSC94Qk5QVkRnYzFuMzNOVHhFbmw3ejR0VlhYOVhLbFNzbFNVT0hEdFhZc1dOMTRJRUg2c2tubjJ6U2ZzS0VDZHAvLy8wYlgwZWpVZDExMTEyNit1cXJkZjc1YmQ2enpHcmp4bzJhUDMrK3lzcktWRlJVcFBIang3ZmZDTHVWU0NUeXBYWHIxcjI4WXNXS21sekhrcW04dlB5dG9xS2lJMEtoMEs4OXovdVJKQzFjdVBBL24zQVlRMzNmSHhTUHg5YzJML0I5djFqU0w0TWcrSFo1ZWZtSHpZcWRwSk5TMndOOTN6K2plWHZQODk0b0xTMzlvRFBCVkZSVXZDbnBGRW1LUnFNakpTMldORHNlajM4M0k2NldHZE1kNEp6YkVJdkZSdXpNUGdFQVFPZVF6QUNBTmhRVkZRMFBnbUJBWldWbFJhNWp3ZmI1L2U5L0wwazY2YVNUVkZkWHA3cTZ1c2F5OUdpRlJDS2hyVnUzdHRsUFhsNmU4dkx5bXV3Nzg4d3pkZUNCQitybW0yL1d5U2Vmckc3ZHVqVStzZHpjSlpkY29wVXJWK3FFRTA1UVlXRmhwODZoUjQvczB6U241NnIzUEsvVk9wMTlhcnE1ZGV2V2FjT0dEZXJmdjMrTHN2ZmVlMCszM0hLTGZ2N3puMnZ3NE1FN2RCd2cxenpQbXp0Z3dJQi85KzNiOXpmSlpQTHhqUnMzcmx5eFlzVTJTU3lha09FUGYvaURKR255NU1tZFdqUEl6SFRWVlZkcDRjS0Y2dEdqaDI2OTlkYkdxZS9tejUrdlgvLzYxKzMwOEYrelo4L1c3Tm16bSt4NysrMjNXOVRiZSsrOW15UXpKR25NbURGNjdMSEhsUEhFZHB0ZWV1a2xQZmJZWXlvdkw5ZXlaY3NhOTE5KytlVWRqaGU3RDgvei9qcG8wS0FQQnc0YytFY3plenlSU0N4Lzk5MTNQMVlYV04rZ29xTGlYNUpPM0psOUZoWVc5bXFydktxcXFuRUVnWE11Mzh5bVNMb3BzMDRrRWhrbDZRWG4zT0JRS0hTanBNbVo1Yjd2bHpqbmhxWDZtSlh0T0VFUWZFTU5VMEVCQUFDMGlXUUdBRWxTSkJLWjRIbmVJMmJXemN4T0xTc3JleVhYTVhVRm51ZVZoTVBocDMzZnJ6S3ozNWpaaTdXMXRSOHRXclJvaTdqQjFlVlZWbFkyam1xNDk5NTdkZSs5OTJhdDkrU1RUN1o0b3JlNXM4NDZLK3ZhRVVjZGRaU09PT0lJaFVLaEhRLzRFOUplNGlZek1aSklKUFRNTTgvbzdMUFBibExuZ3c4KzBQZSs5ejF0MkxCQnQ5OStlNnNqUTREZHpENmhVR2htS0JTNmV0Q2dRVzhNR2pUb2VUTmJrRWdrNWxkV1Z1N3cxQ0s3dTRxS0NyM3lTc09mQjUxZGYrai8vdS8vOVBMTEx5c2NEbXZtekprNjRJQURHc3RPT3Vra1RaZ3dJV3U3K3ZwNlBmbmtrM3I0NFllMWJkczJtWmtrYWVEQWdUci8vUFBiSEhIWHUzZHZTZElMTDd5Z2d3OCtXUHZzczQ4a1pVMWsxTlhWS1I2UEt4NlBxN3k4WEtXbHBaTFUrSHVqVDU4K0dqZHVuR3ByYS9YMjIyOHJQeisvVStlUDNZZHpicGh6N25KSkYzdWVWK0g3L2o4bFZUam4zb2pGWWdzK3lWaWkwZWlwVzdac2VXblJva1diZDNiZkkwYU02TmF0VzdjMit5MHNMT3k5ZGV2V3pFVE8rWkp1a1pTVUdoZjJma25TWURON2NlM2F0ZDlwM29kejdsUkpNck0vT2VmbVpwYVoyZGVkYzBlYVdkYVJNQ1VsSlFOTFMwdlhkZTdNV2pLeldiN3YzNWl4cTdza3ovZjl6R1JOd1k0ZUJ3QUE3SG9rTXdDZ0E1eHpoYzY1WDV2WnBoNDllc3lMUkNJeE15djNQRzl1UEI1Zm1ldjQwRklRQkpvMXErRUJ3QkVqUm1TZFIzM3QyclZhdVhLbEJnNGNxR0hEaHJYWjM5NTc3OTI0L2ZEREQrdjQ0NC9YZ0FFREpHbTNTbVJzMjdaTjQ4YU5hN1BPNjYrLzN1U2MvdlFkVDJUWUFBQWdBRWxFUVZTblAybnk1TW1OKzFhdFdxVUxMcmhBR3paczBHYy8rMWxkZWVXVnV6Um00Sk5rWm5MTzlYRE9UWkkwU2RMNi9Qejg5eUtSU0lYbmVYOVp0V3JWMzFldVhObDJSbkFQWkdhNitlYWJPOTB1bVV6cWhodHUwTk5QUHkzbm5LNi8vdm9XaTRaMzY5YXR4U2lQZGV2VzZabG5udEVUVHp5aHRXdlg2dlRUVDlld1ljTjA2NjIzNnNJTEwxUnBhYWxtekppaHA1NTZTcWVlZXFxT08rNDQ5ZXJWOGlIenhZc1g2NnFycmxMMzd0MTEvZlhYTnlZLzFxOWZyL0x5Y3NWaU1VblMxVmRmM2FSZCt2UHUvUFBQMTZSSms3VC8vdnZMT2FkNzc3MVhiNy85ZHFkR3BXRDNrL29jNk9hYyt4OUovMk5tVzh4c1RTUVNXV0JtajlUWDF6K2RPV3BoVjRoR284ZWIyWjk2OU9qeG9lLzczNC9INDg5S1VsRlIwZjZoVU9pQkhleitJOC96dmhrRXdkK3pGVHJuampLemdtYUpERG5uOXZkOS81dnhlUHdCMy9jTGd5Q1k3WndiYm1iUGI5aXc0ZFFWSzFZMG42WXZaR1puT2VjVUJNRVY1ZVhsNzJVVytyNy9CVW55UE8rOVp1MFVEb2QvRkFUQktiN3ZYeENQeDl0YTZMdGR6cm0zek96ZGpOZW5TZW9wcVhFUmJqTWI1NXpyM05CWkFBRHdpU09aQVFBZGxMcXc3U3ZwZUVuSE9lYytsclRHOS8xNWtoNkl4K012aTlFYVhjYmpqeit1aW9vS0RSMDZWQTg5OUZEV0cwOFBQL3l3WnMyYXBZa1RKK3JTU3kvdFVML1BQdnVzWnMyYXBkLy8vdmU2K09LTDllVXZmMW1TVkYxZHJSLy8rTWV0dGx1OGVMRWs2Y1liYjJ4MVNxaWhRNGZxbW11dWFiSC9xcXV1eWxwLzA2Wk5rcVNxcXFwVzYzejRZZE9wcTBPaFVLdFBWSmVYbDZ1dXJxNUZjbWJseXBWNi92bm5kZUtKSjJycDBxWDYvdmUvcnpWcjF1aklJNC9VckZtekdxZTdBdllFenJuR3AvK2RjM0xPRFpCMGhPZDVSMGo2emw1NzdiVm15SkFoRDlmVzF0NWFWVlgxcVprVzVjOS8vck9xcXFvNjFhYXVyazZYWG5xcFhuNzVaWVZDSVYxenpUVTY3cmpqV3EzL24vLzhSNis5OXBybXpKbWp0OTU2UzRsRVF1UEhqOWN2Zi9sTGpSa3pSazg5OVpTa2h1VHlPZWVjbzFkZWVVWDMzWGVmWnN5WW9WdHV1VVdSU0VTSEgzNjRpb3VMdGQ5Kysybmd3SUVhTldxVXZ2dmQ3K3FPTys3UXhSZGZySFBQUGJmeDlkTlBQOTE0N1AzMjIwK2YvZXhuNWZ1K0lwR0licnZ0TmozMzNITWFQMzU4azFFa2lVVER2VjArOS9ac21aOERLVDBsN2U5NTN2NlN2dVI1M2pyZjk1ODFzM3VkYysrdFhidTJlbWV2czFGWFZ4ZlB6ODkvV3RLcGtwN3hmZi8relpzM1QxUERZdGRIN1VqZlpyYTh0TFMwWGcwSjJ5YUtpb29HaDBLaGp5VDljOW15WmJValJveEkvd0gxc1prVlNMb3FHbzB1TTdPbm5YTUR6T3pSelpzM243MXMyYkp0emZ1S1JDSW5PZWVHbVprRlFkQmlyUTNuM0lHU0VzNjVKZG5pZE03MWx2UklOQm85eVRuMy9kTFMwazNiZWNxUHhlUHh6QVhBajNET0RXKzJ2c2Fka2tobUFBRFF4WkhNQUlCT3lMaXc5U1QxazlUUE9UZGEwbG0rNzM4bzZjRkVJdkZRRUFRZmJ0dTJiY3VTSlV0YVhOaGgxMXUyYkpsdXYvMTJTZElWVjF5eFU1K2duVGh4b3Y3NXozOXE5dXpadXU2NjYvVEtLNi9vcHovOXFhVHNjN1kzbDE3QU5wdjk5dHN2Ni83bm5udXV6VDVYclZyVmJwMjBjRGlzTysrOHM4WCs5ZXZYNjdqamp0TmhoeDJtZ29JQ2Jkdlc4SzNiczJkUDFkWFY2ZTY3NzliZWUrK3RTeTY1UkI5Ly9MR09PKzQ0WFhmZGRVeTFnajFTNWpSRXpXNW95amszV05JUHUzWHJkbjQwR2kwMXM1ZURJSGpaT2ZldnNyS3laZG9EclY2OXVuR2tXNjlldlZSZDNiRUgwaSs3N0RJdFhicFVCUVVGdXVtbW0xb2RGVFpyMWl6OTR4Ly8wUExseXlVMWpOVDQwcGUrcEc5ODR4c2FQWHAwcS8xUG1EQkJFeVpNVUR3ZTExLy8rbGZObVROSGI3NzVabVA1aUJFajlQampqMnZLbENuYVo1OTlkUFhWVit1ZWUrNVJmWDI5eG84ZnI3MzIya3RMbHk3Vml5KytxTzk5NzN1YU5LbkZmZDBXMG1zdDdaRWpNOHlVSDdLUnZ1K2JKSFBPV1RLWk5PZGMrb2ZBbkhPTnJ4T0pST1ByYlBzbHlmTzhRSktjYzFaZlg5K2tudWQ1amEvcjZ1cWExUFU4enlTcHJxNnVzVTY2ZnJydHRtM2JHdXVseXozUHM1cWFtc1k2bnVkWktCUXlTYXFwcVFra0tSUUtOZGtmQ29WczA2Wk5qYS9Uc24wT1pDUTZCMHFhSW1teWMyN1JvRUdES2djTkd2U3FwSGZpOGZnN08rTy9vN0t5Y3JXa3IwYWowVzlMK28xejdxdytmZm9NamNWaVg1VFV1SWhYTkJxOVM5STVrcWJFWXJHT2p0aXcxZ3BDb2RCWG5YT2VwS2VhTkREYklPbHZ6cmtMek93VjU1d1hCTUV2eXNyS0xtdXRQOC96THBBazU1d0xoVUxIU0hvbVhSYUpSUHFaMlNoSjgyT3hXSDN6dG9sRVlwYm5lZmQ3bnZld3BHK1oyUkcrNzM4dEhvK1hTOUxJa1NNTGV2WHE5WTFVOWZUQ1hXTWlrY2pacVhnN2wzM3RBRFBqb1NVQUFIS01aQWFBSnN3czdKd3JLaTR1VGpqbmd0U0ZiSkJ4SVJra0VnbnpQQzl3emxraWtRaWNjeFlLaFJwZmU1NFhlSjVuZFhWMWxyRWRoTVBoSUhYQkdxUXZPdlB5OG9LYW1wb2dGQXBaWGw1ZUVBcUZyTHE2T2dpRlFoWU9oMjM5K3ZWQnQyN2Rndno4Zkt1cXFncVV3d1VZVzd1NWxYRmhPMHpTcGVGdytBZVNLdlB6OHl1S2k0dmZNTE8zS3lvcUtqL2hjRCsxcXF1cmRja2xsNmltcGtZbm5YU1NQdmU1eiszVS9udjE2cVViYnJoQlJ4NTVwR2JPbktsWFgzMVYxMTEzblc2OTlkYkc5VG15dWVLS0svVDY2Ni9yN3J2djFwZ3hZN0xXeWJaWXQrZDVldlhWVjdQV1g3Um9rYVpPbmFvSkV5YTB1bWJGMUtsVHRXalJvbmJQYTg2Y09USXpUWnc0c2NuKzNyMTc2K2lqajlZVFR6eWg4ODQ3VDJhbU04ODhVOU9tVGV2d0FycllaWndhRXF0ZVlXR2gyN3AxcTFkWFYrY2xrMG4zbWM5OHh0WFYxWG05ZXZYeWtzbWtxNit2OXhLSmhOZWpSdytYU0NROE0zUDUrZm1lbWJsRUl1SGw1K2Q3UVJDNElBZzhNM1BoY05nTGdzREx5OHR6eVdUU1MrL1B5OHR6UVJCNG9WRElNN04wZlM4VUNqa3pjMmJtQlVIZ2hjUGhyR1dlNTNuWnRpVTV6L084SUFnYXQ4M01NelBuZVo1TGJYdnBiYy96bktURzlwbGxrbHptNjlSTnVSYmJtZjJtM3N2c2IzTHErenpMemN6dWtvNldkSlRuZWQrWHRNajMvWGUyMWlaV2JMUFcrOXZkbUptdXZmWmFWVmRYNjh0Zi9yS1dMMSt1OHZMeURyVmR1blNwQmcwYXBKdHZ2bG1ISFhaWXEvVzZkKyt1VmF0V2FkeTRjWm80Y2FLT1BmWlk5ZXpaVTVXVmxYcjIyV2YxK2M5L3ZuSDlpMHdiTjI3VWE2KzlwbEdqUnVtcXE2N1NaWmRkcG5nOHJsZ3NwbGdzcG9rVEp6WitybjdoQzE5US8vNzlkY3N0dCtoYjMvcVdCZzRjcUdPT09VYS8rOTN2T3ZWKzFOWTJ6S0t6SnlZem5KelhQZXlkNjV4cnpLeW5rd1VaTFAwejBQem12MUkzdE1QaGNPTjJPL3RsRFJRT2g1V1JOR2tzemtpWU54NVhrZ1ZCb0x5OHZLejlaZnpmTkNucjBhTkhrejdTRzBFUVdMYnZyMHh0ZkE3a1NUclVPWGVvcEs5SVdoZUpSSlk0NS83ZmxpMWJubmp2dmZkMmVMMkhXQ3oyWUhGeDhWdWhVT2h1NTl4RnFkMlpmdzhmbVRxUHVkbzVmeWVmSmtuT3VSYUxpZFhYMTgvTXk4czcxem1YTCtrblpXVmxyYzQ5VjFSVTlGbEpYelN6YXVkY0wrZmNGNVdSekpBMDNqbm5wZGJjeUtxc3JPeVZvcUtpU0NnVWVzdzVOOEU1Tnk4U2lWeFFWbFoyZjkrK2ZYdWIyWDJaOVZOMTBndncvTXJNNWtxU21lVm5MbmFlK2wzUWZBSDBWdStOT09mU1pTMlNMZ0FBNEpORk1nTkFjejBsL2RUenZQU0lBa3ROT2RQNFZGNDRITTdjYml3ek13dUZRdW1MMGZRRnFKbVpDZ29LR3R0MDc5NjljVnRxY25GcFFSQllqeDQ5R2k5b0J3OGUzRmczL2FSZ2xwanJKQ1dkYzhuVUUxT0JwS1NaQmM2NXdNeVNrb0owdVhNdXFZYUZDNFAwNi9UWFZQM0F6SktwWk02SWJHOVNPMC9yOVZERC9NcGpQYzg3UTlJNjMvY3J0dFVuWTFzVHJUNEloNTFrK2ZMbCt2REREelY2OUdoZGZ2bmx1K3c0SjU5OHNzYU1HYU9mL2V4bm1qNTl1aVMxT24yVTlOOUVSVUZCUVp2MU1xVnYxclJXUHozTmllZDVyZGJKbGlESjVxV1hHdTRsTkU5bVNOSTU1NXlqcDU5K1dvbEVRaGRkZEpIT1BQUE1EdldKWGNPWnViN2R2VHVpMFdpVDZUQ2EzMXhOdi9ZOEwzM1RUMUxqRGNVV3I1dC9yNlNuR3d1RlFrMm1Ia3R2TytlYTdFOS9MbWEyYTE3VzF2YjJ0RWxOQTlWcWYrMzEwYng5VzdMZHpFeTFkNUlHcU9HRzRxaFF5SHRXaVQwbm1URnYzank5OWRaYkdqUm9rQzY1NUJKZGRORkZyZGJkdW5XcjdyenpUcTFaczBhU1ZGSlNvaHR2dkxGeGZhSFdUSmt5UlZPbVRHbnhQZno4ODgvcmtVY2VVV0Zob1hyMzdxMVRUamxGSjU5OGN1UDN5Y3FWSzNYZGRkZnByTFBPMHNFSEg2eHdPS3l4WThlMk9wWGU0WWNmcmtjZWVXU0hFckdiTnplc2w5elJ6L0hkaTBsU25wbDF6L2daeWZabWRXaWZtYlZiTDlWOWgvckxGa3Z6WTZSK1BsdHQyNnlMSGY0NVRYOE9wTFlMSlBYeVBLOXZNcG5zM3JObno1MzJPWkJhYTZMRmF2ZUhISExJQURNYkkybHRXVm5aNGgwOXptRU5XY2VKWnZaMkxCWjd2M2w1WldYbHYzM2Z2MC9TK1dibXQ5VlhPQnkrTHJWNXJabGQ2Qm9XQXI5UXFTbFpuWE1ucGI2KzJGWS9GUlVWYXlSOXdmZjkyNTF6MzNYT1hWdFNVdks0cEUyU1RwYWtJQWlHZXA1M2w1azk1NXo3alNTWjJWS2xwbzF5enMzcTFxM2JyT1o5dDdjQWVvYjBMMUdTR1FBQTVCakpEQUJOdUlZNWdnczh6OHY4ZkhETnQ1dGRQRFp1WjF4b3R0aVhidFA4UXRNMXlIcWNac2R5clZ4VU40bS8rWFpIYm5TMWRYT3NzNXJkNE9vdXFaZVo5ZlhrRmJDa3hxNTN5Q0dINlBMTEw5ZllzV04zK1pPem8wZVAxb01QUHRoK3hlMlVUQ2FiM0lUZVZSWXZYcXkzMzM1YmhZV0ZHajU4ZUl2eUlVT0c2TXRmL3JLZWZQSkpMVnk0Y0pmSGcvYVptYXpoem1ONjJoVlQ2aUhuZEpXTS9lbEhtaHRmcDh1YTc4OXNsMDR5cStseGxLMWRsdjQ2MGxlTDJGbzVSdlB6Nldoc3pXUElUS1MzMk8rY083YTE5N3E1MU8rSWhKbXRsdlJ2U2Y4eXM2Zkt5c29lSHpHeTZBaUZYY3VzNEc3SzkzMzE2OWRQTTJmT3pEbzZJbTNPbkRtNitlYWJHeE1aVXNPaTJ1MGxNcVNHeEZ0dGJhMjJibTI2cm5wNmZZcHQyN2ExS0V2dlQ5ZHJYaDRLaGJLdWE3RWp2OStESUdoY04rUXpuL25NZHZmVFZaa1UxQ1FTditzZTlwYWtSMVNsaXRLanE1d2tsMG9tTmRsblpsbjNTdzEveDdYV1h5Z1V5dndic2JGZGF2UlY4LzFLbHpYdnYxa2JML000eXNobHROT2ZuSE10Ym5pbitteXhML1UzYzcyWnZTZHB2cVR5WkRMNWo0cUtpdGFIYWU1a0JRVUZuMVBEK1FTKzc5L2RnU2FKekhVaW1zdkx5N3RhRGU5cjF2ZEJranpQdXlvSWdxODY1NzRSalVhZmljVmlqMldyWjJiYkpLM3hQTyszWnJhUHBJdDgzLzlpUEI1L3JxU2twSWVaL2Era2RiVzF0UzkzTU80TElwSElmRE9iRjQvSDB6L3dmNUdrYURRNk12WDZnMWdzOXBkMEk5LzNDMU94L0YxU1dVWi9aenJuZXBuWmJ6TDJUWExPRmJkeS9KNlM1SnpyYVBJREFBRHNJaVF6QURSaFpsdk03S2RtVm1HcEtUNUNvVkRqMUIrcDZVV2FUQm1TM3EvL1hoQjZhcmh3OURLM2xicDRURThmb3Y5Tys1R2U2aU5kNXJLMDgxSkR2SnMvZ2VlWldhajVjVFBhTkI0M2M3K2t4dU9tK213UmIrckNkaC9uWEl0SnZyTmQxRXFORjdaMVpyWkcwaG96VytDYysyVThIbjlueE1paUk1VG56dGtKLzAxb3h5bW5uQ0pKdXU2NjY5cWNEdVhqanorV0pQM3RiMzlyTXM5NmM0TUhEODY2enNTdXRtM2J0azhrbVhIMzNRMzNQeVpQbnR4cW5lOS8vL3VhTTJlT1pzK2VyUWtUSnJTNWlDOTJyY0JrZFVuN1k3ZXcrMGlwRy9OQkVEUzVRZTh5NXJyUDNDZEpHWFBnTjVabjdwTmt6ZXVrRDUzWloyWkNJbHViWkRMWjVCanBmNW56N0VzdDU5SjNxV2tJbSs5cnJWNTZ1L244K2JXMXRZM2xtWFBuYjlteXBYRTcvVFVVQ3BtWmJVeS94eGtqN1JyZjk0eW5yeitXOUU4eis2c2FibDYrWDFGUnNXS24vMGQzRWQyN2Q5Yzk5OXlqRVNPeURsVFV2SG56ZE9lZGQ2cXlzbUUyUmQvM3RXVEprc1lSREIxMThza25hLzM2OVZuTDJoc045dEJERCttaGh4NXFzbS9zMkxFdFByZlhyVnVueHg1N1ROLzYxcmZVcjErL0RzZDJ3UVVYTkNaYjNuLy9mUTBiTnF4RFNacmRqbk9xUzNxTDMzdTM3SlZjaDVJcjBXaTA4U1orRzRsTW1kbDZTYzhsazhrSFE2SFFnazJiTm0xY3VuVHA5aTVPM2E2UkkwZjI2ZDI3OXl6bjNFMnhXS3h4c1d3ek95cjFBTTFla3M1dHI1L1UzNmRaa3htKzd4ZWEyZGVjYzB0anNkZ1RyZlZSV2xxNnp2Zjk3MGw2WE5Mdm90Rm9SU3dXVzlDOFhqS1ovR1k0SEQ2dXRMUjBhM0Z4OGYyaFVPZ2lTVCtROUp5WlRaYlUyOHp1cXFxcXFtdjNEVWdwS3l2N1RmdTFtbmc3Q0lKelFxSFFQMHRMU3h1Znh2QjlmNUtrNGZGNC9NY1orNDRNZ21CTVRVM042dWFkbUZuLzFQLzloazRlSHdBQTdHUWtNd0EwNFp4TFNJckg0L0hkNlVLMjhlbTg1dHNsSlNXcXFhbHhrbFJYVitjU2lVVEQ0N1NwcjN2dHRaZVRwUHI2K3NheVpETForTFYzNzk0blNob250WjNBU0pXdk1yUC9Gd1RCNDg2NTFZbEVvdFk1VnoxLy92eU5XUnRpbDF1M2JwMVdybHpaYW5rUU5JeVUyYnAxYStNVHZ0bTA5bisvZWZObVBmZmNjenJsbEZNYUY4Sys5OTU3ZGM4OTk3U29XMWZYY0swK2RlclVyRThHdi9iYWEwMm0ySkdrbXBvYUpSSUovZXhuUDh0Ni9JMGJHNzYxRml4WTBHcWRqejc2cUpXemFyQjA2Vkw5L2U5LzE3Qmh3M1Rzc1ZrZlRKY2s5ZXZYVDVkZmZya3V2ZlJTelpneFE2TkdqZEwrKysvZlp0L1lOWnpuVkZPdk54Zk0zNjArcDd1OGFEUXFxZVhQZThabi9BZG05cnNnQ1A2NGZ2MzYvNnhZc2FKVzJhYyszT08wbHNpNDY2NjdHdGVjT09DQUEvU0RIL3hBeHh4empFNDg4Y1JPSnpPKzg1M3ZxS2FtcHNtKzExNTdUZkY0WE4vKzlyZXpqb1JZczJhTkhubmtFUjErK09FNjZxaWptcFFOSFRxMFJmMjVjK2ZxM252djFTdXZ2S0xISDMrOHc3RVZGQlRvcmJmZWtpUU5IRGhRVjF4eFJZZmJZdmRrR2ROSHBkU1kyZVlnQ0JZNzUrN2J1blhyLzF1MGFORW45cFIrcjE2OVB1K2NteXJwUkVsN3AvZlgxOWYvTWo4L3YrVWZIUzN0Sytudmt0YTJVdTQ1NTM2bmhyV0libEhEZEt5dGlzZmpUMFNqMGNjbG5TN3BMNzd2SHhHUHg1djBYVkZSc1VXcFJjVEx5OHZqdnUrLzRadzdvYmk0K1BObWRyVnJtT2ExYzR2V2RGSThIbDh1NlE4ZHJEdFAwcnhzWlo3bnBZZXR0djFIRlFBQTJPVklaZ0RZRTdTMmxvWktTMHZiYkxoaVJkc1AwMFlpa2EydFBKa2JTS3B4em0wS2d1Qk41OXp2NC9INGJER1BWSmR5KysyM3Qxbis4TU1QYTlhc1dUcnR0Tk4wNmFXWGRyci9lZlBtNmFhYmJ0S1RUejZwUng5OVZKSlVYMSt2MnRwYWpSdzVVdjM3OTIrM2o4cktTdFhVMUxTNGdWcGRYYTFrTXFsa01xbG5ubm1tbGRZTlB2cm9vM2JyWkJNRWdXYk1tQ0V6MCtUSmsxc2tVNXFiTkdtU0prMmFwSmRlZWtrWFhYU1I3ci8vL2c2ZEk3QTdhVDZGbEptOVlXWi9LaXNyZXlQSG9YVTVYLy82MS9YYWE2L3A5Tk5QMTBrbm5kVHVaMGltcVZPbmF0eTRjVHJqakROVVVGQ2cwMDgvdlVXZE5XdldLQjZQNitTVFQ5YklrU05ibEZkVlZlbVJSeDdSSVljYzBxRzFmT2JPblN0Sit0em5QdGZoT0NWcHhvd1oycnAxcS9Mejg5VzNiMTl0M3J4WlYxMTFsVTQ0NFlRV1NSVHNHVktmQTdWbVZpSHBUVW52U0hxbnJLeXNLa2Z4SEN0Slp0WmtmWW5LeXNyVmtscU1KR2d1R28zMlRXMW1YWkE4R28xT2szUzBwRXJQOHpveVhaWHE2K3ZQejh2TEs1STBSdEpmRHp2c3NDL09ueisvMVpFTHpybWZTWHJlODd4blUxTTgzYjB6MXZsb2krLzdWMHNhbGlXVzRaSjYrcjdmWXRpdGMrN05XQ3pXWkdGeE14dWRHbjI5ZE5kRkN3QUFPb0prQmdCMFVPb2lacE56YnA0YUxtckxrOG5rdlBMeThnOXpIUnR5NHgvLytJY2txYWlvcUVYWmVlZWRwMG1USnJYYnh4bG5uS0hGaTF0ZXk2OWIxM0MvNFlnamp0Q01HVE95dG4zdnZmZDB3UVVYYU55NGNicjIybXV6MXZudWQ3K2J0WDlKZXZUUlIxVldWcVlERHp4UXA1NTZhcnV4U3RLVlYxNnB4WXNYYS9ueTVabzJiWnJ1dU9NTzllblRwME50Z2E3T3pEWTQ1MTRKZ21DZXBMYzNiOTRjVzdKa3ljZTVqcXVyNnRldjMzYXRHN1J0MnpiRjQzSEY0M0dkZHRwcENvSWc2d2k0SFZrelEycFkxRDY5ZGxJaWtXaWNUdkR6bi85OHArTHQyYk9uZXZiczJmaDYxYXBWZXU2NTUxUlpXVWt5WXc5a1pxdWNjNCthMlZOQkVMeGZYMSsvdGpOVEllMGk2VDhvbnQrZXhrRVFEUEE4VDg2NU5jM0xpb3VMUjB1YVlXYUJjKzY4MHRMU0RpMXlQWC8rL0EySEhYYllsOExoOEQrZGMyUEQ0ZkRMdnU5L29ma0lqYlJZTERZN0dvMysxVGwzb3FSYXovTit1ajNuMGxGanhvenBMZWwvblhPSHRGYkhPWGQrbHQyOUpOM1hyTjduVWwvTHN0UUhBQUNmSUpJWkFOQUJRUkFzOGp6dlhrbHp6R3g1UEI3ZklDbVI2N2lRTzJhbU45NW9lRkM3c3pmR091S0REejZRSk8yMzMzNnR6dTNlcTFjdlNWSmVYbDZyZGNMaDdML3FseTlmcmp2dXVFUE9PVjE5OWRXdDFtdXVUNTgrdXUyMjIzVFdXV2VwcXFwSzMvbk9kL1RiMy82V0VScllFL3dnQ0lJWHRtelpzbXJKa2lYVllxVGRMck42ZGNPRDVMMTY5VkxQbmoxMXhCRkhxTDYrOWZ1bjI3Tm1oaVFOR0RCQUw3N1k4Q0I3YVdtcHRtN2Rxdjc5KzJkTlFIZEdlbFFuVSszdGVZSWdPSFhObWpVdnJGeTVzbVYyTEVkS1NrcUdtdG5CWmhiVTFOUzhzRDE5T09jR3BqYWJKRE1pa1VnL3ovT2VsZFRET1hkSExCYjdaMmY2blQ5Ly9sTGY5NzhpYVk1enJ0ak0zb2hHbzErTHhXSVZXYzZqaDVrZG1IclpMUWlDU1pJZTJJN1RhY3ZJYURSNnE1bDlTVkxsMnJWcngvYnAwNmZGa0xGdTNicTlJV252MnRyYUZuUG8xZFhWTmZrd1NpMHVYbVJtRmdUQjNKMGNMd0FBNkNTU0dRRFFobEFvRkU4a0V0SHk4dko0cm1OQjE3Snc0VUt0WDc5ZXZYcjEwdGl4WTNkNi8vUG56NWZVK2x6MU8yTHo1czI2K09LTFZWdGJxNjkvL2VzNjdMRERPdFYrK1BEaHV2WFdXM1grK2VkcjhlTEZPdnZzczNYTExiZG8xS2hST3oxVzRKTVNpOFYrbmVzWTloUVpVekptTFYrNnRHR21sbjMzM1ZlU05HM2F0TVpSR05sczI3Wk5CUVVGTGZabldkZWdpZTdkdXpkdS8rMXZmNU1ralI4L1hwN250WWkxK2ZGLyt0T2Y2b29ycm1nYzJaRXBQZHJ0NElNUGJ2WFkyRDJWbFpVOW5lc1ltak96a3lYSk9mZjJ3b1VMLzdPZGZReExmYTlucnZrUWRzNDlJV21NbVpVbGs4bk96N2VwaHJVbUlwSElDWjduUGUyY0d5bnBuOUZvOU51eFdPekp6SHBCRU56bW5Edkl6TjV5emgwczZXN2Y5eFB4ZVB5UjdUbnV5SkVqQzNyMzd2MVpTZU1sZlVGcW5JN3IyTlFhZ0crc1dMR2lKbHRiMy9jRDU1eXFxcXFxTzNDb0g2YSt2c0ZvYkFBQWNvOWtCZ0Mwb2JTMDlBTkpIK1E2RG5ROXMyZlBsaVNOR3pldXc2TWFPdVBsbDErVzlOOUZpWGVXUkNLaDZkT25hL255NVJvOWVyU21UWnUyWGYwVUZSWHA5dHR2MTQ5KzlDT3RXTEZDWjUxMWxuNys4NTlyNHNTSk96VmVBTHVmL3YzNzY2T1BQbEpGUlVWandpTE56UFRjYzg5SmtnNDY2Q0RwLzdOMzUvRlJWZmYveDkvbnprd1NRaElVS0tDaThsVkVDSkRrVHR4b1hSQVJjU21LV3F5MlZOeTE4TldmclJYOUlsOVJzZGFLWHhXMVNvc0xWYWxZdGFKMUY2cEZSY1RNVEJZQ0NCVlFWRUJrTVN4Wlp1NzUvWkZNbW1XeVFTQ0RmVDBmRHg2Wk9kdjkzSkhITWR6UG5ITWtYWFRSUlkzR0tDOHYxeHR2dktIbm4zOWVPM2Z1MUZOUFBhWDA5UFRhK3JLeU1vMFpNMGFISDM2NFRqNzVaSjEwMGtucTNyMTdvM0hpWTgyZlAxK1NOSFRvMEhwMThUNkxGaTNTeUpFamE4dFRVbEtVa3BMU2FLenQyN2ZyalRlcWQvckp5OHRyL29NQTJzY0ZrbVN0ZlhWWEIzQWM1NmlhbHl2alpjRmc4REpKcDBoYVYxVlZOYXFrcEdSN29yNlptWm54ckdDVHk2Y2lrY2k3d1dEd1JHdnQ2OFlZRTQxRzYzMEpLQzh2N3daanpHWFcyaThsblNWcHNESG1WVW16ZzhIZzBHZzBPcm1vcUNpK2F1VEtXQ3lXRlFnRW1qMmZJak16ODNwanpGM3g5elhuSEwzaGVkNXJmci8vellLQ2dxM045VytObkp5Y0k2MjFseHRqNUhuZTlOMGREd0FBN0Q2U0dRQ0E3NVZZTEZhN2ozcEw0dHVhTkxYZmVrUHgvZGRqc1ZqdHc3ZzlzY1hVcWxXcnRHclZLblhyMWkzaG9iZHQwZkNiMFhQbnp0WGl4WXZWclZzMzNYZmZmZlcrdVZ4WC9ETnNMbEZ6MUZGSGFlYk1tWm93WVlJazZjZ2pqOXl0V0FGOFB4eDc3TEVxTFMzVmJiZmRwci8rOWEvMTVwbXZ2dnBLWDM1Wi9lWG1NODQ0bzE0L2E2MEtDd3YxNXB0djZyWFhYdE8yYmR2azkvczFmUGh3YmRxMHFWNHlZOE9HRFJvNGNLQSsvUEJETFZ5NFVIZmRkWmR5YzNNMVlzUUlEUjgrWE4yNmRhdHRPMy8rZk8zWXNVT2RPblhTc2NjZVcrK2F4eHh6alB4K3YxNSsrV1VWRmhhcVI0OGVUZDVYTEJiVHlwVXI5ZDEzMytuZ2d3L1dVVWNkMVdSYm9EME1HalNvcDZwWEhpZ1dpeldiek1qTnpSM285L3MzRlJRVWZLT2FyVkQ3OU9tVHR2LysrLzlFMHJuV1dodUx4VDZJdHcrRlFuOEtCb1BIUmFQUlIwdEtTcjZJbC9mdjM3L2JzbVhMdGtpS1NmTDUvZjRKTlZXcm03dCtLQlFxeXMvUEh4S0x4Ym9XRlJXdGlwY0hnOEVycmJXL1YzVXk1Q2MxWjJyTXo4bkorWkhQNTN2ZUdIT2x6K2U3T0JnTXZ1MTUzbnVlNXkzMVBPOXpTVjM2OU9uanJWNjl1bEwvM3ZiUDZkMjdkMnBXVmxhc1psWEoyZGJhMXlXOUZnNkhDeVJaU2NySnllbnR1dTdkVGNYYTNBSGdOZldoVUNqMG1OL3ZueWtwMVZwYldGaFkrSHh6OXc4QUFQWU9raGtBZ08rVmYvN3puN3JoaGh2YTFPZkZGMS9VaXkrKzJHSzdBUU1HNk9tbm45WkhIMzJralJzM0tqVTFWVC84NFE4VHRwMDhlYkp1dmZYV0ZzZE1sSGg1NUpGSEpFbG5uWFZXaS8yYnMzbnpabjN4UmZYemlmaFdLYU5IajFaeGNiSE9PKzg4OWVyVnE3YnRsaTFibEptWktaL1BwMWdzcGpsejVraVNEanp3d0dhdmNjUVJSMmpXckZuYXVuV3JEanJvb04yS0Y4RDN3MldYWGFZdFc3Ym9uWGZlVVVsSlNhUDYzcjE3NjhvcnI1VHJ1cEtxRTdqUFAvKzgzbm5uSFczY3VGR1MxTE5uVDQwZE8xYm5ubnV1dW5idDJtaU13dzgvWE5PbVRkUE9uVHYxM252djZZMDMzdERDaFFzVmlVUTBiZG8wNWVmbjY0b3JybEIrZm43dHRuMURoZ3hwdE5xaWQrL2V1dnZ1dS9YZ2d3L3E4ODgvMTVvMWE1cTl0MEFnb09PT08wNDMzWFJUdmUycWdEMGhKU1hsSjVKOGtyNHVLaXBxZHN0VHgzSCthSzM5WVRBWWxMVzJVbEtsTVNZalhtK00rV3RSVWRIYU9sMjhVQ2gwU2NOeDB0UFRYM1ZkOXhoanpFNUpnWm8va3ZSc1MvRTJYTkhzdXU2dnJiWDNTSksxOXVwd09Md3dYbGRVVkJUcTNidjN3TzdkdTQ4M3hreVFkSmJqT0dmVjNJdXN0ZXJhdGF1NmR1MHFhNjAxeG5nMW40VWtuUjRLaGQ2UU5LU0p6Nko3RTRkNzE5TlVHMnZ0QzhGZ2NLdWs0NjIxbnJYMmwrSWNKUUFBa2dMSkRBREE5MHEzYnQwMFpFakNmOXZ1dHZoMktmRXRSbzQ3N3JnbVY4T1hzY29BQUNBQVNVUkJWRFljY3NnaHJUb1V1NlNrUkR0My9udEw1K0xpWXMyYk4wOCtuMC9ubjM5K20rSXJLU25SK1BIamxaR1JvVUFnb0crKytVYmw1ZVU2OU5CRGE1TVpqdU5veXBRcGpmcGVkOTExS2lrcFVWcGFtcUxSYU8zKzhhZWRkbHFMMSszVnExZTl4QWlBLzJ5ZE9uWFNMYmZjb2x0dXVVWGw1ZVh5dkg4L0EweEpTV20wNHF1aW9rTFBQdnVzTWpJeWRQYlpaK3YwMDA5WGZuNStxNUlGblRwMTBzaVJJelZ5NUVodDNicFZiNzc1cHY3Kzk3L3JrMDgrcVUxc1Q1dzRVYWVlZW1xVDR3MGRPbFJEaHc1Vk5CcFZaV1ZsazljeXhpZ3RMYTNaY3pxQWRoYVF0Tk5hKzVwcVZoMDA0ejFKeDByeUdXTlNKS1ZJa3JWMnJUSG1oZkx5OGx0YWVjMUNTY2RJU3BjVXRkYXVNTWI4S1J3T1A5R1d3RjNYdmRvWU0wMVN6RnA3U1RnY2JuVFk5OXExYTNldVhidDJtcVJwT1RrNWd4ekhPYzRZa3lQcFVFbTlKTzB2cVpPcVYwZW81aXlNamFGUTZKM21yaDJKUklxeXM3TXoyeEp2WFR0MjdJaXVYcjI2M0hYZFBwSXlJcEhJaDdzNkZnQUFhRjhrTXdBQTN5czVPVGw2NktFOWU0N3ZUVGZkcE1HREJ6ZTdhdUdLSzY3UThPSERXeHpycHovOWFlMWhzbEwxU29oZXZYcHAyTEJoTGE2SzhQdjk2dHExcTdLeXNpUkpoeDEybUNvcks3VnUzYnJhTm9jY2NvZ21UNTdjWWh6OSt2VlRTVW1KeXN2TDVmUDVkUERCQit2Y2M4L1ZxRkdqV3V3TDREL0g0NDgvM3FiMmlRN1FicWgvLy81NjdMSEhsSjJkbmZDY2l0YnEwcVdMeG93Wm96Rmp4dWpycjcvV0FRY2NVRnZYbXZPSC9INy9IamtEQ2RoVm9WRG92djc5Ky84NVBUMjl4VzlIaE1QaC81SDBQNUo4ZmZyMENXUmxaZm1LaW9yS1ZiMWRWRnV1ZVpXa0ZsYzF0TVJ4bk1jOHp6dEswdXZoY1BpRmx0b1hGUldWU0dxOGxHdlhlSzA4M0x0WjRYQzR5YTJxQUFCQXgrQzNkUUFBMnFoejU4NGFNMlpNd3JxcnJycEtWMTNWK21jQXp6NWJmOWVHYnQyNjZjRUhIMVRQbmoxYjdOdXZYeis5L2ZiYnRlL1QwOU8xY0dIMURnN3hsUld0ZlRBM2FkSWtUWm8wcWJWaEEwQzdhdS9EdE9zbU1vQjkyYkpseTc2VjlHMGJ1c1JXcjE3ZHBnVEdubEJRVUZBbDZmS09qZ01BQUh5L2tNd0FBQ0RKSEhiWVliczlCdDh1QmdBQUFBQUEzeWVjV2djQUFBQUFBQUFBQUpJYXlRd0FBQUFBQUFBQUFKRFVTR1lBQUFBQUFBQUFBSUNrUmpJREFBQUFBQUFBQUFBa05VNEhCUUFBd0c3cjM3OS90MDZkT3QwaGFaU2s3cExXU0hvOEhBNVBreFJycWIvcnVvZEsrbDlKSXlWMU44YXN0ZFkrWFZaVzl0dVZLMWRXSk9xVG01dDdzcy9uKzVXazQ2eTFXY2FZOVpJZURJVkM5N1RYZlFFQUFBQUFrZ01yTXdBQUFMQmIrdmZ2M3kwOVBYMlJNZVlhU1N1TU1iTWxaUmhqZnVlNjdtTXQ5Yy9KeVJra0tXU011VlRTU2tsekpGbGp6UDltWm1iK1RaSnAyQ2NZREU1eUhHZWV0ZlprU2U5TGVrclNTbXZ0TWUxNWJ3QUFBQUNBNU1ES0RBQUFBT3lXVHAwNi9WN1M0Wkp1RElmRDkwalN3SUVEdTZhbXBuNXNqTGs0THkvdlQ1Rkk1SU9tK3Z2OS9pY2xkWlYwYVRnY2ZrS1MrdmJ0bTVxVmxmVVhZOHhvMTNYSGhzUGhQOGZiNStYbC9VVFNWR1BNUitYbDVhTkxTMHZYeGV2eTgvTURlK2cyQVFBQUFBQWRpSlVaQUFBQTJHWDUrZmxkakRGanJiV3JRcUhRdEhqNWtpVkxOa202VTVJY3g3bTRxZjY1dWJuOUpPVkxXaFFLaFo2SWw2OWN1YkxDR0ROZVVzd1ljM21kNndXTU1mZFphemRiYTBmVlRXUklVa0ZCUVZYNzNSMEFBQUFBSUZtUXpBQUFBTUF1czlZT2t4U1E5SGRKdG01ZGVYbjU2elV2VDJobWlENDE0M3phc0tLZ29PQnJTYXRydG83eVNaTG5lYWNiWXc2UzlHZzRIUDVtOSs4QUFBQUFBTEF2WUpzcEFBQUE3REpyN1VCampLeTF4UTNyU2t0TDF3V0R3YTJxM29MS2tlUWw2TDlWa293eFJ5UVkza2pxWW94SnpjbkpPYUNvcUdpdHBGTnIycitlblozZEt6VTFkWXkxOWlESGNUNnZyS3g4dnFTa1pIMTczaDhBQUFBQUlEbXdNZ01BQUFDNzQwQkpNc1lrVENKWWF6ZElDaHg1NUpHZEU5VUhBb0ZRVFp2alhOY2RXNmZLQklQQnFaSzYxN1RMcUNrZlhQUHpCMmxwYWN1TU1RODRqbk9qcElkU1VsSld1SzQ3dkIzdUNRQUFBQUNRWkVobUFBQUFZSGVrUzVMbmVlV0pLbzB4NVpLVWtaR1JtcWkrb0tDZ3l2TzgvN2JXZXNhWVA3dXV1emdZREQ0WERBYVhTcnBLVXBFa3hXS3grUGpkYTM3ZTczbmUxR2cwMnROYWU1QzE5bFpyYllhazV3WVBIcngvTzk0ZkFBQUFBQ0FKa013QUFBREE3b2hLa2pHbXFlMUxVMnArN21ocWdNTEN3dWVNTWFkYWE5ODF4bVJMR21tdFhXV3RQVEhleitmemJhNjVUcG9rV1d1ZmlVUWkwNHFLaWphRXcrR3Z3dUh3N2NhWXZ4cGo5ZzhFQW1QYTYrWUFBQUFBQU1tQk16TUFBQUN3eTR3eG15WEpjWnl1VFRUcGJxM2RGZ3FGbWt4bVNGSW9GSm92YVg3RDhtQXdlSVMxOXF0UUtMUlZrcXkxMjJyTzZIZ3h3VEJ2U0JwanJjMXUyMTIwUDJ1dFZuNjJTbG1abVIwZEN0Q3NGU3YvcFZpczBYRTJBQUFBUU5JaG1RRUFBSUJkNW5uZXA0N2pTTktBaG5YNStmbmRyYlhkakRHTGRtWHMzTnhjVjFJM1k4eHo4VEpqekdlU2NoT3RCTEhXbGhsanBPcUR3enRVVlZXVkh2M1RFMHBMUzdpN0ZwQTBLaW9xdFhQbnpvNE9Bd0FBQUdnUnlRd0EyTXU4bUtjMVg2eFY2ZExsSFIwS2dIM0k2aldmS3hxTGRuUVlpYndyU2RiYU15Vk5xbHZoZWQ3cE5jbUYxM2RsWU1keGJxaDUrVlNkNGdXU1JrczZVZExDdXUyTk1XN055Nlc3Y3IzMkVMV3hqWDZaVGRhcTE4WnZ2KzJvTUlCZHNjV0xWbTNvNkNBQUFBQ0FwcERNQUpCMDh2THkraGhqbnBUMFVUZ2N2cWsxZlhKeWNqcjcvZjdmU1BxcHRiYVBNYWJjV3J0WTB1L0M0ZkM4UFJwd0crMHMzNmxILy9TRTB0TTdkWFFvQVBZaE8zZVdxNnlzcktQRGFDUVNpYXh3WGZjOVk4eEpydXRlR2c2SEg1ZWtnUU1IZHBYMHY1SjJXbXYvRkcrZms1TnpwTi92UDdXOHZQekowdExTYlpLVW01dDdVR0ZoNFRwSnNYZzcxM1YvYll5NXlGcjd6M0E0L1BkNGVXVmw1ZXhBSUhDN01lYUd2THk4T1pGSVpIVk4rMnhKRTFSOXhzYnplK1BlRTFuN3J5V2ZIWHg0enNVK3YzcDNWQXpBcmpEeXZ2cDg1WkpsSFIxSE1CZ2NiYTM5amFRY1NWWEdtUGVqMGVqTlJVVkZKYTNwbjVlWE44NFljNDB4WnBDcXovVDVLQmFMVFM0c0xQdzRVZnZzN095TTFOVFVpY2FZOHlYMWtWUmhyVjBTaThVdUtDb3FXdHRlOXdVQUFJRGRSeklEUU5Kd1hmZEFTYjh5eG95WGxHYXQvYWlWWFkzZjcvOVExZi9vWFNScGpyWDJFRW1uU0RyRmRkMXg0WEQ0ejNzbTZ0YXI4cHROQVd2S1BjOXEzZnIxSFIwT2dIMlVzYXFLR205alI4ZFJsK2Q1NDMwKzM0ZVNacnF1K3hOanpOZVNSa282d1BPOEt5S1J5RmZ4dGo2Zjc4K1Nqa2xOVGUwcGFiSWtPWTV6U1RBWXZGTFNSNUsyV1d1UE04WU1rTFM4b3FMaWdyclhLaWtwV1I4TUJxK1Y5TGpqT0lYQllQQVZTZW5XMmhIVzJrN0dtSXZENGZBM2UrZk9FL0srK0ZkUmlhUldQWGdGOEcvQllQRC9TYnBQMGplU25qZkdIR0N0UGRQbjh3M055Y2taMGxKQ0l4Z00vbEhTRmRiYTlkYmF1WkwyTjhhYzRqak9QMTNYUFMwY0RyOVh0LzJnUVlNT1RrbEorWWVrd3lVVldXdG5HMk15akRISE9ZN1RYUkxKREFBQWdDUkNNZ05BVWdnR2cvZExHcS9xZWFsQVVuNGJ1dnVzdFdtZTV4MWI5MXQzdWJtNUkzdyszMnZXMnZ2eTgvUC9VbEJRVU5YT1liZkpsOHNLVng1ODVLQ2YrRHcvMzlZRnNPdXM5L1VYSzRvNmJCdWxSQW9MQzVlNHJqdEUwbDNHbUpPc3RYNWpUTmp6dk1zamtjaHJkZHRhYTk4MXh2UzMxaTZzVTdaSTB0bkdtTk1rQlNTdGtqUWxHbzFPS3kwdDNkN3dlcUZRNkltOHZMejF4cGovTWNhTXR0WjZrajd5UE8vT3dzTENmK3padXdXd0orVGs1UHlYcE45YmExZkhZckZqaTRxS05raFNYbDdlZFk3ajNPL3orZTZUZEdwVC9ZUEI0Rm1TcnBBVXJxeXNITDVreVpKTmtwU2JtM3U4NHpqekpNMlUxRi8vWGdIbUR3UUNyMWhyLzB2U1pmRlZaVFdNSkYrNzN5UUFBQUIyUzRjZmpnZ2dPZVRsNVExMUhPY3YxdG8wYSszb1NDVHk3dDY4dnV1NmIwa3l4cGpicmJVOWpURi90ZGJlM2NwdHBreCtmbjYzZ29LQ1J0OVVEZ2FEOHlRTnE2cXF5aWt1TGk1dTk4QUJBQUN3Mi9MeTh1NTJIT2RHei9NdWlVUWlUOWFwTXE3cmZtYU02Uk9MeFhvWEZoWittYWkvNjdxempURVhTam85RkFxOVViY3VHQXcrTE9tWGtrNEpoVUx6YTlwZlk0ejVnN1YyYWpnY25yeW43Z3NBQUFEdHgrbm9BQUJBa21LeDJPaHdPSHhxS0JSYXNBdmRiYUpFUm8ydGt1UTRUc1d1UndjQUFJQTl5WEdja1pKVVhsNytTb01xSytsTlNmTDVmTWMzTTBRZlNhcXFxdm8wUVYxOEpkaVFlSUV4NWdwSjVZN2pUTnZWbUFFQUFMQjNzYzBVZ0tSUVZGVFVhQnVSM1pXZG5aMWlyVDFXMHZidDI3ZXZhZS94QVFBQTBDNTgxdHIra3I1YXRtelp0dzByalRITEpNbGFlMFF6WTJ5VnBFQWdjSVNreitwV1dHdjNOOGFvWmtzcERSdzRzS3NrVjlMOGdvS0M3NExCNEVocjdROVZuVGhaRUE2SDMybVh1d0lBQUVDN1ltVUdnTyt0dExTMG00MHhCeHBqbmx5NWNpVXJNd0FBQUpKUVRrNU9OMk5NaWpGbWZhSjZ6L00yMUx6Y3Y2a3hyTFZ2MVB5OG95WlpJVWthUEhqd1laSW1TcEl4SmtPU0FvRkFUazMxeW1Bd09FZlM2OGFZeWNhWS96WEd2TzI2N2t2NStmbUIzYjh6QUFBQXRDZVNHUUMranh6WGRlK1FOTVZhVytwNTNpMGRIUkFBQUFBU2N4d25YWktzdGVWTjFKZExrakVtdGFreHRtelpNc05hdTlnWWMzUnFhdXFucnV1KzdMcnU2NEZBWUlreFpubmQ4WTB4M1d1NmpiTFc5dkU4NzVqeTh2Sk16L09PdDlhV0dtUE90dFpPYXRlYkJBQUF3RzVqbXlrQTN5dURCZzNxR1FnRW5qSEduQ0pwZ2FUeklwSElsbzZPQ3dBQUFJbDVuaGQxSEVkcTR0K24xdG9VWTR3azdXaHFqTldyVjVlbnA2Y1BTMHRMdTFYU0dHUE1TR3Z0V212dGJkYmFJc2R4aGxsck4wbVNNU2F0cGx1bldDeDJWbEZSVVh6bHh3ZTV1YmxqSE1jcE5zWmNLV2xLZTkwakFBQUFkaC9KREFEZkc4Rmc4RGhKZjVQVVhkS1VVQ2cwVlZLc1k2TUNBQUJBYzZMUjZCYS8zeTlqVE5kRTlmR1ZGTmJhaE50UXhaV1dsbTZUOUp1YVA3VmMxLzN2bXBkTEpjbnp2RzJPNDhoYSswR2RSSVlrcWJDd2NFa3dHUHhDMGlHREJ3L2V2N2k0ZVBPdTNSVUFBQURhRzl0TUFmaGV5TTNOUFY3U1BHdHQxUE84azBLaDBHMGlrUUVBQUpEMFNrdEx0MWxydjVKMGFINStmbnFDSnYwbHlSaXpaQmN2TVZ5U0hNZDV2K2JuWnpYak5iVVNwRXlTUE04enUzZzlBQUFBN0FFa013RHM4L0x6ODlNZHg1a2phV3RWVmRVUEk1SEloeDBkRXdBQUFOcmtYVW4rV0N3Mm9rRzVrVFJTMG80Tkd6YTgxOVpCZzhIZ0FHUE1tWklLUXFIUVVra0toVUtsa3I2VmxOOHdlZEszYjk4c1k4emgxdHIxUzVZczJiUkxkd0lBQUlBOWdtUUdnSDJPNjdyRGc4SGd6K1B2UGM4N3p4aHpvTFgyMFpLU2tpODZNallBQUFDMG5iWDJUNUxrT000ZGZmdjJ6WXFYMTJ3UmRiaWtQNjFkdTNablRiSEp5OHNiNTdydVNYWEh5TS9QUDZUaGUydnQ4NUo4MXRxSmRhcWlraDZYMU0xYWUxdWRjaWNySytzZVNXbkdtRCszMjgwQkFBQ2dYWEJtQm9COXlwRkhIcGxwakhsZGt0OTEzYS9ENGZBOFNYbVNaSXdaNWJwdXNJbXVDOExoOEwxN0xWQUFBQUMwV2lRU2VkZDEzY2VOTVpkbVptWXVjVjMzTFVrSFN4cHVyVjNpT002dDhiYXU2NDQweGp4aHJhM0l6OC92V2xCUXNFT1NQTS83MUhYZGhaTCtKZWtIMXRwVEphVlphMzlkOHp0anJlKysrMjVxVmxiV1NFazN1SzU3b3FRU1k4elJrZ1pMQ2tlajBicEpEZ0FBQUNRQlZtWUEyS2NzWDc1OHU2U1BKSDBSaThXVzF4VEh2NzJYYjR3NXU0ay9SM2RNeEFBQUFHaU5jRGg4aGJYMkJrazdKUDFjMGdCSkR6cU84Nk9DZ29LdDhYYlcycVhXMnErTU1SOFdGQlRzckRQRWM1S09rRFJXMGhCcjdWdkdtSlBDNGZEL05ield5cFVydi9NODcwUnI3WFJKQnhsanhscHJNNjIxZDVlWGw1OVlWRlMwZlkvZUxBQUFBTnFNQTgwQVNKTHk4dktHT283ekYydHRtclYyZENRU2ViZWpZd0lBQUFBQUFBQUFpWlVaQUFBQUFBQUFBQUFneVpITUFBQUFBQUFBQUFBQVNZMWtCZ0FBQUFBQUFBQUFTR29rTXdBQUFBQUFBQUFBUUZJam1RRUFBQUFBQUFBQUFKSWF5UXdBQUFBQUFBQUFBSkRVU0dZQUFBQUFBQUFBQUlDa1JqSURBQUFBQUFBQUFBQWtOWklaQUFBQUFBQUFBQUFncVpITUFBQUFBQUFBQUFBQVNZMWtCZ0FBQUFBQUFBQUFTR29rTXdBQUFBQUFBQUFBUUZJam1RRUFBQUFBQUFBQUFKSWF5UXdBQUFBQUFBQUFBSkRVU0dZQUFBQUFBQUFBQUlDa1JqSURBQUFBQUFBQUFBQWtOWklaQUFBQUFBQUFBQUFncVpITUFBQUFBQUFBQUFBQVNZMWtCZ0FBQUFBQUFBQUFTR29rTXdBQUFBQUFBQUFBUUZJam1RRUFBQUFBQUFBQUFKSWF5UXdBQUFBQUFBQUFBSkRVU0dZQUFBQUFBQUFBQUlDa1JqSURBQUFBQUFBQUFBQWtOWklaQUFBQUFBQUFBQUFncVpITUFBQUFBQUFBQUFBQVNZMWtCZ0FBQUFBQUFBQUFTR29rTXdBQUFBQUFBQUFBUUZJam1RRUFBQUFBQUFBQUFKSWF5UXdBQUFBQUFBQUFBSkRVU0dZQUFBQUFBQUFBQUlDa1JqSURBQUFBQUFBQUFBQWtOWklaQUFBQUFBQUFBQUFncVpITUFBQUFBQUFBQUFBQVNZMWtCZ0FBQUFBQUFBQUFTR29rTXdBQUFBQUFBQUFBUUZJam1RRUFBQUFBQUFBQUFKSWF5UXdBQUFBQUFBQUFBSkRVU0dZQUFBQUFBQUFBQUlDa1JqSURBQUFBQUFBQUFBQWtOWklaQUFBQUFBQUFBQUFncVpITUFBQUFBQUFBQUFBQVNZMWtCZ0FBQUFBQUFBQUFTR29rTXdBQUFBQUFBQUFBUUZJam1RRUFBQUFBQUFBQUFKSWF5UXdBQUFBQUFBQUFBSkRVU0dZQUFBQUFBQUFBQUlDa1JqSURBQUFBQUFBQUFBQWtOWklaQUFBQUFBQUFBQUFncVpITUFBQUFBQUFBQUFBQVNZMWtCZ0FBQUFBQUFBQUFTR29rTXdBQUFBQUFBQUFBUUZJam1RRUFBQUFBQUFBQUFKSWF5UXdBQUFBQUFBQUFBSkRVU0dZQUFBQUFBQUFBQUlDazV1L29BQURnUDBtdnZuMS9rR1l5RHVyb09BRHN1M1pFbzE5dldGV3l2cVBqQUFBQUFBQmdieUtaQVFCN1NaOCsyYjJNUCtWQkt6dW9vMk1Cc08vcTdQT3Q3TjB2OStxMW54WisyZEd4QUFBQUFBQ3d0NURNQUlDOXhlL3ZZNDA5M3NqMDZ1aFFBT3k3ck5UTDcrZ0lTU1F6QUFBQUFBRC9NVWhtQU1CZTFxbFRtaTY3ZUt3R1pRL282RkFBN0VPV3IxaXB4NTU4U2x2THlqbzZGQUFBQUFBQTlqcVNHUUN3bC9uOWZ1Vzd1VHJwaEI5MWRDZ0E5aUZaV1psNmF2YWNqZzREQUFBQUFJQU80WFIwQUFBQUFBQUFBQUFBQU0waG1RRUFBQUFBQUFBQUFKSWF5UXdBQUFBQUFBQUFBSkRVU0dZQUFBQUFBQUFBQUlDa1JqSURBQUFBQUFBQUFBQWtOWklaQUFBQUFBQUFBQUFncVpITUFBQUFBQUFBQUFBQVNZMWtCZ0FBQUFBQUFBQUFTR29rTXdBQUFBQUFBQUFBUUZJam1RRUFBQUFBQUFBQUFKSWF5UXdBQUFBQUFBQUFBSkRVU0dZQUFBQUFBQUFBQUlDa1JqSURBQUFBQUFBQUFBQWtOWklaQUFBQUFBQUFBQUFncVpITUFBQUFBQUFBQUFBQVNZMWtCZ0FBQUFBQUFBQUFTR29rTXdBQUhXYjkrdlZhdlhwMWkrMHFLaXIwOGNjZjc0V0lBQUFBQUFBQWtJeElaZ0FBT3N3ZGQ5eWg4ODQ3cjE1WmVYbTVwazJicGpmZmZMTzJiT0xFaVJvL2ZyeUtpNHNiamZIQUF3OW95cFFwMnJCaFE2TzY2ZE9uYTlpd1lZcEVJaTNHOHV0Zi8xby8rdEdQdEdMRmlsYkZuaWlXdlNrYWplcVBmL3lqcGsrZnJuZmVlYWREWTlrVjBXaFV0OTkrdTZaUG45N1JvUUJKSnljbnAwY3dHQnpmWEwzcnV0dUN3ZUEvRzlibDVlWGRYVk4zVmx1djY3cnVoY0ZnOElTMjl0c1ZydXVlSGd3Ry85YW5UNSswdlhFOUFBQUFBUHMrZjBjSEFBQkFYZHUyYmROcnI3Mm1WMTU1UlRrNU9UcmdnQU4wNVpWWDZ2MzMzOWVVS1ZNMFo4NGMrZjNWLy90YXZYcTFacytlTGMvemRNRUZGNmhIang3MXh0cTVjNmUyYnQycWFEUmFyM3o5K3ZYcTJiTm52YktLaWdxVmw1Zkw4N3lFNVYyNmRLa3RlL3JwcDNYZmZmZnBqRFBPME1TSkU1V1JrU0ZKZXVLSkoxUmFXdHJtZTg3SnlkSFlzV1BiMU9ldXUrN1NTeSs5SkVrNisreXpOWHo0OERaZmQrclVxZHEwYVZPYit5Vnl4eDEzcUhQbnpxMXVINHZGTkhmdVhQWHExVXZYWG50dHU4UUFmRi80Zkw1bkpBMTNYWGQ5T0J4K3ZtRjlOQnAxL0g1L1owbnBEZXNjeDBtVjFObnp2RGI5bmg4TUJrZGFhNSt4MWxibDVlV2RHNGxFWHQzbEcyZ0ZZOHdOa29aMTdkcjFWNnRYci83dHJvd1JEQVl2c05ZK3Roc3h6QXlGUXY5dlYvc0RBQUFBMkx0SVpnQUFra3IzN3QxMTAwMDM2ZWFiYjlhZGQ5NnBoeDU2U05uWjJUcm5uSFAwdDcvOVRiTm56OVl2ZnZFTFNkSzBhZE1ValVZMWJ0dzREUmd3b0ZYajMzVFRUVnE4ZUxGZWVPRUY3YmZmZmkyMm56VnJsdWJNbWFNcFU2Ym9oQk9xdjdCODZxbW42dDEzMzlWcnI3Mm1nb0lDVFowNlZjRmdVSkZJUk8rLy83N1MwbHIvUmVQeTh2Sld0NDE3NXBsbjlOSkxMNmxMbHk3S3pNelUzTGx6MWJ0M2IxMTY2YVZ0R21maHdvVmF0MjVkbTYrZlNGVlZWYnVNQTBDS3hXTFgrLzMreFpKbTVPVGtmRlJVVkxSMlQxOHpGQXE5RVF3R0w1VDB0S1E1dWJtNXh4WVdGaTVwNnpqWjJka3BrbEphYW1ldHZVWFNCOGFZRzNOemMyZFZWVlZ0YmFsUGFXbnB0Z1pGQVdOTVoydnRwNUtXdGlITUhzYVlJZFphVm9VQUFBQUEreENTR1FDQXBETml4QWk5L1BMTGlrYWoycjU5dXpwMzdxeHJycmxHbXpadDBwQWhReVJKLy9qSFA3Unc0VUwxNmROSFYxMTFWYXZIUHVxb28vVDIyMi9yL3Z2djE1UXBVNXB0dTI3ZE9qMzU1Sk9xckt4VVZsWldiWG5QbmowMVk4WU1QZnJvbzNyODhjZDE1WlZYNnJISC92M2w0RmRmZmJWVmlaTDE2OWZyakRQT2FIWHNrdlRzczgvcS8vN3YvK1QzKzNYUFBmZm93QU1QMUNXWFhLS0hIMzVZWGJ0MjFUbm5uTk9tOFNScHdZSUZDY3VYTDErdXl5Ky9YRU9IRHRVZGQ5eVJzTTNsbDErdTVjdVh0L21hQUpwV1ZGUlVrcGVYZDVQak9QZjcvZjQvU3hvdXlXdXAzKzRLaFVKelhOZmQzeGp6aU0vbiswdDJkdlpScGFXbGxXMFpJeTB0N2Y4a05ibEZWZ0pkZkQ3ZldwL1AxNXEyQVVuUmhvWFcycjlHSXBGYldudkJZREE0VXRMcnJROFJBQUFBUURJZ21RRUF6Y2pKeWVuczgvbnl3K0h3aDByd0FBVnQ5Lzc3Nyt1RER6NlFKSzFhdFVxU2RQZmRkMHVTempqakRDMWF0RWlTMUxkdlgzWHUzRmwvK2N0ZmF2dG1aMmZydmZmZTAzdnZ2VmU3eGRKaGh4Mm1QLy81ejVLazg4OC9YeGtaR2Fxc3JINzJGdDllcXFLaVFqdDI3SkF4UnVlZWU2NWVlZVVWdmZMS0t6cjc3TFBsdW02VHNmN3VkNzlUUlVXRkxycm9JdVhtNXRhcjgvbDhHajkrdkxLenN4V0pSQnJWN3dtUFBQS0laczZjS1ovUHB6dnZ2RlA1K2ZtU3BJY2ZmbGlYWDM2NTdyampEbjM5OWRlNit1cXJaWXhwOWJqcDZZMTJxcEVrcGFhbVNwSWN4Mm15amVQczN2RmJHemR1MU9iTm03WC8vdnMzcXZ2MDAwODFiZG8wVFowNnRkRVdZa0JUY25KeU9qdU9reHVKUkQ3V1BqeHZSeUtSQjEzWC9aa3g1dVM4dkx6TEtpc3JaNldtcG9Za3lSZ1QveDErb091NkpRMjY5cElreDNFZWNGMTNhazFaWVRnYy9sbHJyaHNPaHg4TkJvTW5TeHFUbXBwNm82U3BMZldweS9POEQ0MHhqVlk4R0dNY2ErM3VKbVQyZUVJSEFBQUFRUElpbVFFQXpmRDVmTjJOTWUrNXJ2c3Z6L05tZXA3M3FzL24reUlTaVpSSmluVjBmUHVpSlV1VzZMbm5ucXRYRm4vZnIxOC9QZkxJSTIwYWIvNzgrWm8vZjc0a2Fmanc0WHJ6elRmMSs5Ly92bDZiK0prTVhicDAwZno1ODNYRERUZG8zTGh4bWpadG1wNSsrdW1FRC83LzlyZS9hY0dDQlRya2tFTTBmbnpUWHpJKytlU1RkZkxKSjljck8vUE1NOXQwRHkzWnZuMjc3cnJyTHIzKyt1dnkrLzJhT25WcXZUTXlEai84Y0UyZlBsMFRKa3pRekprejlmbm5uMnZTcEVtMVozbnNiVHQyN0dpMnZtNWlKQnFOYXU3Y3VSbzNibHk5TnA5Ly9ybCsrY3RmYXZQbXpYcnd3UWViWEJrQ05GUXpiMzhRbjdjZHgzblpXdnZWUGpodmU3Rlk3R3EvMzMvVnhvMGJuODdLeWxJOFNXQ3Q5UmxqWkswMUNSSUg4ZC92VStxMGIzSGJwN3FpMGVoLysvMys4NHd4TitmazVEelpsbTJ1SXBISWJFbXo2NVlGZzhIanJMV1BlWjUzVzJGaDRYTk5kSlhydW9kSytxdWszNFRENGZmYUVqTUFBQUNBN3orU0dRRFFDc2FZdzMwKzMxMk80OXdpNlpOZ01MallXbHRzcmYxbkpCSlozZEh4N1V2R2pSdW5peTY2U0pMMG05LzhSb3NYTDlhNzc3NHJxWG9GaFZTZGxQalZyMzdWNmpGbnpweXBGMTk4VVpJMFlNQUFYWHp4eFpLa1JZc1dhZG15WlRydHROUFVxMWN2ZGVyVVNaSTBlUEJnblhMS0tabzNiNTdlZi8vOTJyTXc0cXFxcXZUb280L0s3L2Zyemp2dnJIY0dSaXdXMHpQUFBLTnp6am1uM3RaVGRSMTk5TkVLQkFJdHhsMVJVVkc3U3FVcHhjWEZtalJwa3I3ODhrdGxabWJxM252dnJWMlJVZGZnd1lQMTlOTlA2L3JycjlkYmI3MmxTQ1NpbTIrK1dTZWVlR0tMY2JTbmlvcUtScDluUXdzV0xGRGRMV1ZlZU9FRmpSMDd0clpzM2JwMXV1YWFhN1I1ODJZZGUreXhtalJwMGg2TkdkOVA4WG5iV2p2SkdGTVFEQVlYZTU0WGtmVEJ2akp2RnhVVmhTVFYzVWV2cnlUbDUrY2ZZSzM5U2xKeEtCUTZ1bTZmWURCNHY2VHJQTSs3SmhLSnZMUXIxL1g3L2IwaytTU2wrM3krMnlSZHRrczM4RzhCWTB3L244LzN4T0RCZzVjV0Z4Y1hOOUZ1dWpIbWFHdnRyeVNSekFBQUFBQlFEOGtNQUdnbGE2Mk1NWjBsbldTdFBkRVlzMDNTZXRkMWl6elBlMmI3OXUydnJseTVzcUtqNDB4MnFhbXB0ZHNYK2YzVi94dkt6TXlVVkowb2tLUzB0RFQxN05tejFXUFcvYVovVGs2T2NuSnlKRlZ2WDdWczJUS2RlKzY1T3Vxb28rcjF1ZmJhYXpWNjlPamFNempxQ2dRQ2V1eXh4MVJVVktUczdPeDZkVTg5OVpRZWZQQkJQZlhVVTdycHBwdDB5aW1uTk9vL1pjcVUzVDR6WS92MjdYcjg4Y2YxMUZOUEtSYUxxWC8vL3JyNzdydlZ1M2Z2SnNjNytPQ0ROV3ZXTEUyZVBGbnZ2ZmVlcnIvK2VnMGJOa3hYWG5tbGpqamlpQ2I3M1hKTDRxM210MjZ0UG8rM3RMUzB5VFpmZnZsbHZmYytuMDlISDMxMHdyYUZoWVdxckt4VXc3M3h2L3JxSzczeHhoczY4OHd6OWRsbm4ybjgrUEhhc0dHRGhnd1pvbnZ2dmJmMjd3dlFWalh6ZG9acTVtM0hjY3FzdFJ0YzF5MHl4ano1M1hmZnZjVzhuZEJaOFJmR21JdUR3ZUJkb1ZCbzVhNE9GZ3FGRnJpdWU0c3g1bmVCUU9Ddk5XZHgxRHZNT3hnTWpwWTBTdEsvckxVWHQyVjhZNHl2VDU4K2JUbk11K1ZzTXdBQUFJQ2tReklEQU5yQVdodC9hYXkxbVpJeWpURjlmVDdmdVptWm1ldGQxMzNPV3Z0VWVYbjVaK1hsNWR0WHIxNWQzb0hoN25QUzA5TjE2NjIzNnVDREQyNVR2OU5PTzAySEgzNjR1bmZ2M21MYmh4OStXRjkvL1hYdCsxZGZmVldTdEdMRml0cjZ1aXN1UHZ6d1EwblNpU2VlUFliMlJRQUFJQUJKUkVGVXFCRWpSdWhuUC91WnZ2MzJXODJlUFZzMzNuaWpSbzBhcFlrVEo5WmJ2YkZ6NTA2bHBMUzhxMHQ1ZWVPL0hwN25hZTdjdWZyREgvNmdUWnMyU2FwT0FHVmxaZW1lZSs1cGNVeXArdTlwOSs3ZHRXM2J0dHB0dUk0Ly9uaE5tREFoWVZMajlkZWJQd2QzM2JwMUxiYUo4L3Y5ZXZUUlJ4dVZiOXEwU1NOR2pORGd3WU9WbXBwYXV3cW5jK2ZPcXF5czFNeVpNM1hnZ1FmcVY3LzZsYjc3N2p1TkdERkN0OTEyVzZzK1I2QTVEZWJ0TEVsWnhwaStrbXJuN1ZnczltUmxaZVdhSkppM2ZhN3J6cXRiWUszOVd5UVNlYUJ1bWVkNXBpM240dXlDODJxdS9hd3g1cWZXMnB1MW02c3p3dUh3UGNGZzhDeEpuZngrL3c4azFTWXordmZ2MzgxYSs0Z3hacWVrY3lPUnlKYTJqRzJNdWFscjE2NDM3VTU4QUFBQUFKSWZ5UXdBQ2JtdWU1SWs2MVUvTWZHTU1UWVdpM25HR09zNFRxUDMwV2pVTThaWW44L25WVlZWMWJhcFcxNVJVV0Y5UHAvbk9JNzErWHhlZVhtNTlmbDhYaUFROExadjMyNERnWURuT0k1TlNVbnh0bTdkYWxOU1VqeS8zMjgzYmRya3BhV2xlU2twS2JhMHROUlRCeDNvV3ZmQlVaMkhZN1d2alRFOUpmMjNwQ3ZUMDlOTE8zWHFWTnlsUzVjUEhNZFpGQTZIQy9kdXRQdW1sSlFValJvMVNpTkhqdFEzMzN6VDZuNGpSb3pRWFhmZDFhcTJDeFlzcUUxY0pOTFV0azg5ZXZUUWlCRWpGQWdFOU90Zi8xckhISE9NYnJubEZyMzg4c3NhTW1TSVJvd1lVZHYyckxQT1NqaEdhN3orK3V1YU9yWDZ2TjErL2ZycDVwdHYxc01QUDZ5aW9xSTJqZU82cm02OTlWWTkrT0NEZXZYVlY3Vm8wU0pkZDkxMWpkbzVqcVAzM2t1OG04dnk1Y3QxK2VXWGEralFvVTJlV1hINTVaZHIrZkxsTGNZemYvNThXV3MxYk5pd2V1V1ptWms2L3Zqajlmenp6K3VLSzY2UXRWYS8rTVV2ZE8yMTE3YnBFUFAvSk5helN2RjUvK1c2cmxjelIxdGpqQmVMeGF3azZ6aU9Wek12Mi9nY1hYZGVkaHpIUnFOUnIrNzdxcXFxZW5PMTMrLzNqREcyc3JLeXRrMXI1bXEvMzIvOWZyL3QwcVdMVjFCUTRLbUR6NmhvN2J6dDkvdXY4UHY5U3p0MTZsUzgvLzc3LzFQU0p4MDFieHRqanEvejFtZU1hWGpBdDJLeG1GT3pzczAyck50ZGVYbDVlWktDMXRxMUZSVVZWNlNscFoxcWpCbnJ1dTd0NFhCNFRXdkhjVjMzTWtuMWxtbFphOWRMMnV6eitTYTZybHRiYm96SmxkVFRXbHNxNlpkMTYrSTh6M3U4c0xEdzQwVFhzdFpHSkJXME5qWmpURzlKcDdXMlBRQUFBSURrUURJRFFFTEdtTDlJa3VNNDhRY2x0bVpybUxydkc5VlphNjNmNzVjeHhrcFNTa3FLalZla3BhWFZ0cGVrVHAwNjJmanJqSXdNVy9Od3lYcWVwOHpNVEJzZm8wZVBIclg5WE5ldDdkTkFwYVNZTVNabXJmWGlQNjIxTVdOTTdVOUpYdDEya21wL1N2SWE5cS9aVmlyUjUxUDdPdjVRck03RHNWUkpycVE4bjg5M3ZxUnY4dkx5UG8xRzljbTJtTWZUMlNaczJMQkJLMWV1MUE5LytFTkpVa1pHUnIwRVFTS1ZsWlg2KzkvLzN1TFlwYVdsV3JCZ2diNzk5bHY5NFE5L1VGVlZWYU0ya3lkUFZrRkJnUjU2NkNFZGR0aGhqZW83ZDY3L1YrR0VFMDdRVTA4OXBYbno1aldLOCt5enoyN1Yxa2c3ZCs3VUs2KzhVcS9zOU5OUDExdHZ2YVZqanoxV0YxeHdnWHcrbjJiTW1OSGlXRTI1L2ZiYmRjRUZGMmpObWpXTjdzdnpQQVVDZ1hyYmROVVZ2d2ZIY1pwczR6aE9xK0o0NTUxM0pLbFJNa09TTHJua0VyMzAwa3VLUnFPNjdycnI5SXRmL0tKVlkvNm5NcEk2QmZ3L004WmsrM3crMVV5ZWplYm91Zys3QTRHQWJWZ1huMk1sMlVBZ0VCOUhxYW1wdGVVMTgzVHRPSW5tYWtreXh0aTZjN1cxVmszTjE4YVlpanB6YzhKNXVzRTgzT1JjWHJkdC9MMmtqSVNmVy9QemRwcHE1bTFKNXhsak51Ymw1WDBxYVhabFplWHpEYmRFMm9OaW9WRElMMG01dWJuSCszeStCWktVbloyZDR2ZjcrOFViT1k1elFEenVuSnljUVEzRzZGWlRkMGpkdWtBZzhGMUJRY0huTFFWZ2pMbXk1dWRmU2t0THR3V0R3WWNrM1NwcG9xUmZ0dlpHakRHblNycWd0ZTFyK21STHlrNVU1L1A1M3BmMGNZUDIvL1E4N3llZTV5MHRMQ3hjMHRyckRCbzBxR2NnRURqQjg3eC90U1UrQUFBQUFCMkxaQWFBaEt5MW5TU3B3VDRXcHNGUFdXc2JsU1hxVTdjczNxZm1JVkp0ZlowbXpWNm5wYjAxNHRYR21IcXZtMnZYbXZMV3F0bWpQWDdQcVpJeWpERmRqUEhZK0w4Sjk5OS92K2JNbWFNenp6eXpOcG5SclZ1M0ZnOSszckpsUzhKa3h2YnQyN1ZvMGFMYTFRd1BQRkM5UTh1UUlVUFV0V3ZYaEdQRnR6UHEyclZycTgvck9PU1FRM1RKSlpmVXZqL25uSE9VbjUrdk1XUEcxTnQycWlsbFpXVUtCQUlhTUdCQWJabmpPTFh4dHBlQkF3ZHE0TUNCamNwanNWaXJEaXJmWFN0V3JORGl4WXVWbloyZDhNeVBYcjE2YWRTb1VYcnh4UmUxYk5teVBSN1A5NEt4QVd2VnFZbTVzOTdyTnN6VHRhOFR6ZFB4Zm5YYk5YTXRHV09hekhTMU5FODNMR3ZOWEw0N0dzemJhYXFadHlWMWlzVmlIWjZFVGt0TE8wUlNva096Qi92OS9vU0hhUnRqSG9pZlN5UkpudWZObFhST2M5Zkp6czd1Wll5NXhGcnJSYVBSUnlXcG9xSmlla3BLeWcyU0xoczhlUEMwNHVMaXo5b1N1K2Q1SXlvckt4ZTJwVThpcGFXbGpiYi9xa25PdEppZ2FhaWtwR1M5cE9kM055WUFBQUFBZXhmSkRBQUpXV3RIZTU3bitIdyt4MXByckxXT3orY3pudWM1a296ak9MWGwxbHJqVkg4OTIzaWU1OFJmVzJzZHgzSHF0WW4zcWR2R1dtdU1NWFhyakxXMjNoaVM0dTBDcXY4UVRUVmorR29lbkRVYW8yNTV6WU1xcCthQm0yT01pYmVyKzdwdW4weGp6S2dFbjAvQ3o4MFlJMnR0MUZxN1FkSUdhKzJua3FaSElwRVArdlROT1U0QmMxSDcvQmZhdDhWaU1SVVVGR2p0MnJXU3FnL1ZsdFRzK1FnWFhYU1JITWZSMDA4LzNlellmL3pqSC9YWVk0OHBHdjMzYm1Tbm5ucXF6anZ2UEFXRHdYYUl2bW1wcWFuNjl0dHZ0V1hMRnZYcTFhdGUzYlp0MjNURERUZm82S09QMW1XWFZXODluNW1acVVtVEpxbWlva0tWbFpVSjczL0hqaDI3RlZOVEt5b2txYUtpWXE4a00yYk9uQ2xKR2p0MmJKTnR4bzhmci9uejUrdk5OOS9VMEtGRFcxeVY4NS9NU3RwUkdaMlY3bmRXKzN5KzJubTB6bnhkYjA1V00zTjIzVG01Wmw0MERlZFMvWHV1anMrVGpmbzBuS3RWUGFjMitqMHpQbGMzbk9NVHpkYzE3MnZuNkpxNDY3V3RHM084WE5XSmlCOG51SGJDejdQaHZDMXBxYlgyNFVna2tualB1UTVRVVZHeEtSQUkzQmwvYjR6Sk1jYjgyRnE3MkZyN1Z0MjJ4cGhUalRISFNQcXI1M21mMXFrcWJlazZLU2twTjZvNm1UTTNuclJZc21USkp0ZDFweHRqYmc0RUFyK1Y5Tk0yaHIranZWZTJ1Szc3YTBrbk5OZkdHUE8vb1ZDb1NKS0N3ZUI0YSsycHpiVGRIQXFGTG1tcUhnQUFBRUJ5SUprQklLRklKUEp1UjhmUVJrYjFWM1RVdnM3UHo5Zk9uVHROWldXbGthUm9ORnJ2WjgrZVBVMVZWVlc5c3ZnM2NWTlRVdy8xKy8yanBPWWZoTlhVZjJPdG5TdHBqdWQ1bjFkVlZaVjducmQ5MmJKbG05djlidmRoczJmUDFoTlBQRkY3dUxVa2pSa3pScU5HamFxM1FxR2hyNzc2cWxHQ0lKR3FxaXFscDZmcmxGTk8wVmRmZmFWRml4YnAvUFBQMTFGSEhkVXU4ZGYxM0hQUHFiS3lVdWVjYzQ0eU1qSVVEb2YxOU5OUGEvanc0WTFpalVhaldyeDRzZmJmZi85NjVXKysrYWFtVDUrdWdRTUg2dTY3NzY3M0xmTXRXN2JvbEZOTzJhMFk1ODJicC8zMjJ5OWgzYzZkT3hXTlJuWDc3YmNuck4reXBmb00zcVZMbHpiWnB1NWg2b2w4OXRsbm1qZHZuZzQ2NktCbTcyVy8vZmJUelRmZnJJa1RKK3JPTysvVUVVY2NvZi82ci85cWR1ei9WTVl4aW5yK3o0cUs5cmw1V21waW5vNy9qTS9Ya2xSM3pvN1B6WjdubVFNT09FQ0o1dXo0dk4ycFU2ZERBNEhBajZYV3o5dWU1ODJXOUdWVlZWVzVNV2Jia2lWTDJuUUE5WjYyWk1tU1RaSnVpYit2MmZwSnhwaVo0WEQ0ajNYYkJvUEJERW5IZUo0M094S0p2TlRhYXdTRHdRR1NKdFRzSTNacjNUcHI3ZThsWFcyTXVTQVlEUDR4RkFyTmIyazhhMjNBR0NQUDg5cjluQ3Rqek5HU3pwYTB3emI0ajJ5TVNaRVVzTlkrVkNjVzF4aHp0cVNkTlZ0TDFwVmVrOGdDQUFBQWtPUklaZ0Q0dm1qcUxBMFZGRFIvSm1oOGRVQWlydXVXMVgxZjV3R1lOY2JzbFBTZDUza2x4cGpIeThyS1hseTVjbVZGRytQK2oxTmNYS3d0Vzdab3lKQWhXcnQycmI3NDRndE5uRGl4MlQ3YnQyOVhXVm1acXMrbGJkNkZGMTZvcTY2NlNuNi9YM2ZmZmJjV0xWcFVXL2ZRUXcvcHM4OFM3NUFTMzk3bzNudnZWVVpHd2kzM2RkcHBwK20wMC81OVp1emYvLzUzTFZteVJOMjZkZFBwcDU5ZVcvN0FBdzhvS3l1clh0L3JyNysrM3ZzUFAveFFqejc2cUpZc1dhSk9uVG9wT3p0YnNWaE1kYmVGaWN2TXpOU1FJVU5hdVBQNkZpNWNxTEt5c2licnQyM2JwbGdzcGxnc3BybHo1elk3MXRkZmY5MWltMFE4ejlPZGQ5NHBhNjNHamgycm1qTWRtalI4K0hBTkh6NWM3N3p6anE2Nzdqck5taldyVWZJSCt6emI0R2M5TGMzWFVuVmlzem11NjM1WDkzMHo4L2FNc3JLeVYvYkJlZHR2clQyclprWEorKzAwcG1PdGZjUVlFekRHUEJNS2hlb2RmaDZKUkxiazVlWGRab3k1MzFvN28zZnYzamxyMTY3ZDJjS1lhWkpraktsc3B4Z2I4VHh2WUNRU1dWMjNMQzh2YjZyak9BbjNLSXhHbzhjVUZSWFZPMURkZGQzVjhWZ0JBQUFBSkRlU0dRRFFTalVQanJaTCtzUVk4N0huZVJIUDh4WVdGUld0NnVqWTlpVmp4b3pSOWRkZnJ4NDllbWpDaEFuNjRvc3ZXdXdUVHpRc1diSkVsMTU2cWY3MHB6ODErV0M4cVRNeEpDa1VDcW13c0xESmVxbjVoNmxISG5sazdldXlzakl0WGJwVXhwaEdpWWJTMHRKRysvakhEeDFmdlhxMXhvMGJwK0xpWWhsamRQYlpaK3VYdi95bHVuZnYzdVIxZS9mdXJidnV1cXZadUJ2NitjOS9ycVZMbHpaWnYzSGpSa25TY2NjZHB6dnZ2RE5obTA4Ly9WVFhYSE9OVGpqaEJFMlpNaVZobTZ1dnZsb3JWcXhJV1Bmc3M4OHFFb25vOE1NUDEralJvMXNWOTZSSms3Uml4UXF0V2JORzExNTdyUjUrK09GR2lTR2d0V3JtN1cyU0Nvd3hIMXRyUTdGWWJORytQRys3cm51Uk1lWlFhKzNINFhDNHhhMmpXam5tSkdQTVNkYmF6VlZWVmI5TzFDWVNpVHdVREFZdk5jYmsvT0FIUDVpK2R1M2FLNW9iMHhqVFZaSTh6OXZhSGpFQ0FBQUFBTWtNQUdnRmErMXFTVTlaYTkrb3JLejhyTFMwOUZ0SlZSMGQxNzdJZGQwMjkzbjc3YmNsU1pXVmxTb3NMR3h5NjVpVzNIZmZmYlZKaFlZbVRacWtUejc1Ukk4ODhvZ09PK3l3aEczcW5qK3hlUEZpZVo2blFZTUdOZHJHYWNhTUdSbzhlSEM5c3ZpV1RaOStXcjJGL1Frbm5LQUpFeWFvYjkrKzJybHpwN1p0Mjlia2lwQTk0ZlBQcTgvTVBmVFFRNXZjaGlvZVR5QVFhTEpOb3BVa2tyUm16Um85L1BERE1zWm84dVRKVGJacktDc3JTOU9uVDlmRkYxK3MwdEpTWFhubGxYcmtrVWRZb1lFMmk4L2JzVmpzdFdnMHV2cjdNRy9uNStjZllxMjlWNUk4ejd1M1BjWU1Cb01qVmJPdGxMWDJ2MnNPeDA0azVubmU1WTdqZkdpTXVkeDEzWVhoY1BqeHBzYTExaDVpakZFc0ZtTUxKd0FBQUFEdGdtUUdBRFNqb3FMaTI5VFUxT0hoY1BpZjJzY2ZndTFMZnYvNzM2djZmR0pwL2ZyMWV2WFZWOVduVHg5MTdkcFZvVkNvdGwxR1JvWm16SmlocmwyNzZvRUhIdEFQZnZBRFhYamhoWTFXUmNSMTZkS2x5V3ZHRDhMdTBxVkxzNnNrNGo3NjZDTkowbzkrOUtOVzM1ZFV2Y3JpOXR0dlYyNXVibTFaY1hHeHJyLytlazJjT0ZHalJqVTZiMzZQS0M0dWxpVDE2ZE9uM2NjdUt5dlQ5ZGRmci9MeWNvMFpNNlpSWXFjbHZYdjMxbjMzM2FlcnJycEtLMWFzMExoeDR6UnQyalFkY2NRUjdSNHJ2bjlxNXUyaDRYRDRRKzNEODdiUDU2czNrZVhsNVIxaHJYMVpVbmRyN1l1RmhZWFA3ZTQxWE5jZEl1a0ZTVDVyN1l4SUpQSk1jKzBqa2NoaTEzWHZNTWJjWm95WmtaZVh0eTRTaWJ6V3NGMy8vdjI3R1dNT3ROYXViKy9EdndFQUFBRDg1M0k2T2dBQVNHYWxwYVhid3VId1BPM0REOFQyUlRrNU9SbzBhSkRLeThzMWFkSWs3ZGl4UStQSGoyL1V6dS8zNjZpamp0SmhoeDJtZ29JQ3paZ3hvOGxFUm51eTFtckJnZ1dTcWxkWXRLUzh2THoyZFhaMmRyMUVobFM5OVZSNWVibWkwWFkvSjdkSi8vakhQeVJKd1dDd1hjZU5ScVA2elc5K296VnIxcWhmdjM2Njl0cHJkMm1jbkp3Y1BmamdnOHJJeU5EYXRXdDE4Y1VYYS83OEZzOGNCdUx6OW52YWgrZnQvUHo4Z0xYMmRrbXkxZzZxS2I1WVVuOXI3ZUpvTkhyNTdsN0RkZDNoeHBnM0pLVkxtbDlXVm5aZGEvcUZ3K0dwMXRyWEpmbU5NWDl6WGZmQ2htM1MwOVBqV2RtUGR6ZE9BQUFBQUlnam1RRUFTRXJyMTYvWGhBa1RGQTZIZGU2NTUycllzR0hOdHYvbW0yOTA4TUVINzVYWWlvdUx0V0hEQm5YdjNsMzkrL2R2c3QycVZhdDAxMTEzNmFjLy9XbHRtZWQ1amRvdFg3NWNVdjB6T2Zha1ZhdFdhZFdxVmVyV3JadjY5dTI3VzJNMTNQSnI3dHk1V3J4NHNicDE2NmI3N3J0UG5UcDFTdGl2b3FMNnpPWG10cDg2NnFpak5IUG1USFh2M2wyWm1abDc3Zk1CT3BybmVZOFlZNFphYXo4MXhwemt1dTdWa1Vqa0ZzL3pyblFjWjJoeGNmSG1acnAvSXVrWngzR2FQSkFvR0F4ZVpZeDVUVktXdGZhVDdkdTNuOU9HZzlBOXgzRXV0TlpHakRFcHhwalp3V0J3eHVEQmcydjNnclBXWGxQejhxVldqcmxMSE1mSnlzdkwyNi91SDhkeFVwdHE3NnMrYk1uZjRBOEFBQUNBZlFTL3dBTUFPc3kzMzM3YnFHemJ0bTE2N3Jubk5HdldMRzNidGsyalI0L1d6VGZmTEVtMUQ4YS8rKzY3ZWdkOXIxdTNUaHMyYk5CeHh4MlhjUHltSHFqdnFuZmVlVWVTZFB6eHg5ZGJDUkkvajJQaHdvWDZ3eC8rb0k4L3J2NVNjcDgrZlpTZW5pNWpqRDc5OUZORm85SGFoL2pidDIvWHdvVUxsWktTb243OStpVzgzdEtsUzNYMDBVZTNLY1pFU1pPNFJ4NTVSSkowMWxsbnRXbk1oalp2M2x4N2dIdGFXcG9rYWZUbzBTb3VMdFo1NTUyblhyMTYxYmJkc21XTE1qTXo1ZlA1Rkl2Rk5HZk9IRW5TZ1FjZTJPdzFqamppQ00yYU5VdGJ0MjdWUVFjZHRGdnhBdnVDWURCNHZhVExKTDN2T001cG51ZDlMT2tQcnVzZVdGWldObTNseXBVN211c2ZDb1dlbHZSMG9ycStmZnVtWm1abXpwRjBkazNSUDNiczJISDI4dVhMeTlvU1kwRkJ3VmJYZFVkWWE5OHl4dVJKdXRMdjk1L1d1M2Z2QVQxNjlQaXBwS090dGVzZHgzbTJMZVB1Z3NMNGxvU3RZWXlKSkZxTlpxMXQ2cHdRQUFBQUFFbUVaQVlBWUs5YXZIaXg3ci8vZm0zY3VGRWJOMjZzZlpoZFhGeXNGMTU0UWZQbno5ZjI3ZHUxMzM3NzZmYmJiOWVaWjU1WjIzZkFnQUg2NElNUGROVlZWeWs3TzF0UzlVUDcrRGthSjU1NG9sNTU1UlhObWpWTGZyOWZLMWFzVUNBUWFQY1ZHL0h0ams0ODhjVGFzcnB4ekpneFExTDFZZWMvK2NsUE5HellNQVVDQVEwWU1FQ2xwYVg2OFk5L3JCNDllc2hhcXpWcjFtamJ0bTBhUG54NDdia2REV1ZtWnJZNW1iRjQ4V0tWbFRWK1BsbGNYS3g1OCtiSjUvUHAvUFBQYjlPWUpTVWxHajkrdkRJeU1oUUlCUFROTjkrb3ZMeGNoeDU2YUcweXczRWNUWmt5cFZIZjY2NjdUaVVsSlVwTFMxTTBHcTNkVXV1MDAwNXI4YnE5ZXZXcWx4Z0J2cTl5Y25KNlNMckhXcnM1Rm90ZFdGUlV0Q01uSitmSGZyLy9OVW1UTXpNemYrVzY3aEpqekplU0tsVzlsVmI4VDlSYTZ6UEdwRnByVXlTbFNFbzF4cVJZYTFPTk1VdENvZEFFMTNXL2tpUnI3Y3l5c3JJSmJWaVJVVTg0SFA0bU96djdoTlRVMUNjbGpiYlcvaklyS3lzbTZaNmE4VzhxS0Nob052R3l1NnkxajByYTJxRDRCR1BNRDV2bzhrZlA4NzZwVytBNHpvUTlFaHdBQUFDQWRrY3lBd0N3VjZXbnAydlpzbVZ5SEVjSEhIQ0Ficnp4UmtuVlp5Mjg4c29yNnQ2OXU4YU5HNmN4WThZb0l5T2pYdCt4WThmcVgvLzZsejc2NkNOOTl0bG50ZVg3N2JlZkxyMzBVcDE4OHNuNjZLT1B0R3JWS2tuVmgzbGZmZlhWeXNyS2FyZjQ0NnM5VWxKU2RPeXh4OWFXTzQ2ai9mYmJUejZmVDJlY2NZWis5ck9mTlRxdyt2YmJiOWR2Zi90YmxaYVdhc09HRFpLa3pwMDc2K1NUVDlaTk45M1U1RFY3OSs2dGUrNjVwMDF4L3Z6blA5ZlNwVXNibFI5NDRJSHExYXVYaGcwYjF1S3FDTC9mcjY1ZHU5Witmb2NkZHBncUt5dTFidDI2MmphSEhIS0lKaytlM0dJOC9mcjFVMGxKaWNyTHkrWHorWFR3d1FmcjNIUFAzV3NIbmdQN2dxS2lvZzJ1Njc1dGpIbXlxS2hvYlUzWnF1enM3S05UVWxJdU04YU0rZi9zM1hsNFZOWDVCL0R2ZSs4a21TUVFDSnVnVktPR0JzS1N1WGVzZ3N0UDZrTHJMclphMjZxNDRFS3R1RkJjMm1KUjNIQ3ByVlFVeEFXbDd2dUdXZ1dzYTdHWk93UUlXMHBaSXJ0c0NTU1p6TnozOTBkbTBra3lTU1loa0NEZnovUHd6TXpaN25zVG52UEFmZWVjQStCSUFEWVMvRHMrdGxLcy90bEJJZ0pWZlFjQURNTzRYbFhmZHh6bjNUMk5OM3E0OTg4dHl5b0lCb01MQU1DeXJKc0JuQklNQnAvWjAvR2JvNnFUZzhIZ3F2Z3luODkzVjJQSmpIQTRQS1dvcUdoUmZKbGxXUmNCOE83Rk1JbUlpSWlJcUkzcy9WTlNpV2kvNFBQNWhodUc4WUtxZWxWMVpEQVluTmZlTVgzZjVPUU9HWW9VZVNPcmMrZmVqeng0SDA0ODRiajJEcW5kcUdyQ2c3cVhMVnVHZnYzNm9TWGJoaVFhT3h3T3d6VE5QUnFudVd1VWxKUTBTRlpzMmJJRjVlWGx5TW5KYWJOcjdkNjlHNFpoMUs1OGFBc3JWNjdFUVFjZGhNek16RmFQRVZ0WjBkU1pGOVMydnA3L2I0d2RkeXMyZi9mZGRpaEdybHJLZWZyN2FOQ2dRUWN0V3JRb21XMlBKRGMzTjlVMHpWU1B4NU1pSWlrQVlCaUdtcWFwaG1Ib3JsMjdhdDh2WExpd0RFQjQ3MFpmeTdNUHIwVkVSRVJFUkFjSVBvRWdJcUo5TGxFaUEyaWJBN0JGcE5IdG10cUtpRFJJWkFCQWp4NDkwS05IanphOVZrWkdScHVPQjlTc3NOaFRUR0lRN1IxSkpqSUFRS05iUkxWcW02aTlqSWtNSWlJaUlpSnFjM3ZuSzZ0RVJFUkVSRVJFUkVSRVJFUnRoTWtNSWlJaUlpSWlJaUlpSWlMcTBKak1JQ0lpSWlJaUlpSWlJaUtpRG8zSkRDSWlJaUlpSWlJaUlpSWk2dENZekNBaUlpSWlJaUlpSWlJaW9nNk55UXdpSWlJaUlpSWlJaUlpSXVyUW1Nd2dJaUlpSWlJaUlpSWlJcUlPamNrTUlpSWlJaUlpSWlJaUlpTHEwSmpNSUNJaUlpSWlJaUlpSWlLaURvM0pEQ0lpSWlJaUlpSWlJaUlpNnRBODdSMEFFWDEvRlJRVUhHK2E1cTJxT2d4QUp4RlpDK0QxWGJ0MlRWcTJiRmxaZkZ2THNpNFhrU2NUamFPcUR6bU84N3Y0TXR1MjF3RDRRYUwybFpXVm5ZdUxpOHVUQ0ZGOFB0OFZobUZjQVdBZ0FGTlZWN211ZStPQ0JRcytTdVllaVlqMmQ1eXJpWWlJaUlpSWFIL0FaQVlSN1JVK24rOThFWGxSVmJjRG1DTWlFVlU5WGtUR1oyWm0vbVRJa0NISEZoVVY3WXExRjVFZTBiZHpWWFZydmVHS0VseWloNnB1QlBCNS9ZcmR1M2VIbTRzdlB6OC8xZXYxdmdiZ1RGVmRKeUp2cWFvcklvTkZaQUFBUGlBam91ODl6dFZFUkVSRVJFUzB2MkF5ZzRqMkNoRVpBdUNCYmR1MlRWeTFhbFVsQVBUdDJ6ZTlWNjllYndJWVlacm0xUUQrSEd2dnVtNTN3ekFBNEZySGNaWTBOWGJmdm4zVEFhU0x5RHVCUU9BWHJZblA2L1UrakpxSFk5T3FxcXJHRmhjWGgySjFmcjgvcFRWakVoSHRiemhYRXhFUkVSRVIwZjZDeVF3aTJsc2VjUnhuYzN4QmFXbHBSYTlldmU0Q01BTEFjWWg3UUJiN3RxK0kxT21UU05ldVhXUGZERzYyYlNKRGhnd1pwS3JYaU1obmp1T01BYUR4OVlXRmhkV3RHWmVJYUQvRXVacUlpSWlJaUlqMkN6d0FuSWoyaXZvUHgrTHNpTDVXMVN2dkFTQlNXRmhZZjl1U0JrelQ3QUVBcXJxcE5iRVpobkc1aUJpUlNPUXUxSHM0UmtSMElPRmNUVVJFUkVSRVJQc0xyc3dnb24zdEJBQVFrY1gxeXJ1cmFzU3lyT2tBUWdEV0EvalljWnl2Nmc5Z0dFYjM2QmluV1piMUExVXRFNUZGcXZwNk1CamMzbHdBaG1HY3FxcFZIbzlucm0zYlExQ3poVWxuVlYxWVhsNytXa2xKU2YySGQyMHFISTZnYUZIeDNyd0VFWDBQTFZtMkFxSHFVUE1OMjhZQlAxY1RFUkVSRVJGUng4SmtCaEh0TTM2L3Y0L3J1cjhIRUhKZDk1bjR1dWpXSmFrQXJvZ3J2dE8yN1hmRDRmQ0Y4UWZRb3VhYndRQXdWRVNHaWtoc2pEOWJsbldKNHpodk54R0dCMEIvRVNseFhmY2FBSCtWR2hBUlpHVmwzZTczKzBjVUZoYXUyZFA3YlV4RlJRV21QRFlkMFgzbmlZaVNvcTZMNm5DeloyYnZNYzdWUkVSRVJFUkUxQkV4bVVGRSs0UnQyd05jMTMxYlJBNEdjUFdDQlF1K2phOFhrZU4zN05oUlZsSlNFaDQwYU5EQktTa3B3d0ZNRXBFelRkT2NDbUJVckcwa0VubG45KzdkWFVwS1NuYm41ZVdscDZXbDlmTjRQTDhGY0JtQVYveCtmMEZoWWVIU1JISDQvZjZ1cXVvQjBCUEFMYXA2WGxsWjJaek16TXplcG1uZUIyQ2s2N3JQQWhqZTFqK0RrQnRlbDZvcHhRcFVWbGZ2L1FlU1JQUzl0YzZOUlBiS1Ezek8xVVJFUkVSRVJOUlJTWHNIUUVRZGc4L25HMjRZeGd1cTZsWFZrY0ZnY0Y0YmpqMUtSQjRWRWROMTNXdUN3ZURNWlByWnRwMnJxa0VBNlJVVkZiMldMbDM2WFRQdHB3RzRDc0JmQTRIQURZbmFEQmt5cEsvSDQxa2IvZmpUUUNEd1lhd3VOemMzTFNzcmF3V0FINFRENGY1RlJVWExrcnJCNUVuZkl3Ymtlb3lVN20wOExoRWRRQXlQYkYyNWRFRUpBTGN0eCtWY1RVUkVSRVJFUkIwWlYyWVEwZDdrc1N6ck1SRVpEV0JoZFhYMXJ4Y3VYTGd3MmM2QlFLREVzcXd2UmVUVWpJeU1mQUNmTmRYZWRkMlpobUZjQldCd1kyME13eWdIQUZYZDVUak9SL0YxSlNVbFZaWmx6UldSU3p3ZVR6NkF0bjVBcHFVcmw2d0FzS0tOeHlVaTJoT2NxNG1JaUlpSWlLakQ0NGJ0UkxTM0dMWnR2eHg5T0RaMTU4NmRQMnJKdzdFNFpRQVFpVVMwdVlhUlNLUU1BRlMxMGJiQllIQzdxbTRWRVROUnZZaVV4ZDYySWxZaW92ME41Mm9pSWlJaUlpTGFMekNaUVVSN2hXM2JZd0dNVk5XN0FvSEF0U1VsSlZVdEhTTW5KOGNMNEJoVmRUMGVUOEo5MWVONVBKN1kzdW1MbTJuNk9RRHZrQ0ZEanE1Zm9hcFc5TzJTRmdWTFJMUWY0bHhOUkVSRVJFUkUrd3NtTTRob2I3bE9WYXVxcXFvbU5kY3dMeSt2czJWWnA4U1g5ZTNiTnowN08vdHhFVGtFd0J1RmhZVmJZblVGQlFVLzl2bDhYZVBiVzVZMVRFUW1xYW9ySWsvR3lvY01HWkpuMi9adjgvUHpPOFhLVkhVYUFIZzhuZ2VqRCtFQUFMWnRYeVFpeDZycU40RkFnQS9JaU9oQXdMbWFpSWlJaUlpSTlnczhNNE9JMmx4ZVhsNW5BRWNBMkpXV2x2YXlaVmtKMjdtdWUrMkNCUXUrTlUwelUwVCtZZHYyVWxYOUJrQ21pQXdEMEVkVmx4aUdjVTE4UDhNd2ZpRWk3MXFXTlEvQVpoRTVVbFdQaSs1WWNuMGdFQ2lLdFRWTjgxa0FSNmVscFIwRVlBSUFCSVBCOXkzTG1pa2lvN0t6czVka1oyZlBFWkVjQUNlcDZsYlhkUy9iQ3o4V0lxSU9oWE0xRVJFUkVSRVI3VStZekNDaU51ZjFlck1BUUVReUFaelRXRHVQeDNNckFPemN1WE9IMSt0OUJzQkpJbkloZ0RDQS93Q1lWbFZWOVZCeGNYRjVmRDhSZVJlQVQwUk9BSkNocWxzQnZDMGlEd1VDZ1RvSHo2cnFQQkhwcjZwZnhaYzdqbk9GYmR0QkFGY0J1RWhWZDRqSTM4T1gwNXlpQUFBZ0FFbEVRVlRoOE8wTEZ5NWN1YWMvQXlLaWpvNXpOUkVSRVJFUkVlMVBlR2dpRVFFQWZEN2ZjTU13WGxCVnI2cU9EQWFEODlvN0ppSWlJaUlpSWlJaUlpS0FaMllRRVJFUkVSRVJFUkVSRVZFSHgyUUdFUkVSRVJFUkVSRVJFUkYxYUV4bUVCRVJFUkVSRVJFUkVSRlJoOFprQmhFUkVSRVJFUkVSRVJFUmRXaE1aaEFSRVJFUkVSRVJFUkVSVVlmR1pBWVJFUkVSRVJFUkVSRVJFWFZvVEdZUUVSRVJFUkVSRVJFUkVWR0h4bVFHRVJFUkVSRVJFUkVSRVJGMWFFeG1FQkVSRVJFUkVSRVJFUkZSaDhaa0JoRVJFUkVSRVJFUkVSRVJkV2hNWmhBUkVSRVJFUkVSRVJFUlVZZkdaQVlSRVJFUkVSRVJFUkVSRVhWb1RHWVFFUkVSRVJFUkVSRVJFVkdIeG1RR0VSRVJFUkVSRVJFUkVSRjFhRXhtRUJFUkVSRVJFUkVSRVJGUmg4WmtCaEVSRVJFUkVSRVJFUkVSZFdoTVpoQVJFUkVSRVJFUkVSRVJVWWZHWkFZUkVSRVJFUkVSRVJFUkVYVm9UR1lRRVJFUkVSRVJFUkVSRVZHSHhtUUdFUkVSRVJFUkVSRVJFUkYxYUV4bUVCRVJFUkVSRVJFUkVSRlJoOFprUmh1eExLdm5YaHJhM0V2akVoRVJFUkVSRVJFUkVSSHRGNWpNYUFPV1pZMFZrVzh0eXpxcXRXUGs1K2QzYW1Uc2x5ekxXdUgzK3c5TlZEOWt5SkJNeTdLZTlQbDh2MHBVYjl2MlM1WmxUZXJidDI5NlMyT3liZnM4eTdKbStIeStZMXZhbDRpSWlJaUlpSWlJaUlpb3JYamFPNER2QXhINUJ3QkRSUDRNNFAvcTEvZnQyemU5VzdkdUEwU2tpNGhrUlYrN0ErZ1BJRjlWODBXa0NrQmZBRzZzbjgvbjZ3ZGdKSURQQ2dzTDF5UzZka3BLU25mWGRjOFZrVjlibHZWZngzRytpdFZabG5VeWdBdEVaSDIzYnQybWxKYVdWclRrdmxUMWFCRzVRbFUvQi9CbFMvb1NFUkVSRVJFUkVSRVJFYlVWSmpOYXdlZnpuUTRnUC9iWmRWMkl5SDlFSk5mbjg5MEdvRHBXcDZwdkEraGxtdVpuVFF5NVdWVy90VzM3aUVBZ1VCSXJGSkY3Uk1RQVVPYnorZTZLbFJ1R3NTTVFDRHdBQUlXRmhXdDhQdDhsSXZJT2dKY0hEaHhZc0hqeDRxMDVPVGxlQUZOVjFSV1JpNHFLaWphMTJRK0FpSWlJaUlpSWlJaUlpR2dmWWpLakZRekQrQldBWHpkU2QwLzhaMVZkNWJydWh1ajd0d0I4cUtwYlJHU2ppS3pidEduVHQ0bFdUQlFVRlB4WVJINGVUVWFjWmhqR2FkRXFVMVZMQVR3UWF4c01CdCt6TE90eEViazBKU1ZsS0lEM3UzYnRlb2VJL0JEQXhFQWdNS2R0N3B5SWlJaUlpSWlJaUlpSWFOOWpNcU1WZHU3Y2VVVnFhdW8xcWFtcGw0VEQ0ZGRjMTkwVlg1K1dsbWFMU0ovS3lzcjNpb3VMS3dvS0NvWUJnSWg4SEFnRUhtdHUvTHk4dk02R1lUeWxxcnNNd3lnb0xDejhEd0RZdGowUndKOVU5WGtBOFB2OVhTS1JpQlVkKzMzWGRSMEF1MjNidmtoVmY2ZXFKU0x5bWMvbkd3NEFobUZzRFFRQ1JTMjlYOE13Q2hxcEVzdXlwcXZxb21BdytOZVdqa3ZOeTh2TDY1eVdsblpZVVZGUk1lSzJJQ01pSWlJaUlpSWlJaUk2a0RDWjBRb2xKU1ZWbG1VTkZaRkhVMUpTaGpxT2MwbGN0Y2UyN1NrQWhxU2xwWjBPWUhZTGg1ZU1qSXpuUkNRSHdIV3hSSVpsV2ZtcWVwdUlGSldYbDk4T0FPRndlTEJwbW5OakhRM2pmK2U1aXdnQTVBTDRKSzc4UXdBL3pjL1BUd1dRMmtRTW9lTGk0bERzZzZxTzZ0dTM3Ky9ycnlDeGJmdlBBRVlEQ0ZtVzlRL0hjWXBiZUsvVWpQVDA5TzZHWVR4aFdkWVBWUFU5MTNXZnJxeXNMUEY0UER2amYwZEVSRVJFUkVSRVJFUkUzMmRNWnJTUzR6aWZXcFkxVTBSR1daWTEyM0djRndEQTUvT05CekFFd0RPTzQ3UTBrUUhidHZzRE9GTlZOd0g0enJLc0N3RkFSTVlEU0ZYVnR6cDM3anpTc2l4VVZWWE5FNUVyNC91TFNIY1J1VTlWdjFIVjZmRjFobUdzQllDMHRMUTdSZVNXeG1KUTFZY0EvQzV1ek95ZVBYditzclMwOUttNE9QOEU0QVpWclZMVm53V0RRU1l5OWlJUk9VUkVyaEtSeXpJek01Y0ErTXF5ckM4Qi9KdEpKQ0lpSWlJaUlpSWlJdnErWXpKakQ0VEQ0UnRUVWxKczEzVy9Bd0RidG5NQjNBNGdzSFhyMWpHdEdUTVFDQ3l4YmZ2M0lqSVp3UFAxNjBWa1F1eDljWEZ4Q29BWjhmVStueTlIUk80VGtaV080OHlvM3o5cWhhcCtrcUM4ajRqa0krNEE4emkzQUpnSndMVXM2d0VBNHdCVWlzaTVqdU44bU56ZDBaNVFWUUJJRVpFaHFqcFlSSDZscWxzc3kzSlU5WjJLaW9yWGxpMWJWdGJlY1JJUkVSRVJFUkVSRVJHMU5TWXpXc2l5ckl0RlpFcGNrWmltK2JKdDJ3Q1FCc0FMWUVDM2J0MDJkT3ZXRFFCMlJDS1JoSWVGTnlZUUNQelp0dTNKQUo0Smg4TVRUTk84VkVRbXFlb3BrVWhrbWNmam1RVGcwdGJlZytNNFR3SjRzbjY1YmR0L0E1RHZ1dTdjK0hKVjNTUWlQN1FzYXhTQTRTSnlzYXB1VjlXUndXQndYbXZqb0pZUkVhaHFMS2tocXRvWlFHY1JPVnhFenN2TXpIemE1L1BOY2wzM0dkTTBpN1p0MjFhMmF0V3F5bllPbTRpSWlJaUlpSWlJaUdpUE1ablJjanNBTEUyMnNhcVd4YjEveUxLcyt4cHJLeUxoUUNEUU5hNW9WMUZSVWFsdDI5c0JJQktKYkl4K2pqOXczSWorQVFDWXBtbkdIbmFqNGU4M0FrQWJ1N3lxamdTdzNlUHh6SzFYTjBWVkp3QjRRa1FNVlYwdElxYzVqck9rc1h2cHFISnljcnhaV1ZuNWhtRmt0WGNzeVJDUjNxcWFGVDBESlhZV1NpeWhVZWU5aU1Bd2pJc013N2dJd05MczdPeC9kZTNhZFpHSS9HUGp4bzByMXExYnQzdWYzd0FSRVJFUkVSRVJFUkZSRzJBeW80VWN4M2tid052MXkyM2JQdE4xM2EzQllQREwrblVGQlFYSFI5OHVFSkhsQUJCOVFIMldxaTRYa1craVpaR1d4bVBiOWlNQXJvMTlqbnZJZllGdDJ4ZlVhMzVXSUJCNE45RTRCUVVGeDRuSXdRQm1GUllXMXRsbVNsVkxSZVFwRWJrR3dNcXFxcXJqaW91TE43UTAxbzZnVTZkT1BUMGV6NTBBL08wZFN6SlUxUVRRcFg1NUxLa1JiVlBuTlZyZlgwVDZBd2lKeUhVSEhYVFEycDQ5ZTc1ZVhWMzkvUDc2dXlNaUlpSWlJaUlpSXFJREY1TVpiVVJWWHhTUnJ3R2MwbGdiRVprWkNBUWVCUUMvMzk5ZlZjOFNrWDhFQW9IZk50TGxLc3V5TGxYVkZCR0J4K09aYjFtV0N5QTE3cnB6UlNRYzF5Y0x3R1hSSkVtZEE4aFZkV1Zqc1JtR2NTTUF1Szc3UWlQMTk3cXVlem1BdnFacDlnU3dYejRRZDExWFZEVzJIVmlISnlKMVZ0NjBzbjhHZ0N6RE1ESWlrVWlyeHlJaUlpSWlJaUlpSWlKcUwweG10SUpsV1JjQ3lLbFhuQUxnTU11eWJvMHZqRVFpYjZEbVlUSmMxOTJGRmxEVithcjZwbUVZeHdFNFYxV25xdW9HQU9lS3lIRUE0RGpPYXdCZWkvWHgrWHc1aG1GY0ppSk9JQkM0SVpuckZCUVVEQVF3VWxXWEJJUEIyWW5hRkJZV3JyRnQreDRBRTFOU1VtYmw1K2YvcUxpNE9OU1MrK2tJZHUvZXZjbmo4ZHl5djJ3ekJhQTNnQW5SZzlscnhhL0NpSWxmclFGZ3FhcitTMVVYQWZoNDA2Wk55N25ORkJFUkVSRVJFUkVSRWUydm1NeG9uZEVpY25LQzhsd0E5OFlYbUtaWjRycHU3TnZ3MjF0eUVSRUpPbzd6b0czYmxRRE9qVVFpenhRVkZTMnliVHNId0hHdGlqd0IwelFuQUJEWGRlOUg0MmRxUUVUdWNWMzNYQkh4ZWIzZUtRQ3VicXNZOXBYb2dkaUI5bzRqV2RIazFNN1k1K2FTR0s3cnZxS3FMNmhxTUJ3T2J5NHVMaTdmTjVFU0VSRVJFUkVSRVJFUjdUMU1aclNDWVJpbmZmZmRkMlo4V1haMjloWVJtYjkxNjliVDQ4dFhyVm9WOHZsOFYwUS90aWlac1M4VUZCU01BUEFMVlMwMVRmUHZUYlV0TEN5czl2bDhsNG5JZk5Sc2diWGNjWnlIOWsya0ZIL1F0NnFxaUZTcWFwbXFMZ1R3V2xsWjJkOUxTa3AyTmowS0VSRVJFUkVSRVJFUjBmNkh5WXhXS0N3c3JCNDBhRkMzMU5UVVNhN3JQaEFNQmxka1oyZERWZDFWcTFaVjI3WjlYWFYxOWN5RkN4ZHVBd0FST1JJQURNTW9iY2wxVkhXZ1pWblhBRGdlQUV6VHZNQ3lyT05WZGFDSXdPLzM1MFlpa1RQait4aUdrUjN0bStmeitYNVhmMHpUTktjV0ZoYnVCb0M4dkx6T3BtaytFYTBhWC8vZzcwU0N3V0RRNS9QZFlCakdvd0R1dHl4cnMrTTR6N2JrdnFoMW9pc3dxZ0VzQmZDbDY3cGZpY2czanVNVXQyOWtSRVJFUkVSRVJFUkVSSHNYa3htdDVQRjRyZ053cFdFWWhRQld4TXB0Mi80NWdJYzlIczh4QUg0SkFDTHlJMVhkNmpoT1NVdXVJU0xEQVF5UCt6d2h2dDUxM1VHR1lUelFTRitmaVBqcWwxZFVWTXdDc0JzQU1qSXlIZ1p3cUtyT2Roem54V1RqQ2dhRFV5M0xPbEpFYmxMVloyemJUZzhFQXRPUzdVOHRGejByNVNQWGRmL3U4WGlXYnRpd1lRdlB3Q0FpSWlJaUlpSWlJcUlEQlpNWnJaQ2JtNXNsSXRjQ1dMOXo1ODVuNHVzQ2djREx0bTNmS0NJWFdwYjFtdU00YndEd0EvaXFGWmVhWGxsWk9hNStZV3BxNnEyR1lWd1lDb1htcEtTa1dQV3FEellNNHowQUg3cXVlMnY5dnNYRnhWc0F3TEtzTVNKeWhhcnVBakNtcFlFNWpqUGVzcXdjRVRrUHdPT1daZVU0anZOSEFKR1dqa1dOS3k4djM5cXBVNmN4d1dDd0NJRGIzdkVRRVJFUkVSRVJFUkVSdFFjbU0xcWhjK2ZPNDBTa3E2cE9LaWtwcWFwWHJaRklaSXhwbXQrSXlKOTlQcDhBNkFMZ0h5MjRSRGdTaVp6Z3V1NjZSZzV3L21QMER3QnNqYS93K1h5eGN6bTJCNFBCWUtMQmZUN2ZxU0x5Q0FDSXlEV0JRR0IxQzJLTGNjdkt5bjZWbFpYMUxJQUxST1JXeTdLR2J0NjgrZlRTMHRLS1ZveEhDVVRQd0VqNGV5UWlJaUlpSWlJaUlpSTZVRENaMFVLV1pSME00Q1pWL1hiYnRtMVRFN1Zac0dDQlk5djJiUURtR0laeEQ0REtpb3FLbVMyNXpvSUZDejVQVko2Zm45OHBOVFcxQjRDZXFwcTlZTUdDajFveXJ0L3ZUMUhWSjFIenU3OG5FQWpNYXFKNWV2UTE0VmthMFVUT0x5M0wyaUFpWXdGOHpVUUdFUkVSRVJFUkVSRVJFYlUxSmpOYUtCUUtWYWFtcHM0QzhPOVZxMVpWQXNDUUlVTXlSY1NycXFGWXUwQWc4RUIwQmNTcEFKNWJ1blRwZDhtTVgxQlFNTkF3akt0UXM1cWpLNEJzRWVtbXF0MEFkQmVSdExqbU82UHRrbFpZV0ZoZFVGRHdjOE13cm8xdUN3VUE4UHY5R1JVVkZVWnNKWWpQNThzQmNIYTBlbFVUUTdxTzQxeHZXZFluanVPODA1SllpSWlJaUlpSWlJaUlpSWlTd1dSR0N5MWV2SGdyZ0RGK3Y3K1BaVmtmQTlndUl2MEFtQUNLWSsxOFBsOVhFWGxhUkhhR3crRS9KRHUraUhTSnJuSUFBS2pxTGxYZEJLQlVSQndBbTF6WDNTd2ltMXpYWGR1YWUxaXdZTUY4QVBQankxVDEvN3hlNzJ6YnRxdFZ0VXBFT2tXci9sTmVYdjd2NXNaMEhPZnQxc1JDUkVSRVJFUkVSRVJFUk5RY0pqTmFxYkN3Y0xObFdjZEhWMHBVQTVoYlhWMzlRS3crR0F5V1c1WTF4M1hkVDRxS2lrcVRIWGZMbGkxT3IxNjlqaEtSelJzM2J0eThyN1p0VXRYWUFkTWVFVWxSMWEwQTVodUdjV09DYzBHSWlJaUlpSWlJaUlpSWlQWVphZThBdmdjTUFCcjlVNTgwVWs3VTRmaDh2dUdHWWJ5Z3FsNVZIUmtNQnVlMWQweEVSRVJFUkVSRVJFUkVBRmRtdEFXM2lUb21Nb2lJaUlpSWlJaUlpSWlJOXBEUjNnRVFFUkVSRVJFUkVSRVJFUkUxaGNrTUlpSWlJaUlpSWlJaUlpTHEwSmpNSUNJaUlpSWlJaUlpSWlLaURvM0pEQ0lpSWlJaUlpSWlJaUlpNnRDWXpDQWlJaUlpSWlJaUlpSWlvZzZOeVF3aUlpSWlJaUlpSWlJaUl1clFtTXdnSWlJaUlpSWlJaUlpSXFJT2pja01JaUlpSWlJaUlpSWlJaUxxMEpqTUlDSWlJaUlpSWlJaUlpS2lEbzNKRENJaUlpSWlJaUlpSWlJaTZ0Q1l6Q0FpSWlJaUlpSWlJaUlpb2c2TnlRd2lJaUlpSWlJaUlpSWlJdXJRUE8wZHdBRkNmRDdmS01Nd3JsYlZRU0xpQVZDc3FrODRqak1OZ0NicVZGQlE4R1BUTkc4Q01GUlZzMFJrSTRBcGdVRGdnZmgyL2Z2Mzc1NmVuajRKd05rQWVnQllEZUFweDNFZUJCQkpOc2o4L1B4T1hxOTNNZ0E3RUFnTWE2cHRzckVSRVJFUkVSRVJFUkVSRWUwcHJzellCeXpMZXNRd2pLY0I5QlNSTjFYMUkxWE5FNUhITE11YWthaVBiZHQvTUF6akUxWDlNWURQQVR3SG9FUlZqNDV2MTc5Ly8rNFpHUm4vRXBFeEFGYUl5UE1BT29uSWZaWmxQWmxNZkg2L1A4T3lyT3U4WHU5eUFMOEJJRTIxVHpZMklpSWlJaUlpSWlJaUlxSzJ3SlVaKzBZdWdJc0RnY0NzV01HZ1FZTitrSktTOHJXSVhHN2I5dFJBSUZBWXEvUDVmT2NEdUV0RXZxNnNyQnhaWEZ5OElWYm45L3RUNGdkT1QwKy9IOENSQUc1MkhPY0JBQmc0Y0dDM3RMUzArU0l5eXVmelBSRU1CcjlvTERETHNuNnBxdE5FcERPQVFnQjltcnFSbHNSR1JBM2w5TytmQTAzdDM5NXhFTkgrS3hKeFY2d3RXZlNmOW82RGlJaUlpSWlJYUY5aU1tUGZ1Q1FRQ0d5T0wxaTBhTkZheTdJZUIzQ25xaDZMbWtRQy9INS9pdXU2RDZ2cU5nQm5GeGNYMStsWFdGaFlIWHZ2OS91N3FPckZxdnJmNkpaU0FJREZpeGR2dFczN2JnQlBHWVl4Q2tDanlRd0FSNnJxV2xXOTMzWGQyUjZQWjJOakRWc1NHeEUxbEpQanl4SG9PeXJJYmU5WWlHai9aWHJNOVgyUDhQMmtkR1Z3Ulh2SFFrUkVSRVJFUkxTdk1KbXhEemlPczdtUnFoMEFJQ0pWc1FMWGRVOFRrVU5VOWQ0bStnRUFWUFVrQUNrQTNrVzljemNxS3l0bmU3MWVBRGlocVRFaWtjakRSVVZGZHdHQTMrL3ZvWnJ3K0k0V3gwWkVDWGpjM2lyU3d4REQyeTA3RzE1dldudEhSRVQ3a2FxcUVMWnUyNGFJNjJaN1VuRUlBQ1l6aUlpSWlJaUk2SURCWkViN09nRUFYTmRkSEZkMktnQ0l5T3o4L1B6ZWFXbHBGNmpxSVlaaHJBbUZRcTh1V3JTb2R1V0VxZzRVRWFqcXd2b0RGeGNYYjdCdGV3ZHF0cUF5QUxpSkFpZ3FLdHJWZ25pVGpvMklHcGVlbm81cnJyd01kc0dROWc2RmlQWWppNHFYNE9FcGoySGJqaDN0SFFvUkVSRVJFUkhSUHNka1JqdXhiZnNrVlQxUFZSZlhPOU5pY1BTMXA5ZnJmUWRBRjVHYTg3aFRVMVB2dFN6clBNZHhQbzYyT1JnQVJDUmhFa0ZWTjRsSXY3eTh2TXhseTVhVnRVSFlMWW1OaUJwaG1nWnlqemdjbG8vSkRDSktYbFVvQkkrSC8zUWpJaUlpSWlLaUE1UFIzZ0VjaUh3KzM3bXErcmFJN0lwRUlwZlVxKzRSZmYyTDY3cDNoY1BoZzFUMUVGWDlrNnAyQXZEeTRNR0RzNk50TWdEQWRkM0tSTmNSa1VvQTZOU3BVMXZ0WmRPUzJJaUlpSWlJaUlpSWlJaUkyZ1MvM3JjUCtmMytGRlc5SDhBTnFsb0s0Tnlpb3FKQWZCc1I4UUtBcXY0OUdBdytHRmQxcDIzYkF3RmNrSktTY2dHQWFRREMwVDZOL1I1VG82KzcyeUwrRnNaR1JFUkVSRVJFUkVSRVJOUW11REpqSHhrMGFOQkJxdm9aYWhJWnI0VkNvWUpBSUZCWXY1MnFsa2RmWDA4d3pBZlJ1bndBRUpGdEFHQVlScmRHTHR0RFZjc0xDd3ZiSkpuUmt0aUlpSWlJaUlpSWlJaUlpTm9LVjJic0E1Wmw5UVR3dWFyK1FGV3ZDZ2FEVHpUV1ZrUldBaWhJdE5wQ1ZjdWlaMVFJQUxpdXU5d3dEQUFZVUwrdDMrL3ZvYXJkUmVSZmJYVWZMWW1OaUlpSWlJaUlpSWlJaUtpdGNHWEd2dkVFZ0NOYzF6MjdxVVJHMUdmUjEvK3JYeUVpVnZUdGt1anJQQUJRMVRQcXQzVmQ5N1RvMjlrdEQ3ZE5ZaU1pSWlJaUlpSWlJaUlpYWhOTVp1eGxmci8vVUJFNVIwUStYYkJnd1VmTnRRK0ZRcytyYXJtSS9NN244K1hFeWkzTHlnZndXOVNjZi9FcUFBU0R3UldxK3FtSUZGaVdkWG1zN2NDQkE3c0J1QjFBaGFvK0VUZkdLYlp0WDlUYWUybEpiRVJFUkVSRVJFUkVSRVJFYllYYlRPMWxxbG9RZlQzQ3NxdzNFN1VSa1cyQlFPQXlBRmkwYU5GRzI3YkhBbmpLTUl3RnRtMi9BeUJEVlVlb2FycUlqSEljWjNPc3IrdTYxNXFtK1NXQUdaWmxuUzhpNndIOEZFQWYxM1d2REFhRDZ3QWdMeSt2czRqTUJ1Q3hMR3U5NHppZnRQUmVXaG9iRVJFUkVSRVJFUkVSRVZGYjRNcU12Y3gxM1N3QUVKSERvaXMwR3Z4UjFkUGkrd1FDZ2FkZDF6MURWUmNDR0ttcXB3TDQyblhkVXdLQndLejR0Z3NXTEZpc3FzTUF2Q01pdzFUMUFnRC9jVjMzakdBd09DUFdidG15WmJzQWZBMWdiU1FTV2RiYSsybEpiRVJFUkVSRVJFUkVSRVJFYllFck0vYXlZREQ0ZHdCL2IwVy85d0c4bjB4YngzR0tBWnpUVERNM0VBaWMwRlNEd3NMQ0xVamlBTytXeEVaRVJFUkVSRVJFUkVSRXRLZTRNb09JaUlpSWlJaUlpSWlJaURvMEpqT0lpSWlJaUlpSWlJaUlpS2hEWXpLRGlJaUlpSWlJaUlpSWlJZzZOQ1l6aUlpSWlJaUlpSWlJaUlpb1EyTXlnNGlJaUlpSWlJaUlpSWlJT2pRbU00aUlpSWlJaUlpSWlJaUlxRU5qTW9PSWlJaUlpRnBMMmpzQUlpSWlJaUk2TURDWlFVUkU3V3I2OU9rWU9uUW9GaTFhMUtKK2wxeHlDWVlPSGRwc3UvSGp4MlA2OU9tTjFuL3h4UmVZT25VcTFxMWJCd0NZTjI4ZTdyLy8vcVRqT1AvODh6RnAwcVNrMjdmRSt2WHI4ZmJiYjJQVnFsWE50ZzJGUW0xKy9URmp4dURFRTAvRW1qVnIybnpzdlMwY0R1UE9PKy9FSTQ4ODB0NmhFTFVYdzdLc1YyM2J2alpScGMvbjgwWHJUMGhtTUwvZjN3VUovdTlRVUZCd3ZtVloyMnpiZnJoZSt4VExzdTRjT0hCZ3QxWkZUMFJFUkVSRVZJK252UU1nSXFLT2FkZXVYWmc0Y1dLYmp2bXpuLzJzUVFLaXVyb2ExZFhWVU5VV2pSVUtoVkJkWGQxc3V6bHo1cUNzckt6Uitoa3pacUNvcUFpbm5ub3FBT0RERHovRVJ4OTloQ0ZEaHVDblAvMXBzK092WExrUzNidDNyMU0yZWZMa0pxOVozL0hISDUvd1dvc1hMOFlkZDl5QjIyNjdEVGs1T2JYbHFvcTFhOWRpeVpJbEtDd3N4UHo1ODFGWldZbFpzMmFoUjQ4ZVNWKzNPYnQzNzBaNWVUbGMxMjFWLzd2dXVndGJ0MjV0azFnbVRacUV6TXpNcE50SEloRzg5ZFpiNk4yN044YU9IZHNtTVJCMVVBWVNKQmx5YzNOTkVmbVpxdTRDTUMxQnY0T2o5VzhEK0txUnNjT3hONnI2dEdWWkp3SzR3SEdjVDJvdmJoajlSYVFyZ0IzeEhTT1J5S1dHWVV4SVRVMjl3cmJ0S3dLQndBZXR1RGNpSWlJaUlxSmFUR1lRRVZGQzFkWFZtRE5uVHB1T2Vjd3h4NkM4dkJ3ZmZQQUJUai85ZEdSa1pEUm84ODAzM3dBQUxNdUN4K1BCZSsrOWgzNzkrdUdIUC94aG04WUNBRXVXTEVGUlVSRnMyMGEvZnYwQUFHUEhqc1c4ZWZQdzRJTVA0dmpqajBlblRwMWFQTzdISDMvY29vZjQzYnQzVHlweEF0UWtXKzY2Nnk3czNyMGJBT0QxZWpGNDhHQU1IandZWDMvOU5ZNDQ0b2lFL2JLeXN0QzNiOTlHeDYycXFzTEdqUnR4NktHSE5ubjlTQ1NDalJzMzR1Q0REMjQyMXErKytnb2JObXhvdGwweWtrbGNFUjJJYk50K0JFREMxUmNBSUNLWDJMWjlTUlAxTTIzYm5wbW9MaEFJcEFBSUR4bzA2Q0FBWjRsSVJXVmw1Yi9xTmVzUEFLb2FpQzhNQm9OUFdKYlZUVVR1QmpEYnNxeHBrVWhrWEZGUjBhNGtiNDJJaUlpSWlLZ09Kak9JaUtoSmVYbDVtREZqUnFQMWYvdmIzL0RTU3kvaC9QUFBiL1liOEttcHFRZ0VBcmozM25zaEl2alp6MzdXb00yVUtWT3dmUGx5ZlBqaGg0aEVJcmozM251aHFyajk5dHZ4azUvOFpJL3ZKOTV6enowSEFQamxMMzlaVzlhblR4Lzg4cGUveE15Wk0vSHl5eS9qOHNzdmIvRzQ3N3p6VHFPckdWelh4YlBQUG90bm5ua0drVWdFZnI4ZjU1OS9mdEpqYjkrK0hidDM3OGJsbDErT0VTTkc0SWdqam9CcG10aStmVHRPUHZua1J2dWRkTkpKZU9DQkJ4TFdoVUloakJzM0RrVkZSWGp3d1FkeDlORkhKMnlucXBnMGFSTG16cDJMeVpNbko3WE5Gd0I4OXRsbkNjdVhMVnVHMGFOSFkvanc0WTF1MVRWNjlHZ3NXN1lzcWVzUUhZaGMxLzNVTUJMdUhDc0FmZ05nS1lCUDZsZXE2cUVpY3BhcS9rTkVsamMyUEFDa3BLUmNocHIvTnp4YlhGeGNYdWNpSWpZQVZGZFhPL1U3TzQ0enVhQ2dZTDVoR0MrS3lOV21hVzRGOFBzVzNCNFJFUkVSRVZFdEpqT0lpSm93Wk1pUVROTTAvWTdqZkltNDdUWU9KSVpoSkZ4QkFkUjhTLytUVDJxZWtWMTQ0WVdOdG90MzFGRkhvVWVQSG5qbGxWY2FKRE8rL2ZaYkxGNjhHQ05HakVDWExsMEFBRTg4OFFSdXV1a20vUDczdjBkeGNUSEdqaDBMMHpUMzhLNkFWYXRXNGFPUFBvTFg2NFdxWXU3Y3ViVjFSeHh4QkU0ODhVVGs1T1RVS1M4b0tFQzNiczF2Lys3MWVoT1dsNVNVWU9MRWlWaXlaQWs2ZGVxRTY2Ky9IaU5Iam9USS84N1AzYkJoQTE1NDRRVUF3T3JWcXdFQW4zenlDZGF1WFZ0bnE2bGpqam1tZGpWSnZLT09PZ3BYWG5sbDdlZUtpZ3JjY01NTmpjWmFYVjJOOGVQSDQ2dXZ2c0pCQngzVTVJb0xFY0ZoaHgyRzh2SnlYSGZkZFJnL2Zqd3V1T0NDUnR2SE5QYjNJaTB0RFVEVGY4Y2FlVWlidEMxYnRtRGJ0bTNJenM1dVVMZDgrWEk4K09DRHVPdXV1OUNyVjY4OXVnN3RQVU9HRE1rMERLTWdHQXpPeHdFNkR6Y2xHQXkrQXVDVkJGVWUyN1ovbzZyL2Noem50L1VyYmR2K0tXcFdXendiQ0FSbU5YRUpBWEFGQUtqcTFQaUszTnpjTEZYOW9ZaHNXYlJvMGRwRW5SY3NXRERYc2l4TFZXK3RxcXBxMjcwTGlZaUlpSWpvZ01Ka0JoRlJFMHpUN0NFaW4xcVc5Ui9YZFdlNHJ2dWVhWnByZzhGZ0dZQkllOGUzcjczMzNudjR6My8rVS90NTI3WnQyTEpsQzdLeXN2RDIyMjgzMnUvSUk0L0VHV2VjQWFEbTRmU0lFU1B3L1BQUE56ajArOTEzM3dVQW5IZmVlYlZsQXdZTXdLeFpzekIyN0ZqTW1qVUxYYnAwYVhLMWhLcWlvcUtpVHBucnVyWGJNaG1HQWEvWGl4a3paa0JWVVZsWmladHZ2am5oV0o5KyttbWR6MU9tVE1HeHh4N2I2TFViRXc2SE1YUG1URXlmUGgzaGNCakRody9IcmJmZWlwNDllelpvdTNuelpzeWFWZmU1NHZ6NTh6Ri8vbndNR3pZTUo1elE5Rm05M2JwMXcxRkhIVlg3dWFtek8wS2hFRzY1NVJaOC92bm5PT2lnZ3pCOSt2UW10NklDZ01zdXV3d0hIM3d3YnIvOWRreWVQQm4vL2U5L01YNzgrRDFPT3JSRTdIZlptUGpFU0RnY3hsdHZ2WVZMTDcyMFRwczFhOWJnTjcvNURiWnQyNFlwVTZic3RVUGNhYzlGNStFdll2T3dZUmh2cStxNkEzVWVib1luUHovZkN3Q1JTRVJjMXgycHF1dnk4L01iN0plbnFrdFVkYVJoR0l2eTgvTTc3ZHk1TTFKYVdscFJ2NTNmNzg5VDFWd0FsUUR1c1N3cnZycUxpSWlxZWl6TGVyTzU0TkxTMGw2TzZ4OXdIT2ZPMXR3a0VSRVJFUkVkbUpqTUlDSktnb2djYVpybXZZWmgvQkhBdjIzYi9rWlZGNnJxUDRQQjRLcjJqbTlmK2VTVFR4bzg0QWVBblR0M1l1Yk1oRnV1QXdCT1BQSEUybVFHZ05wa3hodHZ2Rkc3MHNGMVhiejk5dHZJeWNuQmozNzBvenI5dTNmdmp1blRwK1B4eHgvSHIzNzFxeVpqTEMwdHhibm5ubHVuckxDd3NEWUpZTnMyYnJ6eFJzeWVQUnNBY1BUUlIrUGlpeSt1YmJ0OSszWk1tREFCUHA4UFYxeHhSWjF4OHZQelVWcGFpbC84NGhjTnhqL3V1T01BQUNOSGpzVHZmdmU3MnJybHk1ZGo0c1NKV0xac0dicDM3NDZiYjc0WnA1eHlTcVB4RHh3NHNIWmJwbm56NW1IQ2hBa1lOMjRjemozM1hKaW1pVGZmYlBaNVlWSzJiOStPY2VQR0lSZ01KcDNJaVBuSlQzNkNybDI3NHFhYmJzTExMNytNVFpzMjRlNjc3MjUwUlVwYnFxcXFhamFoODlsbm45Vlp2ZlBhYTYvaDRvc3ZyaTNic0dFRHhvd1pnMjNidHVHWVk0N0JILzd3aDcwYU03V04yRHlzcW44UWtVTGJ0cjl4WFRjSTRJc0RhUjV1aXMvbnU5UXdqQ2ZxbHplMm1pMjJLc3pyOWNMcjlmNnJ0TFMwd2Q1eDFkWFZIby9IQXdCZUVUbW5rWEc2QWtoWTE0UzlQMkVRRVJFUkVkSDNDcE1aUkVSSlVsV0lTQ2FBRTFYMS8wU2tITUJHeTdLS1hOZjkrNjVkdTk0cktTbXBhdTg0OTBqUy91a0FBQ0FBU1VSQlZJVjMzMzIzZGh1b3B1ellzUU5ubm5sbWcvTEJnd2ZqN0xQUHhwbG5ub2t2di93U0FMQnIxeTRNSGp3WWZyOC80VmlabVprWU4yNWNzOWZzMUtrVHpqbm5mOC9VM25yckxmVG8wYU0yMlpDVGsxUG43SWhldlhyVldXMnhjZU5HQURVckhCS3R3cWl1cnNiZ3dZTnJQMy96elRmbzFLa1Q4dkx5QUtCMm02WndPSXdubjN3U1R6MzFGTUxoTU00KysyemNlT09OeU1yS2FqTCsrQzJYVWxOVGExK1QyY0lyV1d2WHJzVjExMTJIdFd2WDR0QkREOFdqano2YTFJSGU4WTQ1NWhoTW5UcTE5c0QwTVdQRzRDOS8rVXZDdnhkLy9PTWZFNDZ4WThjT0FFQnhjWEdqYmI3OTl0czZuMDNUYkpEc2lsbXdZQUZDb1ZDREI3ZnIxcTNEQng5OGdEUE9PQU1yVjY3RXRkZGVpMDJiTm1IWXNHRjQ2S0dIYXJlN29vNHZPZzkzUW5RZU5neWpURlUzV1paVkpDTFA3Tnk1ODZNRFpSNU94SFhkZ0dFWWR5VFRWbFVORVRrVndORG81NFRiUkJVVkZSWG41K2QzVGxUbjlYcS9RYzBCNE1NcUt5c1hKV3JUbU4yN2QzUExNQ0lpSWlJaWFoRW1NNGlJV2tCVlkyOUZWVHNENkN3aXVhWnBudGU1YytlTmxtVzlyS3JQVlZaV3JxeXNyTnkxYXRXcXluWU1kNjlKVDA5UDZ1RjZLQlJxdE81UGYvb1RBTlFtTXpwMzdvejc3cnV2VHB0Tm16Ymh6VGZmeEdXWFhZYVVsSlNrWXN2T3pzYnR0OTllKy9tdHQ5N0M0WWNmWGx2Mit1dXZvNmlvQ0JrWkdjMXVWNVJJejU0OThmampqOWQrOXZ2OXlNdkxxMU8yZE9sU1RKdzRFU3RXck1BaGh4eUNQLzd4ajQwZXF0MGVicjMxVnF4ZHV4YjUrZm1ZTW1VS3VuYnQycXB4Q2dvSzhQampqMlBNbURFb0xpN0d5cFVyVVc4TEdnQ29YUVhUbUEwYk5qVGJKc2JqOGRUNVdjZHMzYm9WSTBhTXdPREJnNUdXbG9hcXFwcm4yWm1abVFpRlFwZ3hZd1lPUHZoZzNIVFRUZGk1Y3lkR2pCaUJPKzY0b3paaFJQdVBldk53Rm9Bc0Vja0ZVRHNQUnlLUlowS2gwT3J2OHp5Y1NGRlJVUUJBb0trMlE0WU1PZHcwemN0RTVGSUFQUUE4QTJDYTR6aGZBNEJsV1dlN3J1dGRzR0RCeTlFdWJ2MUR2d0dnb0tCZ0lHb1NHV3NDZ2NEWGJYb2pSRVJFUkVSRUNUQ1pRVVMxVkRWVlZUMnFPdGpuODRWRVJFVkVJNUdJS3lKcUdJWWJEb2ZWTUF4WFJEUWNEcnNpb3FacE52Z2NDb1hVTUF6WE1Bd05oVUt1WVJocW1xWnJHSVpXVlZXNWhtR29ZUmlha3BMaVZsWld1b1poYUdwcXFydGp4dzQxVFZQVDB0TGNyVnUzdWg2UFJ6MGVqNWFVbExpbzJSdmRiYStmVC93aHpYRVAwMnJmaThoQkFLNERjRlZHUmtaeGVucjZ3aTVkdW54aEdNYS9ITWRac0crajNic2VlZVNScEw3TkhudWdITy9sbDEvR1gvLzYxOXJQNFhETmwzT3Z2dnJxT2ovanVYUG40dm5ubjhkenp6MkhPWFBtWU5La1NRa1B2RzZKZGV2VzRjOS8vak1BNElZYmJzQTk5OXlEU0NSU0o2bFJXVm56M0RQK25JMll0TFMwcEE0Zm56bHpKbGFzV0ZGN3pXdXZ2YmJaUGxsWldiV0hxVGRtMjdadHpZNlRqRHZ1dUFOUFBQRUVKazZjaVBUMDlEMGFhOENBQVhqc3NjZXdZY09HaElrTXd6QVNiazBHQU11V0xjUG8wYU14ZlBqd1JzK3NHRDE2TkpZdFc5WnNISFBteklHcTRxU1RUcXBUM3Jselp4eC8vUEY0OWRWWGNlV1ZWMEpWY2NrbGwyRHMyTEYxL3I3dFQ5UlZwSnJ1NGJadFJ5S1JpSXFJR3o4LzEzOWZYVjJ0aG1HNHBtbTY4Zk4wZFhWMW5mZXhlVG8yUjZla3BMZ1ZGUld1YVpxYWtwTGlscGVYdS9YbjU0eU1ETGU0dU5qRlBqcVlPOWw1Mk9QeFhPbnhlSmFrcDZjdnpNN08vaWVBZjMvZjV1RVkyN1ovcXFxdk50R2t5SEdjWXdIQTUvTk5GcEh4QUhZQTZLcXFkenFPODZkb084T3lyRHNBL01Fd2pHMzkrL2YvWk9uU3BkODFOcWhoR0JjQ2dLcSsxVWEzUWtSRVJFUkUxQ1FtTTRnb1hsY0FZaGpHN1FCQ0FGUlZZUmhHN0ltUlJ2Zk4xbnJ2b2FwcW1pWkVSQUVnTlRWVlkvM1QwdEpxK3dPQTErdlYrSDdSYjBhcjY3cm8zTG16QW9DSWFLOWV2V3I3UlIrUzF2YUxpVjZ2U2xWZEVZbW9xaHQ5NzZwcUpQNDFWaDk3QlJEZnhoV1JTTDB4SXFyYUtkRUR6MFFQMU9JZXBxVUJzQUQ0VE5QOE9ZRE5QcDl2ZVRpTWY1ZEgzUDNtNldra1VuT3VidlQzWE1lSEgzN1k2bkYvOElNZjRNYy8vbkh0NXpsejVpQWNEc08yN1RvckJBekR3UFhYWDQvTXpFeE1tellObzBhTndzMDMzOXpnUEl5V0NJVkNTRXRMdzdubm5sdTduZFhzMmJNVHJncVlOMjllZzdNWnBrNmRpbU9PT2FiWjYvVHYzNzgyRWZMMTExOGpOVFVWdG0wREFDb3FLbEJZV0lqZXZYc2pOemNYUU0wQjMwMGxoK2JObTRlWFhub0p1Ym01OFBsOHlkMXNFM0p6Y3pGNTh1Um0yejN5eUNPb3JxNUdkbloyayswR0RCaUFBUU1HTkNoM1hSY3BLU21OcnVLSjNYUDgxbHIxSlh1dytNY2Zmd3dBRFpJWlFNMmg1VysrK1NiQzRUQ3V2LzU2WEhMSkpVbU4yVkVKZ1BRVXo2OEI1TWZtNStnYzNPUmNYVytlMXBTVWxKcEpHa0JLU2tydC9Cby9SMmRrWkdpc1RSUHpjNE81T2FvQ05Rbm8rTGsxOWo0U25YTmRWWTBnbXF5T3EzZEZKQUlnb3FxWnJaaUh2WWpPd3dCK0ppSmJmRDdmY2dEUGgwS2hWeE90Tk5pUHJRYlFjTGtTY0xxSURGRFZMYkVDRVRsU1JLU3lzdklIYVdscDB3Qk1zQ3lyS0JLSi9NczB6YitMeVArcDZqL0Q0ZkJsVFNVeW9tS0hCMTFsV2RibHlRWmJWbGJXL1VEZUNveUlpSWlJaUZxUHlRd2lpaWZSaDBQcEloTGIweWYrQ1pJQWdLbzJLSXYyay9wOUpPNXBVNnhmZkgrcGdmcjlFbHlyVHNNRWdkZSt4citQZjAxVTFsaWJST1hKaXU3cEhydjNOQUNkUktTTGlMdGZiY3dmUzJZa1dvbnczbnZ2SmJVMTBmYnQyM0h5eVNmWEtSczJiQmlHRFJzR0FGaTFhbFZ0SXVIcXE2K3VjeFpGekpWWFhvbEJnd2JoMWx0dnhRTVBQSUNoUTRlaWQrL2VMYjRmb09hOGpMLzg1Uy9vMTY4Zk5tellBS0RtUWZ5SUVTTnEyNVNYbCtQSko1OUVibTV1blVQTEFlQ3d3dzVMNmpxalJvM0NxRkdqVUZwYWluUE9PUWVublhZYUprNmNDQUQ0NnF1dlVGaFlpSkVqUjJMMDZORUFnSk5QUHJuT0Nva05HelpnenB3NWVQZmRkMnY3cEtXbDRkUlRUMjNWZmJmVzdObXpzWDc5ZWx4MDBVWG8yYk5uaS90SElwR2t0d2ZiRXl0V3JNQTMzM3lEL1B6OGhJZVk5KzdkRzJlZmZUWmVmLzExTEYyNmRLL0hzMCtJcHFnaVBXNWVUSGF1bG5xZkc3UnZaSTV1Y0oxazUrZTRzWnFjbCtQZk4xYWZySHJ6c0JmUmVSaEFlaVFTMlcrU3lza0lCQUpMQVB3dXZzeTI3ZkdxMmw5VjU1ZVZsVjFVdjA5eGNYRmxYbDdlTlJrWkdVZUx5SE9tYVZhSWlOZDEzUnVDd2VBalNKeWNxbVZaMXYrSlNEOVYzU1VpbWFxNkJrQlJFMTNTUmVSMEFPRXVYYnEwMndwTElpSWlJaUxhdnpHWlFVVHh0a1czbXZxVGlDeFVWVEZOMDNCZDEwRE4zdVJpR0lhaHFxS3FobW1hb3FxR3FvcUkxSmFqNXNGV3JJOWhHRVp0dThiNnhkclc3eGYzM2tDQ09VdFZQU0lTdTY0UkgyTXNqbGhNY1o4RmdCRi83ZmpyMW12WFdVVE9TbkRkaEQ5QUVZR3FobFYxRTRCTnFyb2N3Q1BCWVBDTG5Od2hRNUVpdjlyajM5SStVbDFkRFFCNzlVeUJ0OTc2Mys0a1gzNzVKVDc0NEFPTUh6KytRYnRodzRaaDVzeVorUGJiYjF1ZHlJaXBuekE1OHNnajYzeFRmK1BHalhqeXlTZHg2S0dIN3ZFMytELzQ0QU1BcUxNU1pjbVNKUUJRWjh1c2lvb0s5T25UQndEdzBVY2Y0YmJiYnFzenpnVVhYSURycnJzT0dSa1plT21sbC9Zb3BwYVlQWHMyRmkxYWhOTlBQNzFWeVl5cXFxcDlrc3lZTVdNR0FPRGlpeTl1dE0yMTExNkxPWFBtNE1NUFA4VHc0Y1BySkxEMk53cGdkeWc4TThOanJESk5zM1p1alorZkU3eVBueC9qNTdrRzcrUGFHN0g1dGQ1Y0hwdWZZMjBNQUhXeW50RzV1Y0g0OGVPZ1poNXU3SDM4WE4wWlFJTWxXYzNNdzlXcXVobkFKZ0JMVmZWdndXRHdpemI3SlhSUS9mdjM3NTZSa1RFRE5UK3ZmeGlHY1g1SlNjbk91Q2F4Ukk0dVc3YXNiTkNnUVNlbHBxWitKQ0w5QWJ3Q1lDYWFTV1JFL1JFQVJPUldWYjBKUU1oeG5KODMxdGkyN1JzQm5LNnFMd1FDZ2VyVzNCc1JFUkVSRVJHVEdVUlVTMFJDQUF3QWdXQXdPSys5NDBtU29PRTNoZ1VBL0g2L0FFQmxaYVdFUWlFQmdIQTRYT2ZWZFYzcDA2Y1BxcXVySlZZVys5WnVKQktSakl5TVF6MGV6MWxBMHcvT292V2JvM3VIditTNjdwcnE2dXBLMTNWM0xWMjZ0RzBPT3RqSHlzdHJkbUhKek14c1VGZC94VUpyeDMvOTlkZmg5WHBSV1ZtSitmUG5JeGdNSWpVMUZkZGZmMzJEOWprNU9jakp5UUZRODQxLzE2MzVjdS83NzcrUERSczJZTjI2ZGZqaEQzK0lDeTY0WUk5amF3dFZWVlY0NDQwMzBLbFRwenBiVTMzNTVaY1FrZHJ0b2x6WFJWVlZWZTAyUzluWjJUajg4TU54OXRsbkl5MHREZmZmZnorT1BQTElwQTVjNzJncUtpb1FEb2R4NTUxM0pxemZ2bjA3Z0pvRVQyTnQxcTlmMytRMVZxNWNpVTgrK1FTSEhISklnMVZBOGJwMjdZcmJicnNOdDl4eUMrNisrMjcwNjljUGh4OStlSkozMHJHSUlRaTducFZGUlIxNm5xNC9OOWZPeXhVVkZRSUE4Zk55L0p6Y28wZVAydkpJSkNKZXIvZFEwelRQQlpLZmgxM1hmUjdBdDVGSXBFSlZkeTFldkhqNzNyclJEc0pqMi9ZMUFDWUM2QTdncjQ3ampCczBhRkNQZ29LQ3ZvWmhsSWZENFN3UitaR3Fia2ZOdGw1WXRHalIydjc5K3grZm5wNyt1b2ljYnhqR2oyM2J2anNVQ3Iyd2FOR2lqWWt1NVBQNWZpUWlwd0xZc21uVHBpZDc5ZXFWRHVCKzI3WkhCZ0tCTitxMzkvdjlQVnpYdlUxRXdvWmgzTFAzZmdSRVJFUkVSUFI5eDJRR0VlM3ZHdHVySFlXRmhVa05zRzdkdWtickxNc3FpLzhjOThCTVJhUUN3RTdYZFJlSnlGTmxaV1d2ZjUvMkFkK3hZd2VBbWdPVTZ6dnBwSlBxZk9OKzI3WnQrT2MvLzRsRERqa0VSeDExVkcxNWRYVTEzbi8vL1lUanYvamlpOWk5ZXpkT1AvMTB2UHZ1dS9qdGIzK0xhZE9tNGRsbm4wWHYzcjF4eGhsbllQSGl4VmkvZm4yRFA1czJiYXJkQm12Q2hBbTFZNDRZTWFMRnlZeTJPZ0I4eTVZdG1EVnJGZzQvL0hDY2M4NDVlTzY1NTdCaHd3YU1HVE1HWHErM3RrMVJVUkVHRGh5SUxsMjZBRUR0TldMSkNyL2ZqMWRmclRuTE4zWU94TjVRVkZTRUtWT21OTmxtNWNxVkFJQkpreVkxZVZENGdBRURjTk5OTjlVcEt5OHZSeVFTUVNRU3FiTUNKNUgxNjljMzJ5WVIxM1Z4OTkxM1ExVng4Y1VYTjNzNCt5bW5uSUpUVGprRkgzLzhNYTYvL25yTW5EbXoyZk5BcU5VU3pzM0p6TXYxNTJUTHN1cWNiOUhFUER5dHJLenNuZS9UUEp3TW44OTN2WWo4RGtCZlZWME40RUxIY1Q0R0FOTTBUelJOOHlVQThYUDJ0UGorMGJNeGh2dDh2aXRFWkxLSVBKeVNrdktRWlZtZlZWUlUvS3orMlJraUVwdDAvMVphV2xvQjRHKzlldlc2VGxXbkRCNDhlTjdDaFF2akUvaml1dTQwRWVtcHF2Y0dBb0h2eVQ1dlJFUkVSRVRVSHBqTUlDSktVblRya2wwQS9pMGk4MTNYRGJxdSsxVlJVZEYvMnp1MnZTRjJwa1N2WHIxcXl5Wk5tb1RxNm1wczNMZ1JlWGw1dGVVTEZ5N0VQLy81VHd3Y09CQzMzMzQ3QUdEMTZ0VTQ5TkJETVc3Y3VBWmJEVzNhdEFsUFAvMDBUanJwcE5yeFBSNFBKaytlaklzdnZoaHZ2UEVHK3ZYcmg5Lzg1amQxK25tOVh2VHAwd2ZISEhNTUZpNWNpTEt5TWt5YU5BbDkrdlRCSVljY2t0UldTSzdyMXRtRHZ5VUhnRStiTnExT3NpWm15WklsT091c3N4QUtoWERwcFpkaXpabzFlUHJwcDlHdFd6ZjgrdGUvcm0zM3hodHZJQktKNFBUVFQ2OHQyN1ZyRjREL3JZQko5c0RyK3RlUGJWTlZYMlBmWk4reFl3Y0NnVURTNHpjbFVSSmh5NWFhTTRlSERoMkt1KysrTzJHLzVjdVhZOHlZTVRqaGhCTnF6eFNwNzVwcnJzR0tGU3NTMXIzNDRvc0lCb000OHNnak1YTGt5Q1pqalBuREgvNkFGU3RXWVBYcTFSZzdkaXdlZmZSUlpHVmxKZFdYMmw5MEhpNEhVQ2dpODFVMUVJbEUvdlY5blllVFlSaEdKb0F1QUNaV1ZWVTlGSCs0dVdFWW53T1lxS3FtMUJ5MnZ0UnhuRmNTREtQQllIQ0d6K2Q3VlZWSGljalZBTmJWVDJSWWxuVzJpSnlscXV1cXFxb2VBb0RTMHRLS0hqMTZqRFVNNHcyUHgvTkdmbjcraU9MaTRoQUEyTFo5RjREekFCUnUyN1l0OGZJcklpSWlJaUtpSkRHWlFVU1VCRlZkQmVBNVZmMGdGQXF0TEM0dS9nN0E5M3JmNzlpMzh1TVBWTTdNek1TU0pVc3dhdFFvSEh2c3NYajQ0WWNUSHM3NzZhZWY0dWFiYjhaRkYxMkU2NjY3cmtIOWZmZmRoOHJLU293ZVBSb2ZmZlJSYlhtWExsMHdkZXBVZE8vZUhaRklCRGZlZUNQNjlPbURndzgrR0gzNjlLbHo2UGlGRjE2SXNyS3lPb21CeG9URFlYenh4UmVZTzNjdTVzMmJoMWRlK2QrenZKWWNBQjcvczFpNGNDR2VmLzc1Mmo1OSsvYkZwWmRlaWhOT09BR2pSNDlHWldVbEpreVlVTHVpb2J5OEhDKzg4QUxTMDlOeDJtbW4xWTVUVmxaVys3TnRxYzgvL3h4UFBmVVVWcTllamRkZWV5MWhtelZyMWdCQTdlcVFtT09PT3c1ZmZ2bGxrK05mZWVXVldMeDRNV2JPbkZubmpJLzZFaVV6WXRjOTdMRERHajBzdmxPblRnQnF2akhlV0J1UEovRS9WVmF2WG8xSEgzMFVJb0lKRXlZMDJxNityS3dzUFBMSUl4ZzFhaFNLaTR0eDFWVlg0YkhISHVNS2pmMUFiQjZPUkNMdmg4UGhWUWZDUEp3TUVYa0F3UFRDd3NJdHRtMmZZRm5XcitQcll3bk42R3R2eTdLR056SGNETWR4L2dyZ3I3bTV1V254RlFNSER1d21JdE9pMTd3bFBta1NEQWJmOVBsOER4dUdjV05hV3RwN1BwL3ZmQkc1RWNEdkFhd1BoOFBucmxxMXFySXQ3cGVJaUlpSWlBNWNUR1lRRVRXaHFxcnF1N1MwdEZNY3gva25EckNIWm83akFBRDY5KzlmV3haN1FCK0pSSERVVVVjbFRHUUF3TUNCQTlHclZ5ODg4OHd6K0gvMjdqd3dxdXJ1Ly9qbjNKa3NoQ1VZRUtLQUlySklMRW51UkZ2UlVublFnbFlmVzlRSEg3VWlXTnlLZ2hzaVVoWEZYYXg3cmEwYkxXcHQzYlcyL3Fvb0Q3Z2dKcE9Fc0ZNV2lleXJiRW1ZdWVmM1J6TFRTVExaSUpBQjNxOS9NblB1T2VkKzc0VGUyUHVkYzc0cEtTbTY2cXFyb3NmZWV1c3R6Wmd4UStlZWU2NTY5ZXBWTFpraFZVOFkvUEtYdjl5cjJLMjFXcng0c2ViTW1STzlsc2oxdEduVFJydDM3NDcyYldvQjhHWExsbW5TcEVtYU4yK2VwTXFIOWFOR2pkS1FJVU8wZS9kdWpSa3pScXRXcmRLbGwxNnFzODQ2S3pydXVlZWUwN1p0MnpSeTVNaHFLd0VpdFVraUQvWWJzbUhEQmtuU2hBa1R0SG56WmtuU3VlZWVXNjNQN2JmZnJvcUtDaVVsSlVWWFh4eC8vUEhWK2ppT281U1VhczhxYTRuOGZwT1NraHJzVzlQY3VYTWxLVnJucERsdDM3NWROOTU0bzhyS3lqUnMyTEJhUmQwYjByVnJWejMyMkdPNit1cXJ0V1RKRW8wWU1VSlRwa3lwTjJHRGxsTjFIeDRZREFhLzBHRjJIMjZNL1B6OFBaSTJTcEsxdHJla3ZidHhWdnFYcEc4a3FlWjJYY25KeVU5THlyVFd6Z2dHZzlOcURpd3NMTHpGZGQwT3hwamhrcFlaWTQ2dzFwWjZubmRHY1hGeDZUN0VCQUFBQUFDU1NHWUFRTDJxdm5uNlNVdkhjYUN0WDc5ZTgrYk5VL3YyN2RXelo4OW8rME1QUGFUbHk1ZnJ0Tk5PcTdaOVVrMGRPM2JVTTg4OG81RWpSK3E1NTU1VGFtcHFOREZRWGw2dUk0NDRRamZjY01OK2lYM09uRGthUDM1OHRPYUhKSFhyMWswREJnelFUMzd5RTdtdUs3L2ZyeFVyVnV6Vi9PM2J0OWVpUll2VXRXdFhYWG5sbFRyNzdMUGw4L20wYXRVcTNYREREVnF4WW9YNjkrOWZyWWg1Zm42K1hudnROWFhzMkZFalJveW9ObDhrenNZa004TGhzTjUvLzMxSjB1Yk5tOVczYjErTkh6OWUvZnIxaXhiVGpzejUxVmRmUmQrZmZQTEp1dkRDQy9mcWV2ZldwNTkrS2trS0JBTE5PbThvRk5LNGNlTzBjdVZLOWU3ZFcyUEdqTm1yZWJLenMvWFVVMC9wNXB0dlZtbHBxUzYvL0hMZGUrKzlHalJvVUxQR2kzMVhkUitlMGRKeEpMcnM3T3hBT0J6K1MzRng4UXN4emI0K2ZmcWtMVnEwS0ZyL0tTOHZMeTBjRGw5YVdGajRvcW9LZ1ZmeHU2NzdpM2h6QndLQmNaSXVsclRSODd5NmJ2N1dHUE9odGZaL2pURkhTSkl4NW5PLzM3OTUzNjRNQUFBQUFDcVJ6QUFBMVBMV1cyL0pXcXN6empnait1MzgxMTkvWGUrOTk1NDZkdXlvZSs2NXA5cXFqSGgxR1k0NTVoZzk5ZFJUdXZMS0svWEVFMDhvTXpOVGd3Y1Axam5ubktPZVBYdnV0MjE5K3ZUcG8vTHljdVhsNVduQWdBRWFNR0JBdmFzRG1sSUEzQmlqakl3TVBmMzAwOUdrU01Ua3laTzFZc1VLL2V4blA5T2RkOTRaM1hycHUrKyswNjIzM2lwcnJTWk1tRkFyYWJGdTNUcEpsUW1naHZoOFBybXVxeGt6Wm1qczJMRWFObXhZM0JvYmt5ZFAxcTVkdStUeitkUzJiZHRHci9wb0xzdVhMOWZ5NWN2Vm9VT0hhc213dlZIejM5YTc3NzZyT1hQbXFFT0hEbnJzc2NmcUxFeGVYbDc1cGZMNnRwODY2YVNUOVB6enordTY2NjZUcEdwMVlJQ0RTZGV1WFZ2NWZMNS9TdG9tcWJjays0TWYvS0J6VWxMU2JHUE1kRWxYUlBwNm5uZVQ0emlUYzNOejB3c0xDNmRFMmdPQndDT1NibkJkOTQ1Z01IaHZwRDAzTjNlVXBJZHRwY3VMaW9xK2l6MTN6NTQ5MjdWcjErNHlhKzIxa2s0MHh1eXgxajVualBtcHBJdXN0V2U3cnZ1OE1lYlpnb0tDcGZ2M2t3QUFBQUJ3S0NPWkFRQ281dnZ2djlkcnI3MG1TZEZ2ODMvMjJXZWFNbVdLMHRMUzlQampqNnRWcTFheTFrWVRHZ3NYTHBTa1dvV1VzN0t5ZE9lZGQrcjIyMi9YblhmZXFTT1BQRkt1Nitya2swL2ViL0czYTlkT24zenlTYTBhRVhWcFNnSHdwS1FrZmZYVlYzSGpueng1c2o3ODhFT05IRGt5MnZiZGQ5L3A2cXV2MXRhdFd6VjgrSENkZXVxcDFUNjMzYnQzUjFkYXhHN25GUkZKcHNRK2tML3V1dXQwOGNVWEt5Y25wODVyeXNqSVVFWkdSdHhqUzVjdTFaUXBVK0llcTJuNThzcWF5dmZmZjMrZFNZTll2WHYzMWswMzNhUm5uMzFXVXUzdHI1cHF5NVl0V3JWcWxhVC8xUHdZT25TbzVzNmRxd3N1dUVDWm1ablJ2bHUzYmxYYnRtM2w4L2tVRG9mMSt1dXZTNUtPUHZyb2VzL1JxMWN2VFowNlZkdTJiVk9YTGwzMktWNmdwWFRxMU9rS1NVZEtlbHlTbGFTU2twSjFydXQrSjJsNFRrN09vMFZGUmZNa3lYR2MzMXBycjNRYzU1N2MzTnczQ2dzTFYwaVN0ZlorU2NNazNaT2JtN3Vvc0xEd2J6azVPVCtNcVpOeFV6QVkvRkNTK3ZYcmQ0VGY3ei9MR0ROTTBsbVNVaVY1a3Y0V0NvWHVLQzR1WHRTOWUvZlVqSXlNbXlYZGFveTV5VnA3byt1NmM2eTE3emlPODJsWldWbEJwRkE0QUFBQUFEUUd5UXdBUURYUFAvKzhkdXpZb1lFREI2cDM3OTRxTFMzVmJiZmRKc2R4OU1namo2aHYzNzU2NVpWWDlPU1RUK3FJSTQ1UWNuS3lWcTllTFVseEg3QVBHVEpFQ3hZczBMUnAwN1JtelJxNXJydmZyNkd4aVF5cGRnSHcrdFQzTGYvT25UdFhTMlFVRmhicTFsdHYxYVpObTNUMjJXZnIrdXV2MTh5Wk16VisvSGgxNk5CQnFhbXAyckJoZzNidTNLbCsvZnBGNnpWczM3NWRZOGVPVlhwNnVvcUxpeVdwMmtQMnJsMjdWcXNyMGxUYnQyK1AxaEpwckpLU2trYjFDNGZEbWp0M3JqNzU1QlA1Zkw0bWIyMVZVbEtpMGFOSHEwMmJOa3BLU3RLR0RSdFVWbGFtWTQ4OU52bzdkUnhIa3laTnFqVjI3Tml4S2lrcFVXcHFxa0toa0VLaGtLVEtmMzhOeWN6TXJKWVlBUTRtL2ZyMU84SmFlNWVrTFk3alBCTjd6Qmp6Z0tUM0hjZTVYOUxQSlNrL1AzK1g2N3EvTWNiOHlSanpxS1FMSkNrWURHNElCQUwvSytsVFNTOEdBb0dTZ29LQy9FQWc4RmxWbll6SCsvWHIxOFB2OTA4enh2eFFrcS9xTk5za3ZlaDUzaE5GUlVXTEkrZGVzV0pGMllvVksrNDc4Y1FUbjAxT1RyNUYwclhHbUI5V2pWVktTc3E5a3U3WXJ4OE9BQUFBZ0VNS3lRd0FRRFZubjMyMjNudnZ2V2pOaDY1ZHUrcWhoeDVTZVhtNVRqbmxGRWxTang0OTVIbGV0QmgxZW5xNmZ2YXpuMVVyZUIzcit1dXYxMm1ubmJaZlYyVHNyWm9Gd0p2TDIyKy9yVTJiTnVtODg4N1RiMzd6R3ptT285NjllOHRhcTdWcjEwcXFUTHFjZHRwcHV2MzIyNk9yTmRxMmJhdC8vL3ZmMGNMZ0F3WU1VRjVlWHJQRmxaT1RvNWt6WnpiYmZMRWN4OUhPblR1Vm1abXBRWU1HTmJncXd1LzNLeU1qSTdxaXAwZVBIcXFvcUloK1BsTGxkbVYzM05Idzg4N2V2WHVycEtSRVpXVmw4dmw4NnRhdG04NC8vM3lkZDk1NSszWlJRSUx6Ky8wWFNlb29hVUorZnY2MjJHTUZCUVVmQkFLQm9ER212R2ZQbmltUm90N0JZUENWUUNBd1ZOSWJOZnJQek0zTnZjTVlNOG56dkI5S1dtQ00rZStDZ29KZGtqUjM3dHhsZ1VCZ3JxU1RyTFVmU2ZxTDR6aHY1dWZuVjkrVEw4YThlZk0yUzdvOU96djdQcC9QTjF6U0NHUE02bUF3ZUdkemZnNEFBQUFBRG4ybTRTNEFEZ2U1dWJrREhjZDV6VnFiYXEwZFdsaFkrRmxMeDNTbzZkNHoreFFsbWJmYnRXMmIrZVNVQjNYNmdOTmFPcVE2clYrL1hwMDZkV3BVMzNBNEhLMFBnZjhJaFVMNitPT1A0eVo0ckxVS2hVTHkrLzNWYW85RWJOcTBTZFphcGFXbEtTMHQ3VUNFMjZ5V0xWdW16cDA3cTNYcjFuczlSMlJsUlgycllRNDNYMzM5amNiY2ZKczJiTnEwVlZaRFZ5emtQbzFLZ1VDZzcvcjE2MWVVbHBidXJua3NLeXNydVluYk9abmMzTnllaFlXRlMrSWR6TXZMUzZxb3FHZ3pkKzdjTFhzZGNPWC9CNmxkYkFrQUFBQUE2c0VUQWdCQUxZMU5aRWdpa1ZFSHY5OWY1MG9WWTR5U2twTHFITnVoUTRmOUZkWUIwYU5IajMyZWd5UUcwSGdGQlFVTDZqcTJGM1VwYkYySkRFbkt6OC9mSTJsZkVoa1NpUXdBQUFBQWU4RnA2UUFBQUFBQUFBQUFBQURxUXpJREFBQUFBQUFBQUFBa05KSVpBQUFBQUFBQUFBQWdvWkhNQUFBQUFBQUFBQUFBQ1kxa0JnQUFBQUFBQUFBQVNHZ2tNd0FBQUFBQUFBQUFRRUlqbVFFQUFBQUFBQUFBQUJJYXlRd0FBQUFBQUFBQUFKRFFTR1lBQUFBQUFBQUFBSUNFUmpJREFBQUFBQUFBQUFBa05KSVpBQUFBQUFBQUFBQWdvWkhNQUFBQUFBQUFBQUFBQ2MzZjBnRUFRRTI1dWJuZGpURXZTL29xR0F6ZTF0aHhnVURndjYyMXR4aGpYRW5XV3Z1MU1lYUJnb0tDNmZzdldnQTR0SEZQQmdBQUFBQWtBbFptQUVnWXJ1c2U3YnJ1Rk1keEZoaGpUbS9LMkVBZ2NKV2s5NHd4T1pMZXM5WithSXc1MVZyN2NVNU96ckQ5RXpFQUhMcTRKd01BQUFBQUVna3JNd0FraEVBZzhMaWswYXE4TCtWTHltdnMyS3lzckdScjdZUEdtSTNHbUx6OC9QeHZKU2s3Tzd1UDMrLy8ybkdjMzByNjYzNEpIQUFPUWR5VEFRQUFBQUNKaG1RR2dJUmdyYzJTOUpreDVoNXJiV2Rqek44YU85Ym44M1UxeGh4aHJYMmhvS0RnMjBoN2NYSHhJdGQxUHpER1hITGlpU2RtekpzM2IvTitDYjZKdkxDbmxhdEtOWC9Cb3BZT0JjQkJaTVhLYnhVS2h3N0l1UTZuZXpJQUFBQUE0T0JBTWdOQVFnaUh3ME9MaTR0M1NwTHJ1aGMyWmV5V0xWdldkT3JVYVpla1krSWM3aTVwNDd4NTg3WTBRNWpOWW5mWmJ2MytqeThwTGExVlM0Y0M0Q0N5ZTNlWnRtL2Zma0RPZFRqZGt3RUFBQUFBQndlU0dRQVNRdVNoMmQ0b0xTM2QzYWxUcDBuR21JZGQxNzNIY1p3bmQrL2U3VTlKU2JuZEdIT3E1M2xYU3JMTkdPNWUyZU0zbTVPc0tmTThxN1hyMXJWME9BQU9Vc1pxVDhoNEcvZm5PUTZIZXpJQUFBQUE0T0JDTWdQQUlhR2dvT0FSMTNYYkdXUHVXNDhlT1FBQUlBQkpSRUZVc05iZWtacWFHamswdnJDdzhQbVdqQzNpdTRWRlM3djErY0gvK0R4LzE1YU9CY0JCekhwclZpMHBYdERTWWRUbllMZ25Bd0FBQUFBT0xpUXpBQndTQW9IQVNHdnRPR3Z0RmtrekpmbU5NUU1rM2VXNjdyK0R3ZUNiTFJ5aUpIbXJGcFY4SSttYmxnNEVBUGFuZytTZURBQUFBQUE0aURndEhRQUE3Q3ZYZFUreTFqNXZqQ2tKaDhNbkJJUEJud2VEd1hOQ29WQ1d0WGFGcEZkemMzTjd0WFNjQUhBNDRKNE1BQUFBQU5nZlNHWUFPQlJjWjR4eFBNOGJVMXhjdkQ3U1dGeGNYR3F0dmNFWWsrdzR6cTliTWtBQU9JeHdUd1lBQUFBQU5EdVNHUUFPQmIwbGFjZU9IU1UxRDFSVVZNeVZKR3R0bndNZEZBQWNwcmduQXdBQUFBQ2FIY2tNQUllQ0RaS1VscGJXcythQmxKU1V5QU96OVRXUEFRRDJDKzdKQUFBQUFJQm1SeklEd0VISGRkMHpBNEhBTHlQdnJiVi9sU1Nmei9kd1ZsWldtMGo3Q1NlYzBFSFNsS28rZnp2Z2dRTEFZWUI3TWdBQUFBRGdRUEMzZEFBQTBCUjkrdlJwYTR6NWh5Uy82N3ByZ3NIZ0o0V0ZoYSs2cnZzTFk4eUZLU2twaTF6WG5XR004VXNhSkttRHRmYkZ3c0xDdjdkdzZBQnd5T0dlREFBQUFBQTRVRmlaQWVDZ3NtalJvcDJTdnBLMEtod09MNnBxdHNGZ2NKam5lVmRKS3BYMDM1TE9zdFl1dE5ZT0R3YUR2MnFwZUFIZ1VNWTlHUUFBQUFCd29KaVdEZ0JBWXNqTnpSM29PTTVyMXRwVWErM1F3c0xDejFvNkpnQUFBQUFBQUFDUVdKa0JBQUFBQUFBQUFBQVNITWtNQUFBQUFBQUFBQUNRMEVobUFBQUFBQUFBQUFDQWhFWXlBd0FBQUFBQUFBQUFKRFNTR1FBQUFBQUFBQUFBSUtHUnpBQUFBQUFBQUFBQUFBbU5aQVlBQUFBQUFBQUFBRWhvSkRNQUFBQUFBQUFBQUVCQ0k1a0JBQUFBQUFBQUFBQVNHc2tNQUFBQUFBQUFBQUNRMEVobUFBQUFBQUFBQUFDQWhFWXlBd0FBQUFBQUFBQUFKRFNTR1FBQUFBQUFBQUFBSUtHUnpBQUFBQUFBQUFBQUFBbU5aQVlBQUFBQUFBQUFBRWhvSkRNQUFBQUFBQUFBQUVCQ0k1a0JBQUFBQUFBQUFBQVNHc2tNQUFEUUlselhIZU82Yms0enp2ZEgxM1V2YU1JUTQ3cnVrYzExZmdBQUFBQUFzUC80V3pvQUFBQndlRExHL0ZiU0RaS0tJbTJCUU9DL3JiVXA5WTN6UEsrNHFLaG9jWno1Qm5pZXR5amVxYkt5c2pxbnBLUjBsZFRMR0JPUWxDY3BJR21OcEw3N2NoMEFBQUFBQUdEL0k1a0JBQUFTeVV1UzJrcmFFKytnTWFhMU1XYWNwQ2tOVFJRSUJNNnkxdjVPVWhkalRITE40OWJhSFpLMnFIS2xxbGRqN0ZCcjdUaEoyWkwyR0dObWhVS2hDY1hGeFNWTnVaamMzTnlCanVOTWxYUjFRVUhCUDVzeUZnQUFBQUFBL0FmSkRBQUFrR2p1Q2dhREQ4WTdFQWdFTnNhK3o4M05IV2lNaWZ6M1RKcmpPTDFjMXoyejZyM2ZHT05KbWkxcHRiWDJ4OGFZZGRiYThYdjI3RmxVVWxKU0tzbkdPY2NOa2g2VHRFSFNHOGFZbzZ5MTUvaDh2b0haMmRuOUc1UFF5TW5KY1IzSG1XaU1hY3EyVndBQUFBQUFvQTRrTXdBQXdBRVRDQVN5VmJuYVFkWmFJK25rUUNEd1MydHRXVEFZZktPcDh4bGovaUtwVGRWOGFaSkdTTHBVa2p6UHU3cXdzTEJucEsvcnVoOWJhM2NFZzhHUDY1b3ZPenY3T0VrUFcydFhoTVBoSHhVWEY2K1hwTnpjM0xHTzR6enU4L2tlay9UVEJxN3hHMVZ1WTdYYldqdmZHSlBWMU9zQ0FBQUFBQURWa2N3QUFPQXdscGVYbCs1NTNqWFcybFdlNStVWEZ4Zkhxem5Sbk02WGRKY2tHV01rYWJpazRjYVlUWklpeVl5czNOemNYOVF4dnRwMlVjRmdNRFB5T2hBSUxQUTg3L25Dd3NJR3Q2Q3FpK000MTBoS3N0YmVIVWxrU0ZKaFllR1RydXZlWUl3NU15Y25wMHRSVWRGM2RjMWhyZTFqakhuWjg3eTdIY2U1UlJMSkRBQUFBQUFBOWhISkRBQUFEbTlKeHBoaHhwaUE0emh5WFhlYnBCSmpUTkJhKzRXMWRta29GTnJzZWQ3T2lvcUtYVXVYTHYxK1gwNVdVRkJ3Yi9mdTNSK1VwSXlNakIyU2J0bThlZlB2L1g1LzdIWlBGeGxqenE5aml0YXhiM0p6YzNzWlk0NnRlbHR0bTZsZ01EaGROV3BoU0hLeXM3TTcrZjMrekhBNG5PazRUdWR3T1B4V2NYSHhUa2x5SE9jc1NTb3JLM3UveGpncjZTTkpWL3Q4dmg5TGVyMnVhd3lIdzVtUitRS0JRRjNkQUFBQUFBQkFFNURNQUFEZ01MWmp4NDd5dExTMEZjYVlnQ1FaWTlJbG5TYnBOR1BNZFpMMkpDVWxyVFBHZkplU2tySXVFQWdzczlhdWxmVHZjRGk4TUJ3T3I1NDNiOTdtSnB3eXRHTEZpcEFrWldSa1JONlh4UnlmS0NrL0dBeCtFMit3NjdvM09ZN3pSZVM5NHpnanJMVmpwZHJiVE9YazVQeTN6K2Y3bGJXMnN6R21zNlJla2xMOWZ2ODZTZkw1ZkpLMHpYR2NtWkoyU3ZKWmEwK1F0SHJod29XYmFwN2JHTE93Nmp5OTZydkFTQ0lEQUFBQUFBQTBINUlaQUFBY3hzckx5L2UwYnQxNnJTUlpXNnNXdG93eFNaSzZTdXBhdFMyVUpGVVlZOHA5UHQ5dW44OVg0YnJ1SWttRnhwaDVGUlVWSDVlVWxLemFtMWhjMTgzeFBHK2RwSzY1dWJsZDQvV3gxaTZ6MW1ibTVlV2w1K2ZuYnlzb0tKaW95Z1JJclcybWNuSnlmbXl0OVNRVlNWb242UXByN1dacjdRMCtuMi9kdG0zYjFpMWR1clE4TW5kMmRuWUhZMHh5VmQ5YVBNOWI3emlPSkIyeE45Y0hBQUFBQUFEMkhza01BQUFPWXl0V3JDalB5TWhZR2RzV2s3U29sZUNvT3Bac3JVMDJ4clN0YXU0cWFhQzE5dHZrNU9Tc0UwODg4WUVtck5aSWNsMzNkR3Z0Y1pKT2NSeG5sTFcycks3T3hoaEhVcXR3T096bTVlVXQ5enp2NUpqRDFiYVpDb2ZEcTRMQjRQRElRZGQxaDBqYVVWaFlPQ2ZlM0k3anBGVmRjOXp6TzQ1VFZoVkRTaU92RFFBQUFBQUFOQk9TR1FBQUhONXMxWXFEM1pKYTFUeFlYMktqU3RoYU85Y1k4NXJuZVg4dktpcGFvTnAxS21MNUFvRkFycVFCMWxwSDBxT204aVJmU2lxMjFuNFFEQWFqeGIrenM3UDdKQ1VsN2M3UHovOVdrbHpYUGNrWU0wZVNQTS9Ma3ZST1ZWZS9wQlJyYlhTYktaL1A5NXlrbXh2NU9janp2RkRWeW91NC8zMVVsY0NScEYyTm5STUFBQUFBQURRUGtoa0FBQnhHK3ZYcjE4L244NTFiV0ZqNFFLVE5jWnhOcXF3WlVTdVpFVkhIQ28zdlBjKzd5eGp6MTRLQ2dyV3FQNGtoU1hKZDl6bEp2N0xXV21PTXNkYSthYTE5TUJnTTVydXUrMnpOL242Ly94M1A4MlpKdXJMbXNXQXcrS1drTnBJVUNBUWVselRXV2pzeHNzMVU1UEt5czdNN1Z0WE5hRyt0N1JnSUJHNk4xTkdJL0t5b3FQaHBLQlRhNnZmN1pZekppQmU3TWFaajFXY1JkeHNxQUFBQUFBQ3cvNURNQUFEZ0VOYTllL2ZVTm0zYWRFbEtTbklsWFd1TUdTQnBXM1oyOXFmRnhjVmZTVkk0SEY3bk9NNTJTUjBqNDJLVEY1SFZHVlUveTZ5MVJaN25UU3NxS25wNkwwTDZoK2Q1czMwKzN3ZlcybFhHbU04S0NncmlGdnV1aXFPZE1hYmVndHA5K3ZScGE2MjlUTklPeDNGNkJRS0Jzd29LQ3Y3cHV1NEtZMHhYU2I2WWE5a3Q2Vkpqek5xcVF1YjVrdGFXbFpYdFhycDA2UTdYZFZjYlk0N055OHRMeTgvUHI3a0M0NFNxT2VidHhYVURBQUFBQUlCOVFESURBSUJEVkU1T3pvK05NZi9yT0U1L1NRRkpzdGFXU3lveXhrUlhVUmhqdGlobTY2UTZ0cE1xdDliTzhqenZWV3Z0L3lzdUxpN2RtNWlDd2VDYmtkZUJRS0Rldm5sNWVXbWU1MlY2bmxmdnVkTFMwbTQweG53cHFhZTE5b2VTUnVUbTVsNGs2V1pyN2JaUUtMVE9HTFBPNy9lL1pxM2RIcnVOVlJ5ZlNib2tIQTRQMW4rMnNKSWtJK2tzU2J2V3IxOC9vLzZyQkFBQUFBQUF6WTFrQmdBQWg1aXNyS3hqa3BPVDczY2NaNmkxdHBVa1k2MnRzTmErNG5uZWJ6ZHYzdnp2MHRMU2FKSHJIVHQyckd2WHJ0MzJlRWtNWTR5c3RkOTZubmZWdG0zYlpxeFlzYUxPNHR6TkxSd09EM1VxaTFoVTFOVW5OemUzdXpGbXZMWDJiR1BNSDZ5MXJ6aU9ZNHd4ZjdQV1hod01CaitPOUhWZE4yNld4blhkTHlROUdBd0czN1BXL3RFWWM0bmpPSk43OXV3NWZlblNwZDlYOWJsZTB2R1NuaWd0TGQxZE5kVGs1dVplYm94Wkhnd0dTWEFBQUFBQUFMQWZrY3dBQU9BUTBhOWZ2eDUrdi85Y1k4d0VTWm5XMmdwSitaN252VjFlWHY3S2dnVUxWc1lidDNUcDB1OWQxOTFTbzlqM1prbGZoMEtoMTRxTGkvOTBJT0kzeHN5U2xDNUplWGw1eDFockg1RzB4eGp6UkNBUStDOWp6QzJTMWx0cm43SFdicERrR0dOZWtqUTdHQXorWDJTbFIwRkJ3U091NjJZYVl6SWJPbWRlWGw2YXRiYS9wRDZTVkZoWStKbnJ1aThhWTY1bzI3YnRQTmQxLzUra2JwTE90TmJPY3h6bnJzaFkxM1hQTXNhOFpLMHR6OHZMeTRpekxSVUFBQUFBQUdnbUpETUFBRGhFK1AzK2tjYVkzMGlTdGJaSTBwOGx2VkZZV1BpdHBMaXJFaUtzdGNzalJiMnR0UjlZYS84V0RvZG56SjA3ZDh0K0N0ZUoxQUNQTkJRVUZFeFQ1V3FILzdIV1BpbXBuZWQ1cHptTzAwUFNJNTduelpmMGxPTTRFNHVLaXJZRkFvRkIxdHFUUXFGUWRzM0pnOEhnelhITzZSbGpmTEVORlJVVnh5Y2xKVW5Td3BpeFY3cXVPMS9TVlpKK0tXbDkxWG52ek0vUDN4YnBaNjFkSUdtMU1XWlJmbjcrYmdFQUFBQUFnUDJHWkFZQUFJZUk3ZHUzUDltMmJkdUxKVDIvZmZ2MjN5MWR1blM3R2toaVJCaGpDcXkxbjRSQ29mSGhjSGp1L1BuejY5emFhVjhFQW9GVHJMVzV4cGdlcWt4b2JNN0x5K3NZRG9kL2JJejVzYVR6alRISFdXc1hHR1BPTFN3c3pKYzBKeTh2NzMzUDgyNTNIR2U4NTNuRFhkZTkweGp6Z3JWMlJIRng4ZkpHWG1PcHBBdGMxNzNlV3J0ZGtoekh1VmhTMkZyN1ZVeFhMeGdNUGlycDBmcm1LeXdzWENHcFMzMTlDZ29LcnBOMFhXUGlBd0FBQUFBQWRTT1pBUURBUVNnckt5dTVyS3lzMWJKbHk3NVhWY0ppNmRLbEc3cDI3ZG92cHFaRG8yM1lzT0hWMHRMU0Y1bzkwQm84eit2aE9NNnprbVN0L1diNzl1MS9UMHRMYStmeitmNXNqRW14MW41dXJaM29PTTRiK2ZuNWV5TGpxclp3K2sxMmR2WmJQcC92VDhZWXQrcjRtM1dkSzQ1SEpKMHM2ZkdxV2h5U3ROSHp2REdGaFlVYm11c2FBUUFBQUFCQTh6TU5kd0Z3T01qTnpSM29PTTVyMXRwVWErM1F3c0xDejFvNkpnQjFjMTMzWm10dHdCZ3pMaGdNcm03cGVKb29ra2p3SWcxNWVYa25TUHEyTVhVbmV2YnNtWktlbnU3Rkpqc0FBQUFBQU1DaGpaVVpBQUFjWkFLQndDUFcyakhHR0wrMXRsVFMrSmFPcVltOG1nMzUrZmtMNDNXTVorblNwZVhOR3c0QUFBQUFBRWgwSkRNQUFEaElaR1ZsdFVsSlNSa25hYXdxdDViNlczbDUrZU10SEJZQUFBQUFBTUIrUnpJREFJQ0RSRXBLeXVQR21QK1JsQ1RwVDVJbUxGaXdZRTBMaHdVQUFBQUFBTERma2N3QUFPQWc0THJ1bmNhWUVaSjgxdG9YdDIvZi9tdTJXd0lBQUFBQUFJY0xraGtBQUNRMm4rdTZRNDB4RXlUdHNkYmVIUXdHSDVBVWF1bkFBQUFBQUFBQURoU25wUU1BQUFCMXk4N083aXZwTjliYUZHdnRURWt2aUVRR0FBQUFBQUE0ekxBeUF3Q0FCT2J6K2U0M3h1UklVbmw1K2EvbnpadTN1cVZqQWdBQUFBQUFPTkJZbVFFQVFJTEt6czcrZ2FTZWtqYUd3K0dMNXMyYnQ3U2xZd0lBQUFBQUFHZ0pKRE1BQUVoUXhjWEZKZUZ3K0pmaGNQanFvcUtpdDFvNkhnQUFBQUFBZ0piQ05sTUFBQ1N3NHVMaUFra0ZMUjBIQUFBQUFBQkFTMkpsQmdBQUFBQUFBQUFBU0dna013QUFTREEvK01FUFR1M2J0Kyt4TFIwSEFBQUFBQUJBb2lDWkFRQkFna2xLU3BxY21wbzZQemMzOXhjdEhRc0FBQUFBQUVBaUlKa0JBRUFDNmRHalI3b3g1bFJKUHMvemlsbzZIZ0FBQUFBQWdFUkFNZ01BZ0FUU3ZuMzcvNVdVS21saGNYSHg4cGFPQndBQUFBQUFJQkdRekFBQUlJRllhNitwZWptalJRTUJBQUFBQUFCSUlDUXpBQUJJRUgzNzlqM1dHSk1ycVV6U055MGREd0FBQUFBQVFLSWdtUUVBUUlKSVRrNE9WTDFjSFE2SEY3ZG9NQUFBQUFBQUFBbUVaQVlBQUFuQ2NaeVVxcGNWanVPVXQyZ3dBQUFBQUFBQUNZUmtCZ0FBQ2NKYWUwelZ6eTNXMmcwdEhROEFBQUFBQUVDaUlKa0JBRURpYUNkSnhwanduajE3d2kwZERBQUFBQUFBUUtJZ21RRUFRT0xvVlBWenA5L3YzOTZpa1FBQUFBQUFBQ1FRZjBzSEFBQ0hrOHllUFk5TU5XMjZ0SFFjU0V4aHExYnl2RVZocXczYmR6dTl1dmZLYmVtUWtJQjJoVUpyMWk4dldkZlNjUUFBQUFBQWNDQ1J6QUNBQTZSNzk2eE00MDkreXNyK29LVmpRV0xhVVNHZmtYR3M3SS9rMDJzdEhROFNVMnVmYjJuWDNqblhsQzR1K3E2bFl3RUFBQUFBNEVBaG1RRUFCNHJmMzkwYSsyTWprOW5Tb1NCeFdVbVNrVEV0SEFnU2xwVXkvWTU2U1NLWkFRQUFBQUE0YkpETUFJQURyRldyVlAzcThzdjBnNnkrTFIwS2dJUElvaVZMOWNMTGY5YTI3WlJUQVFBQUFBQWNma2htQU1BQjV2ZjdsZWZtNlBRQnA3VjBLQUFPSXUzYXRkV2ZYMzI5cGNNQUFBQUFBS0JGT0MwZEFBQUFBQUFBQUFBQVFIMUlaZ0FBQUFBQUFBQUFnSVJHTWdNQUFBQUFBQUFBQUNRMGtoa0FBQUFBQUFBQUFDQ2hrY3dBQUFBQUFBQUFBQUFKaldRR0FBQUFBQUFBQUFCSWFDUXpBQUFBQUFBQUFBQkFRaU9aQVFBQUFBQUFBQUFBRWhySkRBQUFBQUFBQUFBQWtOQklaZ0FBQUFBQUFBQUFnSVJHTWdNQUFBQUFBQUFBQUNRMGtoa0FBQUFBQUFBQUFDQ2hrY3dBQUFBQUFBQUFBQUFKaldRR0FBQUFBQUFBQUFCSWFDUXpBQUFBQUFBQUFBQkFRaU9aQVFBQUFBQUFBQUFBRWhySkRBQkFzMW0zYnAxV3JGalJZTC95OG5KOS9mWFhCeUNpZzllYU5XczBmLzU4bFpXVnRYUW9BQUFBQUFBQUxZNWtCZ0NnMlV5ZVBGa1hYSEJCdGJheXNqSk5tVEpGSDMzMFViUnQvUGp4R2oxNnRPYk9uVnRyamllZWVFS1RKazNTK3ZYcmF4MTc4c2tuTldqUUlCVVdGallZeTgwMzM2elRUanROUzVZc2FkSTFYSG5sbFJvM2JseVR4alRHaHg5K3FHM2J0alc2L3gvLytFZGRkdGxsV3JseVphUDZsNWFXTmltZTY2NjdUbGRmZlhXVHhyU2tVQ2lrZSs2NVIwOCsrV1JMaHdJQUFBQUFBRnFBdjZVREFBQWMybmJzMktFUFAveFE3Ny8vdnJLenMzWFVVVWZwcXF1dTBxeFpzelJwMGlTOS92cnI4dnNyL3h5dFdMRkNyNzc2cWp6UDAwVVhYYVJPblRwVm0ydjM3dDNhdG0yYlFxRlF0ZloxNjlhcGMrZk8xZHJLeTh0VlZsWW16L1BpdHFlbnA4ZU5kOVdxVmRxOWUzZmM2M2pra1VmcXZkWnJyNzFXbVptWnRkcG56WnFsTys2NFExMjZkTkZ2Zi90YjllelpzOTU1bXVyRkYxL1VjODg5cDNIanh1bkNDeStzZFh6cTFLbmFzV09ITHJyb0luWHMyRkdTTkgvK2ZKV1hsemZwUFBmZWU2ODJiOTdjTERGUG5qeFpyVnUzYm5UL2NEaXNkOTk5VjVtWm1Sb3paa3l6eEFBQUFBQUFBQTRlSkRNQUFQdFZ4NDRkZGR0dHQybkNoQW02Nzc3NzlQVFRUeXNySzB1LytNVXY5UGJiYit2VlYxL1Y4T0hESlVsVHBreFJLQlRTaUJFajFMZHYzMGJOZjl0dHQybk9uRGw2ODgwMzFiNTkrd2I3VDUwNlZhKy8vcm9tVFpxa0FRTUdOUG82eXNySzlNRUhIOVRiNTVKTExvbWJ6RGp0dE5OMCtlV1hhK3JVcVJvNWNxUWVmdmhoOWUvZlgwODk5WlJlZWVXVnVIT0Z3MkZKMHZEaHcyV01pZHRuMUtoUkdqVnFsUHIxNjZmVTFGUTk4TUFEV3J4NHNXNjk5ZFpvZ2tpU1huMzFWVzNkdWxXWFgzNTVZeTgzcmkrLy9GSnIxNjdkcHpraTl1eloweXp6QUFBQUFBQ0F3d1BKREFEQWZqZDQ4R0M5OTk1N0NvVkMycmx6cDFxM2JxMXJyNzFXbXpkdlZ2LysvU1ZKbjM3NnFiNzg4a3QxNzk2OVNkc2ZuWFRTU2ZyWHYvNmx4eDkvWEpNbVRhcTM3OXExYS9YeXl5K3JvcUpDN2RxMTI2dHI2ZFdybHg1ODhNRnFiUTgrK0tEbXpKbFQ1eGhqak1hTUdhTWpqenhTVTZaTTBkaXhZelY1OG1UbDVlWEpjZUx2K0RocjFpd3RYcnhZNTU1N3JqSXlNdUwyeWNuSmtTU2RmUExKZXZubGwvWHJYLzlhYjc3NXBrcExTL1h3d3crclRaczJXcng0c1RadTNLaVRUejVaYmRxMDJhdHJybW5tekpseDJ4Y3RXcVJSbzBacDRNQ0Jtang1Y3R3K28wYU4wcUpGaTVvbERnQUFBQUFBY1BnZ21RRUE5Y2pPenU3cWVWNUdTVWxKY1V2SGtxaG16WnFsenovL1hKSzBmUGx5U2RKRER6MGtTZnJaejM2bTJiTm5TNUo2OXV5cDFxMWI2N1hYWG91T3pjckswb3daTXpSanhneTk4ODQ3a3FRZVBYcm9UMy82a3lUcHdnc3ZWSnMyYlZSUlVTRkowZTJseXN2THRXdlhMaGxqZFA3NTUrdjk5OS9YKysrL3I1Ly8vT2R5WGJmT1dCOTg4RUdWbDVmcmtrc3VpU1lDdnZqaUN3V0R3V2lmblR0M3lscXJaNTU1SnRyMnExLzlLdm82SlNWRjNidDNyelp2V2xwYW96NnJpeSsrV08zYXRkTXJyN3lpdkx3OGRlellVYWVlZW1yY3ZwczJiZExpeFlzMWJOZ3c5ZW5UcDhHNWp6dnVPTDMwMGt1NjVwcHI1SGxlZEdWR3BGYkptalZyZE5OTk4xVzdUcy96cXJYRnV2bm1tOVdsUzVlNHgrcTYzcFNVRkVtUzR6aDE5cWtyZWROWUd6ZHUxSll0VzNURUVVZlVPclo0OFdKTm1USkY5OTU3YjYwdHlnQUFBQUFBd01HTlpBWUExTU54bkR5LzMvK082N3J6cmJXL3M5YitxNnlzYk0yaVJZdDJTdklhbk9Bd01HL2VQUDMxcjMrdDFoWjUzN3QzYnozNzdMTk5tbS82OU9tYVBuMjZKT25NTTgvVVJ4OTlwSWNmZnJoYW4wak5oUFQwZEUyZlBsMjMzSEtMUm93WW9TbFRwbWphdEdseHQyVjYrKzIzTlhQbVRCMXp6REVhUFhwMHRIMzI3Tm1hTm0xYXRiNjdkdTNTaXkrK0dIMS82YVdYTnVrYTZuUE9PZWZvN0xQUGpqN1V2KzY2NjZvbFV5SWkyekNOSERreTd2VWNkZFJSZXVPTk42cTFaV1ptNnNVWFgxUmFXcHBTVTFNVkNvWDA0WWNmU3Fvc0VCNnZTUGlNR1RQaXhua2dpNFB2MnJXcjN1T3hpWkZRS0tSMzMzMVhJMGFNcU5ibjIyKy8xYTkvL1d0dDJiSkZUejMxVkowclF3QUFBQUFBd01HSlpBWUFOSUl4SnNzWTg3UzFkbHRhV3RxWHVibTVCZGJhSXNkeFpnV0R3ZFV0SFY5TEdqRmloQzY1NUJKSjByaHg0elJuemh4OTl0bG5raFF0TUgzbW1XZld1UUlnbnVlZmYxNXZ2ZldXSktsdjM3N1JXZyt6WjgvV3dvVUxOV1RJRUdWbVpxcFZxMWFTcEg3OSt1bU1NODdRSjU5OG9sbXpadFdxaGJGbnp4NzkvdmUvbDkvdjEzMzMzYWZVMU5Ub3NXdXZ2VllqUjQ2VUpDMWJ0a3hYWG5tbGV2WHFwZC8vL3ZmUlB1bnA2ZHEwYVZPVFBwZFlYM3p4aFhyMTZxVWpqenhTVXZYVkNXZWVlV2JjK2lDUmJhYk9QdnZzdU50TXhXNlRWVnBhcXE1ZHUwcFN0YjRmZi95eDFxOWZyMEdEQnVudXUrK3VOdjdjYzg5VmVYbTUvdld2ZjhXTk9mWXoycC9LeThzYnJGMHljK1pNK1h5KzZQczMzM3hUbDExMldiUnQ3ZHExdXZiYWE3Vmx5eGI5NkVjLzBzU0pFL2RyekFBQUFBQUE0TUFqbVFFQWpXU3RsVEVtWGRKWmtnWWJZNzZYdE41MTNTOGwvVGtZREg2cXczQzFSa3BLU25SN29jaldSbTNidHBYMG55TFdxYW1wNnR5NWM2UG5qUDBtZm5aMnRyS3pzeVZWYmwrMWNPRkNuWC8rK1RycHBKT3FqUmt6Wm95R0RoMGFyY0VSS3lrcFNTKzg4SUtLaTR1VmxaVlY3VmhxYW1yMHdYMUpTVW4wT2hwVFRMd3hGaXhZb0J0dnZGRnBhV21hTUdHQ0JnOGVYTzM0TDM3eGk3ampHcnZOMUVjZmZhU0pFeWZxNG9zdjF0aXhZNk8vZzNBNHJPZWZmMTVTWlJIeHVyWjlhdXdXV2JGKzg1dmZ4RzNmdG0yYkpHbisvUGwxOXZudXUrK3F2ZmY1ZkRyNTVKUGo5aTBxS2xKRlJVVzFSSVlrclY2OVd2Lzg1ejkxempubmFObXlaUm85ZXJUV3IxK3YvdjM3NjlGSEg0Mytld1FBQUFBQUFJY09raGtBMEFUVzJzaExSMUo3U2UyTk1iMGxYZTY2N25lU3BvVkNvVmM4ei91dXZMeDg1OUtsUzh0Ykt0WkVrSmFXcHJ2dXVrdmR1blZyMHJnaFE0Ym8rT09QVjhlT0hSdnMrOHd6ejJqTm1qWFI5My8vKzk4bFNVdVdMSWtlajEzRjhNVVhYMGlTZnZLVG45UktMRVJXbERTbjNyMTc2OUpMTDlYVXFWTTFZY0lFZmZQTk43cmxsbHYwK2VlZjEvbkFYMnA0bXlsSmF0Kyt2ZTYvLzM0ZGNjUVJldlhWVnpWdjNqdzk4c2dqNnRDaGcyYlBucTNseTVmTGRWMzE2OWV2V2EvcEgvLzRSNzNIMTY1ZDIyQ2ZDTC9mWDIwVlRNVG16WnMxZVBCZzlldlhUeWtwS2RGVlBxMWJ0MVpGUllXZWYvNTVIWDMwMGJycHBwdjAvZmZmYS9EZ3dicjc3cnVWbkp6YzlBc0NBQUFBQUFBSmoyUUdnRHE1cm51NkpPdDVubWVNc2NZWUx4d09lOFlZNnpoTzlIWGsvWjQ5ZTZ6ak9KN1A1NHUrTnNiWXF2ZWU0empXNS9ONTVlWGwxdWZ6ZVk3ajJQTHljcy92OTNzK244L3UzcjNiOC9sOE5pa3B5ZnYrKys5dFVsS1M1L1A1N05hdFd6M0hjV3hxYXFxWG5wN3U1ZWZuaDlVQ0t5QmlIeWpISkRXaXI0MHhYU1NOOS92OTEwc3FTVTVPTHM3SnlmbkNjWnpad1dCdy9nRU9OeUVrSnlmcnZQUE8wMWxubmFVTkd6WTBldHpnd1lQMXdBTVBOS3J2ekprem80bUxlQ0xGeVd2cTFLbFR0V1RHeXBVclZWUlVKS215THNPZGQ5NnBjODg5VnovODRROGJIWGM4UHA5UFk4YU0wUWtubktBNzc3eFRiNzc1cHRMVDB6Vmt5QkJkZE5GRit6UjNxMWF0bEpPVG96Lzk2VSs2L3ZyclZWUlVwTXN1dTB4UFB2bWtUajMxVkwzMDBrdlYvcTAyQjhkeDZxeXpzV2pSSW8wYU5Vb0RCdzZzczJiRnFGR2p0R2pSb2diUE0zMzZkRmxyTldqUW9HcnRiZHUyMVk5Ly9HTzk4Y1lidXZMS0syV3QxZkRod3pWbXpKZzZrejZIR3V0WitZdzl5blhkSEVreXhrUi95Y1lZVzFGUlVhc3Q4dHB4SEN0SmUvYnNxWFU4M3BoNFk4dkx5K3NkRTl1M2p2RTI5bjI4ZnBFNkt2WE5FenZlNS9ORlgrL2N1YlBhOGRoamRZMkp2TjYyYlZ1dE1iR3YvWDUvOVBYR2pSdXJuU2YyV096cjVPVGs2T3RXclZyWi9QeDhTWXEweGY0UDFLdnhIZ0FBQUFBUWcyUUdnRG9aWTE2VHFqMzhzVlhidlZoampLM2F6aVo2TFBMZVdtdjlmbi8wNFZQVmUydXRsZWQ1TmlrcEtUcEgxZlkrVnBMUzB0S3NyWHJ5bXA2ZUhuMkFsWm1aR2VsanJiVnlYZGVxeGdNZlk0eTExcFpMQ2h0alBHdHRKT0VSL1dtdDlZd3gwWitSZmpIdDBiYklUOGR4dXRmeDJVUmZSeDRXeHlRMTBpVDkwRnA3c3VNNC95dHBnK3U2Yzh2M2hBdDJoUTZmNTFUcjE2L1gwcVZMZGVxcHAwcVMyclJwVTJzbFJFMFZGUlg2NElNUEdweDcvdno1bWpsenBqWnQycVRmL2U1MzBWVU1zZTY0NHc3bDUrZnI2YWVmVm84ZVBXb2RiOTI2ZGJYM2I3Lzl0bEpUVTVXVWxLUXRXN1pvMXF4Wit1aWpqM1RmZmZmcHpEUFBiRENtaGd3ZVBGaWRPblhTMUtsVE5XclVLS1drcEVRTG1lK3JvNDQ2U2krKytLSnV2UEZHYmR5NFVSa1pHZHE5ZTdkNjl1d3BxZjRDMi9VZFMwNU9qbTViSlVtZTV5a3BLYW5PcmFraTJ6czVqbE5ubjloNklmWDUrT09QSmFsV01rT3FYSzN5emp2dktCUUthZXpZc1JvK2ZIaWo1anhVR0VsdFUzeVhTK3FqcXZ1aUZMMFBxdW9lSzhWL01HNGxSZnJVUEY3cnZocnZlTlh2T1hvc0ptRlc1M3lSMkNSRlZzL1VlKzYwdExTOWlrMlMyclJwVSsyWXRYRXplckZ0MXZNcTgrTnQyN2F0ZCs3WUthdTJ6bXRvN21yeldXdHRJQkNvSzd4YWY5dWFJR3lNQ1ZmTkY1c29zVlhuajdSSGo4VytqL1NKSEl0NVgydSttS0J0ekxYRnpsZXR2WTUrMVk1NW5sZHJUQjNYVVMyK2VPUHFpaSttYjczeGVaNVg3VE9KeEZmenM2cjZOeFA3V2FuRy9MWGlpN3dPaDhQVnh0V016VnBiVkZUSjZZRmNBQUFnQUVsRVFWUlVGQlFBQUFDQWFraG1BS2lUdGJhVkpKbnFYM2MyTlg3S1dsdXJMV1pNdkRaWmEwM1ZjNHBxeDZ1NjFEcGZ6RGxrakluN05EUTJ6SGpmMEk2MDFleFhzejFldjZhb3FxMFJ1ZDVXMXRvMmt0SWRPU21IUzBtTnh4OS9YSysvL3JyT09lZWNhREtqUTRjT0RSWm0zcnAxYTl4a3hzNmRPelY3OW13VkZ4ZExrcDU0NGdsSlV2LysvZU1XeDVhaUQweVZrWkhSWUwyT2JkdTI2YzAzMzlUcHA1K3Vnb0lDZGV6WVVSTW5UdFExMTF5akNSTW15T2Z6NmNRVFQ1U2thZy8zbXlvM04xZTV1Ym5WMnU2NjY2N29nL3VtZVBubGw5V3JWNi9vKzNidDJ1bDN2L3VkdG16Wm9veU1EQTBhTkNoYXc2SSs5UlhmdnV1dXUzVGVlZWRGMzRmRDRkZ0g1ZnZOa2lWTE5HZk9IR1ZsWlVVTG04Zkt6TXpVZWVlZHA3ZmVla3NMRnk3YzcvRWtHdU1ZeWRpMnhqaVpUUjBiZXk5dFJOOWFwMjdxK2ZaMmZKejc3MTZmTzg3ZmxTWnJ5dWUyTjJQTjN2N0JpVDlYbzlvYmU4cjYvcDQyMTN6eGtweU5tYSt1NUdpOHNUVnI3elJsem5odGpabXZydmhxanEzWnoxcTd2bCsvZnFmUG5UdjM4THZCQVFBQUFQVWdtUUdnVHRiYW9aN25PVDZmejZsS1BqZytuODk0bnVkSU1vN2pPTEd2STMyc3RjYXAvSC9teGxyck9JNFRhWThlaTUwdmNzeFVmaDB4dGsrOHVSekZ1WGRaYS8zR0dLZnFvWkZUOVdDbzFqbXJqbFhyWjYyTnpsK1ZLSW1OdTVzeDVpZHh6aGYzTXpQR3lGcGJJV21kdFhhRHRYWkJLQlI2dUtTa3BMaDd6K3hUbEdSR050T3ZKNkdFdzJIbDUrZXJ0TFJVa3ZUblAvOVprdXF0WDNESkpaZkljUnhObXphdDNybi84SWMvNklVWFhsQW9GSXEyL2ZTblA5VUZGMXlnR3Q5dzNtdlRwazNUcmwyNzlQT2YvMXdGQlFXU3BMNTkrK3F4eHg3VGswOCtLZGQxbzl0a05YZHg2WXFLQ3BXVmxXbm8wS0cxVm92RU0zdjJiQzFac2tTUmI1TEhTa2xKVWRWS0pwMTIybW5hdVhObjlOaTJiZHRVV0Zpb3pNek1hRUZ4ei9NMGMrWk10V25UUm5sNWViWG1PK3FvbzZxOUx5OHZQeURKakVqaDhzc3V1NnpPUHFOSGo5YjA2ZFAxMFVjZmFlREFnUTJ1K2ptVWVKNVZ4Ujd6YXJJL1BLV3F5VGlPRTAwZ1J4NmVWLzJNdnZiNWZISGJZOGZHSEkrZHkxUTliRFd4eCtLZE05NGNrWDQxejF2WGZBMjExVGhYWmFhaThwNWZyVSs4bU9QRWFHSVNDYlhpaXpkZjdQSDZ6aEU3UjMzeHFmSnYycjRrUzN3eDU0aU5vV1lpcGRieEd2RlZhNnRqYkxYak1RL2g2LzJDUTh3cEdodGp2TmdhUFNiTytlb2QwOFRZNmh1N3I1OTVXMlBNc1pLU2ZUNWZwaVNTR1FBQUFFQU1raGtBNmxSWVdOajgxWkQzbjJvUGltTGI4dkx5dEh2M2JpTkpGUlVWSmhRS0dVbUsvUFE4ejNUczJMRmFXemdjTnBLVWxwWjJycVNmU1BVbk1LcU9yN1hXL3RYenZMOFpZOWFGUXFFeVk4eU9rcEtTTGMxK3RRbmsxVmRmMVVzdnZhVE5temRIMjRZTkc2Ynp6anRQZmZ2MnJYUGM2dFdyb3cvZTY3Tm56eDZscGFYcGpEUE8wT3JWcXpWNzlteGRlT0dGT3Vta2s1b2wvdExTVWsyYk5rM0hIWGVjZnZTakgxVTdGZ2dFOVBMTEwwdjZUMEh4MkdMaVRmWHBwNS9xNjYrLzFnVVhYQkRkQWlyaWlpdXUwTkZISDkzZ0hQZmRkMS9jR2lHaFVFZ2ZmdmloQmc4ZXJOVFUxRm8xSzJiTm1xV3hZOGRxNE1DQkdqZHVuS1RLTGFZR0RCaWdidDI2NmJlLy9XMkQ1OTY5ZTdkQ29aRHV1ZWVldU1lM2J0MHFTVnF3WUVHZGZXS0x0Y2V6Yk5reWZmTEpKK3JTcFl2T09PT01PdnUxYjk5ZUV5Wk0wUGp4NDNYZmZmZXBWNjllT3U2NDR4cThoa09CY1l4Mmh6VnZ3YnlpZytrZWpmMG5rbEZvNkFHL3NyS3lvcThyS2lxaXJ5Ti8rMnErbGlyL1JrcVZ5YzA5ZS9iRTdSZjVtMW56ZFdUc0VVY2NVZTFZdkQ1MXRiZHQyN1pSL1dxK3R0YWF5SFozZGZXSjlHdG9uc2pybEpTVXVKOU56WDQxWDBlUzRBMmR3K2Z6L1ZEU281TDJmOVlZQUFBQU9BaVJ6QUJ3cUtoenIvR3FZcXYxV3IxNmRkejIzTnpjWGZHMnI3TFdlcEoyRzJPMmVaNDMyeGp6eDJBdytKRU9sMzJrWXN5ZE8xZGJ0MjVWLy83OVZWcGFxbFdyVm1uOCtQSDFqdG01YzZlMmI5OWVhOHVsZUM2KytHSmRmZlhWOHZ2OWV1aWhoelI3OXV6b3NhZWZmbHJMbGkyTE95NnkvZENqano2cU5tM2F4TzB6Wk1nUWZmSEZGNnFvcU5CVlYxMVZieHhidGxUbXBJNDg4c2dHWTY3THJGbXo5TTQ3NzZoYnQyNjFraG4vOHovLzA2ZzU0dFVIa1NxTGI5OTk5OTM2MjkvK0ZsMFpFMnZqeG8yUy92TmdzS2wyN05paGNEaXNjRGlzZDk5OXQ5NithOWFzYWJCUFBKN242Yjc3N3BPMVZwZGRkbG1EMjdpY2VlYVpPdlBNTS9YeHh4OXI3Tml4bWpwMWF2U2hLWEFZYWZUZm5mbno1Ky8xU2VyNk80bm1rNXViZTFSVjdST1NHUUFBQUVBY0pETUFvSkdxdHBEYVpvejVVdEkza29yQzRmQ1hSVVZGMzdWMGJDMXAyTEJodXZIR0c5V3BVeWRkZDkxMVdyVnFWWU5qSW9tR2VmUG02WW9ycnRBZi8vakhPaDljMTFVVFE1SUtDZ3BVVkZSVTc3bnFTMmIxNmROSGZmcjAwYmZmZnF1Zi92U245YzRUT1UvMzduRnJ3bGV6ZE9sUy9lRVBmOURJa1NPcnJVNEpCaXZydWNiYjBtbm8wS0dOU2pUTW5EbFRDeFlzcU5VK2QrNWNTZElKSjV3UWQxemtNei8yMkdNYlBFYzhrV1RJS2FlY292dnV1eTl1bjhXTEYrdmFhNi9WZ0FFRE5HblNwTGg5cnJubW1yZ3JTeVRwTDMvNWl3b0xDM1g4OGNkcjZOQ2hqWXByNHNTSldySmtpVmF1WEtreFk4Ym9tV2VlMmFmVk13QUFBQUFBSURHUnpBQ0FSdkE4YjVIak9DOUttbTZ0WFJrTUJyZElDalUwN25EZ3VtNlR4L3pyWC8rU1ZGa3ZvcWlvcU00dHZCcnkyR09QMWJsU1llTEVpZnJtbTIvMDdMUFBxa2VQSG5IN3BLV2xxYXlzVEtlZWVtcUR4V2EvL3ZwclNhcDM2NnlJclZ1MzZwTlBQbEhuenAyai9iZHMyYUtWSzFlcWJkdTIxUXAzUjF4eXlTV04ybVpxNDhhTmNaTVpoWVdGa3VJblNxeTFtakZqaGlTcFg3OStEWjdEOHp4OThjVVg2dCsvZnpUSjlPMjMzMHFxVElhMGI5OCs3cmpJQ3Bpa3BLUTYrOVJWUUgzbHlwVjY1cGxuWkl6UkhYZmMwZWhDNiszYXRkT1RUejZweXkrL1hQUG56OWRWVjEybFo1OTlsaFVhQUFBQUFBQWNZa2htQUVBOWZENWZNQlFLQllxS2lvSXRIY3ZCN09HSEgxYWtVT3k2ZGV2MDk3Ly9YZDI3ZDFkR1JrYTA0TFpVK1REOHVlZWVVMFpHaHA1NDRna2RlZVNSdXZqaWkrdE1OS1NucDlkNXpraWg2dlQwZEhYczJMSE9mbWxwYWZXdS9wQXE2Mm9zVzdaTTZlbnBkYTU4aUJXcEhSRzdKVlZrVlVZZ0VGQk0wZHlvZmQxbUt2STV4a3RtZlBUUlIxcS9mcjE2OSs2dHJsMjdObmlPTFZ1MmFPellzUm84ZUxBZWVPQUJTZjlaK2RHWWxTbE50WDM3ZHQxNDQ0MHFLeXZUc0dIREdwVndpZFcxYTFjOTl0aGp1dnJxcTdWa3lSS05HREZDVTZaTWlaczBBZ0FBQUFBQUJ5ZVNHUUJRai96OC9HOGxmZHZTY1J6c3NyT3pKVWxsWldXYU9IR2lkdTNhcGRHalIrdTExMTZyMXMvdjkwY0xlK2ZuNTJ2bHlwVzY1SkpMRG5pOE5UMzMzSE9TcElFREI4Wk5STlMwZnYxNlNhcFc0UHpMTDcrVXBEb0xsKy9MTmxNclZxelFwazJiMUxWcjExbzFQVFp0MnFUSEgzOWNrblRaWlpjMU9IOXMvTEZKb0U4Ly9WUlNaVEttT1lWQ0lZMGJOMDRyVjY1VTc5NjlOV2JNbUwyYUp6czdXMDg5OVpSdXZ2bG1sWmFXNnZMTEw5ZTk5OTZyUVlNR05XdThBQUFBQUFDZ1paRE1BQUFjRU92V3JkUEVpUk1WREFaMS92bm5hOUNnUWJXU0diRTJiTmlnYnQyNkhjQUk0MXV5WkluKzhZOS9TS3A3OVVSa1M2U2RPM2RLVWpUWjBLVkxsMmlmenovL1hGTGQyM0x0eXpaVFgzenhoYVRhaVliSUNvc05HemJJZFYyZGRkWloxWTVIdHBBcUt5dXIxaDZwYVhIODhjZExrcFl2WDY3bHk1ZXJRNGNPdFFxWE4xWE5MY1hlZmZkZHpaa3pSeDA2ZE5Camp6Mm1WcTFheFIxWFhsNHVxZTV0cXFUS1JOSHp6eit2NjY2N1RsSmxUUlFBQUFBQUFIQm9JSmtCQUdnMm16WnRxdFcyWThjTy9mV3ZmOVhVcVZPMVk4Y09EUjA2VkJNbVRKQ2s2SVByNzcvL3Z0cFdUMnZYcnRYNjlldDF5aW1ueEoyL3JnZmV6VzNqeG8yNjhjWWJaYTNWb0VHRDZxeVhFVWxhM0hubm5lcmV2YnUrK3VvcnRXblRKdm93ZmNtU0pWcTNicDFhdDI2dDNyMTc3M1U4ZS9ic2lSYnlUa2xKaWJaSGtobXhpWkwvKzcvLzB3TVBQS0QxNjllclM1Y3V1di8rKzJ1dEtrbEpTVkdIRGgyMGZQbHkzWEhISGNySXlGQW9GTkkvLy9sUFNmL1pzdXJaWjUrVkpKMTc3cmw3SGJ0VW1WeUpGSWhQVFUyVlZMa2laZTdjdWJyZ2dndXFyV1RadW5XcjJyWnRLNS9QcDNBNHJOZGZmMTJTR2t6NDlPclZTMU9uVHRXMmJkdXFKWk1BQUFBQUFNREJqV1FHQUdDZnpKa3pSNDgvL3JnMmJ0eW9qUnMzUmg4Mno1MDdWMisrK2FhbVQ1K3VuVHQzcW4zNzlycm5ubnQwempublJNZjI3ZHRYbjMvK3VhNisrbXBsWldWSnFpdytIYW4vOEpPZi9FVHZ2LysrcGs2ZEtyL2ZyeVZMbGlncEtlbUFyZGk0OWRaYnRXYk5HcVducCt1V1cyNnBzOTlGRjEyazZkT25xN1MwVkd2V3JGRnljckxHang4ZlhVVXdhOVlzU1ZKT1RrNTBOVVJqVEpzMlRYLzR3eCtVbHBhbXBLUWtmZi85OTlxeFk0Y3lNaktpRCtwMzd0eXBPWFBtU1ByUHlveTc3cnBMSDN6d2dhVEtndDhQUC95d09uWHFGUGNjTjk1NG8rNjk5MTU5K09HSDBiYms1R1NOSGoxYTNicDEwOXk1Yy9YSko1L0k1L1Bwd2dzdmJIVHNrbFJTVXFMUm8wZXJUWnMyU2twSzBvWU5HMVJXVnFaamp6MDJtc3h3SEVlVEprMnFOWGJzMkxFcUtTbFJhbXFxUXFHUVFxR1FKR25Ja0NFTm5qY3pNN05hWWdRQUFBQUFBQno4U0dZQUFQWkpXbHFhRmk1Y0tNZHhkTlJSUituV1cyK1ZWRmtMNGYzMzMxZkhqaDAxWXNRSURSczJURzNhdEtrMjlyTExMdE8vLy8xdmZmWFZWMXEyYkZtMHZYMzc5cnJpaWl2MFgvLzFYL3JxcTYrMGZQbHlTWlhGdksrNTVocTFhOWZ1Z0Z6YjhPSEROWEhpUkQzMDBFUHEzTGx6bmYweU16UDF6anZ2YU4yNmRRcUZRanJ5eUNPcnJaem8wNmVQVGovOWRKMTg4c2xOT245MmRuYTFsUWh0MjdiVlVVY2RwU3V1dUNKYTROenY5MnZ5NU1rS0JvUFI0dDVYWEhHRmlvdUxOV3pZTUEwYk5xemVCTXJaWjUrdElVT0dhT3ZXcmZJOFQ0N2pLRDA5UFRybTZLT1BWbVptcGdZTkd0VGdxZ2kvMzYrTWpJem83NmRIang2cXFLalEyclZybzMyT09lWVkzWEhISFExZWUrL2V2VlZTVXFLeXNqTDVmRDUxNjlaTjU1OS92czQ3Nzd3R3h3SUFBQUFBZ0VPUGFla0FBQ1NHM056Y2dZN2p2R2F0VGJYV0RpMHNMUHlzcFdNNjFIVHZtWDJLa3N6YjdkcTJ6WHh5eW9NNmZjQnBMUjFTczdIV3lwamFmMUlXTFZxa1hyMTZOYXBvZG4xemgwSWgrWHkrZlpwbmI2MWR1L2F3LzViL3NtWEwxTGx6WjdWdTNYcXY1NGlzcktpdjVnWHE5OVhYMzJqTXpiZHB3NlpOVzJVMWRNVkM3dFBBb1lUL0ZnTUFBQURxeHhNRkFNQStpNWZJa0pxbkFMTXhKcm9Lb1NVYzdva01xWEtGeGI0aWlRRUFBQUFBQVBiRmdmK0tLd0FBQUFBQUFBQUFRQk9RekFBQUFBQUFBQUFBQUFtTlpBWUFBQUFBQUFBQUFFaG9KRE1BQUFBQUFBQUFBRUJDSTVrQkFBQUFBQUFBQUFBU0dza01BQUFBQUFBQUFBQ1EwRWhtQUFBQUFBQUFBQUNBaEVZeUF3QUFBQUFBQUFBQUpEU1NHUUFBQUFBQUFBQUFJS0dSekFBQUFBQUFBQUFBQUFtTlpBWUFBQUFBQUFBQUFFaG9KRE1BQUFBQUFBQUFBRUJDSTVrQkFBQUE0UCt6ZCtmaFRaVnAvOEMvOXpscHVyQWpJQ2dvSXNqaTBPYWNpcmlPT3k2bzc0enYvSFJVUkZSd1JWQlJjVnhIUlVVRU4yYkcxd1VaVUZ6QlVjZGwzRkVRWEdpVHRGQVdHYXphWVJNb1cwdWE1ZHkvUDVwa2tqYmRhR2tMZkQvWHhkWGtQTXU1VSsyVDVOem5lUjRpSWlJaUlxSldqY2tNSWlJaUlpSWlJaUlpSWlKcTFWd3RIUUFSVVZVZWo2ZTNpUHdkd0RkZXIvZU8rcmF6YlR0YlZSOEFjS0tJWkFBb2RCeG5zcy9uZTN1UEJVdEV0SjlwN0ZqcjhYaEdpY2gxSXZJYkFHRUEzMFFpa1h2OGZ2OTNlekp1SWlJaUlpSWkycnN4bVVGRXJZWmxXUWNCdUVWRWJnQ1FvYXJmMUxldGJkdkhBUGdDZ0FCNFQxVkRJbksrWVJqLzhIZzhWL2g4dnIvdm9iQWJMQnlPb0dCcFVVdUhRVVI3bWVVcmYwQXdGR3pSR0JvNzF0cTIvUnlBTWFxNlFWWGZBZEJKUkU0ekRPTXJ5N0xPOUhxOVh6YkR5eUFpSWlJaUlxSzlFSk1aUk5RcTJMYjlKSUFiVURrdTVRSEliVUJ6VTFWbmlZaExWVS95K1h5TEFNQ3lyS05FWkpHSVBONi9mLzk1SzFldTNMRUhRbSt3WGJ0Mllmb3p6OEV3dU5JZkVkV2ZPZzVDNFhCTGh0Q29zZGEyN1hNQmpBSGdEUWFEcHk5YnRtd0xBT1RrNUp4Z0dNWm5BRjRBTUFCQXBKbGVEeEVSRVJFUkVlMUZtTXdnb2xaQlZRY0JtQzhpRDZqcWdTTHlabjNiV3BZMVRFU09VTlZac1l0ckFPRDFlcGRZbHZXcWlJek16TXc4RDhBcmV5TDIrZ282NGJWdVRTdFNJQkFLdGVnRlNTTGF1NjExSXBHZm0vdWtqUjFyVmZVU0VRR0FPMk9KREFEdysvMExiZHQrQWNEMXRtMmZsSitmLy9tZWZpMUVSRVJFUkVTMDkyRXlnNGhhaFVnazh2dUNnb0l5QUxBczZ3OE5iSDRXQUlqSXV5bktQZ1F3VWtST1JBc25NOWF1S2ZxbFo1K0IxN3FNdEFOYU1nNGkycnNaTHRsUy9FTmhjUXVjdXJGamJXOEFDSVZDcTFLVUxRWndQWUJqQVRDWlFVUkVSRVJFUk5Vd21VRkVyVUlza2JHYmpnUUF4M0VLcXhhbzZvcm9uY0Q5R3RGL1U5R1NOY3QvQVBCRFN3ZENSTFFiR2p2V2JnT0F0TFMwZmdEV1ZHbmZTVVNncW9jMVhiaEVSRVJFUkVTMEwrR0M3VVMwTHpnSUFIYnUzTG1oYW9HSWJJeis3TlRjUVJFUjdXTWFOZGFxNnIraVB4ODg4c2dqTzhlT0R4NDh1QStBaWRIMmJaczRaaUlpSWlJaUl0cEhjR1lHRWUwTHNnREE3WFlIcWhZRWc4RkFlbm82VkRXOStjTWlJdHFuTkdxczNicDE2N09kT25XNlZFU0dwS2VucjdJc2F4R0FOQkU1R2NBaUFBZXJhclcraVlpSWlJaUlpQURPekNDaWZZQ0loQUVnTXpPeldvSldWZDNSaCtYTkdoUVIwVDZtc1dOdGNYRnhvS0tpNGxRQVV3R1VpY2haQVBxcjZ2Mk80MHlMOXJPbHB2WkVSRVJFUkVTMGYrUE1EQ0xhNjZscXFZZ2dGQXAxUnBVTGFTNlhxd3NBaUVpMVpWR0lpS2orbW1Lc0xTb3EyZ25ndHVpL09NdXlib3crWE41MEVSTVJFUkVSRWRHK2hETXppR2hmc0FvQURNTVlXTFhBTk0wQkFLQ3F5NW83S0NLaWZjeWVIR3RQai9hOWNMZWpJeUlpSWlJaW9uMGFreGxFdE5kVDFma0FZQmpHOEJURlowZC9mdGg4RVJFUjdYdjIxRmhyMi9aQUVSa09JQzgvUDU4ek00aUlpSWlJaUNnbEpqT0lhSzlqV2RicHRtMlBTRGowcHFwdUJUQW1PenY3TnduMWpnSXdRbFY5WHEvM3EyWVBsSWhvMzlLZ3NUYkZXSTNjM054RHFqNVgxYmtBVEZXZHVJZmpKeUlpSWlJaW9yMFk5OHdnb3IxSy8vNzkyNG5JaHdCY2xtV3Q4M3E5bi9sOHZxMldaWTBETU5zMHpXOHN5M3BYUkF3QTU2dHFVRld2QUtBdEd6a1IwZDZ0SVdOdHFyRWFBQnpIV1dWWjFtSUEvd2JRVlZYUEFKQ2hxaE5pZFlpSWlJaUlpSWhTNGN3TUl0cXJyRnk1c2d6QU53QitpVVFpSzJQSHZWN3ZTd0RPRjVHbEl2STdWVDFEVlQ4MERHT0l6K2Z6dFZqQVJFVDdrUHFPdFRXTjFRRGVBTkFQd0dVQWpsWFZqMFhrSksvWCszaXp2aEFpSWlJaUlpTGE2MGhMQjBCRXJZUEg0em5aTUl4WFZUVkRWWC92OC9ubXQzUk1SRVJFUlBzTGZoWWpJaUlpSXFvZFoyWVFFUkVSRVJFUkVSRVJFVkdyeG1RR0VSRVJFUkVSRVJFUkVSRzFha3htRUJFUkVSRVJFUkVSRVJGUnE4WmtCaEVSRVJFUkVSRVJFUkVSdFdwTVpoQVJFUkVSRVJFUkVSRVJVYXZHWkFZUkVSRVJFUkVSRVJFUkViVnFUR1lRRVJFUkVSRVJFUkVSRVZHcnhtUUdFUkVSRVJFUkVSRVJFUkcxYWt4bUVCRVJFUkVSRVJFUkVSRlJxOFprQmhFUkVSRVJFUkVSRVJFUnRXcE1aaEFSRVJFUkVSRVJFUkVSVWF2R1pBWVJFUkVSRVJFUkVSRVJFYlZxVEdZUUVSRVJFUkVSRVJFUkVWR3J4bVFHRVJFUkVSRVJFUkVSRVJHMWFreG1FQkVSRVJFUkVSRVJFUkZScThaa0JoRVJFUkVSRVJFUkVSRVJ0V3BNWmhBUkVSRVJFUkVSRVJFUlVhdkdaQVlSRVJFUkVSRVJFUkVSRWJWcVRHWVFFUkVSRVJFUkVSRVJFVkdyeG1RR0VSRVJFUkVSRVJFUkVSRzFha3htRUJFUlVZdXhMR3VjWlZrNVRkamY4NVpsL1c4RG1vaGxXVjJiNnZ4RVJFUkVSRVJFdEdlNFdqb0FJaUlpMm4rSnlPTUFiZ0xnangyemJmczhWVTJ2clozak9BVit2MzlWaXY1T2RCeG5aYXBURFJvMDZNRDA5UFNlQVBxSmlBMGdGNEFOWUIyQWdZMTVIVVJFUkVSRVJFUzBaekdaUVVSRVJLM05UQUR0QUlSU0ZZcElHeEc1RGNEVXVqcXliZnNzVmYwYmdJTkZ4RjIxWEZWM0FpaEY1V3hWcDByYjM2dnFiUUN5QVlSRVpHRTRIUDVUUVVIQjB2cThDTnUyczFYMUFRQW5pa2dHZ0VMSGNTYjdmTDYzcTlUcnE2cmpSZVFNQUwxVWRRZUFBZ0NQZXIzZXorcHpMaUlpSWlJaUlxSjlIWk1aUkVSRTFCcmQ1L1Y2SjZjcXNHMTdVK0p6ajhkenNvakVQdE5rR1liUno3S3MwNlBQWFNMaUFQZ1d3RnBWUFVGRU5xanF4RkFvdEhMcDBxVWxBRFRGT1c0QzhBU0FYd0hNRlpFZXFqcmNOTTJUczdPemo2MHJvV0hiOWpFQXZnQWdBTjVUMVpDSW5HOFl4ajg4SHM4VlBwL3Y3d25WeHdLNFZGVy9BYkJRUlBxbzZ1a2ljb1psV1ZkNXZkNFg2L3BsRVJFUkVSRVJFZTNybU13Z0lpS2labVhiZGpZcVp6dEFWUVhBRU51MlI2aHF3T3Yxem0xb2Z5THlHb0MyMGY2eUFJd0NjQ2tBT0k1empjL242eHVyYTFuV3A2cTYwK3YxZmxwVGY5bloyWWNCbUtLcXhaRklaR2hCUWNGR0FQQjRQT01OdzNqU05NMG5BSnhSUzBpbXFzNFNFWmVxbnVUeitSWkZ6MzJVaUN3U2tjZjc5KzgvYitYS2xUdWlNYjljWGw1K1QreDU5SGQwRVlEWFJPUXVBRXhtRUJFUkVSRVIwWDZQeVF3aUlpSnFiaGNBdUE4QVJBUUFSZ0lZS1NLYkFjU1NHWU04SHMvdmFtaWZ0RnlVMSt2dEhudHMyL1lLeDNGZThQbDhkUzVCVlJQRE1LNEZrS2FxOThjU0dRRGc4L21ldGl6ckpoRTVQU2NuNTJDLzMvK2ZWTzB0eXhvbUlrZW82cXhZSWlNYTV4TExzbDRWa1pHWm1abm5BWGdsZHJ4cUgvbjUrWE50Mnc2cmF1ZmRmUjFFUkVSRVJFUkUreEltTTRpSWlLaFo1ZWZuVCtyZHUvZGtBT2pjdWZOT0FMZHUyYkxsLzF3dVYrSnlUeGVKeUFVMWRORW04WW5INCtrbklvZEdueVl0TStYMWVqOUhsYjB3QUJqWjJkbmRYQzVYOTBnazB0MHdqQU1qa2NoYkJRVUZaUUJnR01aWkFCQUlCUDVacFowQytBakFOYVpwbmdEZzlScmlPd3NBUk9UZEZHVWZvakp4Y3lLaXlZeFViTnMrREpXZjA3NnZxUTRSRVJFUkVSSFIvb1RKRENJaUltcHU0ZUxpNGpBQWRPN2NPZlk4a0ZCK0Y0QzhWRE1XQU1DeXJGc013NGpQZURBTVk1U3FqZ2VxTHpPVms1TnpubW1hVjZucWdTSnlJSUIrQURKY0x0Y0dBREJORXdDMkdZYXhBRUFaS3BlSUdnQmc3WW9WS3paWFBiZUlySWllcDE4dHIrOUlBSEFjcDdCcWdhcXVpTTVHU2RYZXlNN083bUlZeHJHcStqQXE5K3U0clpiekVCRVJFUkVSRWUwM21Nd2dJaUlpQUlESDQra3RJaThBVUZYOUZzQVNWZjBwRUFpc1R0elBZVSt5TEN2SGNad05BSHA2UEo2ZXFlcW82aHBWN1o2Ym05c2hMeTl2VzM1Ky9sMm9USUJVVzJZcUp5Zm5CRlYxQVBnQmJBQndwYXB1VWRXYlROUGNzRzNidGcyclY2K3VpUFdkbloxOWdJaTRvM1dyY1J4bm8yRVlBTkNwbHBkeEVBRHMzTG16V2g4aXNqSDZNNm05YmR1dkFiZ280VFcrVWxGUk1hR29xR2g5TGVjaElpSWlJaUlpMm04d21VRkVSRVNKRGhBUmo0aWNEbUFIZ0xWWldWay9lanllcFpGSVpLRnBtbC82Zkw2dFRYek9OTXV5VGxMVnd3QWNZeGpHYUZVTjFGUlpSQXdBbVpGSXhNck56ZjNSY1p3aENjVkp5MHhGSXBGZnZGN3Z5RmloWlZsbkF0anA4L2xTTHQ5a0dFWVdBTlIwZnNNd0F0RVkwbXQ1UFZrQTRIYTdxL1VSREFZRDZlbnBVTldxN1Q5UzFTMGkwbDFWQjR2SUpSa1pHWU56Y25JdTl2djl5Mm81RnhFUkVSRVJFZEYrZ2NrTUlpSWlxa2s3QVAxRnBMK0luR1VZeHEwQUFwWmxMWFFjWjI0b0ZKcFRWRlMwY3pmNk5XM2I5Z0E0VVZVTkFOT2tjdTJseFFBS1ZQVTlyOWNiMy93N096dTdmMXBhMnE2OHZMeWZBY0N5cktORTVIc0FjQnhuRUlDM28xVmRBTkpWTmI3TWxHbWF6d0tZVU4vQUhNY0pSMmRlcFB5TXBLcnU2REpSNVRYMUlTSmhBTWpNekhRQkNGWnRIMzJZMUQ0L1AzOG1nSm14TGp3ZXo4VWk4cEpwbWg5a1oyY1BpdTNuUVVSRVJFUkVSTFMvWWpLRGlJaUlBQUNoVUdpNzIrM2VCQUNxbXJLT2lHU0l5T21tYVo1dW11WVRsbVY1UldTUjR6anpBZnduRkFyOXZHelpzaTIxbmNleXJHY0JYS1dxS2lLaXF2TlVkYkxYNjgyekxPdVpxdlZkTHRmYmp1TXNCRENtYXBuWDYxME1vQzBBMkxiOUpJRHhxbnBYYkptcEtDTTdPN3RMZE4rTWpxcmF4YmJ0MjJQN2FNUitCb1BCTThMaDhGYVh5d1VSNlZ6RDYrOFMvZjJrWElZcVdsWXFJZ2lGUXAxUkpXbmhjcm02UlB1cHNUMEE5Zmw4cjlpMmZRNkFTdzNET0FmQW03WFVKeUlpSWlJaUl0cm5NWmxCUkVSRU9QTElJenVMU0JxQWNPeFlkQVpDVW1JajhiR0laSXJJY1FDT0U1RnhBSDV5dTkwL1dKYTF3bkdjYndPQndNS1ZLMWV1VFhHNkR4M0grZFkwemZkVTlSY1JtWitmbjU5eXMrL29PZHVMU0swekUvcjM3OTlPVlM4RHNOTXdqSDYyYlorVm41Ly9MOHV5aWtXa0p3QXpJZTVkQUM0VmtmV3F1aDVBSG9EMWdVQmcxK3JWcTNkYWxyVldSQTdOemMzTnlzdkxxem9EWTBDMGo5cVdmbG9GNENqRE1BWUNLRWtzTUUxelFQUTExYmwwbEtvdWpmNDNPTFN1dWtSRVJFUkVSRVQ3T2lZemlJaUk5alBaMmRrOUFWZ3VsMnVBcWg0RHdCS1J6dUZ3K0x4VTlXTkpEYURXeElZYlFEOEEvVlQxTE1Nd3Zzbkl5QUNBTjZyMjUvVjY1OFVlMjdaZGE2eTV1YmxaanVOMGR4eW5wTFo2V1ZsWk40dklZZ0I5VmZWb0FLTThIczlGQUNhbzZyWndPTHhCUkRhNFhLNVhWWFZINGpKV0tjd0hjRWtrRWhtRy95NWhCUUFDNEN3QTVSczNidnl5cHNhcU9sOUVMakVNWXppQVQ2b1VueDM5K1dGdHJ3Y0FSS1IvdEwrZjY2cExSRVJFUkVSRXRLOWpNb09JaUdnZjFidDM3NHpPblRzZnBxcmRBT1NxNmxBUithMklkSS9WU1VoVWhLUDdWelJvYjRhRTlyc0EvS1NxeXh6SGVjN3Y5MzhCSU5UWTF4Q0pSSDV2Vkc1aUVheXBqc2ZqNlMwaUUxWDFiQkY1VGxYbkdJWWhJdkttcWw3czlYby9qZFcxTEN2bCtsbVdaUzBDTU5ucjliNnJxczlIa3hFUDl1M2I5L1BWcTFkdmo5YTVFY0RoQUo0cUtTblpGZnNWZUR5ZXkwWGtSNi9YRzB0d3ZLbXFVMFJrVEhaMjlnc0ZCUVZMbysyUEFqQkNWWDFlci9jckFNakp5VG5ZTk0xaCtmbjVzd0E0Q2E5cE9JQVJBRGFWbFpYOWEvZCtlMFJFUkVSRVJFVDdEaVl6aUlpSTlsSHQyN2Z2cTZvelJlUW9JQ254c0VOVmZ3UlFyS3IvRnBGaVZkMWtHTVpxRWRsUnBXNXQrMmRBVlRlbzZpY0FQblZ4VGxVQUFDQUFTVVJCVkF5RlF0OHRXN1pzRFJJdXlqZVVpQ3dFMEFFQWNuTnpEMUhWeHdDRVJPUXAyN1pQRVpGYkFXeFUxYitxNnE4QURCR1pDZUJicjlmN1ZXeW1SMzUrL21PV1pYVlBUTnpVSkRjM04wdFZqd1hRSHdCOFB0OTh5N0plRkpFcjI3VnJ0OHl5ckk4QjlBSnd1cW91TXd6anZsaGJ5N0xPRXBHWnFscVJtNXZiT1M4dnI5em44MjIxTEdzY2dObW1hWDVqV2RhN0ltSUFPRjlWZzZwNkJRQUZBTk0wTXdHOGFGbldBd0FXaUVnQXdFQUF4NkF5UVhSWkxKbENSRVJFUkVSRXREOWpNb09JaUdnZk1HalFvRU5NMCt4UVdGaFlHRHNXQ29WMnVGd3VFd0FjeC9FQitGaFYvMWxXVmxhUWxaVVYyYjU5ZTZTNHVEZ01JSUxveGZXcXl6NVZUV1FrN0tPeFZsV2ZBZkJpTUJqY1ZGUlVWT1BNaVZvWXNUM0FZd2Z5OC9OZlJ1VnNoLytucWs4RGFPODR6dkdHWWZRQjhKampPRVVBcGh1R2NaZmY3OTltMi9hcHFucFVPQnpPcnRxNTErdWRrT0tjam9pWWlRZUN3ZURoYVdscEFMQWlvZTBZeTdLS0FGeU55aGtTRzZQbnZUY3ZMMjlicko2cUxnZXdWa1JXNXVYbDdVcG8vNUp0MjF0RjVDNEF2MVBWWFFBK05Bempycnk4dlBoNXRtelpVdEs1YytlSkluSWhnR0VBMmdOWUIyQm1PQngrdEtDZ1lHWDlmNTFFdExmd2VEd2RIY2M1TVBHWWlQUUNZRWFUbjcyeXM3UDdKNWFyNnNiQ3dzTFM1b3lUaUlpSWlLZzFZVEtEaUlob0x4VzlHTmJmTUl5cm9oZkRGd01ZanVqTWlPWExsNWNNSGp6NDhrZ2s4bXRSVWRINmVuWWIwc29NUm54cVJqU0JFUUx3QzRBaXgzRmUyN2x6NTl6VnExZFg3RTdjdG0wZm82b2VFZW1EeW9UR2x0emMzQzZSU09RRUVUa0J3QVVpY3BpcUxoZVJjMzArWHg2QTczTnpjLy9wT002ZGhtRk1kQnhucEdWWjk0cklERlVkVlZCUThHTjl6aTBpSlFEKzE3S3NHMVYxQndBWWhuRXhnSWlxZnBOUTFmRjZ2ZE1BVEt1dFA1L1BWd3pnNEZSbCtmbjUvd1R3ejlyYUZ4Y1hCNHFMaTZjQW1GS2YrSWxvMzZDcXZ6Rk5jM3FWdzIwQmRBUmdBTGpYTk0yZFZkcmNqTW85ZllpSWlJaUk5a3RNWmhBUkVlMTlqT3pzN0pNQlhHR2E1dmtpMGg0QVZMWHo0TUdET3lUY3VSdEpuS2xSSDQ3anJEVU1JNEwvZmtZSUFQaEtWVDhHOEtYWDYvV2prWHRoT0k3VHh6Q01aNkl4TDlteFk4ZjdXVmxaN1UzVGZFbEUwbFgxYTFXOXl6Q011WGw1ZWZGejVlWGxsUU80T3pzNyt5M1ROR2VMaUJVdG4xZlR1Vko0RE1BUUFFOUc5K0lBZ0UyTzQ0enorWHkvTnVaMUVSSFZsOS92WDJqYmRoOVV6c2FxUmtUNlZqbTB3K3YxTXBGQlJFUkVSUHMxSmpPSWlJajJJajE3OXN6czBxWExYMFhrZndCMGpDNUhraCtKUkI3ZHRXdlg1NnRXcmRwV1Z4KzFpZTdaQUFEYlZYVzJxczRBVU96eitiYWpFWHRoSlBMNWZLOEFlQzM2Tk5ibjl0emMzQ0VBZnM3UHp5K3ZyWDFCUVVGKzM3NTljenQwNkZBdG52ejgvQUcxdGMzUHoxOE9ZUEJ1aEUxRTFLUlVkWTZJWEtlcVNmc1VWYWtUMjUvb3pXWU9qNGlJaUlpbzFXRXlnNGlJYU84Z09UazV4NHZJTk1Nd2psYlZDaEZacHFwL0t5MHQvWHR4Y1hHZzdpN3E1U2NBZDVXWGw4OVlzV0xGNWlicU01VnFpWWpFdlNUcXNydExYQkVSdFJhUlNHUzJ5K1VhRFNBdFZVSWpZYytpa09NNHJ6ZDNmRVJFUkVSRXJRMlRHVVJFUkszY29FR0QzR2xwYWFOTTA3d0x3Q0dxK2l1QVp3S0J3SXlpb3FLZm0vSmNYcS8zMWFic2o0aUlVa3RMUzF1dHFpdEVaSEJDNGlKSk5NR3h3dVZ5MVR2WlMwUkVSRVMwcjJJeWc0aUlxSlZ6dTkxL01nempEZ0FacXJvb0VvbGNXVkJRc0FhTjNMdUNpSWhhenE1ZHU3YW5wNmQvS3lLRGdmOHVLUlY3SFAycEFCYXRYNzkrVTRzRlNrUkVSRVRVU2hoMVZ5RWlJcUtXRkE2SFh3UlFCT0E5VmIyMG9LQmdKWmpJSUNMYXF4VVZGUVZGNUhzQXRlMFRGRlRWSld2WHJxMTFMeUVpSWlJaW92MEJaMllRRVJHMWNrdVhMdjFsNE1DQjU0cElXbE12SzBWRVJDMG5IQTR2Y2JsY213RmtwU29Ya1IyUlNDUy9tY01pSWlJaUltcVZtTXdnSWlMYUN5eGZ2bnhkUzhkQVJFUk5LeHdPTHpWTjgwY1I2YVdxaVp0K1EwU2dxaVhoY0hocEM0WklSRVJFUk5ScWNKa3BJaUtpVmlZN083dU5aVmxuNStibWRnRWdMUjBQRVJIdEdVVkZSVUhIY2ViVVVtVm1VVkZSc05rQ0lpSWlJaUpxeFpqTUlDSWlhbVZFNUhnUm1hMnE3dzBjT1BDUWxvNkhpSWoySE1keDNxeXBMQmdNdnR5Y3NSQVJFUkVSdFdaTVpoQVJFYlVpZmZ2MlRUY01ZNHlxSHFDcTRZcUtpcTB0SFJNUkVlMDVoWVdGcGFyNnVzaC9KK0tKQ0J6SCtjZXlaY3UydEdCb1JFUkVSRVN0Q3BNWlJFUkVyWWpiN2U0RVlMaUlPS0ZRNktZMWE5WnNhK21ZaUlob3ozSWNwOW9NREJHcGNjWUdFUkVSRWRIK2lNa01JaUtpVnNUdGRsOGxJcG1xNmwrNmRPbVNsbzZIaUlqMnZHQXdtS2VxUDR0SWJPUHZWZUZ3K051V2pvdUlpSWlJcURWaE1vT0lpS2gxdVJJQVZQVzFsZzZFaUlpYVIxcGEybllSaVNld1JXUXBnTklXREltSWlJaUlxTlZoTW9PSWlLaVZ5TW5KT2NJd2pENEFkamlPODFWTHgwTkVSTTJqb0tDZzNIR2NRZ0FSVlhVY3h5a3NMQ3prTW9ORVJFUkVSQW1ZekNBaUltbzlqZ1FBVlYwUGdCdC9FeEh0UDFSRXZnRHdLNER0MGNkT0M4ZEVSRVJFUk5TcU1KbEJSRVRVZW5nQVFFUTJPSTdEWkFZUjBYNmtvcUlpVDFWL0VaSDFGUlVWZVMwZER4RVJFUkZSYStOcTZRQ0lpSWlva29oMEFBQlYzZWx5dVNwYU9oNGlvcFp5ME9HLzZlVk9jeDNlMG5FMHAzSUhNQjBVQWs1NnVlTStxdmNBVDB1SDFHd3FLaXArWFBmajhwOWFPZzRpSWlJaWF0Mll6Q0FpSWlJaW9sYmpvRDZERGtsM20yOHFjRVJMeDlMY3lpclVnQUFRREcvcFdKcFRScnE3cEZmZjMvenVsOVZMLzkzU3NSQVJFUkZSNjhWa0JoRlJNK285WUVCdnFIdEFTOGRCclZNNG9nZVljTmFFSFpUc0tBK2QyTHQvZHFpbFk2TFdKeEp4ZnVBRlA5cVh1UTNYUVFvY1lvaDBiTmV1TGR4cDdwWU9pZmFRVUNpRTdUdDJ3QUZndWx5OUFIQnNJeUlpSXFJYU1abEJSTlJNZXZmMjlCYm9QMVhRdDZWam9kWnBad2hBU0FGZ2hPRnlqV2poY0tpVk1sM211cDU5UEdlV3JQSDkwTkt4RU8xSm1Sa1p1SGIwbGZCay82YWxRNkU5cEdqNVNreC81amxzM2I2OXBVTWhJaUlpb3IwQWt4bEVSTTNGNVhSWGtTNkdHQm1kTzNWQ1JrWjZTMGRFUkh1Umlvb2d0cFNXSXVJNG5WeHVIQXlBeVF6YXA1a3VFd1A3OThNeFJ4L1YwcUhRSHBTV2x0YlNJUkFSRVJIUlhvTEpEQ0tpWnBhWm1ZbHJ4MXdCT3llN3BVTWhvcjNJMHFMbGVHTDZNeWpkdHEybFF5RWlJaUlpSWlKcWRreG1FQkUxTTlNMDBMZlBZYkE4VEdZUVVmMVZCSU53dWZqUmpZaUlpSWlJaVBaUFJrc0hRRVJFUkVSRVJOV0Z3K0dXRG9HSWlJaUlxTlZnTW9PSWlJaUlpUFpicW9xbm5ub0txMWF0Mm1QbktDNHV4dHExYSt0ZC80Y2Zmc0FmLy9oSFBQYllZL1dxWDFKU2d2ZmZmNy9lL2IvLy92czQ2YVNUOE9hYmI5YTdEUkVSRVJGUlMrTmFCVVJFUkVSRXROOWFzbVFKWnMrZWpUZmVlQU1QUFBBQVRqdnROQUNBMysvSE04ODhzMXQ5bm5MS0tiam9vb3NBQU51MmJjTTExMXlEVUNpRWh4OStHTWNjYzB5ZDdYdjE2b1gxNjlmamwxOSt3ZGl4WTlHdVhic2E2enFPZ3drVEptRDE2dFh3K1h5NDdiYmI0SGE3YSswL0dBeGk1ODZkQ0lWQ0RYdGhSRVJFUkVRdGlNa01JaUlpSWlMYWJ3MFpNZ1QzM25zdkprMmFoTnR2dngwMzMzd3pSb3dZZ1MxYnR1RDc3Ny9mclQ0UE8reXcrT01PSFRyZ21tdXV3U09QUElJYmI3d1J0OXh5Q3k2KytHSUFsVW1GbXBhU091ZWNjK0QxZWxGY1hJekREeis4V3JuYjdZYkw1WUpoR0pnMGFSTEdqUnVIdDk1NkM2dFdyY0swYWRQUXBVc1hiTjY4R2Q5Kyt5ME9QZlJRSEhua2tidjFXb2lJaUlpSVdnc21NNGlJaUlpSWFMLzJQLy96UDJqYnRpM3V2UE5PUFBIRUUzQzczZWphdFd1ODdOWmJiNjFYUC9Qbno4Yzk5OXhUN2ZnRkYxeUFybDI3WXVMRWlaZzZkU3BLU2twdzIyMjM0YUdISHNKNzc3MVhhNStqUm8xS2VYejgrUEVZT1hJa0FLQmZ2MzZZTldzV3hvNGRpNlZMbDJMVXFGR1lOMjhlZnZ6eFI5eHp6ejI0OE1JTG1jd2dJaUlpb3IwZWt4bEVSRVJFUkxUZk8rMjAwekJ0MmpUTW1ERUQ1NXh6VG54V2htbWF5TXJLcWxjZnRTM3ZkT0tKSitLdmYvMHJici85ZGh4MzNIRkpaYm01dWVqUW9VTzl6dkdmLy93SEsxZXVySGE4VzdkdWVPR0ZGM0RUVFRmaDRvc3ZSbnA2ZXIzNml3a0VBaWdxS29MZjc0ZHBtdkZFQ1JFUkVSRlJhOEZrQmhFUkVSRVJFWUFUVGpnQnh4OS9QRVJrai9SdldSYisrYzkvSWlNakkrbjRkZGRkQjh1eTZ0WEgzTGx6OGNnamo2UXNhOSsrUFdiTW1GSHYrSmN1WFlwcDA2YWhvS0FBSzFhc2lDOTVOV3pZc0hxMUp5SWlJaUpxVGt4bUVCRVJFUkhSZnV1amp6NUNqeDQ5a0oyZERRRHhSRUJPVGc2bVQ1K083dDI3MTdzdnk3SXdmZnAwOU9qUkkzNXM0OGFOMkxadEcvcjE2d2NBMVJJWmpiVml4UXBzM3J3Wnh4OS9QQUNrVEdRNGpvTWZmdmdCWHE4WGZyOGZTNVlzQVZENTJvSEtHU1dEQnc5RzkrN2Q4ZUdISDlhNWdUZ1JFUkVSVVV0Z01vT0lpSWlJaVBaTGE5ZXV4YjMzM2d0VnhkaXhZNU9XVnVyY3VYTjhPYWpubm5zT3k1WXRxN1d2cTYrK0drY2VlV1RTRWxJVkZSVVlPM1lzZnZycEo0d1pNd2FqUm8yQ3kvWGZyMkIvL09NZmNmTEpKNk5Qbno3MWp2bVlZNDdCd3c4L2pQNzkreU1ZREdMQ2hBbllzR0VEcnI3NmFvd1pNd1lpZ2wyN2RxR3dzQkNmZlBJSmdNclpISFBuem8zM1lab21BT0QwMDAvSHBaZGVpb0VEQnlJdExRMSt2eDhmZnZoaGc1ZW9JaUlpSWlKcURreG1FQkVSRVJIUmZ1bWdndzdDdmZmZWl3Y2VlQUJQUGZVVWxpOWZqdnZ1dTYvYTdJbGx5NVpoNGNLRnRmYjFoei84b2RxeDlQUjBYSEhGRlhqb29ZZnd6RFBQWU9IQ2hYajQ0WWR4MEVFSEFRQVdMVnFFRlN0VzRJTVBQbWh3N0QvKytDT3V2ZlphM0gzMzNaZzRjU0tlZmZaWkZCVVY0Y0VISDhTQ0JRdVNOaUx2MUtrVGpqdnVPSGc4SG5nOEh2aDhQanowMEVQSXljbUp6MGdCRUY5bWlza01JaUlpSW1xTm1Nd2dJaUlpSXFMOTF2RGh3OUcxYTFkTW1EQUJIMy84TVVLaEVLWk9uWnF5N2wvKzhoY01IRGd3NmRqVFR6K05kOTU1cDhiK3p6NzdiQXdZTUFBMzNYUVRDZ3NMY2NjZGQyRDI3TmtBQUsvWGk4V0xGKzlXM0Z1M2JnVUFISHZzc1pnNWN5WnV2UEZHTEZpd0FEZmNjQU1tVFpxRVN5NjVCSm1abVpneFl3Yk9PT01NVEp3NE1kN1c3L2VuN0RNVUNnRm8rcVd3aUlpSWlJaWFBcE1aUkVSRVJFUzBYenY2NktQeC9QUFA0NDQ3N3NBTk45eFFZNzIyYmR1aVk4ZU9TY2ZxTTR2aHNNTU93Nnhacy9EUVF3OWgvUGp4OGVQVHBrMURKQkpKMmVhYWE2NUJVVkVSRml4WWtMTGNNSXo0NDhNUFB4d3paODdFTGJmY2d2SGp4K09RUXc3QmhBa1RzR1RKRXN5WU1hUE8rR0lDZ1FBQUlETXpzOTV0aUlpSWlJaWFDNU1aUkVSRVJFUzAzeHN3WUFEbXpac1gzMCtpcVhYczJCR1BQZlpZMHJIYUVpR3haRVZXVmxhOStqL3d3QVB4OHNzdnA5d0F2TDUyN05nQmdNa01JaUlpSW1xZGpMcXJFQkVSRVJFUjdmdHFTbVE0amdNZ2VUWkVVM25wcFpjd2ZQaHdmUGZkZDQzdXF6R0pEQUR4VGM0UE9PQ0FSc2RDUkVSRVJOVFVtTXdnSWlJaUlxTDlYaVFTd1pRcFUvREREejlVS3dzR2d3QUF0OXU5Mi8yWGxaVmg3dHk1cUtpb1NEcGVVbEtDOWV2WDF6aExvN3k4UE9VL1ZhMVc5Nm1ubnNLYU5Xc2FGTmRmL3ZJWGpCZ3hBbGRkZFJYZWZQTk5BTURnd1lNYjFBY1JFUkVSVVhQZ01sTkVSTFJmMmJScEV3ekRRT2ZPblp1a1AxVnQ5SjJ3VFdIZHVuVW9MUzFGbno1OXVIRXJFZEZ1S0NvcXd1dXZ2NDdGaXhmakgvLzRSMUpaV1ZrWmdNbzlNM2FYeitmREk0ODhnc0xDUXR4Ly8vM3g0K3ZXclFNQTlPalJJMlc3RTA4OE1lWHh0OTkrRzcxNjlZby9MeWtwd2V6WnN6Rjc5bXg4OHNrbjlYNmY2OWl4STVZdlh3NmdjdVB2YTY2NXBzWllpSWlvU1FnQUU0QVQvVWRFUlBYRW1SbEVSRlROMnJWcmNkMTExMkhseXBWNzlEeUZoWVVZTzNZc3Z2LysrenJyYnQ2OEdiZmVlaXZHangrUGI3NzVacmZQK2RSVFQySFlzR0ZZdEdqUmJ2Y1I4K09QUCtMa2swL0dLNis4MHVpK3F2cmdndyt3YmR1MmV0ZC8vdm5uY2RsbGwrR25uMzZxVi8yU2twSUd4VE4yN0ZoY2M4MDFEV3JUa3NMaE1CNTQ0QUU4L2ZUVExSMEtFZTBsWXU5Rnh4OS9mTFd5OWV2WEF3QzZkdTI2Mi8wdldiSUVBSkNUazVOMGZPWEtsV2pmdmoyNmRldVdzdDJwcDU2YThsL1ZmUzFpRzRVUEhEaXdRUW43Q3krOEVCOTk5QkUrL3ZoakxGeTRFQ05IanNTamp6NktkOTU1cDlvc0VpSWlhanpidHNmYnRoMnliYnZKUDZqbTV1WjJzVzE3aW1WWlZ6WjEzMFNKc3JPenU5bTJmVU50NVpabDdiUnQrNnVxWlI2UDU5Rm8yYmtOUGE5bFdSZmJ0cDM2VG84bVpsblcyYlp0LzZOMzc5NjhXN0FWNGN3TUlpS3FadG15WmZqdXUrOXcyMjIzWWM2Y09XalhybDI4N0pOUFBzRzhlZk1hMUo5dDI3ajY2cXVySGMvTHk4UGl4WXR4MldXWDFkbytHQXhpd29RSktDd3NCQUJVVkZSZ3lKQWhEZDZrZGNPR0RmajQ0NDl4NElFSDR1aWpqMjVRMjFUOGZqOTI3dHladExaNFVWRVJwazZkdWx2OW5YSEdHYmo0NG91eGNPRkMzSFBQUFRqNDRJUHgrT09QbzIvZnZvMk9OZEdMTDc2SVo1OTlGcmZkZGh2KzhJYy9WQ3VmTldzV2R1N2NpWXN1dWdoZHVuUUJVUG02R25wUmE5S2tTZGl5WlV1VHhQemdndytpVFpzMjlhNGZpVVR3emp2dm9IdjM3aGczYmx5VHhFQkUrN2JGaXhjREFJNDc3cmlrNDcvKytpdEtTMHZSczJkUHVGejErL3JrOVhxUms1T1R0TWRHZm40K0FDUzkvL3p3d3cvWXRHa1RCZ3dZVUdOZlZUY05yOG5YWDM4TkFEamxsRlBxVlQvRzdYYkh4L3FZRHovOEVHKzg4UWFPTys2NFJpVndpR2pmMHI5Ly8zWlpXVmt2TldXZmtVams1b0tDZ2g4VGo5bTIvWnlxcHM3d05sQjVlZmxsSzFldTNCRjducHVibTdWcjE2Nm11ckUzV0ZSVUZLeXAwTEtzUDRySXVaRklaSWJmNy8raWljNVpLMVVkQ09BMkVkblV0Mi9mdWF0WHI5N2VIT2VsL1k5cG1uTUFuRzVaMWdhdjF6dTNhbms0SERaY0xsY2JBRmxWeXd6RFNBZlF4bkdjQmwyWHRtMzdMRldkbzZvaGo4ZHpnYy9uZTMrM1gwQTlpTWl0QUU3dDNMbnpMY1hGeFEvdlRoKzJiVitrcWpNYUVjTUwrZm41TisxdSszMFJreGxFUkZUTkdXZWNnUVVMRnVEOTk5L0gzWGZmalNlZmZESytsTks2ZGV2cU5aTWlVV0l5SkpIZjcwZGFXbHExdTFRVGhjTmgzSG5ublNnc0xNUVpaNXlCenAwNzQvWFhYOGYwNmROeDAwME5lMDkvNVpWWEVBNkhNV0xFaUhwZmtLcU4xK3NGQUF3Wk1pUitMQmdNWXNPR0RVbjFObS9lREZXTlh5d3FLeXZEamgwNzBLMWJ0NlFMWFR0MlZIN1BPdjc0NDNINTVaZGoxcXhadU9LS0t6Qmx5aFFjZSt5eG1ENTlPdWJNbVpNeWxrZ2tBZ0FZT1hKa2pjdGVqUjQ5R3FOSGo4Ymd3WU9Sa1pHQlJ4NTVCS3RXcmNMdHQ5K2U5UHQ0NVpWWHNIWHJWbHgrK2VVTi9aVWtXYng0Y2Z4dTVzWUtoVUpOMGc4UlVTcmw1ZVVvS0NpQTIrMkdiZHRKWmJFWkQ1WmwxYnUvbTI2NkNkMjZkWXZ2UVZGZVhvN2x5NWVqUjQ4ZTZObXpaN1crVjZ4WWdROCsrQURubkhQT2JzVmZWbGFHdkx3OEFNREpKNSs4VzMzRWJOKytIVHQyN0VDYk5tMll5Q0NpSkczYnRrMVgxZjlweWo0TncvaHoxV09xT2t4RURtMksvdHUyYlpzT0lKN01jQnluS0NNam8wbjZWdFZIQWR4UlUzbjBRbWl1YVpwdk5jWDVCZzBhVk9kYWg0RkF3SnVlbnY2dWlKemZ2bjM3aVlNR0RYcWtIbDNYbXBRaFNpVVNpZHpzY3JtK0IvQnNkbmIyTndVRkJRMmIrcjhiOHZQei8yWGI5c1VBWGdid2VrNU96bEMvMzcrc29mME1HalRJRGFET2pkQlU5VzRBWDR2STdUazVPYk5Db1ZDZFN5Y1VGUlh0ckhJb1RVVGFxT29xQU1zYkVHWTNFVGxXVlRrcnBBb21NNGlJS0tXSkV5ZkM2L1ZpNGNLRm1ERmpCa2FQSGcwQXVPU1NTMUxlelYrYnhCa1VHelpzUUhGeE1RQ2dvS0FBQng5OE1QeCtmN3c4TFMwdGZpR3BvcUlDdDk5K094WXVYQWlQeDRNSEhuZ0FJb0xDd2tLODlOSkxjTHZkdVA3NjY2dWQ3OTEzMzRYUDU2dDIvSk5QUGdGUXVieFZxZzFlYTNQMTFWZWplL2Z1V0x0MkxUNzk5Rk1Bd0RmZmZJTzJiZHZpdmZmZWk5ZnIyTEVqM244LytRYVIwYU5ISXhnTVl2YnMyUUNBT1hQbTRQSEhIOGZzMmJOVFhpZ1NFWXdiTnc1ZHUzYkYxS2xUTVg3OGVEejQ0SVBJemMxTlNuNGtXcmh3SVZhdFdvVnp6ejIzeHVWRllrbWpJVU9HNE85Ly96dXV2LzU2ekpzM0R5VWxKWmd5WlFyYXRtMkxWYXRXWWRPbVRSZ3laRWlqMW9aUEZMdFlWOVhLbFNzeGV2Um9uSHp5eVhqd3dRZFQxaGs5ZXZRZVgrNk1pT2piYjc5Rk9CekdNY2NjazdUdlVDZ1V3c3N2dnd3QU9QUE1NK3ZWbCtNNDJMbHpaOUpzaDIrLy9SYVJTQVJEaHc2Tkh3c0VBbmoxMVZkaEdBYTZkZXVHKysrL0g0Wmg0S3l6em1wdy9KOTk5aG1Dd1NCNjl1eUp3dzgvUEg0OGx0d09oOE5KOWM4Nzd6eWNlZWFaS1RjMFg3MTZOUURVT2x1RWlQWnZxcnEyb3FLaWYyUDZTRTlQLzF4RWh0UldKeEFJcEx3aktpTWp3d0x3RllDM0E0RkF5aW5lR1JrWlh3RklsWVV1VXRXdGRZUTNRRVRTVlhVNWdOb3U4cSt0cWNEajhRd0JrS3VxSlY2djk5MDZ6bGVuM056Y0xxcjZhd09iM1ptUmtYRm5YWlVjeDNrSXdOMjdGeG50cndvS0NwWjZQSjQ3RE1ONDB1Vnl6UVp3T3BwaEQ1ajgvUHpYTGN2cUpDTFBtS2I1NnFCQmc0NXFhREl1SXlQamNRQTFMcEdWUWdmVE5FdnF1VEpFR29CdzFZT3ErcWJQNTZ2MzM1bHQyMmNCK0xEK0llNC9tTXdnSXFwRmRuWjJHOU0wYzcxZTd5S2tlRVBhbDdWcDB3YVRKazNDNk5Hak1XUEdESngvL3ZubzFxMGJYQzVYbzJZMXpKOC9IMU9tVElrLzM3cDFhMUpDb2tPSER2ajg4OCt4YnQwNjNIYmJiVmkrZkRrR0RScUVKNTU0SW43UlpkcTBhUmd6Wmd4bXpKaUIwdEpTVEpnd0llbmlVMTVlWGxLQ29hcVBQdnFvd1hGZmRORkY2TjY5TzRxTGkvSFVVMDhsbFNVKzc5T25EODQvLy95a2NzZHhrcElRcWdvQWRXNGNmdkhGRjZOOSsvYVlNMmNPY25OejBhVkxsMnJMbjhSczNyd1pxMWF0d29VWFhvaisvZXYrYm5uWVlZZGg1c3ladVBiYWErRTRUdnkvYWV4M3MyN2RPdHh5eXkzeCttVmxaWEFjSitsWW9na1RKdURnZ3c5T1daYVZWVzFtTVFBZ1BUMGRBR0FZUm8xMWFrcmUxTmVtVFp0UVdscUtUcDA2VlN0YnRXb1ZwazZkaWttVEp0VzRWajBSMVo5dDI2ZHUyYkpsVVhGeGNhQ2xZMm1vTDcvOEVrRDFKYWFlZlBKSi9QVFRUL0I0UERqMjJHUHIxVmRzbGwxaXNucisvUGtBa3BlWWV2bmxsN0ZseXhhY2R0cHB1UEhHR3pGcTFDamNkZGRkK1B6enp6Rnk1TWdHeGYvQkJ4OEFxTDdFVkN5aGtwK2ZqNHFLaXZpNFc5Tjd1YXJHTnovM2VEd05pb0dJbWxaMmRuWWJ3ekJ5ZkQ3ZmQyaDkzME0weGQzSERXTGJkcDBYUFdzNmgyVlp1MFFFcWhxcHFVNU4vWHU5M2pxbndObTJ2UUpBZjFVOXgrZnpGZGRWUHhYRE1PNEZBQkdaUFdqUW9LcDNWc2N5eVduMW1HMFJMQ29xQ3U3YXRTdVFucDZlY3FrYUVURlV0VEVYa1pjMG9pM3RodXpzN0o0QXVoVVVGT1MzZEN5TjRmUDVwbHVXZGFtSW5PTHhlSzRLQm9PejB0UFQ4d0ZBUkdJZk5JNjBMR3RwbGFiZEFjQXdqS2NzeTVvVVBlYjNlcjJYMXVlOFhxLzMvMnpiUGdYQWhlbnA2YmNEbUZSWG0wU080eXdTa1dvekhwcmdid2xvaG9UTy9vN0pEQ0tpV3BpbTJVVkV2clFzNjkrTzQ3emdPTTc3cG1uKzR2UDVkZ0NJdEhSOGUxcE9UZzRtVHB5SXdZTUhOOW5GM3ROT093MUhISEVFUHY3NFk3enh4aHU0Nzc3NzBLdFhyM2k1eStYQ1o1OTloa21USm1INzl1M3dlRHg0NnFtbmttWUpkT3ZXRGM4OTl4eXV2dnBxdlBYV1cvRDVmTGo3N3J2ak13OXV2dm5tcE0ycXk4cktNR3JVS0xoY0xzeWFOU3ZsbmFoMWlWMlVHanAwS0JZc1dJQlBQLzBVOTk5L2Yzd0pxSmhVRjkvRDRURFMwdExpejJOTEp0VW5LVFI4K0hDY2ZmYlo4WDdIamgwYlg5NHFVYXpQSzY2NEltV1NwRWVQSHBnN04za3AwKzdkdStQRkYxOUVWbFlXTWpJeUVBNkg0eGZFU2twS1VtNFNIcnZnVjFWemJnNWVYbDVlYTNsaVlpUWNEdU9kZDk3QnFGR2prdXI4L1BQUHVQNzY2MUZhV29ycDA2ZlhPRE9FaUJya3MwNmRPdjNTb1VPSDV3ekQrR2M0SFA2NXNMQndPMXI1KzJVa0VvblBJRXNjei8vNjE3L2l0ZGRlUTVzMmJYRFBQZmZVMkQ0Mmx1L2NXWGs5N2VlZmZ3YUErSEpTa1VnRUN4Y3VCUERmWk1aWFgzMkZaNTk5RnFacDR0cHJyMFd2WHIwd2MrWk1QUGpnZy9qc3M4L3cyV2VmeGZ1Zk1HRUNSQVNSU0FTUlNBVEJZQkFWRlJXb3FLakF0R25UWUJoR2ZIUHhxa3RNOWV6WkU0Y2VlaWlLaTR0eDNubm40YkRERHFzMWtWNVNVb0oxNjlZaExTME41NTEzWGoxK2UwUzBwMFMvaDN3ZCt4NWlHTWE3cXJwMmYva2VzamZMeWNrNUdrQnNZK1BhWmtkY25aR1JVWDFqd1FTeHBheWlTWnZSaVdXREJnMXlaMlJrUEtTcXZ5MHRMVDJwdHBzSmJOdCtVbFhERlJVVmYyNXNJb29henpDTVhNTXczcllzcTBoVi82YXFuNVNWbGExZnZYcjFUdXhkRjhPZFNDUnlyY3ZsdW1iVHBrMHZ0Mi9mSHJFa2dhcWEwYVNqcEVnY3hMNEl1eFBxTitoTGVqZ2N2dEhsY3YydmlQd3BPenY3N3cxWjVzcm44NzBDNEpYRVk3WnRINk9xTXh6SHVkL3Y5NzlSVTF2THNnNEY4Q2FBMjd4ZWIrb3Z4N1JITVpsQlJGUVBJbks0YVpxUEdJWnhONEFsdG0xL3I2cUZxdnJWN3Q2dHM3ZG82SkpTZGVuU3BRdTZkT2tTMzFoOCtQRGg4V1dvMXExYmg4bVRKOGN2K2d3ZE9oVGZmZmRkalp1WlptVmw0ZFJUVDhYbm4zK09LNis4RXFlY2NncW1USm1DamgwN29tUEhqdkY2enovL1BBS0JBSzY4OGtyMDd0MDdmcnkwdEJRalJveUFaVm1ZTktsK04zT1lwb21zckN3VUZCVEE1WExoMkdPUHJUYXJZT2JNbWZqM3YvOGRmLzdMTDcvQU5FM2NmWGZsck5MWUVoNlRKMDlPU21qRVlsaTBhQkg2OWVzWFQ2QWtKa2hPUC8xMERCdzRzRnBjc1dXbXpqNzc3SlRMVExWdjN6Nyt1S1NrSkg2UkxiSHVwNTkraW8wYk4rTFVVMC9GL2ZmZm45VCszSFBQUlVWRlJYeXBycW9TWjhic1NSVVZGVGp4eEJOcnJiTmd3WUtrcGMzbXpadUh5eTY3TEg1cy9mcjF1TzY2NjFCYVdvcWhRNGZpcnJ2dTJxTXhFKzFQUktTWGFab1BBcmpUNVhMNUxNdGFISDIvWE9UMysxZTFkSHlwNU9YbFlldldyZWphdFN2NjlPbUQwdEpTUFBqZ2cvanl5eS9oZHJ2eDZLT1BKcjEzVkJXYmxUWjU4bVM4OXRwcjhVUndMSEhoOS91eGRldFc5T3ZYTHo1TDdNVVhYNFRqT0xqKyt1dlJwMDhmQU1BaGh4eUM1NTU3RGdzV0xNQW5uM3lDNzc3N0RwczNiNDdQNnFpcVg3OSs2TkdqQno3KytHTUFRS2RPblpDZG5aMVV4elJOUFBiWVk1ZzhlVEtXTGwwYVQzclV4REFNOU8zYkZ6ZmRkRlBTalFaRS9OYUFod0FBSUFCSlJFRlUxSEppMzBOVTlTNFJ5Yk50KzN2SGNYd0F2bTR0MzBONjl1eVoyYjU5K3pyWFg5bFBMcUliaG1FOEFRRFJaYXEycEtoemtJZ2NCbUNkcXE2cG83OGEveHNYRlJXRkxNdjZqWWdjM2FsVHArZUtpNHRUVHV1emJUdFhWVzhVa1lqTDVYb1R3TGYxZkMyMGg0bklJQkg1aTZwdWE5ZXUzWGNlaitkN1ZmVWJockhRNi9YV3VJeFpheEtkWFpKNFoxdGZBTWpOemUyaHFtc0JGT2JuNXljdEtXZmI5cE1BeGp1T2M1M1A1M3Q3ZDg3cmNybTZBekFCWkptbWVUK0FxM2JyQmZ4WG1vZ2NZWnJtek1HREJ5OHZMQ3dzcktIZTB5SXlSRlZ2QWNCa1JndGdNb09JcUo1VUZTTFNCc0JKcXZwYkVka0pZSU5sV1FXTzQ4d3BLeXQ3Zi9YcTFSVXRIZWVlNGpnTy92S1h2elNxait1dnZ4NHVsd3VSU0FSTGxpekIwS0ZEOGY3NzcrT2xsMTdDODg4L2oyQXdDSy9YaTA2ZE91SFBmLzR6K3ZYcmg3ZmZydm16VFVaR0JpNi8vSEs4Kys2N2VPeXh4M0RVVVVkVm14bXhjK2RPekprekJ4a1pHYmpra2t1U3lpS1JDTmF2WDQ5Tm16WTErTFY4ODgwMzhIZzgyTGh4SXg1NjZDRmNkZFZWT09hWVl3QlVybzIrWk1tUytISWVnVUFBaG1IZ2l5KytBUERmdGN0amR3S0h3MkdFdzJGTW1qUUp5NWN2eDgwMzM0eXNyQ3o4NlU5L3dyQmh3NUxPKzd2Zi9TNWxQUFZkWnVxamp6N0NYWGZkaFlzdnZoamp4NCtQSjFNaWtRaGVlT0VGQUpXYmlOZTA3Rk5OeDJzVFMrSlV0VzFiNWY1cFJVVkZOZGI1ejMvK2svVGNOTTJrRGRjVCtmMStCSU5CVkYzTGRPM2F0ZmpYdi82RjRjT0hZODJhTmJqaGhodXdjZU5HSEh2c3NaZzJiVnI4dnhNUk5ZM28rMlZtZE5QQ1kwU2t6RENNalpabExYVWM1NVhObXplL1cxSlNzcXVsNDR4WnRXb1ZSQ1ErSzZPa3BBUkxsaXhCKy9idE1XWEtsQnJIbkpqaHc0ZmprMDgrZ2Qvdng5S2xTNUdSa1lIenp6OGZwNTkrT2dEZ2lDT093SDMzM1pmVTVvNDc3c0JiYjcyRks2KzhNdW00aU9DM3YvMHRmdnZiM3dLb0hKdExTMHNSREFZaElqQU1BNFpoUUVTUW1aa0pBQmcyYkJnR0RoeUk1Y3VYcDV3ZGVQamhoK1A1NTUrSHFpSVFDTVNYT2t6RjdYWTNhaWxKSXRvem91TnFXMFMvaHhpR3NVTlZOMXFXVlNBaWY5KytmZnZITGZrOXBHdlhydCtMeUpGMTFjdk56ZTJhbDVkWDd3L2V0bTIvbk9xNHFuWUdBQkVaVWt1ZHcrcGEwblZQc0czN2VnREhxV3F4WVJoSDVlWGxWWnRTYk52MlRRQ2VBUENXMStzZDI0alQ2YTVkdTBaa1ptYjZST1F5ajhlendPZnpQVitsamd2QWN5SmlBQmhmVUZEQVJFWXJFLzM3N2dEZ0RBQ25pY2gyQUJzOUhzLzNJakxUNi9WK2diMXJ0a1p6aWMxK2dvaGNidHYySS9uNSthdDN0N1A4L1B3RmxtWGRMU0tUMDlMUzNvenV4WkdVZ0xWdCsvY0F6Z2Z3YjFXOXZDSDlpNGpadTNmdmh0d0JtRlozbGYwVFA2a1NFVFZBd2dVQVVkVjJBTnFKU0YvVE5DOW8xNjdkQnN1eTNsRFZsd0tCd0pwQUlGQzJONjRiUG0zYU5CUVVGQ1FkbXp4NU1ycDI3WXBaczJZMXF1OXJycmtHTHBjTFM1Y3V4WTRkTzNEODhjZGo2OWF0V0xObURjTGhNQTQ5OUZCTW5Ub1ZmZnYyamM4WXFNL3lSY09IRDhkUlJ4MkZIajE2VkN0NzlkVlhzV1BIRGx4eXlTVXA5MDNZSGNYRnhWaTNiaDB1dlBCQ2xKZVhJejgvSDcvLy9lK1Q2Z3dZTUNDK2Flenc0Y014Y09CQVRKMDZGVURsMGlVdnZ2Z2k1cytmajdTME5Eenh4QlB4dWtjY2NRUXV2ZlJTekpvMUMzLzYwNSt3Wk1rUzNIcnJyZmo2NjY5cnZPQVAxTDNNRkZDNU9mbkREeitNVHAwNjRaVlhYc0d5WmN2dzJHT1A0WUFERHNDMzMzNkxIMy84RVpabFlmRGd3WTMrSFNYNjhNUGE5eTFidjM1OW5YVmlYQzRYL3UvLy9xL2E4UzFidG1EWXNHRVlQSGd3MHRQVFVWRlIrWDIrVFpzMkNBYURlT0dGRjNEUVFRZmhsbHR1d2ZidDJ6RnMyRERjZi8vOXU3WGtHQkhWTGZIOUVrQmJWVzBySW4xTTB6eS9hOWV1djNidDJuVmVKQktaRlFnRVZwZVhsNWUxWkhKanhJZ1JPT3VzczdCclYyVUlnd2NQeHJQUFBvdU9IVHVtZkYrcHFsMjdkcGd4SStVeTVnQ0F0bTNiVnR0TGFjQ0FBYmp6empyM1pJVnBta2tiaWRla1Y2OWVkYzZrU0V5QUVOSGVwOHIza1BZQTJvdElYd0R4N3lHUlNPVHZ3V0R3cDViNkhxS3F6Nlk2TGlMbkE2aDdRSzB1NWZyNUNaOTFENmxIbldhVG01czd3SEdjUjBRRUluSmRxa1JHVTF1eFlzWG1uSnljcXd6RGVGZEUybGN0dHl6clR3QnNBSFB5OC9NYmQyY2E3VEVKZjk4R2dJNEFPaHFHY1FTQVN5M0wrZytBbDFYMXRWQW85SE5GUlVWWkM5OUVhVnFXOVZuaUFWWDloOC9uUzlwWTBuRWMyY04vaC84YlBmZHJJdkpIVmYwVEdqazd3K3YxUG1iYjlya0FNbDB1VjFjQThXVEdnQUVERGxEVlowUmtGNEFMZkQ3ZjFvYjBMU0ozZE83YytZN0d4RWVWbU13Z29qaFZkYXVxUzFVSGV6eWVvSWlvaUdna0VuRkVSQTNEY01MaHNCcUc0WWlJaHNOaFIwVFVOTTFxejRQQm9CcUc0UmlHb2NGZzBERU1RMDNUZEF6RDBJcUtDc2N3RERVTVE5UFMwcHhBSU9BWWhxRnV0OXZadG0yYm1xYXA2ZW5wenBZdFd4eVh5NlV1bDB0WHIxN3RvSEp0MkJhN0l5SHhqVGp4cnNhRXpad1BCSEFqZ0t1enNyS0tNak16Q3p0MDZQQzFZUmpmZXIxZWYvTkd1L3ZXcmwwYlh3WXBHQXpDY1J4VVZGVEFORTM4N1c5L1M2cTdaczBhVEowNkZSa1pHWGpra1VmcXZNTTl0bTlFYk4rRjQ0OC9IdSsvLzM1U25hT1BQaHJUcDA5UE9WdGk2TkNoT09lYzZudjJEUjgrSFAzNzk2KzJNWGRzVm9iYjdjYmxsemZveG9sYWZmWFZWd0NBRTA0NEFZRkEzZDhUeTh2TGt5NGdWVlJVd09WeUplMmpFV09hSnNhTkc0Y0JBd2JnM252dnhieDU4OUNoUXdlY2VlYVp1T2lpaXhvVmQyWm1Kbkp5Y2pCNzltemNlT09OOFB2OXVPeXl5L0QwMDAvanVPT093OHlaTTJ1OVkzZDNHSVpSNHo0YksxZXV4T2pSbzNIeXlTZlh1R2ZGNk5HanNYTGx5anJQOC9ubm4wTlZjZXFwcHlZZGI5ZXVIVTQ0NFFUTW5Uc1hZOGFNZ2FwaTVNaVJHRGR1WEl0OHlXMGFpblNYSG01WmxnSlFFVkVBaUVRaThjZUp4NlBqYy94eDRqOEFDSWZEU1hVVEg0ZENvYVRqaG1Fa1BZL2VMWjdVSmxZbkdBeFdPeDc3dVd2WExzVGVCNnEyaTViSEgwZmZQK0xsWldWbGFwcG12RHoyMkRSTjNiWnRXL3l4YVpycWNya1VBTkxTMG5URGhnMEtBTEgzRlFCd3U5MmFtWm1wQUpDWGw2ZW9mSS9oblcrTlZJLzN5NjRBcmpWTjg4bzJiZHFzeU1yS0tqemdnQU8rQXZDOTMrK3Z2aWxRTTZpYU1FaTFuQi90T2VvbzBsM2FOemF1QVpYalFpUVMrZS9WMjhyeHBOcFlWWFY4cS9vNFZxZW1jUTRBUXFGUXRXTTFqWGRWKzRpTmJSVVZGVWpWUitMajJzWStBQWdFQWtuMVkyV0pZMTVaV1ZuOFdHTGIyTGdIQUxIUDA0bHRYUzZYcHFXbEtRQWtqb2V4bjI2M1d3R2d5cGlvNE40TXJVSjl2NGU0WEs0eExwZHJlV1ptWm1HblRwMitBckNrT2IrSGVMM2VhMU1kdHl4cmdJZzBOSmtSQ1FRQ0hWTVZaR1JrV0FDK0F2QjJJQkM0cklZNlh3R3dZczhIRFJyVTNlMTIxL2V1NkRRQVVOV2VIbytuenNxbWFXN2N0bTJiUzFYZkZwRzJxanJMNi9YK3E1N25hcERmL09ZM0I2YWxwZDJmb3VoZkFQcFpsaFcvNjBkRVJGVkhBWUNxT29sbENUWjZ2ZDU3R3htV2taT1RNOUF3akFPY3lpdlk4Yytvc1dzSnNjZXhhd21KMXc4U3J5bUVRcUg0ZFlSUUtCUzdEaEcvcGhDN3JoQUlCT0xYRjlMUzBwelk1OE8wdERRbjlwa3cxWFdGRGgwNk9OSHhMZHpJMTl4azZ2SDNmVENBaVNJeXp1MTJGN3JkN29LY25KeEZxdnA5UVVGQjFZMjFtNFdJbkpEdzFCU1JhbkZFSWhFak90dXphYjlnQXZCVS9tSGFxbHBTVVZFeEppTWo0d3dSdWN5eXJBZThYdTlQOWUzSHNxeXJBQ1JOd1ZYVkRRQktUZE9jYUZueElRUWlrZ1BnUUZVdEFuQjlZbG1NNHpndit2Mys3MUtkUzFWOUFQTHFHNXVJOUFSd1puM3I3MCtZekNDaVJCMEJpR0VZOXdJSUFsQlZSY0lYSlUxNE0wcDhERlZWMHpUalg5NmlYNGhVVlpHZW5oNXZEd0FaR1JtYTJDNTZaN1E2am9OMjdkckZ2OXgxNjlZdDNpNzZSaEZ2RnhNOVg0V3FPaUlTVVZVbit0aFIxVWppejFoNTdDZUF4RHFPaUVTcTlCR0oza2xhN1JlVjZnTkh3b2VOZEZSK2NQYVlwdmtIQUw5NlBKNVY0VENXN0l3NHJmN3E2YlJwMCtLUHg0NGRpOFdMRndPb2ZNMURodzVOcXZ2bW0yOENBQzYvL1BMNGtoaEE1YkpLdGUyaE1ILytmQng1NUpFNDRJQURVcFovOGNVWDJMUnBFL3IyN1JzL3RuVHBVbVJsWmVHY2M4N0J5eSsvakdlZWVRWmZmUEZGclhmV3gyWmxYSERCQmNqS3lxcTJjWFFzRWVFNFRvMmJTcWVscFZWTE9zeWZQeDhISFhRUSt2VHBnNktpb2hyUEgxTmVYcDYwaDhmV3JWdVROalJQWmRpd1llaldyUnRtelpxRjBhTkhJejA5SGVQR2phdnpYUFhSbzBjUHZQamlpN2o1NXB1eGFkTW1kTzdjR2J0MjdZci92bXZiWUx1MnNxckxremlPZzdTMHRCcVhwb29sdnd6RHFMRk9xaVZUVXZuMDAwOEJvRm95QTZpY3JmTDIyMjhqSEE1ai9QanhHRGt5NVhMQ2V3MVJrWFNYakJTUmZvbkhFeTlxUmNYRzJkalNXMVV2Q2dLSWIxNmNzbTNDZjgvRWNsVlZxQ3BjTGxkU1g0bDFFLzQyNDNFQWdPTTRXaVh4bVJTWHFsWWRQeExiYTVVN3krTnRFOTlEcXI1T1ZVWENlMHJLdUtJWFVhdSsxaHBGK3c1RzMwL2lYOXExc2tPbnl2UDRQNjNjQlRIMjNJbVZSNC9GTHdBa3RoTVJkUnduc1ozR3poczlSMUlNZGJXTG5hdXVjMVI1bkJpcms2TGZsTCszT3Q0djNRQ3lBUXcyRE9QM0FEWjVQSjUvQjRMT053RkZxMysvcEtZakFETFNqTXRFNUFnay9BMmFwb2tVLzI4bC9lMVdIZDhBVkJ1WGFybVlVdHRZRnoxTnJlTmR2RTZWenlOSk1TTDZPYmVtc1M4V2MwM2pXK0tKc3JLeWt2cE5MSGNjQndDMFhidDJTZTBTeDBJQU5ZNkhpWFVhT2lZbUNDZDgxbzYxVHprZTFqRkdBaW5HcVlSNEVzY3RKNkVjTll4UFNYM1UwRy9LOHVqdkpUNytWU212R2t0aXZhVFhuMnFNclNWV3FHcUgzZmdla29Ibzl4QUEveXNpbXp3ZXp5b0Fyd1NEd2JsNzBaNFZKb0JnVGZGYWxyVkxLamNXanRSVXg3YnRwSnNUMHRQVFh4T1JreG9VaEdrdXFFKzlTQ1R5KzdadDIvNEhRQjlWOWYzNjY2L1hOZVE4RFpHZW50NUpWZXVldWg0VisvOUZSRkltZlFEOEcwQ2praGw5Ky9aTk0wM3pWZ0JuVmhtM05YR01qaVpVNDJWVnJ5ZEV4OXA0ZWZRN1dNcHJDckhFYTZ3ODhYbHQxeFZVRlltSjh5b2lJaEpLdkI0UXUxWlE5VHBDbGVzTVRvcnJDNm5LRXE5SjlFbjF1NnpqN3p0VFJJNVcxU0dHWWZ3UitQL3MzWHQ4VStYOUIvRFA5eVJ0MHpzWHVZTWdjck5LbTVPSXlKU0pqb0hLYnpyY3BwdlR5UnlpRHBBNWJ5Z2lLaGVuZzZFdzhNNjgzK1ljVHFmaUpvaW9UTEc1dEZBRXFoWXB5TDFBUzYvSmVYNS9OSWxwbXJSSlc1b1VQdS9YaTFlYmM1N25PZCtFNWpuSitaN25lYkRmTitYMTN3OGZQdng2TzQ3Rzhqb2NEak1BNU9YbG5ldC9uK1RrNUNTYnplWWgva0thcHZYeXhXM0p6YzA5STZTTnJyNTlKd2Z2UzBwS09wS2ZuLzl0Y3dHSXlCVGZ6NWVMaW9vcWJEYmJYd0hNQVhBSGdOOUgrMFJFNU1jQVlycGpVRVJ5QU9TRTIyY3ltVDRHOEhsSStZOE13L2lGWVJpYjNXNzNwbWlQNDB0Y2pqWU00NnZtUzU5WW1Nd2dvbURpTzNtbWlvai82bTN3SjJnQkFLVlVvMjIrZWhKYVI0TE94djU2d2ZXbEhrTHJoVGxXZzRKaEFnLzhEUDQ5K0dlNGJaSEtoTnNlTFZVLzU2WC91YWNBeUJDUmJCSGp1SnFZZi9QbXpWaXpaZzE2OU9qUjRPTHdva1dMc0hyMWFyejAwa3ZJenM1dVZHLzc5dTNZdm4wN1JvOGVqWGZlZVFkZmZ2a2xnUG83NnpNeU11Qy93MkhRb0VGWXNXSkZvRjd3UmVxNnVycG01LzBHNmhNZ0FQREdHMi9nalRmZWlGZ3VQejgvNHFMU1U2Wk1hVERWMWRHalIrRjJ1ekY0OEdBOC92amoyTGR2WHlEK0hUdDJJQ2VuNGVlYVhidDJ3ZVB4WVBQbXphaXBxVUZLU2dyMjd0MGIxWlJYVnFzVm9YZUR6Wmt6SjNEaFBoYlBQUE1NQmcvKy90cDNWbFlXbGk5ZmpyS3lNblRwMGdVWFhIQkJZQTJMcGpTMStQYWNPWE1hVEtYaTlYckRqajVwYTl1MmJjT0dEUnVRazVNVFdOZzhXTStlUFhISkpaZmdqVGZlQ1B5OWRYU2FTSkpTS2hWbzBJOUY2ckRDYlE5Yk5xUi9qMWcycE0rUDZuamh3Z3M5bnU4OUhiWmRmd05oMm9rbGpvalBzYWx6VEZOQ3E3WDJjYVR0b1ltOWNPZTJjR0twRjdyZVRGTXhOZFZ1dEVMUGwwcXBERTNUc2pWUktXMS9EeDhsT2wrL1pnRWEvRDAxK2ZHdmllWWk3b3ZRQjBTczAwemYwT1MrU0ZYRHhkQlUveGZhV0F6OVlNUjlUYndPL3NPMUtxSFkzRVg0U051aTdTUDl3dDMwRUUzLzFGeTdMWW1ydVQ2MHBiSEdJcVJmdGNEM1BRUkFxdGZyN1RCSlloRXhLNlhhZEJvZEVma2NRRlFYZTVWUzU0cEl1bExxSTZtZlVxYTV0dmM0bmM0TnVxN2Y2UFY2VjdmSDFJbEtxUTlyYW1wKzB0cDJVbE5UMjJwRWFwSlNLclc1Ny9kQStPc0pRS05PczdsckNzRmxZajVtYzljV29yaytFTTExaHViMnhTTGsvWjJLK21rOHM2VStpUmwzRm92bFpBRGhGczBlYmphYnd5Nm1MU0tQaE53TTl5YUE4SXRFK3VUazVQUVVrZDhxcFF5UHgvTVlBTlRVMUN4SlRrNitGY0R2aGc4ZnZyQ3dzUERyV0dJM0RHTmNiVzN0K2xqcWhGTlVWTlNvai9FbFo1cE4wSVRhdUhIakhnQ3Z0emFtNHhHVEdVUVVyRXpWVHpVMVIwUUtsVkppTXBrMHd6QTBBS0tVRWszVE5LV1VLS1Uwazhra1NpbXQvZ1lxQ1d4SC9ZY0RmeDFOMDdSQXVVajEvR1ZENndYOXJpRk1uNldVTW91SS83aGFjSXorT1B3eEJUMFdBRnJ3c1lPUEcxSXVVMFFhZlVpTWRCRmQ2dThROGlpbDlnTFlxNVRhQ21DSnkrWDZaTUNnM0xPUkpGZUdyZGdCK2FkMG1qRmpSb083cU5QUzByQjc5MjdjZSsrOVdMeDRjYU42UjQ4ZUJWQy8rTFYvQVd3QWVQREJCd0VBQ3hZc2FMTVl6enp6VElUZW5SaXNwcVlHcTFldlJ0ZXVYWEhXV1dlRkxST2NBQUMrWDV0aTI3WnQyTFp0VzJEN21qVnJzR2JOR2x4MjJXVU55bS9kdWhVQVVGQlFnRnR1dVFXTEZ5L0dWMTk5aGRUVTFFQnlJeGExdGJXb3JxN0d4SWtUa1o2ZTNtejV6ejc3RE51MmJmUGZyZGxBU2tvS2V2YnNDYUIreWkvLy93MVF2emkzeStWQ3o1NDlBd3VLRzRhQmRldldJU01qQTNhN3ZWRjdvWFBMMTlUVXRFc3l3Nzl3K2RWWFI3cmhESmc2ZFNwV3IxNk5WYXRXWWN5WU1ZMFdWdTlJbENoVldXdXNTRFhMVjBvcE1adk4vaTlvZ1NSd2NDTFkxK2NHSjRnRkFQeDliTGc2dnY0ZnZqNHhzTTFmMW1ReU5Xb3YrSGRmbjlxZ0hnRHhIVE5pdmFCK1gwTHIrNzY0UmF5dmFWclllSnM3cnErZTJiKzkyZGZmZDc2SkZJLy8yTDRMVk1GbE5IOVpmenloY1g3L05CR3U3U1pmQnpUOFloN2NyaFpMdmRCNG0yZzNYTHdUd3J4ZVlWOUhYejB2Z0gxS3FiMGlzc1hyOVQ1V1VGQ3crbmc3WDFMekZJREtXbStEZmcxby9KNE42ZHVBa0w0SjMvOWROOW5IK2JlRjlHVUlWNzY1L2k2a2Yya1FVM0NaQ1B1Qm9ENHFYTjJnejZwaDYvb2ZoejdmY08wRjlVdituNDNLK3orM3c5ZDNSRXNwWmZMM0cvN2poUFlYL21PRjZSOGJQT2ZnL2lyY2E0TEcvVlpvRzhIdFJJd2w5RmloZldNeis4UEZFVGFXb0g0eU5ONnd6emRvZjVxSWpFR0ladnBWajFKcUg0QzlBRFlycGY3cWNyaytDVnNoZ2FuNnhHWnRXN2JwY0RodWo3YXN6V2I3RXNCUXBkUTFUcWV6Sk5wNlRxZnphVi85RlFCK0VLbWNVcXF6NzN2anIyMDIyOWdtbXR6cGNEaCtGR0dmSjFGRzJoUVhGOWZsNXViK0NjQUtYNThwaG1Gb3diK2p2bjhKWEJQdzk4RkIxd21DSC91LzF3ZStud2RmVXdodEM3NzNZdkQrTU5jVmd0czBvWEVmSjBvcFUrajFpZUFZZ3RvVUJIMFdESE1OSWJodW83Sytkdm9BT0Rja2h1YXVNOVNwK2ltUTlpcWxpa1RrRWFmVCtVV3IvdlBhVUUxTnpjR2twS1Q1L3NjaWtpc2lQMUZLYlZCS3ZSOWNWa1IrTENKbkFmaTdZUmhiZzNZMU8rMUJjbkx5N2FoUDFyN3BUMXBzMnJUcG9LN3JTMFRrenFTa3BBVUFmaGxqK0pWdC9YN1NkZjBXQUpIdkJBUWdJdmM0SEk0Q0FMRFpiRk9WVWo5dW9teVp3K0g0YlZ2RzJGRXhtVUZFQVNKU2kvcVR1c1BsY24wWTczaWkxT2pEdi8rbjNXNFhBS2l1cnBiYTJ0cjZUL2NlVDRPZmhtRklyMTY5VUZkWEovNXQvcnVXdkY2dnBLV2xuV3cybTM4Q05QdkZBVXFwZlVxcE53RzhhaGpHdDNWMWRkV0dZUno5OHNzdnk5cjZTY2ZidSsrK2l3MGJObURreUpFWVA3N2hOSTdYWFhjZDFxMWJoNDgrK2dndnZmUVNycnl5NGZXb2dRTUg0cVdYWGdvOGZ2dnR0L0hTU3kvaDBVY2ZSWFoyTm5yMzdvM0hIMzhjYnJjNzdBWHpXRFIxY1JzQTl1L2ZqOVdyVjJQZ3dJR1lOMjllVkcxMjZ0U3BRUkxHdis3RDdObXpNVzdjT0pqTjVnYlRRVGtjRHBqTlpqend3QU80L2ZiYnNXREJBaHc4ZUJBQThOQkREMkgyN05rUmo3Vm16UnA4L3ZubitOblBmdFpneWkwQXVQYmFhOUc3ZCs5bTQ1MC9mMzZEcEl1ZngrUEJPKys4ZzNIanhzRmlzVFJhcytMamp6L0dqQmt6TUdiTUdOeDIyMjBBNnFlWUdqMTZOUHIxNjRlLy9PVXZ6UjY3cXFvS0hvOEg5OTkvZjlqOWh3N1ZyNW0yZWZQbWlHVysrKzY3Sm8veDlkZGY0NE1QUGtDZlBuM3dveDlGK3E1WC8vOTI1NTEzNG80NzdzRDgrZk14ZVBCZ25ITEtLYzAraDhRa3FQVks4ZFpOSGFhZlBoNkZubmRDdDRkNzdEODNBUUNxcXFvYWxQV2ZwL3o4NTZUUTM0SDZjeGZ3ZlFLeHJxNHVZbDNnKy9OYXVNZUdZVWpvU0xIZy9hRjEvY2NPdHo4dExXMC9FTlg1OGdDQXQ3eGU3eXRLcVJLUHgxUGxPMS9HdEpBaUhUOUVZNzkySEdqVTN6WHh1TWx0a2ZwSm9PbStNdHhqb1BrK00xSzlwdnBPZjd2Qi9XZTRrUS9odGpYVmp3YVhTVTFON1djeW1SeEE5TjlERE1ONENjRE91cnE2YWhHcDJMUnBVNGZzVjBVa0EwQ3RydXRQUlNqaVgrakkza1NaL20wZldYU1VVajBCRElpMFgwUk12cCtaeWpmU05sTFIwQTIxdGJWSnZwdUZFbWJOQndCR3ZOWnVhR01ScnkwQUVMdmRIdWlYSWwxZjZOR2poL2o3R0grWjBNOVYyZG5aNHZWNkoyaWFkaTRRMWZ0N3QxTHFOUUJ2S0tWMmVUeWVhaEdwS0N3c1RLajM5NlpObXc0Q3VOdi8yRGYxRTBUa0thZlQrVVJ3V1p2TmxnSGdMTU13WG5LNVhDdWpQWWJOWmpzTndEUlYvNkxOQ2Q2bmxIb0l3QTBpY29YTlpudkM0WENzYnE0OXBWU1NpTUF3akRaL1A0bklDQUNYQXFoVUlmL0pVai9WYXBKUzZxOUJzZWdpY2ltQUt2WDlWSTErYWFyK2hsa0NreGxFMVBGRm11OFMrZm5ScmEyMGE5ZXVpUHQwWFM4UGZoejBnVUpKL1pEakk0WmhiQlNSRmVYbDVXOFVGeGUzNlhEb1JGUlJVWUhGaXhmRFlySGdycnZ1YXJUZmJEYmovdnZ2eDY5Ly9Xczg4c2dqR0RGaVJJUFJEUmFMSlhDblAxQS9jZ0NvVDNJRUw4QTZZTUFBVEpzMkxmRDRubnRhdXk1ZDJ3bGUzOEUvc2lJNU9iblJ1ZzllcnhlclZxMkMzVzdIQlJkY2dGbXpabUgzN3QwQWdJc3Z2aGdyVjY3RWlCRU4xaHRyNE9PUFA4YktsU3ZScjErL1JzbU1YL3ppRjFIRjZoOUpFbXJMbGkyNDc3Nzc4UGUvL3gzUFAvOThvLzMrQmRpYkd0blNsSXFLQ25pOVhuaTlYcno1NXB0Tmx2M3V1KythTFJPT1lSaVlQMzgrbEZLNCt1cXJtNTNlWWV6WXNSZzdkaXorKzkvL1lzYU1HWGoyMldlam11NkxLSXlXemlVZjlia3BHazJkditMQlpyTUZmZzg1WDFZcnBZNFlockZaUlA2Mlo4K2UxM2Z0MmhWNUFSNXFNWS9IMDJEdElxSjJwQ0w4SHJPMjdDZURKVnFmMlJ4ZDF4c013VzNpZThqajVlWGxieVhDOXhCZDF5UGQyZHpVQmZzR0JnMGFsSVg2YTFWbUVmbGRVMlZGWkFDQUpzdkVnOVBwdkxpcC9UYWI3UThBRmdONHpPbDBUbXVxYkNpVHllUWZFdCttSTFjSVFCUFhGb0RvK3FiUzB0S29EbVMxV284R1B3NTZmeHNBcWtUa3NGSXFIOENqVHFkekZlclhZK3RJekVxcC8vT05LUG00amRyVWxGS1Bpa2lTaUx6b2NEamN3VHRkTHRjaHE5VjZuNGc4ckpSNnZHL2Z2cmxSVFBubW45N3ltTDJmRE1NNDNlVnlOUmpoWmJWYTUybWFOaXRjZVkvSGMxWm9jbERYOVJKL3JNUmtCaEZSMUh3bjRxTUF2aENSenczRGNCbUdzYjZnb09DYmVNZldYbXByYXpGejVrd2NPSEFBRjE1NElVcEtTbEJZV0lpS2lncVVsNWVqdkx3Y1I0NGN3WkVqUjVDUmtZRkRodzVoenB3NWVPNjU1MksrdUpLZG5ZM3p6ejgvOExnOXBpdHFhNnRXcmNMKy9mdHg4ODAzQXdBdXZmUlMvUHpuUDhkSko1MkVPWFBtb0tTa0JBODg4QUJHalJvVnRyN1Q2UVNBc0NOVUprNmNHRldpWWQyNmRkaThlWE9qN1lXRjlkT1dEaHMyTEd3OS85b1MvZnUzN0tZMmZ6TGs3TFBQeHZ6NTg4T1cyYnAxSzI2ODhVYU1IajBhOTk1N2I5Z3lOOXh3UTlpUkpRRHd5aXV2d09WeTRkUlRUOFhFaVJPamltdldyRm5ZdG0wYnRtL2ZqcHR1dWduTGxpMURWbFpXVkhXSktEcStMK1JWU2lrWGdQVmVyOWVwbE5wUVVGQ3dKYzZodFFtbEZKWXNXWUtMTHJvSVE0WU1hYjVDQzVTVWxDQTVPVG1xRVhoQS9kU0hzMmZQUmw1ZUh1Njg4ODVqRWhNUnhZL3ZlMGdGZ0h3UitWd3A1ZkI2dlo4bDRQZVFzQXU3aWNpNThDMzQyNXpzN096ZXZwdVkzeGVSWDRjcll4aEdub2o4VnluMWxxWnAxMFlvODE4UnlZc3k3ZzVEMDdRdXZsK2JYK3lPT2dUZisvc3c2aGVPL2d5QTIrdjFybmU3M1R2akhGcUw2YnArcFlqMFYwcDk3blE2bTUwNktzbzJaNG5JZVVxcHNycTZ1bHZDbFhHNVhIKzEyV3pYaWtodXQyN2RscFNXbGw3WFZKc2kwZ1VBRE1QZys2a0RZVEtEaUNnS1Nxa1NBTThycGQ2cnJhMzl1cWlvNkFDQThMZThIOGRXckZpQjlldnIxOFY2NzczMzhONTc3NFV0bDVTVWhLeXNMR1JrWkdETGxpMVlzV0lGcGt5WkV0aGZYVjJOM2J0M1k4K2VQWUdMNW5QbnpzV2VQWHNDRi9iMzdkdlhZRHFxbXByb2JqWmJ0V3BWMUF0ayswY3RGQmNYQjZaU2FzcTk5OTZMOVBSMDFOWFZZZS9ldmRpOWUzY2c0ZkR5eXkvanhSZGZSSHA2T2pSTlEzbDVPUll2WG93K2ZmcGc3Tmo2cVhCWHJseUo3ZHUzWTlxMGFUQ2J6Ympqamp1d2JObXlzR3RmbEpXVllmdjI3Y2pNekd5MGJnY0FYSG5sbFZGZDVOcS9mMy9ZWkliTDVRSVFQbEdpbE1MYXRXc0JBTU9IRDIvMkdJWmg0Tk5QUDhXb1VhTUNveU8rL2JaK2piUCsvZnVqVTZkT1lldGxaR1FBcVA5N2lWUW1VaEpzKy9idFdMWnNHVVFFczJmUGpqcFpscFdWaFNWTGx1Q2FhNjVCVVZFUnBreVpna2NmZlpRak5JamFpRkpxSjREbkRNTjRSOU8wcnpWTjIrZDBPbytyOCtVWFgzeUI1NTU3RHErOTlocnV2Ly8rd0JSM2JyY2Jqejc2YUl2YVBQLzg4M0hGRlZjQXFGK3o2UHJycjBkZFhSMFdMRmlBczg4K3U5bjYvZnIxdys3ZHU3Rmp4dzVNbXphdHhhUHFpQ2p4K0wrSGVMM2VkendlVDBraWZ3OXhPcDFoRis3VmRmMURFVGt2bWphVVVvTjlQN2M0SEk3OUVkcnpYM2lzemMvUEQxdkdack1sMGpSTWJjWXdqSk45Njg1d3lwbmpnR0VZV3pSTld3Rmd0ZGZyL2JhZ29PQWdFbXNLc1pqWjdmYVRsVktMQU1Bd2pFVnQwYWJOWnJzUXZtbWxsRkt6M0YvTEFBQWdBRWxFUVZUVGZZdGpoK00xREdPeXBtbWZpc2hrWGRmWE81M09GWkhhVlVxZExDTHdlcjE4UDNVZ1RHWVFFVFdocHFibVFFcEt5bGluMC9rUkV2Ukx3N0VVdW1qMFQzLzZVL3pyWC8vQ2tDRkQwSzlmUC9UbzBRTmR1blJCMTY1ZDBhbFRKM1RxMUFuWjJkbUJCY0VMQ3d2eDI5LytGcXRYcjhhMTExNExzOW1NNTU1N0xyQjRlTENOR3plaVg3OSt5TW5Kd2RxMWE3RnYzejY4K09LTGdmM1JKak9LaTR1eGVuV3owMk0yVUZaV0ZsV2RXYk5tWWMyYU5iajExbHNiN2Z2cXE2L1F1M2R2bkhQT09TZ29LSURYNndXQVFPSmkyN1p0V0x4NE1YcjA2SUZmL2VwWEFJQXp6amdEeTVjdng4TVBQOXlvUFgrU3hHYXorUmZTYktDMTAwdzVIQTRBNFpNWnExYXR3dDY5ZXpGa3lCRDA3ZHUzMldPVWxaVmh4b3daR0RkdUhCNTQ0QUVBMzQvOEdEQWc0blRCTFZaZVhvNmJiNzRaMWRYVnVQenl5Nk5LdUFUcjI3Y3ZGaTllak91dnZ4N2J0bTNEcEVtVHNIRGh3ckJKSXlLS3lZVmxaV1ZyUzBwS3F1TWR5TEUwWXNRSTNIUFBQWmczYng1dXYvMTIzSHp6emJqcXFxdHc4T0JCYk5pd29VVnRCcS9oazUyZGpldXZ2eDRQUFBBQXBrK2Zqai8rOFkrQjgwWnRiUzA4bnZEWE9DNisrR0k0blU2VWxKVGcxRk5QYmJRL09UbVpVMUFSZFNDKzd5RmpuRTducDBqdzd5R0dZVnloYVZyRXFhUzhYdS8xSnBNcDArRndSRFBILzlrQUlDTEh4V2krdGlZaXViNWZpK01hQ0xXS3lXUnllanlla1c2MysvTjR4OUlhdmtYZUE2eFc2MkNsMUw4QW5LU1Vlc1B0ZHIvVzJtUG91ajRLd0Q4QW1KUlNqN3RjcmhlYkt1OXl1VGJvdWo1WFJPNFRrY2V0VnV0dWw4djFUbWk1WWNPR2RSV1Iza3FwUFcyOStEY2RXL3cwUzBUVUJOOUo3WU40eDlIZWxGSjQ2cW1uQXV0WnZQZmVlN2poaGh2UXMyZFB2UE5Pbzg4QkVRMGZQaHlMRnkvR3lKRWpBeGRRaGc0ZGl2UFBQeDhEQmd6QWdBRURVRmhZaU5kZmZ4MnZ2dnBxWU0yTVJ4OTlGRGs1T1ZpeDR2dWJLQzY0NElMQTc2ZWRkaG91di96eXNHc2tUSjQ4R2IvNXpXK2lpdS9nd1lPNDdMTExZTFBab2xyUU9pTWpBLzM2OVlPdTZ4ZzRjR0RnNHRQQ2hRdHg5OTEzNCtLTDY2Zkh2ZUdHRzlDcFV5Zk1temN2Y0RFL096c2IzYnQzeDYyMzNocEk5Z0RmejQ4YXlqOEM1c3d6end5N3Z6WFRUSldVbE9EQWdRUG8yN2N2dW5YcjFtRGZnUU1IQXNtVjVoWlE5OXU3dC81R2x1QTFUOWFzV1FPZzRSejZiY0hqOGVDMjIyN0Q5dTNiTVdUSWtBYUxyY2NpTnpjWFM1Y3V4UzIzM0lMUzBsSmNjODAxbURkdlhvTy9NeUtLamNQaFdCWHZHTnJMcFpkZWlveU1ETngxMTExWXZIZ3hrcE9UQS8zcHBaZGVHamJwSGM2SEgzNkkyYk5uTjlwKzJXV1hvVnUzYnJqampqdXdjT0ZDbEphVzRyYmJic1A4K2ZQeDl0dHZOOW5tcEVtVHdtNmZNV05HMU9kSElvby8zL2VRdGZHT0l4cHV0M3RUVS90am1XWlFLZlZURVlISDQra1F6NzJkYVFBbUFJRFg2KzNRRjhGUGRQbjUrZDhDK0RiZWNiU0czVzVQTWd6amZ0ODBXV2Y0Tmw4RFlKaFNhb1BINDVuYzJtUG91ajVXUlA0QklBM0E2dkx5OGhuUjFITTZuZk4wWFQ5YlJDNFNrWC9xdWo3SjZYUytIRndtTFMzdEV0K3ZmQzkxTUV4bUVCRlJBNVdWbGJqbm5udXdaczBhOU83ZEd6MTY5TUNUVHo0WldOOGcxcnZYUjQ4ZTNlRHh5SkVqTVhMa3lNRGpnd2NQeGh6ajJXZWZIWEhhalpTVWxNQ2kzTTN4ai9Zd21VeFJUOGt4YU5BZ1BQWFVVNEhIUlVXUnB3QU5IcFhRdlh0M3ZQamlpdzBTR1UzNTVKTlBBQUM2cm9mZDM1cHBwajc5OUZNQWpSTU4vaEVXKy9idGc2N3J1UERDQ3h2czl5ZVBxcXNiM25UdFg5UENmeWZ3Tjk5OGcyKysrUVpkdTNadHRIQjVySHh6SmdlOCtlYWIyTEJoQTdwMjdZckZpeGNqTlRYOFRZRCsvOXVtN2tJKzg4d3o4ZFJUVHdVV21nOWVtSjZJcURrLyt0R1BzR2pSSWp6OTlOTzQrT0tMQTZNeVRDWVQwdExTb21vak9UazU0cjdSbzBkajJiSmx1UDMyMi9HREgveWd3VDY3M1k3czdPeW9qckZ6NTA1czJjSWJuSW1vVFVsT1RrNUdheHBRU21taE4vWFliTGJUQU9RQTJCMjZBRzRMaEw5aktMcllMQ0lDRVlsbE1YdFRUazVPdEF1ZCt6di9wR2hleHlOSGpuaExTMHVyckZicmhTSnlpbEpxZTBGQmdUT0cySWphbkdFWWo0cklHS1hVVmhFNVQ5ZjFHNXhPNTkxV3EzVzd5V1I2c2JDd3NMS0o2bDhBZUZIVHRCMlJDdGhzdHVzQkxBV1FwSlQ2b3JLeThxZkZ4Y1hSVGRjQUdKcW0vY293akE5RnhBcmdKWnZOTnFhdXJtNW1ZV0ZoR1FBb3BXNzA5VUVybzJ5elJUUk55N0phcloxQ3RrVzhZR0dxLzlMTjYvVk40SXREUkVRTnpKMDdGMnZXck1FcHA1eUNSeDk5RkdscGFiajk5dHV4ZHUxYXJGMjdGajE3OWtTL2Z2MlFuWjJOcEtRa21NM213RS8vUDYvWGkrcnFhbFJWVlRYNE9YMzZkT1RsdFd3ZFB2KzBUZUcyVjFWVmRZZ0Z3aU1sTXI3OTl0c0dGNzYyYmR1R1BYdjJJRDA5dlZXTHk5YlYxUVhXSkFsTzhQaVRHY0dKa284KytnZ1BQUEFBOXU3ZGl6NTkrbURCZ2dXTnByZEtTVWxCMTY1ZDhjMDMzMkQyN05ubzBxVUxQQjVQWU8wVS81UlYvam5qLysvLy9xL0ZzUVAxeVpVZE8rby8zL3BmdTRrVEo2S3dzQkEvKzluUDBMTm56MERaUTRjT0lUTXpFeWFUQ1Y2dkY2KysraW9BTkp2d0dUeDRNSjU5OWxrY1Bud1lmZnIwYVZXOFJIVGlPZmZjYzNIT09lZEVIR1hYV3JxdTQ2MjMzbXAwL3JqeHhoc2pKcnREdmY3NjY0RXBBSW1JMm9LSTlMWllMT1Z0M2E1U3luK1g5N090YVVmWDlXNEEvSGZVUkx5Z09tREFBRXRXVmxhV3grTTVWRlJVVk91cmU2YUk5QVdBeXNyS3FPKzZzbHF0UDlFMDdaOHhoanJGWXJGTWFhNlF4V0xKNzlHanh3OE53MWpvMjdRRVFDeUpGcUkyWmJQWmJnYndPd0FmYTVvMjNqQ016d0VzMTNXOWQzbDUrY0xpNHVLbUVobHdPQnd2QUhnaDNMNUJnd2FsWkdabXZncmdVdCttTlpXVmxaZHUyYklscGo0blB6Ly9zSzdyNDVSUzcvc1NHbFBNWnZQNHZuMzdudGE5ZS9kZkFoaWhsTnFqYWRvcnNiVGJBdTV3MDBaSElpS3VjTE1iS0tVaXJSTnl3bUV5ZzRpSUdyajQ0b3RSVUZDQTVjdVhCNmJNV0xac0dmNzczLy9pcmJmZVFrRkJRWXZtQk8vY3VUTk9QLzMwbU9wczJyUUpicmNiZS9mdVJVVkZSV0NSNXJmZWVndHIxNjVGVmxZV1NrdExVVkZSZ2Y3OSs4Y2NVenhVVjFkajh1VEpnV1RRd1lNSHNXblRwc0RDNXdEdzhjY2ZBd0R5OHZMQ1RxVVZ5UXN2dklBbm5uZ0NhV2xwU0VwS3dwRWpSMUJSVVlFdVhib0VMdFFmUFhvMDhQL24vNUEwWjg2Y3dMUWx3NGNQeDBNUFBZVHUzYnVIUGNiTk45K01lZlBtTlpodUxEazVHVk9uVGtXL2Z2MVFXRmlJRHo3NEFDYVRDVC8vK2M5amVHWHExMDJaT25VcU1qSXlrSlNVaEgzNzlxRzZ1aHI5Ky9jUFhNalROQTMzM250dm83b3pac3pBeG8wYlliRlk0UEY0QW5QS2p4OC92dG5qOXV6WnMwRmloSWlvS2F0V3JVS3ZYcjJRbTFzL2Jiay9rWkdYbDRlbFM1ZkcxSi9vdW82bFM1ZWlWNjllZ1cxNzkrN0Y0Y09IQXlNaG94M1JSMFRVamlvQnhIcmhQdFI0QUlFNVNuTnpjMGVLeU04QmVKUlNqOFhTVUY1ZTNsbWFwcTBTa1NOS3FSb0F2UUdrQTlpU241OGY4YUpxVmxaV2Y3UFovS1haYkliTlpxdFRTaGtpa2dJQVNxbE5zVnc4RlpFOUFJN0pkSXRLcWEyK3U4aFBBN0Nsckt4cytiRTREbEUwY25OenV3UDRzMUtxek92MS9xcWdvS0F5TnpmM0oyYXorUjBBc3pNek0vK282L29tRWRrSm9CYjFhLzc0LzNtVVVpWVJTVkZLSmFOK2xGS0tpQ1FycFZKRVpKUEQ0WmltNi9vdUFGQktQVlZlWGo0dGhoRVpEVGlkem4wNU9UbWpVMUpTbmdFd1VTbjErNnlzTEMrQVAvdmFuOWxVSDlFV2ZQM1o0WkRObzBYa0IrSEtBM2pDTUl4OXdSczBUWnQyVElMcm9Kak1JQ0tpQmthUEhvM0Jnd2MzdXBnOWR1eFlqQjA3RmtEOUJmbWFtaG9ZaGdHdjF3dWxWT0FuVUg5aFIwU2dhVnJnWnl3TGo2YW1wc0ppc2VEbzBhTll0R2dSZ1BvNzZDKzVwSDVheS9UMDlNQ2FEQ0tDM056Y3dPS29pYzVpc2FDeXNqSXc5Vk5xYWlwR2pScUZ1KzY2SzFCbTZOQ2hPTys4OHpCaXhJaVkyczdOelcwd0VpRXpNeE85ZXZYQ3RkZGVHeGk1WWphYk1YZnVYRGlkenNEaTN0ZGVleTBLQ2dwdytlV1hSMXlMeE8raWl5N0MrUEhqY2VqUUlSaUdBVTNUa0oyZEhhalR1M2R2OU96WkV4ZGNjRUd6b3lMTVpqTzZkT21Dckt3c0FNREFnUU5SVzF1TDNidDNCOHFjZlBMSlllZVREelZreUJCczNMZ1IxZFhWTUpsTTZOZXZIeTY3N0xMQTN3d1JVVnZZdFdzWDdybm5IaWlsTUczYXRBWnJVSFRwMGlVd0hkUVRUenlCVFp1YW5FSWVVNlpNd2Vtbm45NWdDcW1hbWhwTW16WU4yN2R2eDNYWFhZZEpreVkxT0hmKzhwZS94Smd4WXpCdzRNQ29Zejc3N0xPeFlNRUNUcVZIUkcxR0tWWG1kRHF2YWswYk5wdnRmd2hLWmhpR1VhS1UycTZVZXNQbGNwVTBVNzNPZDVkeUdRRFUxZFVWV1N3V2kxSXFXMFJFMWR0cUdFYVRjL1lYRkJRVTIyeTJhZ0FXQUVtK1VTRzFJdUl3RENPcXVmbjluRTduZWdBWE5sdXdoWEp5Y2pKU1VsSithUmpHbEpLU2t1cm1heEFkR3dVRkJYdDFYZitQaUR4VFVGQlE2dHYyVFU1T3pvams1T1RmaWNqbEFFNEZZRU9ZNjg3K20wQkNSN1g2M245dkFZQ21hVE9VVXU4NG5jNm1Gd3FMZ20vOW9aL3J1cDduY3JuY0FLRHIrdTBBeHJwY3JtZGEyMzV6bEZJUGh2WnBWcXQxWHFSa2hzZmpXUm82elo2dTYxZWh2cDhpdEdJT1FTSTZ2bGl0MWpHYXByMnNsTElvcFNhNlhLNFA0eDNUOFdiQW9OeXprU1Qvek1yTTdMbGs0Wjl3M3VoejRoMVNoMllZQmp3ZUR6Uk5penBKY2l4NHZWNVVWbFlpTlRVMXBqajhDYUI0eG42c2ZQMzExK2pSb3dmUzA5TmIzSVovWk1YeCtQcTAxUDgrL3dJMzNUSVQrdzRjT0FTRmlTVmZzcCttNDFPaW55Ly8vZTkvNC83Nzc0Zkg0OEc0Y2VNd1o4NmNScU1uWnN5WUVSaGxGOG5ERHovY2FGMHBBSGozM1hjeGYvNThWRlZWWWZqdzRWaXdZRUVnT2Z6MDAwOEhwZytNMWFtbm5vb2JicmloUlhXUEZmWnJSQlJNMS9XY3lzcktIYkZPSnhQTWJyY241ZWZuS3dDZUdLcHBxTDgrSmpIV2EyOW1KSFo4ZElJNDQ0d3plbXpjdURHYWFZOWswS0JCeVNhVEtkbHNOaWVKU0JJQWFKcW1UQ2FUMGpSTkhUMTZOUEI3WVdGaE9kcnZiNXp2cHc2S1Z3aUlpS2hEOG8vMmlMZFlGZzhQSmlMSDdZWDZXTzRZanVSNGZXMklxT09iTUdFQ3VuWHJobHR1dVFYdnYvOCs2dXJxc0hEaHdyQmwvL3JYditLMDAwNXJzRzNKa2lWNDg4MDNJN1ovMFVVWFlkaXdZZmpESC82QXdzSkN6Snc1RTg4OTl4d0F3T2wwWXYzNjlTMksrOUNoUXkycVIwVFVYcHhPWjFGcjI4alB6NjlyUVRXanRjZHRKN3p3U2draHlrUUdBQ2pmRkZFdG1pYnFHT1A3cVlQaWxRSWlJaUlpSXFJWW5IWFdXWGp5eVNjeGMrWk1USjA2TldLNWpJd01kT3JVcWNHMmxKU1VadHMvNVpSVDhPeXp6MkwrL1BtWU1lUDdtVTRXTFZvRXI5Y2J0czcxMTErUG9xSWlyRnUzTHV6K1dCYWZKQ0lpSWlKS1JFeG1FQkVSRVJFUnhXallzR0g0eHovKzBlUTZRNjNScVZNbi9QblBmMjZ3cmFsRWlEOVprWmFXZGt6aUlTSWlJaUtLTjk2ZVEwUkVSRVJFMUFLUkVobUdVVDlqeWJFWURmSDg4ODlqd29RSitQenp6OXU4YlNJaUlpS2lSTVprQmhFUkVSRVJVWXk4WGk4ZWV1Z2hiTnUycmRHKzJ0cGFBR2pWMms1SGp4N0Y2NisvanBxYWh0Tk1sNWFXWXZmdTNSRkhhVlJXVm9iOXA1UnFjU3hFUkVSRVJJbUEwMHdSRVJFUkVSSEZxS2lvQ0srKytpcldyMStQZi83em53MzJIVDE2RkVEOW1oa3Q1WEs1OE1BREQ2Q3dzQkQzM1hkZllQdDMzMzBIQU9qVnExZlllcU5Ianc2N2ZlWEtsZWpYcjErTDR5RWlJaUlpaWpjbU00aUlpSWlJaUdLMFljTUdBTUE1NTV6VGFOL3UzYnNCQU4yNmRXdHgrMTk4OFFVQUlDOHZyOEgyTFZ1MklDc3JDOTI3ZHc5Yjc0SUxMZ2k3UFRVMXRjV3hFQkVSRVJFbEFpWXppSWlJaUlpSVlyUisvWG9Bd0E5KzhJTUcyL2Z0MjRleXNqTDA3ZHNYWm5OMFg3ZWNUaWZ5OHZJYXJMSGhjRGdBQUdlZGRWWmcyN1p0MjdCLy8zNE1HellzWWx1aGk0WVRFUkVSRVIwdnVHWUdFUkVSRVJGUkRDb3JLMUZRVUlEazVHVFliTFlHKzlhdFd3Y0EwSFU5NnZiKzhJYy80SW9ycm1qUS91Yk5tOUdyVnkvMDdkdTNVZHRmZnZrbDNubm5uZFk4QlNJaUlpS2lEb2ZKRENJaUlpSWlvaGg4OXRsbjhIZzhzTmxzc0Znc2dlMTFkWFY0NFlVWEFBRGp4NCtQcWkzRE1GQlJVUUhETUJxMDcvVjZNWExreU1DMjZ1cHF2UHp5eTlBMERUMTc5c1I5OTkySDk5NTdyNDJlRVJFUkVSRlI0dU0wVTBSRVJFUVVOemFiYmFKUzZqWUF1UURxUk9Samo4ZHpaMEZCd2NibTZ1cTZmaDZBYVFET0ZKR2VTcWs5SXJMTzYvWE9kYnZkV3lQVnk4bkp5YkJZTEE4Q3NEa2NqbEZ0OW1Ub2hMRjI3Vm9BamFlWWV2amhoN0Y5KzNaWXJWYU1HaFhkbjFaNWVUbUFodXRyZlBqaGh3QWFUakgxd2dzdjRPREJnL2pSajM2RTZkT25ZOUtrU1pnMWF4WldyMTZOMy96bU42MTZQa1JFUkVSRUhRR1RHVVJFUkVRVUZ6YWI3UThBRmdQWUIrQjFFZW1sbEpwZ01wbkc1T2Jtam9vaW9mRUlnR3dBK1FES1JjUU80Q3BOMDM1cXM5bk9jVGdjQmNHRjdYWjdtbUVZdnhPUk93SDBBdkJaMno4ck90NTV2ZDdBZEUvQkNZdGx5NWJobFZkZVFYcDZPbWJQbmgyeHZuOGRqWXFLQ2dEQXQ5OStDd0NCNmFTOFhpOCsvdmhqQU44bk16NzY2Q004L3Zqak1KbE11T0dHRzlDdlh6Lzg3Vzkvdzl5NWMvSEJCeC9nZ3c4K0NMUi95eTIzUUVUZzlYcmg5WHBSVzF1TG1wb2ExTlRVWU5HaVJlalZxMWRidlJSRVJFUkVSTzJLeVF3aUlpSWlhbmU1dWJtbkFIaElLVlhpOVhwSEZoUVU3QVVBcTlVNlE5TzBoMDBtMDJJQVAyNm1tWnVjVHVmSEFBTHo4K2k2dmx4RWJsUkt6UUR3dTZEdHYxSktQUzRpbWFoUGZ2Q0tMclZJZm40K0RoMDZoRzdkdW1IZ3dJRW9LeXZEM0xsenNYYnRXaVFuSitQQkJ4L0VnQUVESXRidjA2Y1BBT0JQZi9vVFhubmxGWlNXbGdMNFBuSGhkcnR4Nk5BaERCNDhHSjA3ZHdZQXJGaXhBb1poNFBlLy96MEdEaHdJQURqNTVKUHh4Qk5QWU4yNmRmalBmLzZEenovL0hBY09IQWlNNmdnMWVQQmdKaktJaUlpSXFFTmpNb09JaUlpSTJwMm1hVGNBU0ZKSzNlZFBaQUNBeStWYW91djZIMFJrYkY1ZVhoKzMyNzB6VWh0T3AvT2pNSnRmQVhDamlIUUoyWDZxVW1xSFV1b2h3ekRlTlp2TmU5cm1tZENKWnV2V3JSQ1J3S2lNMHRKU2ZQSEZGOGpLeXNKRER6MkVFU05HTkZsL3dvUUorTTkvL2dPMzI0Mk5HemZDWXJIZ2trc3V3ZGl4WXdFQVE0WU13Wnc1Y3hyVW1UbHpKdDU0NHcxY2UrMjFEYmFMQ0g3NHd4L2loei84SVlENlVSMWxaV1dvcmEyRmlFRFROR2lhQmhGQmFtcHFXNzBFUkVSRVJFUnh3V1FHRVJFUkViVTdUZE11QklEcTZ1cTNRbllwQUtzQVhHOHltYzRGOEdvczdTcWxob2dJQUd3STN1NzFlaGNYRkJUTUF3QzczWDZTVXFxbG9kTUo3cXFycnNLRkYxNklxcW9xQU1EdzRjUHgrT09QbzFPblRsR05mTWpNek1UVFR6OGRjWDlHUmdZdXVlU1NCdHVHRFJ1R3UrNjZxOW0yVFNZVFRqcnBwR2JMRVJFUkVSRjFSRXhtRUJFUkVWRjdNeW1saGdIWTllV1hYeDRJM1NraVh3S0FVbXB3TkkzbDVPUWthNXJXSXlrcGFZS0lQS2lVK3FLeXNuSnBjSm1DZ29LamJSSTVFZEFvWVhEYWFhZkZLUklpSWlJaW9oTUhreGxFUk8zTThCcll2cU1VUlp1M3hEc1VJdXBBU3JaL0M0L1hFKzh3MmtSdWJtNVhFVWtHRUhhcUo4TXc5bXFhQmdDZG0ydEwxL1hkSXRJREFKUlN0VXFwdVdWbFpRdExTa3FxMnpSb0lpSWlJaUlpaWlzbU00aW8zUTBiTnF4cmFtcnFYQUNYQURnSndIWUFLNXhPNTBJQTNxYnFXcTNXVGdCdTFEVHQ1MHFwVTBSRUExQnNHTWJqTHBkclJSVDFyOVEwN1VVQVh6a2Nqa0Z0OG9SaVZGVmRoY2VlL0J2UzBqaDNOUkZGcjZxcUd1WGw1ZkVPbzAxb21wWUdBRXFwc0FrSFRkT3FBVUJFVXFKb2JnWHF6eVc5UldRa2dMbWRPM2ZXTXpNekp4Y1dGcGExVmN4RVJCMVJUazVPaHNWaWVSQ0F6ZUZ3aklxMlhsNWUzcmttazJtbVVtb1VnQXdSMlFIZ2phTkhqODdkc21WTHhKT1IxV29kbzJuYXN3Q3VkemdjNzdYK0dSQVJFUkY5ajhrTUltcFh3NFlONjVxV2x2WVo2aGRpL1ZCRTNsZEtqUmVSUCttNmZwclQ2WnpVVEJOak5FMjdUeW4xQ1lCL0txVzZpc2c0VGRPZTBIVjl0TlBwL0Uya2lqazVPY2tpTXE5Tm4xQU02c3h5TUVsSnRXRW83TjdEZFdlSnFHVkVvYzRqeHY1NHg5RWFobUY0ZkNNdnduNFdWVW9sKzlhOXFHeXVMYWZUR1ZoSVlNQ0FBWll1WGJyOFNVUm1tTTFtQVBoWjIwUk04ZUQxR2lqKytodGtaV2JHT3hRNlJyWVZmd1dQNS9nWWNaWm83SFo3bW1FWXZ4T1JPd0gwQXZCWnRIV3RWdXN2Uk9RVnBkUWhBS3RGeEt1VU9sZEVia3RQVHgrZm01djdnOUNwKy9MeThuUk4wMmFKQ1B0ZElpSWlPbWFZekNDaWRwV2Ftdm9RZ0ZNQjNPNTBPdjhNQUtlZmZucVhsSlNVejBYa0dxdlYrcVRMNWZva1VuM0RNTndpTXRqcGRHNzNiN1BiN2FjYWh1RVNrYXZ0ZHZ2ZCtmbjUzNGFybTVLU01nM0FBS1dVNGJ0STFxNTJmdWt1N2pmMGpGK1lESFBmZGo4NEVSMC9sUEhkam0wRm0rTWRSbXQ0UEo1RFpyTVpJdElsM0g0Uk9Ra0FsRkl4Wlg1TFNrcXFTMHBLL21pejJTYUt5R1c2cm5kek9wMzcyaUptYW45VlZmVWpHUzJXYUFib1VFZFVVMU9MSThmSmlMTkVvdXY2cjVSU2o0dElKb0I4MUNjem9pWWl1UUQrWEZaV2RxOS95cjYrZmZ1bWR1L2VmU1dBY1NhVDZYb0FmL0dYdDlsc1h3Q3dBNmhTU2hXSlNFNmJQUmtpSWlLaUlFeG1FRkc3c2R2dDJVcXBxNVZTMy9pbWxBSUFiTnEwNmFETlpwc1BZSVdtYWRjQWlKak1LQ2dvK0NaMFczNSsvbGMybTIwRGdQTU53K2dNb0ZFeTQ0d3p6dWdINEQ0QWZ3TndSUnM4blpZd2RtelorQVdBTCtKMGZDS2loRkJVVkZTaDYvb3VFZWx2dDl2VDh2UHpRMGRnREFNQUVkblVndVlOQUpzQm5BeWdQd0FtTXpvWWovTHVOeXZ6SVVNWm5mWWZhTFErUEIySFJPU0kxMU8zTjk1eEhFZE9WVXJ0VUVvOVpCakd1MmF6T2RZaHdVdENFOEdscGFWVjNidDNud2RnSElCekVKVE1VRW9ORlpGbkRNTzRUOU8wV3dFd21VRkVSRVRIQkpNWlJOUnVsRklYQUVnQzhEWUFGYnl2dXJyNlhZdkZBZ0NqVzlDMFdTazFVRVFPYTVxMkxWeUJwS1NrWlFEcUFNeEUvSklaUkVUMHZROEJYT24xZXNjQldCbTBYUUJjQ0tCeTc5NjlhMXZRcmlpbGhnQlFkWFYxTzlvZ1RtcG5wVjl0K3ZxVUlhZi9Vb2twcHJ2SnFlTXlQTmp6YmZHbUwrTWR4L0hDNi9VdUxpZ29tQWNBZHJ2OUpLVlVjMVVhYUdKRTIySGZ6NXFRNC9YMFR6dGxzOWxpakphSWlJZ29la3htRUZHN1VVcWRMaUpRU2hXRzdpc3FLdHB0czlrT28zNEtLZzMxZDlZMnlXcTFkaEtSMHdEY0tTSjlsRkxYT2h5T1J2T3JXNjNXSzBYa0o0WmhUSFc1WFB0MFhXK0xwME5FUksyZ2xIcFNSSzdVTkczdW9FR0RWaGNYRng4QkFGM1hwNlArWFBCSWFXbHBsYSs0V0szV2EwVGtHNmZUdWRaWDdrZUdZZFM0M2U2UGc1bzFXYTNXKzBUa0ZBRHZiOXk0a1FzVWRVekdOMXMzdVFHNDR4MElVVWNVdXA1Rkd4b05OQjQxZHd5UFIwUkVSTlFBa3hsRTFKNTZBNENJaEwyNHBKVGFLeUtEaHc0ZG1yNWx5NWFJRXlqcnVuNkRpRHdhdENuZjYvV2U1WGE3bldISzloZVI1UUErYzdsY2o3WDJDUkFSVWR0d3VWd2Y2cnErUWtTdXpjek0zS1RyK3ZzQStnRVlxNVRhcEduYUhIOVpYZGN2RkpHL0thVnE3SFo3bC96OC9FcWwxQ2ttaytsSlhkZmRJdUlBa0t5VU9rdEVCaXVsU2pSTnV5NXVUNDZJNkRoanQ5dDdHWVp4RjRCYXd6Q2VpWGM4UkVSRWRHTFM0aDBBRVoxUTBnREFNSXpxY0R0RnBCb0FNakl5bWx6cDB6Q01qUUNXS2FWZVVVcDlEc0J1TXBuZXQ5bHNsNFVVTlluSUN3Q1N2Rjd2YnhERmFBOGlJbW8vVHFmek9xWFVyUUFxQVZ3RjREUUFTelZOT3ljL1A5OC9uUW1VVXB1VlVydEU1TlA4L1B3cUFEQU00ejBBajRoSWlsTHFGd0IrQnFBV3dBS2xsSjZmbjk5by9TUWlJb3FkeldZN3pUQ01qMFNrdDRoTWQ3dmRPK01kRXhFUkVaMllPREtEaU5xVEJ3QkVKRkxmayt6NzJXaXFxR0MrS1VVQzA0cm91cDRINEgwUmVTMHZMMitFZjRTRzFXcjlNNEJ6bFZLVDNXNzMxbFpIVDBSRWJjMXdPcDJMQUN4cXFwREw1U29CMENkNFcwRkJRU21BUDdUa29QbjUrZnRSdnpZSEVSRTF3V3ExWHFPVVdpWWlKc013SnJsY3JtZmpIUk1SblZoeWNuSXlMQmJMZ3dCc0RvZGpWTFQxOHZMeXpqV1pURE9WVXFNQVpJaklEZ0J2SEQxNmRHNVRNMEZZcmRZeG1xWTlDK0I2aDhQeFh1dWZBUkcxSlk3TUlLSjJJeUpsQUtCcFdwY0lSVTVTU2xYazUrYzNtY3dJNVhRNjNVcXBXUUJNSnBOcE1nRG91bjYxcG1rM0s2V2VjenFkVDdjdWNpSWlJaUtpRTRwWjEvVW5OVTE3UmtTK3JxdXJPNHVKRENKcVQzYTdQVTNYOWVrV2kyVXJnTjhqaGh0UnJGYnJMelJOVyt0TFpLd1drWDhxcFN3QWJrdFBULzg0TnpjM1BiUk9YbDZlcnV2NjY1cW1yUUZ3Y3BzOUVTSnFVeHlaUVVUdHhqQ01yWnFtQWZYVGlEUmd0OXRQVWtwMUZaSFBXdEsycG1rYmZiLzJCd0FSdWN2Mzh6YzJtKzAzWWFxY2FyUFpsQyt1emk2WDYxQkxqa3RFUkVSRWRKelJiRGJiYXdBbUFsaCs1TWlSUHhZWEY5ZkVPeWdpT25Ib3V2NHJwZFRqSXBJSklCOUFyMWpxaTBndWdEK1hsWlhkVzFKU1VnMEFmZnYyVGUzZXZmdEtBT05NSnRQMUFQN2lMMit6MmI0QVlBZFFwWlFxRXBHY05uc3lSTlNtbU13Z292YjBJUUFvcFNZQW1CVzh3ekNNaTBRRUFONXRTY09HWVF6Vk5BMUtxVzk5eDNoUlJIcEdLRDRGOVZOWnZRQUErL2Z2NTVjeklpSWlJaUlBTnB2dEpnQVRsVkx6bkU3bjdIakhRMFFucEZPVlVqdVVVZzhaaHZHdTJXemVFMlA5SlU2bmMxL3dodExTMHFydTNidlBBekFPd0RrSVNtWW9wWWFLeURPR1lkeW5hZHF0QUpqTUlFcFFUR1lRVWJ0eHVWemJkRjFmS3lMbjZicCtyZFBwWEFFQXA1OStlaGNBOTZEK0xvZ24vZVZ6YzNPSG1zM21IMWRYVno5VFZGUlVBUUM2cnQ5U1dWbjVSUEFjbHphYmJaQlNhaDRBS0tWZUFBQ24wemt2VWh5NnJrOFNrZjBPaDJQYXNYbW1SRVJFUkVTSkw5em5iUURUbFZJMU5UVTFjK01hSEJHZHNMeGU3K0tDZ29KNVFHQVdoNWpxaHlZeWdoejIvV3h3UTZQWDYrMVpVRkJ3RkFCc05sdU0wUkpSZTJJeWc0amFsV0VZVTAwbTA2Y0FudEoxL1JjaThoMkFDd0gwTWd6ak9wZkx0Y3RmMW1ReVBRZmdySlNVbEI0QS9IZUYzWnllbm42UHJ1c2Zpc2dlQUNjcnBjNFhrV1FBOTdwY3JrL2IremtSRVJFUkVYVkVvWiszaHc0ZG1nbGdJSUNqS1NrcHIrbTZIcmFlWVJoVDNXNzN6bllNbFloT0lQN0V3akV3R2dCRVpGTTdIWStJMmhpVEdVVFVydHh1OXlaZDEwY0JlRUJFemxOS21VWEVhUmpHWkpmTDlVNXdXYVhVaHlJeVRDbTEzcjlOUkc1Qi9UUlJad0xvQnVDd2lCYVlNS2dBQUNBQVNVUkJWTHh2R01ZU2w4djFuM1o5TWtSRVJFUkVIVmpvNTIyTHhaSUZBQ0tTRHVEU1NQWE1adlBNZGdxUmlLaE4yTzMyWG9aaDNBV2cxakNNWitJZER4RzFqTVE3QUNKS0RGYXJkWXltYVM4cnBTeEtxWWt1bCt2RGVNZEVSRVJFUkVSRVJDY3UzelJUK3dCODVuQTR6bTVKR3phYjdUU2wxTDlFWkJDQTZ4ME94eE5ObFAwcmdLa0FMbkk0SE8rMUxHb2lPbGEwZUFkQVJFUkVSRVJFUkVSRTFOYXNWdXMxU3FrTkl0TFhNSXhKVFNVeWlDanhjWm9wSWlJaUlpSWlJaUlpT3A2WWRWMS9WRVFtQXlpc3E2djdkV0ZoWVdHOGd5S2kxbUV5ZzRpSWlJaUlpSWlJaUk0WG1zMW1ldzNBUkFETGp4dzU4c2ZpNHVLYWVBZEZSSzNIWkFZUkVSRVJFUkVSRVJFZEYydzIyMDBBSmlxbDVqbWR6dG54am9lSTJnNlRHVVJFUkVSRVJFUkVSTlRoNU9ibURqV2J6VCt1cnE1K3BxaW9xTUszZWJwU3FxYW1wbVp1WElNam9qYkhaQVlSRVJFUkVSRVJFUkYxT0NhVDZUa0FaNldrcFBRQU1Idm8wS0daQUFZQ09KcVNrdkthcnV0aDZ4bUdNZFh0ZHU5c3gxQ0pxQTB3bVVGRVJFUkVSRVJFUkVRZGpsTHFReEVacHBSYUR3QVdpeVVMQUVRa0hjQ2xrZXFaemVhWjdSUWlFYlVoaVhjQVJKUVlyRmJyR0UzVFhsWktXWlJTRTEwdTE0Znhqb21JaUlpSWlJaUlpSWdJQUxSNEIwQkVSRVJFUkVSRVJFUkVSTlFVSmpPSWlJaUlpSWlJaUlpSWlDaWhNWmxCUkVSRVJFUkVSRVJFUkVRSmpja01JaUlpSWlJaUlpSWlJaUpLYUV4bUVCRVJFUkVSRVJFUkVSRlJRbU15ZzRpSWlJaUlpSWlJaUlpSUVocVRHVVJFUkVSRVJFUkVSRVJFbE5DWXpDQWlJaUlpSWlJaUlpSWlvb1RHWkFZUkVSRVJFUkVSRVJFUkVTVTBKak9JaUlpSWlJaUlpSWlJaUNpaE1abEJSRVJFUkVSRVJFUkVSRVFKamNrTUlpSWlJaUlpSWlJaUlpSkthRXhtRUJFUkVSRVJFUkVSRVJGUlFtTXlnNGlJaUlpSWlJaUlpSWlJRWhxVEdVUkVSRVJFUkVSRVJFUkVsTkNZekNBaUlpSWlJaUlpSWlJaW9vVEdaQVlSRVJFUkVSRVJFUkVSRVNVMEpqT0lpSWlJaUlpSWlJaUlpQ2loTVpsQlJFUkVSRVJFUkVSRVJFUUpqY2tNSWlJaUlpSWlJaUlpSWlKS2FFeG1FQkVSRVJFUkVSRVJFUkZSUW1NeWc0aUlpSWlJaUlpSWlJaUlFaHFUR1VSRVJFUkVSRVJFUkVSRWxOQ1l6Q0FpSWlJaUlpSWlJaUlpb29UR1pBWVJFUkVSRVJFUkVSRVJFU1UwSmpPSWlJaUlpSWlJaUlpSWlDaWhNWmxCUkVSRVJFUkVSRVJFUkVRSmpja01JaUlpSWlJaUlpSWlJaUpLYUV4bUVCRVJFUkVSRVJFUkVSRlJRbU15ZzRpSWlJaUlpSWlJaUlpSUVocVRHVVJFUkVSRVJFUkVSRVJFbE5DWXpDQWlJaUlpSWlJaUlpSWlvb1RHWkFZUkVSRVJFUkVSRVJFUkVTVTBKak9JaUlpSWlJaUlpSWlJaUNpaE1abEJSRVJFUkVSRVJFUkVSRVFKamNrTUlpSWlJaUlpSWlJaUlpSkthRXhtRUJFUkVSRVJFUkVSRVJGUlFtTXlnNGlJaUlpSWlJaUlpSWlJRWhxVEdVUkVSRVJFUkVSRVJFUkVsTkNZekNBaUlpSWlJaUlpSWlJaW9vVEdaQVlSRVJFUkVSRVJFUkVSRVNVMEpqT0lpSWlJaUlpSWlJaUlpQ2loTVpsQlJFUkVSRVJFUkVSRVJFUUpqY2tNSWlJaUlpSWlJaUlpSWlKS2FFeG1FQkVSRVJFUkVSRVJFUkZSUW1NeWc0aUlpSWlJaUlpSWlJaUlFaHFUR1VSRVJFUkVSRVJFUkVSRWxORE04UTZBaU9oRTBuUFFvRzRXeWVnVDd6aUlxT09xOUhpKzIvdk54ajN4am9PSWlJaUlpSWlvUFRHWlFVVFVUZ1lNeU9rcDV1U2xDdXFNZU1kQ1JCMVh1c2xVM0hkSTNnMmxXOTA3NHgwTEVSRVJFUkVSVVh0aE1vT0lxTDJZelFPVXFITUYwalBlb1JCUng2V0FubVlOZ3dFd21VRkVSRVJFUkVRbkRDWXppSWphV1dxcUJiKzc1bXFja1hOYXZFTWhvZzVreTdaaVBQM004emhjWGg3dlVJaUlpSWlJaUlqYUhaTVpSRVR0ekd3Mnc2N240YnpSNThRN0ZDTHFRTEt5TXZIOFM2L0dPd3dpSWlJaUlpS2l1TkRpSFFBUkVSRVJFUkVSRVJFUkVWRlRtTXdnSWlJaUlpSWlJaUlpSXFLRXhtUUdFUkVSRVJFUkVSRVJFUkVsTkNZemlJaUlpSWlJaUlpSWlJZ29vVEdaUVVSRVJFUkVSRVJFUkVSRUNZM0pEQ0lpSWlJaUlpSWlJaUlpU21oTVpoQVJFUkVSRVJFUkVSRVJVVUpqTW9PSWlJaUlpSWlJaUlpSWlCSWFreGxFUkVSRVJFUkVSRVJFUkpUUW1Nd2dJaUlpSWlJaUlpSWlJcUtFeG1RR0VSRVJFUkVSRVJFUkVSRWxOQ1l6aUlpSWlJaUlpSWlJaUlnb29UR1pRVVJFUkVSRVJFUkVSRVJFQ1kzSkRDSWlJaUlpSWlJaUlpSWlTbWhNWmhBUkVSRVJFUkVSRVJFUlVVSmpNb09JaUlpSWlJaUlpSWlJaUJJYWt4bEVSRVJFUkVUSEQ0bDNBRVJFUkVSRXh3S1RHVVJFZEZ4NzVaVlhNSDM2ZEd6ZXZQbVlIdWZLSzYvRWpCa3pzSFhyMWdiYnk4cktjTnR0dDJIKy9Qbkg5UGh0emVQeDRQNzc3OGVTSlV2aUhRb1IwWEZCMS9WZjZycit1cTdyM1NMc1g2RHIrdEpvMnp2OTlOTzdoTnR1czlsY3VxNS9ZN2ZiVHcxcC95S3IxZnJUMktJbUlpSWlJa29jNW5nSFFFUkVkS3dZaG9HWFhub0ozMzMzSFc2OTlkYkE5dWVlZTY1UjBxRXBWMXh4QllZUEh4NXhmMkZoSWJaczJZS3Z2LzRhOTk1N2I0TjlWVlZWV0wxNk5icDFDM3Z0cWtuejVzM0R3WU1IWTY0WHp0eTVjNUdlbmg1MWVhL1hpemZmZkJNOWUvYkVUVGZkMUNZeEVCR2RJTUoreHhLUjRRQitKaUozQUNnTHMvOENBQ2RGcWcvQThQMkR6V2JMVlVxNWRGMS8yK2wwWGhKVXhxU1VHZ1lBVlZWVk8vd2I3WFo3a21FWXl6Vk5HNkRyK3JQbDVlVTNGUmNYSDJuUnN5TWlJaUlpaWhNbU00aUk2TGkxZHUxYTdOeTVFNWRjY2duNjkrOGYyTzUydS9HLy8vMnYyZm9landjZWp3Y1RKa3hvc3R3Nzc3d0RBQmcvZmp3NmQrNGNjNXdlandkbWMrTlQ4dnIxNjdGNzkrNlkyd3VucnE2dVRkb2hJcUxJN0hiN1NVcXBmVTJWVVVvVjIyeTJpUHR0Tmx2WUR0c3dqUGt1bCt0dVh4dlhpWWdBeUE4dWs1ZVhkNnFJSkFOd0ZoVVYxZnEzNStmbjE5bnQ5ckdHWWZ4RFJLN0p5c282UHk4dmI1TGI3VjRUdzlNaklpSWlJb29ySmpPSWlPaTQ5ZlRUVHlNcEtRbFRwa3hwc0gzUm9rVlIxWC80NFlmeC9QUFBJenM3TzJLWmlvcUtRRExqeWl1dmpEbkc5ZXZYWThHQ0Jiai8vdnVoNjNyWU11dldyUXU3ZmN1V0xaZzhlVExHakJtRHVYUG5oaTB6ZWZKa2JObXlKZWE0aUlnb2RuVjFkVlZtczNsWnVIMUtxWkVpY3FaUzZqa1JLUSt6LytjaVlnSHdRcmo2bXFiOUR3QUdEQmhnQVhBVkFJK0lQQkZTeHVacnl4bGFQejgvLzZ1K2ZmdU82dGF0MjZNaWNvM0paRnFwNi9vZ3A5UFpaUEtGaUlpSWlDaFJNSmxCUk5TRTNOemNkSlBKWkhjNm5aOEM4TVE3SG9yZUo1OThnczJiTitQS0s2OUVyMTY5Y09qUUllemZ2eCtEQmcyS3VvM0RodzhEUUpQSmpMLy8vZStvcUtqQTZOR2pNWFRvMEpoaUxDa3B3Y3laTTFGUlVZRlhYMzAxWWpJakxTMHQ3UGFVbEJRQWdLWnBFY3RvV3V1V3g5cS9mei9LeXNyQ2pqalp1blVyRmk1Y2lIbno1cUY3OSs2dE9nNFJKYWJjM054MFRkUHlYQzdYNStCNXNGa0ZCUVZIQVV3THQ4OXF0Yzd6SlRQbU9KM09rdEQ5TnB2dFRBQW5PUnlPc1BYOU9uZnUvQXNSNlFUZzcvbjUrZCtGN0I0QkFDTGlDRmUzdExTMHFyUzBkSkxOWmxzUFlDY1RHVVJFUkVUVWtUQ1pRVVRVQkpQSmRKS0lyTlYxL1N2RE1KNHlET1BmSnBOcGg4dmxLZ2ZnalhkOEZKNWhHRmk2ZENreU16TXhlZkprQU1CVFR6MkZsMTkrR1hmZGRSYzZkZXFFZSs2NXA5bDIvRk16UlVwbTFOVFU0T1dYWHdhQXdIR2lkZWpRSWN5WU1RTVZGUlVZUEhndzVzeVpFMVA5MXFpc3JHeHlmM0JpeE9QeDRNMDMzOFNrU1pNYWxQbjIyMi94KzkvL0htVmxaVmk2ZEduRWtTRkUxTEg1em9PZitNK0RtcWI5U3ltMWkrZkI2Tmp0OXJTcXFpb05BRVRrNzRaaGZHRXltU3B5Y25JeVFzdDZ2ZDQ3QVNUNTl4VVZGVlVoekdzc0loTUFRQ2sxV05mMWxTSDdSdnArdlVyWDlSOUhpa3NwQlFEUWRUMXc4aklNNDNhMzJ4MzlnbEpFUkVSRVJPMk15UXdpb2lpSXlLa21rK2tCVGRQdUJ2Q0Z6V2Jib0pRcVZFcDk1SEs1R3QxZFNmRzFjdVZLYk51MkRiZmNjZ3V5czdPeGUvZHV2UDc2NitqVXFSUEdqUnVISFR0MjRPS0xMMjYybmJWcjE2S3NyQ3ppd3RrdnZ2Z2lEaHc0QUl2RmdqUE9PQ1BxK0NvckszSHJyYmVpdExRVTNicDF3K0xGaTVHYW1ocDEvZGFvcWFuQjZOR2pteXl6YnQwNm1FeW13T04vL09NZnVQcnFxd1BiZHUvZWpSdHZ2QkZsWldVWU9YSWtaczJhZFV4akpxTDQ4NThIbFZLelJDVGZack50TUF6REJlQVRuZ2NqTXd4anE4Vmk2ZU4vTENKUVNzRmlzVVNzNCs5cmJUYmJSUTZINDczUS9Vb3BzNGhBUkt3QXJCR2FPYnQrU1kzb21VeW1QOFZVZ1lpSWlJaW9uVEdaUVVRVUphVVVSQ1Fkd0hsS3FSK0tTQVdBUGJxdUZ4aUc4ZUxSbzBmL1hWeGNYQlB2T0U5MGUvZnV4U09QUElKQmd3Ymg4c3N2QndBc1g3NGNkWFYxdVBIR0c1R1ptWW1jbkJ6azVPUTAyMVpoWVNHOFhpL0NYUkRhdjM4L1ZxeFlFWE44aHc0ZHd2VHAwMUZVVklST25UcmhzY2NlUTY5ZXZacXNjL2ZkZDRmZDdwOEdxNmlvS0dLWm5UdDNObmhzTXBrd1lzU0lzR1hkYmpkcWEyc2JKRElBWU5ldVhYanZ2ZmN3WWNJRWZQMzExNWc2ZFNyMjd0MkxVYU5HWWRHaVJZSHByb2pvK09ZN0QyYkFkeDdVTksxY0tiVlgxL1VDRVhubXlKRWo3L004Mk1oZkFHUkZXYlkzZ01zQlpBT285SHE5QjhNVktpc3J1eW90TFcxUzZQYVVsSlNKSXZLY1V1cXRtcHFhbUJkeEtpb3FhbnJZSGhFUkVSRlJuREdaUVVRVUEvKzBEQUJFS1pVSklGTkVCcGxNcHNzeU16UDM2THIrbWxMcStlcnE2cStycTZ1UGxwU1VWTWN4M0JQUzIyKy9qWXFLQ3V6YXRRdmp4NCtIeCtOQlJVVUZoZ3daZ3NzdXV3eFZWVlhCLzQ5Tk9uVG9FREl6TXdQVE1wbE1wc0NGK3lWTGxxQ3FxaXFtMkhidjNvMnBVNmVpcEtRRW5UdDN4dkxseXpGZ3dJQm02NzM3N3J2TnR0dGNHVCt6Mll6SEhudXMwZmFEQnc5aTNMaHhHRDU4T0ZKU1VsQlRVMzg5TWowOUhiVzF0WGpxcWFmUXUzZHYvUEdQZjhTUkkwY3didHc0M0hmZmZVaE9UbzdxdUVSMGZBZzVEMllCeUJLUlFRQUM1MEd2MS90TWJXM3RkcDRIQWFmVCtaZW05dHZ0OWlTdjF6dEIwN1RmQWJnSVFCR0FKMFRrZWJmYmZYalFvRUZaR1JrWnMycHIvNys5ZTQrT3FyNzNQdjc1N3BtUWhCQVFvUkVFS3dvWWhETEp6S2lQYmFWV2pxZmFlcXU5bjlXS2JiMGZqMXExVlZzUExmVldqMW9wS0hxc3RvKzI5bWF0clQ3V1ZoKzF0Qjd0b3phekp5UkdFRVN3RkVFc2dvQWttV1Ivbno4eUV5Y2hOeEFJNnZ1MUZtdjIvdDEvQTJ0djF2N08vdjFhcjJ4cWF0b3NTYjE5cDhsazhpUkpNclBmRnNvQ0FBQUE3eVlFTXdCMGN2Y2g3aDUzOSttMXRiV3RadVptNXUzdDdaR1plUkFFVVZ0Ym13ZEJFSm1adDdXMVJXYm1zVmhzbS9QVzFsWVBnaUFLZ3NCYlcxdWpJQWc4Rm90RlFSQjRTMHRMRkFTQkIwSGdKU1VsVVhOemN4UUVnUThaTWlUYXVIR2p4Mkl4THkwdGpkYXZYeC9GNDNHUHgrTytiTm15U0IzclJrZUQ5ZjBVL3pxLytHRjQ0ZGpNOXBGMG5xUXpodzRkMmxSZVh0NHdZc1NJSjRNZ2VEb013L3JkTzlyM3JrTU9PVVFISEhDQVJvMGFwY3JLU2ozNTVKT1NwRXN2dlZSQkVPZ2pIL21Jb21qNy9oa1ZsbVdhT1hPbXJyLytlajN4eEJQNi9lOS9yMkhEaG1uejVvRTlMM3J6elRmMTFhOStWV3ZYcnRXNGNlTzBZTUVDN2JmZmZ2M1dDNEpBZi83em4zdk1XN0praVU0Ly9YUjk5S01mN1hYUGl0TlBQMTFMbGl6cHQ1L0hIMzljN3E2Wk0yZDJTYStzck5RUlJ4eWhlKys5VjJlY2NZYmNYYk5temRMNTU1L2Y0eHNyMlBVOGNnMkpSUWNrazBtWDVHYm1rdFRlM2w0NDdrekxYNXM3and0L2l2TzZweFdPYzdsY2w3d2dDRHFQMjlyYW91N2w4OWY3TG0wRlFkQjUzTkxTNG9WcmYvZjg1dVptTHo3UDN6TThDQUxmc21XTFMxTGh2SEFjaThWODQ4YU5YYzdqOGJpWGxKUzRKSzFkdTliajhiaExVandlOXlGRGhuaDVlYmxMVWwxZG5hdmpmakpvOTVSM29vSGVCK1B4K0JueGVQejU4dkx5aHBFalIvNUYwdC9lUy9mQlZDcjFGM2RQOVpadlpsL0laRElQcHRQcDkwZFI5R3dRQkZXU05ycjcrbHd1OTYrTmpZMXJKYW1tcG1aYUVBVDNtZGxCcGFXbHpaSjYzVnhwNnRTcHc4enNFKzRlU1hwd3AwOEtBQUFBMkFNUXpBQWdTY3Btc3d0VHFWU0xtYlc0KzJYNVpIZDNGUjRlU2ZKNFBDNUozdTFZN3U2eFdFeUZoMWhEaGd6eFF2M1MwdExPK3BKVVZsYm14Zlh5dit6MktJcFVXVm5aK1pDcnFxcXFzMTR5bWV6c3QzamMrZjVhM0QweXMzWjNqL0xIa2J1M0YzOFc4Z3Vma29yTFJHYlczcTJOZG5jZjF0TUQyNTRlNkJROXpDbVZsSlJVRzR2RlBpTnBYVzF0N1F0dGJmcmI1dmFJcDcrN1dDS1IwTDMzM2l0SmV1eXh4L1NuUC8xSko1eHdnbXByTzVZVi85S1h2dFJqTUtPMXRWWDMzSE9QeG80ZHEzLzVsMy9wc2UzSmt5ZHJ3NFlOdXVLS0t5UkpGMTEwVWVkeGY3WnMyYUl0Vzdhb3BxWkcxMTEzblVhUEh0MXZuU2lLVkZKUzBtVkQ3bUtGdDBTQ0lPaTFUQkFFQXhyZm80OCtLa25iQkRNazZTdGYrWXArOTd2ZnFhMnRUUmRjY0lGbXpabzFvRGF4YTVpazhwTDRGODJzeTFwcFJkZHE2YTFyYkdIWnNMZCtUcCsvVGtzZGIrcW8yM1cxY041VG51Y3ZkTVhYKytMc29qZDFPdnN2bkhkYmpxekxlTHJ0R2ZOV0pYY2ZPblJvbDNZS0IxRVVlV1ZsWldlbHduZ0taWXZ1SWQySHIwSWdTQU5rWmkzNStvVmdVVlE0THZ4eGR6ZXpLSDhjRlFKTFJmVzZwSm1aUjFIVVdhZm92QkJvNmQ1bWNkMmU2bmd2ZlVjOWpibmJXTGJKSzlSVHg1SkhQWDBueFY5c2wwOHpLMVArUGlqcDAyYjJXbTF0N1F1U2Z0N2EybnJ2dS8ydGdTaUtmbU5tejNSTEhpbnBLMllXdGJlM3Z5cEp1Vnh1ZUR3ZXIzTDM3N2UxdGQxVlVsTHl6SkFoUSs0ZlAzNzhVVlZWVmJNa3pWWEgzK0g1WVJqZTNGZWZRNFlNT1VsU3VUcit6bDdLLzc5cElMNGZobUd2UVJJQUFBQmdUMEl3QTBBbmR5K1hKT3Y2OUg2YlkzZmZKaTFmeGJyWEtXNnJVSys0dm5VWVNGL1diVnhkRkxMeUcySnVrOVpUdWI3SzlKUStVUGsxeFF0ekw1VTB6TXhHbUVWc0xMQWJiZG15UmQvLy92YzFZc1FJZmUxclgrdE12K0NDQy9Ud3d3L3IwRU1QMWQ1Nzc5Mlp2bW5USnQxenp6MGFNMmFNTHJ6d3dpNXR2Znp5eXhvM2JweGlzWmptejUrdjlldlg2NGdqanRCeHh4M1haekJqOWVyVnV2YmF0L1pUL2Z6blA2K0xMcnFvOEpDNFgrM3Q3U29wS1Jub2xIZlkwcVZMOWV5enoycnExS2thUDM3OE52bGp4b3pSaVNlZXFQdnV1MCtMRnkvZTVlUEJBSmlYdUt0d3pWYitzNmNMMW9EU3VsM1greXpiN1hyZlg5bCsreXBldHFpMytqMDA4N2JtWldZRGkvSnRXNi9INCszSks5WTkyTmo5dks4MkIxSm5vRzMwVjI5N2Ric1BsaWwvSDVSVTN0N2UvcTRQNm1lejJYbkY1L2szTVA2Z2poOXVuRnBmWDk4bDBPSHV6UTBORFEzSlpQSkNNN3YxZmU5NzMxSko0eVE5SWVtcllSZ3U2Ni9QL0RKVmt2U21tVlc0Ky8yUzJ2cW9ramF6Q1FOZGRoRUFBQURZRXhETUFOREozVStPb2lpSXhXTG03b0c3V3l3V0M2SW9DdFN4TnJZRlFSQzR1N2w3bDNKbTFwbXVqdWRQaFRwQkVBU2Q1WHFyVnlqYnZWN1JjYUFlcmxudUhyZU9uNUFHa29MaU1SYkdVUmhUMGJsSkNvcjdMdTYzVzdsS016dWhoMzU3L0E3TlRPN2U1dTZ2U25yVjNWK1FORCtielQ0NVlWTGljSlhZZG0vSWlSMHpiOTQ4clYyN1Z0LzV6bmUwMTE1N2RhYS8rT0tMdXZ6eXl6VjI3RmpkZE5OTjIreFpVVjlmcnpWcjFtak1tREdTT2g3MG4zSEdHVW9rRXZyQkQzNmdJNDg4VXIvLy9lODFaODZjWHZ2TzVYSzYrKzY3ZGNjZGQ2aTV1V05wOC9lOTczMjY1SkpMdG1zT0xTMHR1eVdZY2NjZGQwaVNUam5sbEY3TG5IdnV1WHI4OGNmMThNTVA2Nk1mL2FnKzlyR1A3Zkp4b1djdTZjM1d0cnNxU21JdnVidkY0L0hDUS92T0lIRGhQUDlXaGhXbkZjckVZckZ0eWt0UzRkcWJ6d3U2bFZIK0d0NmxyZUs2UmRmMHptQjBVYnA2eXV1ZVZuUnQzcVo4SVM5ZmI1dTVGNDgvLzlrNWwveURmOU1BL3c5Y3VMZmtCOUs5djhKOVVjWG54ZVBzSWE5N2dINmJPUlRuRmJkWHlPOG5MK2lydlc3ZllmZThiZWFYdjZjTk5iTnRYbGZyNno0b3FjM2QxMGw2VmRKaWQ3OHBtODArMldPRmQ3bGtNdm1aS0lwK2FHYWw3djc1YkRaN2J5R3Y4UGRRZUtzb0RNUC9UcVZTdzgzc3Y5eDlzNWxkbmNsaytnMWtKSlBKRDBvNnl0My80ZTdmTmJNZnV2dlBzdG5zcjNzcVAzNzgrUEtxcXFybDN2RW02dDA3YWFvQUFBREFMa2N3QTBDbmJEYTdjTERIc0FPNlA3VHEvRXluMHlaSnpjM04xdHJhMnZGMHBhMnR5MmNVUlRaMjdGamxjamtycEJWK05kcmUzbTVEaHc1OWZ6d2VQMEhxOThHTjNIMWQvcGVRdjRxaTZPVmNMdGNjUmRHV3hZc1h2NzZ6SjQyK0xWeTRVTC81elc5MCtPR0g2eE9mK0lSV3JseXBGU3RXYU5PbVRUcisrT04xeFJWWDZEdmYrWTVPTyswMDNYenp6VHI0NElNNzYwWlJwSi85N0dlNitPS0w5Znp6eit1ODg4N1Q1czJiZGRSUlJ5a0lBdFhVMU9pMjIyN1R5SkVqMWRiVzlVZXZ1VnhPRHp6d2dINzBveDlwN2RxMU1qUE5tREZEVHp6eHhBN05ZK3ZXcldwcmErdjE3WThOR3paSWtwNS8vdmxleTd6eXlpdDk5ckY4K1hJOTl0aGpHamR1WEsvTGEwblNYbnZ0cFc5Kzg1dTY5TkpMZGZYVlYydnk1TWs2NElBREJqZ1Q3RXdXbU5xaStQTDYrbmZrTmZ1ZHFQczlwdnR4ajNucGRGcVN0SFhyMWk1bEMvY2o2YTE3VVUvblVkU3hMT0hZc1dNbFNibGNydGQ2M2Q5MjZINCtZc1FJNnkydnB6Nkx5NVdWbGUxblpxRTA4UHRnRkVVL2wvU1BYQzdYYkdhYm4zdnV1UTA5Vm53WFM2ZlRVNklvK3I1MTdHT3hzcTJ0N1ZPTEZpM0twRktwUkJSRlc2TW8ycHBmaWxMdS9scWhYaWFUdWE2MnRuWnRFQVMzU1BwaktwVjYwTjJ2RDhQd2Y5VDdIaSt6SmNuTTVxMWJ0Kzd1cXFxcTd3VkI4RTFKOTZsanY3RXVxcXFxTHBFMHhzenVEc053NmM2ZU93QUFBTENyRU13QThFN1g2N3JuZFhWMUEycGc5ZXJWdmVZbGs4bE54ZWRGRDJ6Y3pMWktlaU9Lb2tZeisvR21UWnZ1Vzdac1djc0F4NDFkWk5PbVRabzllN1lrYWZIaXhmclFoejZrOXZhT1p6bUhIWGFZamovK2VIM2lFNTlRZTN1NzVzeVpvL3Z2djc5TE1FT1NmdjNyWDJ2Q2hBbWFPM2V1Y3JtY3JyenlTbjM4NHgvdnpPLytOa2ZCdWVlZTIvbnY3c01mL3JET08rODhWVlJVN0ZBd1kvUG16V3B2YjFkN2U3dnV2Ly8rUHN1Kzhzb3IvWmJwU1JSRnV2cnFxK1h1T3VXVVV3cDdLL1RxNktPUDF0RkhINjFISDMxVUYxeHdnZTY2Nnk2TkhEbHl1L3NGM21HODIrZUFEUFFlMUorKzdsRzdRektaSEZaODNzZDk4TFpObXpiOW4vZjZmVENSU0ZUSDQvSHZSVkYwVXY1Tm1SKysrZWFiWDEreVpNa21TWEwzWHdaQmNIRFI4bUJib3loNm9MaU5iRFo3VnpLWlhHaG1OMHM2M3N5T1R5YVRheVY5Tnd6RFc3djFsekt6ajB2YStNWWJiOXkyYXRXcXJWVlZWWE1rM1pSS3BTN0taRExYRjVkUEpwT0hTTHJjM1YvUDVYSmYzelhmQWdBQUFMQnJFTXdBZ0FIS0w3ZXhSZExmek95WktJcXlVUlQ5ZGRHaVJTOE45dGp3bG9xS2lzN2pJQWhVVzF1ckNSTW02SUFERHVqY0JGeVNUampoQk8yNzc3NnFycTdXdkhuejlNVXZmbEdTTkg3OGVLMVpzMGJYWEhPTmhnOGZybm56NW5YK3dyby9aNTk5dHViUG42L3p6anV2czg1QUhrUXVXYkpFTjk5OHM0NDc3amdkZSt5eGtxVFhYdXY0b2U3aGh4K3VxNisrdXNkNkw3endnczQ1NXh6Tm1ER2oxMld2emo3N2JDMWQydk1QYjMvNXkxOHFtODFxNHNTSk92bmtrL3NkcHlSZGZ2bmxXcnAwcVZhdVhLbnp6ejlmQ3hZczBQRGh3d2RVRjhBN1cvNCt1RmxTblprOTQrNlo5dmIycDdrUHZxVzF0ZlcxZUR6K1FUTjdNb3FpeTdMWjdGUGRpbHdwcWRyZFk1STJ1UHNEUFgxL1lSaXVsSFJDYlczdGg0SWdPTWZNVG1wcmErc2VHWS9GWXJIL2xpUjN2Mkxac21WdlNGSW1rL252WkRKNXFwbDlyN2EyOXJsc052dVExTEYzaDdzL0lLa2tpcUt6R3hzYjErN3MrUU1BQUFDN0VzRU1BQmdBZDE4aDZhZnUvc2ZXMXRibFRVMU4vNVNVRyt4eFlWdEJFT2pPTysvVVB2dnNvMkhEaHZWWk5wZkw2Zk9mLzd6V3JGbWowYU5IUzVMMjIyOC96Wnc1VXovNXlVOTAzSEhIRFRpUUlVbXBWRXAzM25ubmRvLzV0ZGRlMDFOUFBhWDE2OWQzQmpOZWZ2bGxTZEwrKysvZlpjK1BZb1g1bFpTVTlGcW10ODNHVjY1Y3FRVUxGc2pNTkh2MjdBRnZTajU4K0hETm56OWZwNTU2cXBxYW1uVG1tV2ZxMWx0djVRME40RjJ1Y0I5c2IyOS9xSzJ0YlFYM3daNHRYcno0bitsME9sVlhWL2VLSk5YVzF2NVhmdlB6VGtYTGRiM1B6QzVPSnBNOXRtVm1hektaekJ4SlQwMmFOS20wKzFzdnFWVHFNa21IU2xvY0JNRk5SVmx0N3Y1WlNYVkJFTnliVENabm1WazJpcUpIekd5c3UxOVpYMTkvejg2Wk1RQUFBTEQ3RU13QWdENjB0TFQ4czdTMDlPZ3dEUDhpSHRxOFkweWNPTEhQL1BYcjEydmV2SGw2OE1FSEZZL0hkZHBwcCtuWVk0L1ZqVGZlS0VrNjg4d3o5ZVNUVCtvWHYvaUZxcXFxTkd2V3JGMDYzclZyTzM0Y3U4OCsrM1NtTlRRMFNPcDlTYXUzWTlPbVRicnd3Z3ZWM055c3ozM3VjNW8rZmZwMjFSOC9mcnptenAycnM4NDZTMHVYTHRXWHYveGwzWERERFpvOGVmSk9IeXVBd1pXL0QzNDBETU9ueEgxd1FBcUJERWtLZ3VBejdyNVBYK1g3c0VUU0hFbnFIc2hJSkJJZmNQZHZTM0l6TzdldXJxN0wzMDAybTExUlcxdDdyS1JISk4zajdodk5iSzhvaXE3TFpyUGYzc0h4QUFBQUFJT0tZQVlBOUtHcHFXbXpwTWNHZXh6WU1ibGNUbzJOamNwa01xcXJxMU4xZGJYR2poMnJCUXNXYVBQbXpab3laWXJtekptanlaTW5hOU9tdDdaSEtTOHYxNDAzM3FoWnMyWnAzcng1V3JwMHFTNjU1QkpWVmxadTl4aUsxcGZ2dGN4TEwzV3NNTEwvL3Z0M3B2M3BUMytTMVBHMng4N1UxdGFtYjN6akcxcTVjcVVPT3VnZ25YLysrVHZVVGlLUjBFMDMzYVNMTDc1WXExYXQwcW1ubnFxcnJycEtNMmZPM0tuakJUQzQ4dmZCUHcvMk9ONXBxcXVySzh2THl5ZG1NcGt1MGZYcDA2ZVBiR2hvZUwwNHJiYTI5dEFnQ01veW1VeVhaYVFTaWNRSEVvbkVCeFl0V3RSWW5ENTE2dFF4OFhqOGQ1S0d1UHUxbVV6bThaN0c0TzZyemV5ditUMDE5cEswVWRKZmRzYjhBQUFBZ01FUTlGOEVBSUIzamtXTEZtbnUzTG42eWxlK29oa3padWowMDAvWExiZmNvakFNdGZmZWUrdkJCeDlVYzNPenpqbm5ITjExMTEyZGJ4TVVOZ2t2R0Q5K3ZHNi8vWGFOSGoxYUR6MzBrRDc1eVUvcWtVY2UyZTd4RkpaL1dyOSt2VmF0V3JWTi9wWXRXN1J3NFVKSlVuVjF0YVNPNE1aTEw3MmtVYU5HYWRLa1NkdmRaN0h1UVpUNzc3OWZ6ejc3ckVhTkdxVzVjK2Vxdkx5OHgzb3RMUjAvQXU1cithbEREamxFZDl4eGgwYVBIcTNLeXNyTzhRUEFlMTE1ZFRDaGx3QUFFUTlKUkVGVWVmbFpRUkNFeVdUeWxFSmFLcFg2VmtsSnllcDBPdDBaNEtpdXJxNDBzMGZjL1JmcGRMcHpPYXAwT2owMkhvOC9FNC9ISDBxbjAyTUw2ZE9uVHg5WlZsYjJpS1NKN3Y1a0dJYXp1L2VkU0NUK1Z5cVYrdCt4V0d4WlBwRFJJT2xPZDY4TWd1REJaREw1VkRLWi9FSTZuUzdaWlY4QUFBQUFzQXZ3WmdZQTRGMmxxYWxKZDk5OXQ0SWcwQWMrOEFFZGZ2amhPdVNRUXpSOStuUU5HVEpFUngxMWxMWnUzYnJOa2tpWlRFYVNOR0xFVzB1YlQ1dzRVVC85NlU5MTFWVlg2ZFZYWDlVaGh4eXkzZU1wTHkvWDlPblQxZERRb0gvN3QzOVRkWFYxWjRBZ2lpSzkrT0tMMnJCaGcwYU1HS0VqampoQ2tuVHJyYmRLa280Ly92Z2QrZzRLWG4vOWRmMzk3MytYSkpXVmxVbVNUajc1WkRVME5PalRuLzYweG93WjAxbDJ3NFlOcXF5c1ZDd1dVM3Q3dTM3MXExOUprdmJkZDk4Kys1ZzhlYkx1dXVzdWJkeTRVZVBHalh0YjR3V0FkNE5Ka3lhVm10a0Y3cjYrcGFYbHQ0WDBLSXFlRFlLZ3pOMnZsdlFGU1ZxeVpNbW1WQ28xVzlKTlVSUmRLK2tjcVdPcHFsUXFkWldrcTZNb2VtRENoQWt6VnF4WTBWeFNVdklUU2RQZC9ZVmNMdmRwU1cyU0xKRklKSU1nK0pTWmZjN01DamU0bDkzOTJqQU1meWlwUFpWSzNlenVONXJaUnlSOU1JcWk5Y2xrOHNFb2luNHY2Y242K3ZwLzdMWXZDUUFBQU5nQkJETUFBTzhxTTJmT1ZGVlZsUTQ3N0xBZU53QWZQMzY4Sk9uSFAvNnhmdk9iMzJqNDhPRnlkeTFmdmx6U3RzczZWVlZWYWY3OCtXcHVidTRNQ0d5dnE2NjZTdGRjYzQyeTJhekNNT3lTRjQvSE5YMzZkSDM5NjEvWHNHSEQxTkRRb01jZWUweXhXRXlmK2N4bnRxdWZ4c1pHblh2dXVSbzJiSmhLU2txMGJ0MDZOVGMzYS8vOTkrOGNleEFFbWpObnpqWjFMN2pnQWpVMk5xcXNyRXh0YlcxcWEydVRKQjF6ekRIOTlqdG16Smd1Z1JFQWVDK3JyS3o4aHBtTmQvZHY1NWZwa2lSbHM5bi9tMHdtL3licGM0bEU0cnBGaXhabEpDbVR5ZHlhVENiUGszUm1iVzN0YmRsc05wdFAvMTRxbGZxSW1SMHpjdVRJQlN0V3JEak4zWDlnWmxOenVkelJqWTJOYTVQSjVIOUsrZzh6Szk2WDQybDN2eVVJZ2w5a01wbk92VFF5bVV5ZHBDTnJhbW8rRm92Ri90UE1aa2lhRll2RlpybjcybVF5bVFyRGNQWHUrSTRBQUFDQUhVRXdBd0R3cmxKVlZUV2dmUnNtVEppZ05XdldhTTJhTlpLazBhTkg2NWhqanRGSko1M1VZL2tkRFdSSUhRR1VXMjY1UmU2dTV1Ym1Ma3MvbFpXVktRamVXdlZ4MzMzMzFaZ3hZelJ6NXN4KzM0cUl4K1BhZSsrOU5YejRjRW5TZ1FjZXFOYlcxczQ1U2RMNzMvOSt6WjY5elNvazJ6am9vSVBVMk5pbzV1Wm14V0l4N2JmZmZ2clVwejZsRTA4OGNYdW5Dd0R2V1pNbVRTcVZkSnE3cjJ0cGFabmJQZC9NdmlkcGJqd2VIeWNwazA5dWwvUXRTY2U2KzdxaTRtNW1YNHFpS0N0cGVuVjFkV1VZaG8rbDArbnBqWTJOYjBwU0VBVDN1dnMzM0gyRm1mMDZsOHY5dEtHaG9hR3ZNZGJYMXo4aTZaRlVLcFdXZEphN24yUm1uOHhrTWdReUFBQUFzRWV6d1I0QUFMeFhUSmlVT0Z3bDl0dmhsWlZqNXQ5d3JZNmM4ZUhCSGhMMlVNdVhMOWMrKyt5amlvcUtIVzZqOEdaRlgzdGU0SjNsL3ozek41MS84V1ZhOTg5L2JwRHI1QldMc3dzSGUwd0F0alZwMHFUU2lvcUtTZlgxOWMvMWtHMlNZdXBZSG1wQTB1bjB4THE2dXBXOTFVa2tFbFdMRmkxNmRjZEcyemttNzdjVUFBQUFNTWg0d2dFQXdCN213QU1QZk50dEVNUUFnTUd4Yk5teUZrazlCVEtranFEQmdBTVprbFJYVi9kaVgvbHZNNUFoRWNnQUFBREFPMFRRZnhFQUFBQUFBQUFBQUlEQlF6QURBQUFBQUFBQUFBRHMwUWhtQUFBQUFBQUFBQUNBUFJyQkRBQUFBQUFBQUFBQXNFY2ptQUVBQUFBQUFBQUFBUFpvQkRNQUFBQUFBQUFBQU1BZWpXQUdBQUFBQUFBQUFBRFlveEhNQUFBQUFBQUFBQUFBZXpTQ0dRQUFBQUFBQUFBQVlJOUdNQU1BQUFBQUFBQUFBT3pSNG9NOUFBRHZQVk9tVEJsVlhsNStwYVFUSlkyV3RGTFNqOE13dkVGU2UzLzFhMnBxam9qRllwZTUrd2NsRFRPenYwdTZiOHVXTFZjdVdiSmtVM0haWkRLNXY2VFprbzQxc3lwM1gyOW1qMHFhazhsa2x1M3N1UUVBQUFBQUFBRFkrWGd6QThCdU5XWEtsRkZEaHc1OTJzek9rYlRVekg2dWpvREV0Y2xrOGtmOTFhK3RyZjFzRUFSL3pnY3lIamV6MzdwN21hUnZWRlJVL0U4aWthZ29sRTJsVXBNa2haSk9NYk5HZC8rbG1iMHE2WXVTNmhLSnhBZDJ6U3dCQUFBQUFBQUE3RXdFTXdEc1Z1WGw1ZGRKbWlqcGtqQU1qOHBrTWw5dGJXMmRMdWxGTXp1MXRyYjJ3MzNWTjdPRXBPdGZmLzMxY1dFWWZqYVR5WHhoM2JwMWt5VTlJaWtSaThYT0twUjE5d21TL2lycGdFd21jMndZaHJNeW1VekMzYStVTkR3V2kxMnp5eVlLQUFBQUFBQUFZS2NobUFGZ3QwbW4weVBNN0JSM2Z5bVR5ZHhRU0gvdXVlZldTN3Bha29JZ09MV2ZadWFIWVhqWmloVXJtZ3NKcTFhdDJpcnBxdnhwWnpDa3RiVTFFNGJoaVdFWXJpNXVJQXpESzl5OXBiZ3NBQUFBQUFBQWdEMFh3UXdBdTQyN3o1UlVJdWxCU1Y2YzE5emMvSWY4NFl5KzJnakRjRjB2V1J2em55MkZoSHlRcEtjOU9Ob2t2V2xtTFQza0FRQUFBQUFBQU5qRHNBRTRnTjNHM2FlWm1keTlvWHRlVTFQVG1sUXF0VkVkUzFBRmtxTHRiSDZHSkpuWmMvMFZyS21wbVdabUk5MzkwZTNzWTZkb2Eydlhvc2Ftd2VnYXdEdlk4MHVXcWpYWE90akRBQUFBQUFCZ1VCRE1BTEE3N1N0SlpyYTJwMHgzZjlYTUpsZFhWMWNzV2JKazAwQWJUYWZUWTZNbytwYWsxaWlLN3V5bmVEd0lncm41NDlzRzJzZk90SFhyVnQxMDZ3OFZCTHdjQjJEZ1BJcVVhMnNiN0dFQUFBQUFBREFvQ0dZQTJKMkdTbElVUmMwOVpacFpzeVFOR3phc1ZOS0FnaG1wVk9yZ0tJb2VNTE45SloxVlgxLy9qOTdLcHRQcEVWRVUvZHpNL3RYZGZ4Nkc0YjNiUDRVZDF4cTFyUjdpSlUwdU5lZHlQSkFFc01OV1IrM3RMdy8ySUhhSEtWT21qQ292TDc5UzBvbVNSa3RhS2VuSFlSamVvSjZYRWV5aXBxYm1pRmdzZHBtN2YxRFNNRFA3dTZUN3RtelpjbVgzb0hreW1keGYwbXhKeDVwWmxidXZON05ISmMzSlpETExkdmJjQUFBQUFBRGJoMkFHZ04ycFRaTE1yTGRyejVEODU1c0RhYXkydHZaVWQxOWdackVvaXI2Y3pXYnY2cVBzb1ZFVS9jck1EbkQzbThNdy9OcjJEZjN0VzcyODZlL2pEeno0N0hoUU1tcDM5dzNnM1NPSTIvb1ZTeHRXRFBZNGRyVXBVNmFNR2pwMDZOT1NKcnI3UWpON3hOMlBNYk5yazhua3dXRVlmcm12K3JXMXRaODFzMSs2K3daSmo1dFp1N3NmWVdiZnFLaW9PQ2FSU0h4bzBhSkZXeVFwbFVwTmN2ZG5KRldZMloveWJ3cldTdnFpcEJNU2ljU0hGeTFhMUxqTEp3MEFBQUFBNkJYQkRBQzdqWm05TGtsQkVPemRTNUhSN3I0NWs4bjBGOHlJSjVQSlc4M3NkRWtOdVZ6dWl3ME5EZHZzdzFHUVNxWE9kUGViekd5VHBFK0hZWGpmanMzZ2JmTlZ5NTlmS21ucElQVVBBTzhZNWVYbDE2bGpINlZMd2pDOFhwS21UWnUyZDJscDZUTm1kbXB0YmUzdDJXejJ5ZDdxbTFsQzB2V3Z2Lzc2bkJVclZqUkwwdmp4NDh1cnFxcCtKK2xqc1Zqc0xFazNTcEs3VDVEMFYwbG5aREtaMVlVMmtzbmtGV1kyT3hhTFhhT090ME1BQUFBQUFJT0VCZHNCN0RaUkZMMlFQenk0ZTE0Nm5SNHRhZFFBTnZBT1VxblVQZmxBeGkxdnZQSEdvZjBFTWk2VWRKdVpQZTN1aVV3bU0xaUJEQURBQUtYVDZSRm1kb3E3djVUSlpHNG9wRC8zM0hQckpWMHRTVUVRbk5wUE0vUERNTHlzRU1pUXBGV3JWbTJWZEZYKzlNT0Y5TmJXMWt3WWhpZUdZYmk2dUlFd0RLOXc5NWJpc2dBQUFBQ0F3VUV3QThEdXRGQ1MzUDI0N2hsUkZIMDhmL2lIdmhwSXBWTG5TenJaM2EvS1pETG5MbHUycktXUHNtbDN2MEhTNDgzTnpVZDNmMGdGQU5nenVmdE1TU1dTSHBUa3hYbk56YzJGKzhTTXZ0b0l3M0JkTDFrYjg1K2Q5NDk4a0tTblBUamFKTDFwWnIzZWF3QUFBQUFBdXdmQkRBQzdUVGFiWGVydWZ6YXptbVF5K2RWQytyUnAwL2FXOUcxSlc5Mzk5a0o2SXBHb1RxVlMvekYxNnRSaFJjMmM1KzR0TFMwdFYvYlhuN3YvdTVrRjd2N2RwcWFtMXAwNkdRREFMdVB1MC9LZjI3eDUxOVRVdEVZZEFZbUoyckgveTg2UXBBRzhDYWlhbXBwcFpqYlMzZnN0Q3dBQUFBRFl0ZGd6QThCdUZVWFJ1YkZZN0NsSmR5U1R5YythMlN1U2pwVTBOb3FpTTdMWmJPZmJFN0ZZN0NlU0Rpc3RMZDFIMHV6cTZ1cEtTUWRLMmxKYVducFBNcG5zdFkvNit2cC81RGR2bFpsOUs1bE1YdFJUV1RPN05aUEpQTHh6WndrQWVKdjJsU1F6Vzl0VFpuNkQ3c25WMWRVVlM1WXMyVFRRUnRQcDlOZ29pcjRscVRXS29qdjdLUjRQZ21CdS92aTJnZllCQUFBQUFOZzFDR1lBMkszcTYrdWZTeWFUSDVUMFBUTTcwdDNqWmhaR1VYUjZOcHQ5cUxpc3V5ODBzeW51L2xkSktpc3JHeTVKWmxZaDZhVGUrb2pINDVmbDZ3ODNNMGs2SnYrNURYZi80MDZaR0FCZ1p4b3FTVkVVTmZlVWFXYk5ralJzMkxCU1NRTUtacVJTcVlPaktIckF6UGFWZEZaOWZmMC9laXViVHFkSFJGSDBjelA3VjNmL2VSaUc5MjcvRkFBQUFBQUFPeFBCREFDN1hSaUdUZW9qR0ZHUXpXWXZsWFJwNFR6LzRLbm5xRVRQL1V6ZW9RRUNBQVpibXlTWldXLy9WeDJTLzN4eklJM1YxdGFlNnU0THpDd1dSZEdYczluc1hYMlVQVFNLb2wrWjJRSHVmbk1ZaGwvYnZxRURBQUFBQUhZRjlzd0FBQURBSHNYTVhwZWtJQWoyN3FYSWFIZmZYRmRYMTE4d0k1NU1KbThQZ3VCT00xdWV5K1VPNnl1UWtVcWx6alN6L3pHejRaSStIWWJoZWVwNVkzQUFBQUFBd0c3R214a0FBQURZbzBSUjlFSVFCSkowY1BlOGREbzkydDFIbWRuVC9UUVRwRktwZXlTZExPbVdOOTU0NDZKbHk1YTE5Rlk0bFVwZEtPbEdNM3ZDM2I4UWh1SHEzc29DQUFBQUFIWS9naGtBQUFEWTB5eVVKSGMvVHRMbHhSbFJGSDA4dncvU0gvcHFJSlZLblMvcFpIZS9LZ3pEMmYyVVRidjdEV2IyZUhOejg4ZWJtcHBhMzk3d0FRQUFBQUE3Rzh0TUFRQUFZSStTeldhWHV2dWZ6YXdtbVV4K3RaQStiZHEwdlNWOVc5SldkNys5a0o1SUpLcFRxZFIvVEowNmRWaFJNK2U1ZTB0TFM4dVYvZlhuN3Y5dVpvRzdmNWRBQmdBQUFBRHNtUWE4a1M0QUFBQ3d1OVRVMUV5THhXSlB1WHVscElmTjdCVkp4MG9hRzBYUkdkbHM5bzVDMldReStiU1pIVlo0QzZPNnVycXlvcUxpRFhmZkl1blIzdnFJb3VqYyt2cjZmNlJTcVRwSktVa1B1M3R6VDJYTjdOWk1KdlB3enAwbEFBQUFBR0NnV0dZS0FBQUFlNXo2K3ZybmtzbmtCeVY5ejh5T2RQZTRtWVZSRkoyZXpXWWZLaTdyN2d2TmJJcTcvMVdTeXNyS2hrdVNtVlZJT3FtM1B1THgrR1g1K3NQelMxY2RrLy9jaHJ2L2NhZE1E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SDM1LzFkTXVmaEN6cmp5QUFBQUFFbEZUa1N1UW1DQyIsCgkiVGhlbWUiIDogIiIsCgkiVHlwZSIgOiAiZmxvdyIsCgkiVXNlcklkIiA6ICIiLAoJIlZlcnNpb24iIDogIjc4Igp9Cg=="/>
    </extobj>
    <extobj name="ECB019B1-382A-4266-B25C-5B523AA43C14-2">
      <extobjdata type="ECB019B1-382A-4266-B25C-5B523AA43C14" data="ewoJIkZpbGVJZCIgOiAiMjk3NDk5MjI5MDEyIiwKCSJHcm91cElkIiA6ICIxOTY1NTU4NTUiLAoJIkltYWdlIiA6ICJpVkJPUncwS0dnb0FBQUFOU1VoRVVnQUFCZDhBQUFNRkNBWUFBQUNGNDQrNkFBQUFBWE5TUjBJQXJzNGM2UUFBSUFCSlJFRlVlSnpzM1hsOEZmWFovLy8zTlhPeUFiS0ppTDJoeFFvQ0VaSXprOWE2VTVkYXEyM3ZxclZZdDFhdC9sejYxZHVLMXFWYXJYWFh1dFRscnJqYnVsU3JMVnFMMXJWYXRXck9ISUxHalZwYUVYRkRCWVJBY3ViNi9aR1QzQ0VrRUNBaElLL240OEVqWno3ck5aT2NEK1E2dzJja0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WZKWllid2NBQUFBMkxGRVVQV0ptdTdyN00wbVM3Q0RKMjdlSjQvZ2dTYmVsYVhwb1BwKy91YVc4dXJwNjl6QU1meXJweTVKU1NhKzQrNlZKa3R5ejFrOEVBQUFBQUlBVkNIbzdBQUFBc0dFeXMrMnkyZXlQdXRvK2p1TnZCa0V3VFZKZmQ3OU0wbldTUG1kbWQwZFJkRWJQUmdzQUFBQUF3S29oK1E0QUFIcERnN3UvYm1ZWFZsVlZEZTFLaHpSTmg1alpJYmxjYnBza1NYNmV5K1ZPbmo5Ly9nUjNuMlZtcDFWVlZmWHQrYkFCQUFBQUFPZ2FrdThBQUdDdGMvZFNNNXRzWm9NeW1jeWxYZW1UeitkdnplVnl2MjFiTm5QbXpQbG05aWRKNVpJMjc3R0FBUUFBQUFCWVJTVGZBUURBV21kbVFTNlh1OS9kL3lEcG9DaUtkdTFDdDdTVDhvcmltQjkxYjVRQUFBQUFBS3cra3U4QUFLQTNIU2RwdnFSclI0MGFWYmFxbmF1cXF2cTYrM2NrdlRsOSt2UTVQUk1pQUFBQUFBQ3JqdVE3QUFEb05VbVN6SkYwbXBtTjd0Ky8vNm1yMG5mVXFGRmxZUmplYm1aREpmMWNrdmRjcEFBQUFBQUFySnBNYndjQW9HTTFOVFZEM1AzSDdyNlhwRkhGYlJVK01MUFgzZjJQU1pKYzJWRy9iRFk3MHN4dWxqUXRTWklMMW43a0FMQnFjcm5jdFhFY0grVHVwMVJWVmQxUlYxZjMyc3I2akI4L2ZrUnBhZW52SlcwajZlejJlOEVEQUFBQUFORGJTTDRENjZBNGpyL2w3cmRKR21CbUw3bjcxT0lkblY5dzkycEoyMGxhSnZrK2Z2ejRFU1VsSmNlYjJUR1NLdHg5V3UrZEFRQ3NrclN4c2ZISWtwS1NYQ2FUdVZiU0xpdHFIRVhSTjh6c05uY3ZrL1Q5SkVudVhIdWhBZ0FBQUFEUU5TVGZnWFZNSE1kZmwzU2ZwUGZjZmQ4a1NSNXRXejl5NU1qeWdRTUg3dE8yckxxNitudEJFTnhwWmszdWZyK1o3YlBjd0FDd0Rwc3hZOGFNS0lvdU5iT2ZSbEYwY0pxbWFSQXN2enRlRkVXSG1kbDFrdkptdG44dWw1dlpLd0VEQUFBQUFMQVM3UGtPckVPS0R3NjhWZEtuaFVMaHErMFQ3NUkwYTlhc2hudytmM3Zic2lBSVVqT2JVaWdVeHFkcGV0bGFEUm9BdXNuNzc3OS90cVEzSlYwcWFVRDcrdXJxNnEzTjdEZnUvdWY1OCtkdlQrSWRBQUFBQUxBdTQ4NTNZQjBTQk1FUHpHeW91Lzk4K3ZUcHIzZTFYNUlrOTBpNlI4M0pxYUU5R2lRQTlKRFpzMmN2M25qampZOE93L0FoU1pQYjE0ZGhlSXE3Qis3K2c1a3paeTdwblNnQkFBQUFBT2dha3UvQU9zVE12cTdtSlB6dmV6c1dBT2dOMDZkUGZ6aUtvdHZON0lEMmRlNit0Wmw5S3VtVUtJcVc2MnRteitkeXVYdlhWcXdBQUFBQUFLd0l5WGVzVFlHa3RMZURXSmVaMmVidTdybGM3bzIyNWRYVjFUdUVZZmpkdG1YdWZsMlNKUFZyUFVnQTZHR0ZRdUdFTUF5L1lXYUQybFVOa05UUHpIN2FVVDkzdjBFU3lYY0FBQUFBd0RxQjVEczYwajVKYmpVMU5XTnFhMnRmWGQwQkoweVlNQ2lUeWJ6azdpZm44L25mZGRZdW04MW16ZXovSlVseXhKb202cXVxcXNhRVlYam9raVZMenF5dnIxL2F2ajZPNDFHU2ZweW02ZlB0OTFEdkxlNWVKc25ibjNzWWhsbEp4N2N0TTdOSEpKRjhCN0RlU1pKa3R4WFYxOVhWdlNkcGNBZjlOdXJSd0FBQUFBQUE2RVlrMzlkeGNSdzNTUXJkL2Z3a1NVN3JxRTBVUmRlYjJlRnBtbTZleitkbnRhL1Back1qemV4bVNkT1NKTGxnUmZQVjFOUU1TTk4wdXFSZkpFbHlZN0gvMFdtYVhsWmRYZjNGNmRPbnY5MUpETGVZMlgrM0wyOXFhdHF5cnE3dXZUQU1UelN6VGRJMHJhK3NyQnpXdGsyYXBvMnZ2dnJxaDJyZWJtV0pwUDJqS0pxVEpNa1p4YkVQbDNURnlxK1dUa3VTNU1xV2cwd204elYzMzcrK3Z2NlU5ZzBuVEpnd1NOTDk3ajQ4Q0lJRHE2cXFucTJycS90WEYrYm9hZStiMlpaVlZWWC9WVmRYTjd1bE1KZkxYU1hwS2pWZmoxUE03UHhlalJJQUFBQUFBQURBQ2dXOUhRQzZ4c3dtVjFkWGI3VXFmY2FQSHo4aWlxSkxnaUNvTjdPSlhlbVRwdWxrU1NNS2hjTHpMV1ZoR1A3T3pKYUVZWGpTQ3JyMmxmU1V1My9YM2I5YkhHZEFVMU5UTUhiczJJMkRJRGhPVWtrWWhybnk4dkozMnY3cDA2ZlBReTJENUhLNVZ5U2RJT24wT0k3M1VQUDJBMCs3KzQ5WDlpZE4wMGZiQnVUdTI1blpZKzBEcmFxcUdwckpaQjR2eGp6ZTNWOFB3M0JhVFUzTjU3dDhjWHVJbVQycjVnOGg5dWp0V0FBQUFBQUFBQUNzUHU1OFh3KzRlNzJaalE3RDhIOGw3VlRjbG1TRnFxdXJ2eGNFd1oxbTF1VHU5NXZaUGwzb3M2V1puU2pwbHJxNnVwZGF5bXRyYXorSm91aHFNNXNjeC9HZHVWenV1VTdpZkR0SmtrZlVuT0FlSHdUTm4rMzA2ZFBuV2trYnBXbDZZSnFtZjJ0cG44bGt2aXJwTm5kL3NPMDR1Vnp1dWlpS2RwZDBrcVJwZFhWMXIwbDZiZVZYcWxrVVJiK1dkSVNrVWttRktJcGFIdHIzK3pSTnJ5byt6TFRjM1hkSmt1VGZ4V3YxVkpxbXoyU3oyWVB5K2Z3VFhaMnJ1elUyTnQ2YXlXUk9ESUxnMURGanh0ejEybXV2TGVpdFdBQUFBQUFBQUFDc1B1NThYdytZMlZ4My83V2tIYUlvT3F3cmZZSWdTTTFzU3FGUUdKK202V1ZkNkJLR1lYaXJ1eTl3OStVZVpQZlJSeCtkTFdtbXU5OVIzTEtsUzhyTHl3K1J0SStrUDV2WldaSSthck9keXNXU2FvTWdPS2Q5dndVTEZodzJiOTY4dmJvNlQxdU5qWTIvZFBkOTFienR6UTVCRUdRTGhjSjJrandNdzZmTmJGTjMvNFdrejBWUnRGc1FCT01rL2RMTU5qS3p4NklvdXJtNEgveGFOMlBHakJsbWRvMmtML2J0Mi9maENSTW1mTEY5R3pOanoyTUFBQUFBQUFCZ0hjZWQ3K3NCZHc4S2hjS1pZUmp1SyttaUtJcW1Ka255L29yNkpFbHlqNlI3MUh4SCs5Q1Z6UkhIOFpXU3ZtSm0rK1J5dWVYR25qVnJWc1BBZ1FNUENZTGdieVVsSlkrT0hUdjJheTM3dExjd3M4T2pLRHFvK0xybGc1MGFkeit2VUNoY21NbGs2c013ZkNDTzQrUGQvVS91bmdaQk1LbTJ0cmF4L1h3elo4NmNYNHpyNis3KzVTNWNKcW41V2oyV3orZWZpYUxvaTVKZURNTnd2elJOM3crQzRGNHorMDZhcGxlWjJjTGlOamp0L1ZKU2c2UmZTTHBCMHN5dXp0dWR6T3dFZCs4cjZZY2xKU1d2UlZIMGpLUTN6S3hjMGdSSlZXbysxNGJlaUE4QUFBQUFBQURBeXBGOFh6OVlYVjNkcDlsczl0Z2dDQjV3OTBzay9hQzdCby9qK0dSSng2UnBlbGsrbjcrdnMzYjVmUDZGT0k2L0orbmVpb3FLSjdQWjdONzVmUDZObG5wMy80dTcveW9JZ3NmZC9UaDNuL0hCQngvOFkvYnMyWTJTbXFJbzJ0Zk0vdWJ1ZVVudkZRcUZpVW1TL0xPbGZ6YWJQZERNZnRObXl1OUlxcEcwZit1Rk1OdFNVc0hkLzZrT21OazdrcDZSdEllWi9kbmRONWZVbE0vbjM0aWlxQ3BOMDBLeDZYV1N0R2pSb3ZkbnpweTVwTTIxK0thN0g1L0w1WjVhazJ1Nkpvb2ZSaHlheldadk43TWpKVzFuWnR1NisxSkpzeVJkV3lnVWJxbXJxL3RIYjhVSUFBQUFBQUFBWU1WSXZxOUg4dm44bjZNb3VzZk1EcW11cnI1NSt2VHBqNi9wbUZFVW5WRzgwL3VCZkQ0L3VhVzh1cnA2NXpBTWQxdTBhTkd2MnQ3aG5zdmw3czltc3dlWTJXMUJFT1RqT0Q0NWw4dGRIUVRCOTJ0cmExMVNVeHpIU3RNMG1UNTkrdE50NXpLekxkeDlpWmxWdVB2aU1Bd2pTYSszN0dHZnB1a3pZUmorU05JbVpuYWxwRXd1bHp0UDBubkZtTFlLZ21DR21aMlZKTWw1blozVHFGR2ora3ZhTlUzVDA4M3NmOXBVYlpMSlpGNW8yN1ovLy83ZnFLcXFlaW1UeVh3MWw4djlWdElla3ZwSnVuVk5yKzJheXVmemY1WDAxMVh0Vjd6dTFqTlJBUUFBQUFBQUFPZ0s5bnhmenhTM1Mva2tETU5yS3lzclM5ZGtyR3cyK3pVeis0V2tCK2JObTdlZnBMUllaV0VZWHVydXgyUXltZVUrb01ubjgzZEwya0hTQis0K1ZzMko4LzhYeDNHSCs5RkhVVlFaUmRFZkpOMXBaZzgzTmpaV21ka0xablpIRkVVdngzRjhWaFJGMVhWMWRmOUtrdVJPZDcrL28zSENNRHhEMGp0bWRua3gvaU9pS0xxeWZidCsvZnA5VTlKaWQrOG5hYWlaRGErdXJ0NGhUZE9OSk0xSTAzVHpORTAzZC9kL0Y4Y2RLK21zTmJtV0FBQUFBQUFBQU5BV3lmZjFURzF0N1R2dWZxcWtNV1ZsWmFlc3lWajVmUDZ2N3Y1ZE05dG4xcXhacmZ1SFIxRjBzS1RJekU1NTZhV1gzdTJvYjVJa0x5NWF0Q2dPZ3VBbnhhSktkOSt5cFQ0SWdnT2pLRG9sanVQTEpiMWtabDlPMC9UQVhDNDNhY2FNR1ROeXVkejNKTzBxNmQvdWZvYVozYkNpV0xQWmJOYmQ5NU4wWm0xdDdhSmk4Vkl6KzMvWmJQYS8yN1kxc3dGbVptRVlQbUJtdTduN2Q4TXdmQ0FJZ2pIdW5qR3pJV1kyUkZLNEp0Y1BBQUFBQUFBQUFEckR0alByb1NSSi9yZVlJRDh0bTgzZTBiSnR5MnFPOVllMng2TkdqZXB2WmhkS2VpNlh5MTNYVWw1VlZiVjVTVW5KN0xZUFIyMy93Tlcyekd4blNRdUwrOU52bEticDFDQUlsc1J4dkVlN2RsY1VDb1hUd2pBc1cxR2NRUkJjNmU0dkprbHlZMHRaUHArL0pZN2pBOHhzU2xWVjFiTjFkWFh2RmMvcFdrblhxdm1EaEpzbHpjM2xjcWRFVWZRbFNTTWtYVjZjZThncVh6QUFBQUFBQUFBQTZBS1M3K3NuTHhRS1IyWXltWnlrYTgyc3c0ZVBybzcrL2Z1ZjUrNkRtNXFhZG05SjZvOGFOYXAvR0lZNWQ3OWUwa2xkR2FkUUtQeW9aYy8zT0k2L2FXWi9jUGVHdG0zTXpDVDFDY053MjF3dTkxeG5ZMld6MmNudXZuMmFwaE5yYW1xR3VmdkE0cDlCN3Y2VW1lMmV5V1N1YlB0ZzFzNlkyV3U1WEc2SFlsd3p1M0l1QUFBQUFBQUFBTENxU0w2dnArcnE2bDZLb3VnU016dlYzYi9Zbk1kZU0zRWM3K0x1eDdqN3lUTm16SmpSVWo1ejVzejUyV3oyWEVrWFpiUFp4L1A1L0lPck9yYTcvekZKa3UrMkxhdXNyQnhXWGw3K3prcGlHaWZwWWpYdnpmNlVlL05OL21ZbU0xc2c2U04zbjJsbWsrSTQvbTB1bDN1Z3FxcHE4eUFJS3Mzczg1S3F6V3lIS0lyMmtQU0l1dytQb3VpU1lrd2JkOGQxQXdBQUFBQUFBSUQyMlBOOVBmYisrKytmSSttZlpyYjVtbzVWVTFPem1hVGZTbm9zbjg5ZjJyNCtuOC8vU3RKVFFSRGNXbDFkL1Y5ZEhEWlRXVm5aYjFWamFka094dDB0bDh1OUl1bUtORTMvSjAzVGJ6WTFOZFc0KzM4MU5EU1U1WEs1L3JsYzdndEprb3lUTkVQU1NFbktaREtUZ3lENHZaa2RKV2tUU1hNa1hlbnVqNXZaVWpPYlhmelRwT2FIeFJiY2ZjbXF4Z2tBQUFBQUFBQUFuZUhPOS9YWTdObXpGMit5eVNaSG1kbGYxMlNjYkRZNzB0M3ZsVFRBek02dXJxNnVESUtnd3N3cUpQVjE5Nzd1M3MvTW5wZTBVeEFFTjBuNmVzdTJOTlhWMVZ1YTJYQkpZNklvdWxMTmU3VGZGY2Z4SnU1K3hxckVVbDFkdmJXayt5VTFTVHF2cXFwcVJpNlgrNStWZEd1YVAzLytsMmZPbkxsRWt0NTc3NzNKczJmUC9yRWtqNkxvWm5lZm15VEpqY1U5MzkvTDVYS1hxL211K2g5TDB2VHAweCtYdE5WcVgwQUFBQUFBQUFBQWFJZmsrem91bDh1dDhIdVVKTWtqa2xhNGQwcHg3L1ZPMndSQmNMK2s4Y1hEdjRWaHVFeTltUlVrTFpDMG9MakZ5OWV5MmV6UitYeittbUwvQXlYdDR1NXZtTmt3U1dkSmVsblN5MG1TdkJISDhjMlN2aGxGMGR6MlU3YzlpT040RzBtUFNxb3pzKzBrM1JlRzRTdHhITitUcG1sZTBpZVNHaVV0YmZrYUJFRlFLQlQ2bUZtZk9JNzdwbWs2TzUvUC8ybEYxMlBDaEFtRGdpRG80KzZESkMycXFxb2FHb2JoT0ROTEpVMlU5TmlLK2dNQUFBQUFBQURBeXBCOGg5STAvYW1aN1NqcERVa2ZwR2s2VDlKSFFSQjhWQ2dVUHFtcnEvdTBUWE9Mb3VncE16dDkxS2hSTjh5Y09YTkpFQVFYU3ZwbExwZHJYTUUwT1hlL3FGM1pRRE83cWVWZzZkS2wveW9wS1hrcENJSTlhbXRyUHhrNWN1VFdBd2NPL0xHa3ZZTWcrTHE3bDV0WjZPNmhtYlY4UXVCaEdMcTdwNUxTSUFnNnZVdStVQ2lrWVJndXlXUXkvMC9TTnlYZEh3VEJzMDFOVFdQTjdGRkpvYnUvN2U0M2RUWUdBQUFBQUFBQUFBQTlJbzdqVVZWVlZjTjdZdXlhbXBxU25oaTNpM2o2S2dBQUFBQUFBQUFBQUFBQUFBQUFBTEF1NGs1ZkFBQTJjSnVQelI3aDBnRzlIY2Y2eEtUYi8vVnFma3B2eHdFQUFBQUFXSGYxK0o3di9FSy9iaUJKQUFEb2pFc0g5Ty9mNzZ1Vlk4ZjBkaWpyaGZwWFg5UDgrUXNsaWI5WEFRQUFBQUNkNnZIa083L1E5ejZTQkt1SEQ0NjZCeC84QU91SHlyRmpkTWN0MS9kMkdPdUY3Ly9nUjNydStkcmVEZ01BQUFBQXNJN3I4ZVM3K0lXKzE1RWtXRDE4Y0xUbStPQUhBQUFBQUFBQUc2cTFrbndIMWxkOGNMUm0rT0FIQUFBQUFBQUFHNnFndHdNQUFBQUFBQUFBQU9Demh1UTdBQUFBQUFBQUFBRGRqT1E3QUFBQUFBQUFBQURkak9RN0FBQUFBQUFBQUFEZGpPUTdBQUFBQUFBQUFBRGRqT1E3QUFBQUFBQUFBQURkak9RN0FBQUFBQUFBQUFEZGpPUTdBQUFBQUFBQUFBRGRqT1E3QUFBQUFBQUFBQURkak9SN0czdnZ2YmR1dWVXVzNnNERBQUFBQUFBQUFMQ2V5L1IyQUQzdG1tdXUwU09QUE5KaDNXMjMzYWErZmZ1MkhpOWV2RmlOalkyZGpqVnYzang5NjF2Zld1VVl2djN0Yit1blAvM3BLdmNEQUFBQTFrZFJGRDB1U1VtUzdOemJzUUFBQUFDOTVUT2ZmTjkyMjIyMTJXYWI2YU9QUHRMVlYxK3RZNDg5Vm9NR0RaSWtsWmFXYXVuU3BTb3RMVjJ1MzF0dnZhVVJJMFlzVTlhblQ1OHVKOUhmZWVjZDNYampqVXJUVkZ0dXVXVTNuUTBBQUFBQUFBQUFZSDN3bVUrK1IxR2tLSXIwOE1NUGEvRGd3VHIwMEVObFpxMzFKNTEwa3NyTHkzWE9PZWUwbHMyZE8xZjc3cnV2empubkhIMzk2MTl2TFM4dkw5ZTN2LzN0bGM3NThNTVA2L2JiYjllZ1FZTjAzbm5uS1k3akhqZ3pySW9vaWpaSmttU2VwRUp2eHdJQTNXWGN1SEdidmZMS0srLzBkaHdBMW0rc0pRQUFBRURQK013bjMxczgvL3p6Mm02NzdaWkp2RGMyTnVxNTU1N1RVVWNkdFV6YlljT0dhYSs5OXRMbGwxK3VpUk1ucXJ5OHZFdHpORFEwNkpKTEx0Rjk5OTJuSFhmY1VXZWRkWllHRGh6WTdlZUMxWEpJSE1lbnV2dWZ6T3krK2ZQbi8zWG16SmxMZWpzb0FGZ1Q1ZVhsdDhkeHZKbTczMnRtZjhqbGNyVzlIUk9BOVE5ckNRQUFBTkF6Tm9nSHJqWTFOZW14eHg3VDl0dHZ2MHo1aXkrK3FFV0xGbW5peEluTDlUbjIyR00xZi81ODNYcnJyVjJhNDQwMzN0Q0JCeDZvQng1NFFKTW5UOWJsbDE5TzRuM2RzN0daSFNicC92NzkrNzhYUmRIdFVSUjl0NnFxcW04WCtnTEF1bXFNbVowcTZjVW9pdjRWUmRHbDJXeDJlMG5XaGI0QTBJSzFCQUFBQU9obUc4U2Q3MDg4OFlRKytlUVQzWFBQUGZyem4vOHNTVHIrK09QMTBFTVBhWXN0dHREdzRjT1g2ek5reUJCTm1qUkp0OTU2cS9iZGQxOXR2UEhHSzV6amdnc3UwTUtGQzNYTExiZG96Smd4UFhZdVdEUHUzdkt5djVsOVg5TDNNNW5Nb2ppT0g1SjByNW5kWDF0YiswbnZSZ2tBcTZiTjJqWlMwaytDSVBoSkhNZnZTTHJQM2U5Tmt1UUp0dDBDc0RLc0pRQUFBRUQzMmlDUzc3ZmNjb3NHREJpZzZ1cHFTZEtOTjk2by9mZmZYNDg4OG9oKzhJTWZkTnJ2a0VNTzBkU3BVL1hTU3k5cGh4MTJhUHNMeVhMY1hhTkdqZElXVzJ5aHBxYW1EdHVFWWJqTXRqZHJVMmpxRjhmeFk1SlNkM2N6UzkwOWxkVDJkV3BtM3Nuck5FMVRON1BsWG5jd2poZmJwTVUyM3ZLNitWSjVHZ1JCWTl2NDNEMTE5MExiTmgzTjFlNTFoL08yOUpYa2FacW1RUkNra3FwYTVtcjdQU2grVC90STJ0dk05azdUZEdrVVJZKzYrNzJmTktoazdYNlhOa3hSRkQxdVppMXZydGF2eGUrTnQ1UzFhOU8yWHUzYWREU0dpajhmSGMzVDBSakx6TjJ1VFVmdFd0cDBHay83ZVRxS1p3VmpyTko1cDJtNlRGbjdlWXJ2b3hYRzB6S0dtWFc4b0sxWVN4OVAwN1RER0ZyaWEzNGJMMzhlN1dQcDZIcXRZSXdPMnhkajZUU2VsbGhYTkZiYk5wM0VvMEtoMEZyWFdUeUZRcUhEdW5ibjNlSDRMZWRkS0JRa2FiQTZYdGZrN3B1WjJURm1ka3djeHgrbWFUcFYwaCtXTGwzNjEvcjYrcVZkK2s2aVczU3d6aTJ6OXF5Tk9pMjd4blMyUnEyMXVqYnIwSXJxV3VOdit4NWMxYldwK08rQ1FrZHJTYnYzZHJmV3RYa2ZkN2pHclc1ZG9WQm9mZDNSTld5enZyUmZXMVpVeDFvQ0FBQUE5SURQZlBMOThjY2ZWMzE5dmI3d2hTL28yR09QbFNUZGZQUE5xcTJ0MWVMRmk3WDc3cnQzMm5mR2pCbTYrKzY3TldqUUlFMmNPRkVMRnk1YzZYeGYrY3BYT3EwNytlU1ROV25TcE5VOGt6WG43cUdaWlNRRjdoNllXZUR1MXVaMTBKeVg3L0IxRUFTQmRmUzZnM0dzMktaMW5KYlh6Yi9YTmNmUU5qWXpXK1lYdnJhdmd5Qlk2ZXZPK29aaDJITHVYYmsra2xRcWFkUGlWNndkNXU1Vy9ObG8rZWFabWFtbFhNM2ZIMnV0S0g1dEtXdmJwdjBZYmV2YWo5RjJ6cGE2ZG0yV2FkOCtucmJqcnl5ZTl2TzBuSGY3TVRxYXAyMDhiYTVMcCtkZGZHOVlKK2VrSUFpV0c3OTQzSGFNYnZuN29lMzdkSFhxdTJ1TXRSV0wycXc3YTlwbVpYT3RhSXcyU1RNVmYyWTJOck9LTkUxTGx5NWR5aFlTYTEvN2RXNlpOYTc0L2VwS1hldGFVRnpUVmxyWGJ0bTB6dGFnN3F4cnJXaTNwcld0SzY1RGFoTnZwM1V0MTZFNFpHaG1xN1J0WXN2eXVLTDNWRS9VOWRTNEsxcy9WbFRmbGJXbkxkWVNBQUFBWU0xODVwUHZuZTI5dnYzMjIydS8vZmJUcHB0dTJtRy9OOTk4VTVNblQ5YmhoeCt1STQ4OFVoZGNjRUduZDdSTDBoVlhYS0d5c3JMbEh0N2ExaFpiYkxHYVo3SG1DcTZGU1pMczNHc0JyRnltc3JJeVdMUm9VZERVMUdTREJ3OE9saXhaRWpRMk5nYjkrL2UzeHNiR29MR3hNZWpidDY4MU5qWUdoVUloS0MwdERkemRtcHFhZ3RMUzBpQk5VMHZUTk1oa01rR2Fwb0c3V3lhVENRcUZRaENHNFE4bG5hZzJ2MGkySlB6ZGZZbWt4OUkwZmNUTVhtMXNiSHp1NVpkZm5qZHliSGEvM3I0b0c0SWtTYjdhMnpHZzIyUWtxYWFteGlScDhlTEYxcEtjYVdwcVd1YnJwcHR1YW8yTmpjdVVGUW9GS3hRS0pra0RCZ3hvTFd2NW1xYnBNbVY5Ky9ZMU5kOTUydHF2cFUyYXB1YnUxcWRQbjJYS1ZFd0V0aTJycUtob2JkKytuU1NWbHBaMldOZjJ3NDNTMHRKbFBzQnBQNGE3VzBsSlNZY2Y5TFFkSzVQSmREaCsyNitaVEtadG92SnFTVkg3RHhpTGE5c0g3bjUvbXFiUEJVSHd6eVJKSHUyUjd6cFdpbld1VjdXdVMrM1hwUGJyVVdkclVkdmp0dXROMzc1OXJmMzYwL0xlcjZpb3NQYnJVY3R4V1ZtWnRWK1BPbHR2MnE0RkpTVWwxbjZkNld5TmFiK0d0RjliT3FpN1dsTE1XZ0lBQUFCMHI4OTg4djJIUC95aEZpNWNxUHZ1dTIrNXVzNFM3dzBORFRydHROTzAyV2FiNlpCRERwRWtiYnZ0dGl1YzU2YWJibEtmUG4yMDQ0NDdkbFBrRzV5bSt2cjYxb1BaczJkMzYrQlJGTTFwZVYzOFJYS2h1MDl6OS9zV0xsejR3TXlaTStkMzY0VEFocWxKa21wcmExZmFzTHZmNHh1cUtJcGFuMUZSWE50bVMvcWpwUHVTSkhtU3ZabUJsYTlMckVkU0ZFV3QvdzVpTFFFQUFBQzZ6MmMrK2I3MzNudHI2dFNwWFdwNzJHR0hhZlRvMFRyenpEUDExbHR2NmVhYmIxWjVlWG1QeDRpMXd0eDlucVQ3MHpTOTcrT1BQMzVvMXF4WkRiMGRGQUIwZzljbDNWY29GTzZkUG4zNjg3MGRESUQxRm1zSkFBQUEwTTArODhuM1ZiSDMzbnZyckxQTzBoTlBQS0dMTDc1WW8wZVA3dTJRMEUyQ0lMaWx0cmIyaWpZUGdnU0E5VjVEUThNQnI3enl5anU5SFFlQTlSdHJDUUFBQU5Bek5wamsrK0xGaS9YVVUwOUpuVHg4ODUxMzN0SHBwNSt1VjE1NVJSZGVlS0VtVHB6WUMxR2lwOVRXMW43UTJ6RUFRSGNqV1FhZ083Q1dBQUFBQUQxamcwbStmL0RCQi9yRkwzNGhTUm8wYUpCS1NrcWs0djd1di8vOTd6Vmx5aFQxNzk5ZlU2Wk0wZmp4NDFkNS9DVkxscWh2Mzc3ZEhqY0FBQUFBQUFBQVlQMnp3U1RmUjR3WW9YdnZ2YmYxK00wMzM5UlZWMTJsUC8zcFQvcmtrMCsweno3NzZNYy8vckg2OWV2WHBmSHV2ZmRlelo0OVcvMzc5OWVISDM2b1YxOTlWZC83M3ZkNjhBd0FBQUFBQUFBQUFPdUxEU0w1UG5IaVJGVlZWYlVlWDM3NTVicnR0dHRVVVZHaFBmZmNVd2NlZUtDKzhJVXZyTktZTTJmTzFGMTMzU1ZKeW1ReWlxSkloeDU2YUxmSERnQUFBQUFBQUFCWS8yd1F5ZmNCQXdab3dJQUJyY2NISFhTUXFxdXJ0ZTIyMjZxOHZIeTF4ano1NUpOMThza25xMUFvS0FnQ21WazNSZ3dBQUFBQUFBQUFXSjl0RU1uMzlvWU1HYUtkZDk2NVc4WUt3N0JieGdFQUFBQUFBQUFBZkhZRXZSMEFBQUFBQUFBQUFBQ2ZOU1Rmc2E3Z1p4RUFBQUFBQUFEQVp3WUpUNnlTYkRaN1lEYWIzYk9qdWppT3g4VnhmRzZiNDIvR2NYeHNGNGExT0k3elVSU2QwcTNCQWdBQUFBQUFBRUF2MlNEM2ZNZnFDNExnUkhlL3JPVjQ3Tml4Ry9mcDAyZTBKS1ZwR3B2WmZuRWMzeTlKN3I2N21XMFp4M0d0SkRVMk5yNDNZOGFNTjl1UEdjZnhYcEltdVB1MHRYczJBQUFBQUFBQUFOQXpTTDZqeTZxcXFvWkxxZ3FDNE1uS3lzcCtrbFJhV3JxTnBMTWx5Y3cyTXJQaGtxNHFkdG5VM2Z1WTJWV1NsTWxrL2pocTFLaUwrL2Z2LzdWMlE1L3U3bThFUVRBOGp1UGhLNHFocWFucGpicTZ1dGQ2NkJRQkFBQUFBQUFBb0Z1UWZFZVhoV0g0LzBsYTZPNnZsSldWTlVoYTRPN241bks1TDBuU2hBa1RKbVF5bVNPU0pEbE96WGUwNyszdVg4emxjcGUyakZGWldUbE0wdjN0eHpZemRWVGVYaEFFNTByNldiZWZIQUFBQUFBQUFBQjBJNUx2NkpLeFk4ZHViR2JIUzlwTDByR1Nua2lTNUg4bEtZcWl2S1RQUzFwcVpwa29paFpKK3RqZGZ5WnBZUlJGSjBrYTZ1NkQ4L244WEVuV01tNGN4NDlLc2x3dXQ0dWFFL2hmTENrcE9hK3BxV2x5WFYzZDdONDhad0FBQUFBQUFBQllYVHh3RlYxU1VWR3h1N3Mvbjh2bG51cW8zdDMzU1pKa21MdnYwYWI0cWlSSmhpVkpNc3pNNXJYdkU4ZnhIcEoyU2RQMGpKYXlUQ1l6V05Ja1NRTjc2bHdBQUFBQUFBQUFvS2R4NXp1NlpNR0NCZmYyNmRNblYxbFpPY3pkeTgyc2YyVmw1YkNLaW9xbU5FMWxabmRHVWRSZ1pxWHVmcXVhdDVJNU9vcWkvZFdjbkIvVWJzaEEwb1h1L21BK24vOTdyNXdVQUFBQUFBQUFBUFNRdFpKOHIzLzFOWDMvQno5YUcxT2hBL1d2cnZuelNUZmFhS052bWRuZG1VenJqOHgvbDVlWFgranUvelN6MzBoNnpOMS9VaWdVcmpDem5jd3NkUGQ5UHZyb283OUwwdURCZzg5NC8vMzNsN1IwanFMb0lIY2YzOVRVZE5BYUJ3Y0FBQUFBQUFBQTY1Z2VUNzVtbEs3TUFBQWdBRWxFUVZTNy9QNzU4eGZxdWVkcmUzb3FySWo1MURYcG5pVEpQUzE3dGNkeGZLZTd0Kzc1cnVaaytubG10cnVaL1M0SWd1R1NEblQzd3djUEh2elZZcE9uQmc4ZUhNeWUzYnFOK3pja1dTYVRlVGFLb3Y4TDB5eFE4L1l6ejBkUmxDNXpDbWJmNkd6Ym04KzZqei8rV0hQbXpGRmxaZVZLMjliWDEydlRUVGZWeGh0dnZGWmlBd0FBQUFBQUFMQzhIaysrLy92VjZiK1M5S3VlbmdjOUw0cWk1ODNzQjIyT2p6T3pUZE0wL2F1WlRaYjBkQkFFaHhTciswazZXdEluTGUzRE1LeVQ5R254OEZKM3Y2dURhYll3czB2Yy9SUjMvMC9iaWlBSVh1bXBjMXZYUGZQTU03cnd3Z3YxNUpOUHJyVHQwVWNmcldPT09VYVRKazFhcnU2YWE2N1JOdHRzb3ppT2x5bC8rT0dITlhEZ1FIMzV5MS9XM1hmZnJacWFHbTJ4eFJiZGVnNEFBQUFBQUFEQWhvUTkzN0VxK2pRMU5ZVXRXOCs0ZTZtWmpUYXpvOXc5bEhTZHV6K241a1Q1cm1tYVhtWm1yNnY1cnZXbFNaTE1hUmtvU1pJWEpiM1lmb0lvaXI0a1NZVkM0Ykc2dXJxWDF1YkpkYmQ3NzcxWGwxNTY2V3IxM1dpampUUnQyalM5OGNZYkdqMTY5REoxSDM3NG9jSXcxTUNCQXpWbnpoeVZsNWRyOE9EQlhScDM2dFNwMm5qampaZEp2aTlkdWxRWFhuaWhKazJhcEsyMzNscVBQZmFZSG56d1FkMTAwMDB5czlXS0h3QUFBQUFBQU5qUWtYekhtbnJiM1E4M3M2c2tYUm9Fd2VKaSthQXdESytYdEZUTmlmclhKZTNadTZHdVhZMk5qVnF5WklrdXVPQ0M1ZXBlZXVrbDNYYmJiVHJwcEpNMFpNaVE1ZXBMU2tvMGE5WXNIWGpnZ1hyd3dRZVhxYnZsbGx1VXkrWDAyOS8rVnIvKzlhODFmZnAwWFhycHBSbzNidHhxeFRsdDJqUXRYTGhRKyt5emp5VHBoQk5PMElFSEhxajc3cnV2dFF3QUFBQUFBQURBcWlINWpqWGk3b1Y4UHYvSEtJcXVjdmNEa3lSNVFzMTNzTTh0RkFwN3RyOTdQWXFpYjdqN3BwMk5aMllqMWJ6biszOW5zOWt2ZGRTbXNiRng2c3N2dnp5dis4K20rNW1aZHR0dHQrWEsvLzczdjJ2Q2hBbmFmLy85VjlqL0MxLzRncVpPbmFwaHc0Wkp6ZGRiano3NnFIN3dnK2JkZjg0ODgwejk3R2MvMCtHSEg2NHp6amhEMy9qR04xWXB2a0tob0J0dnZGR2pSNC9XSzYvODM2NCtPKzIwazVxYW12VFVVODFiN0E4Y09GQVRKa3hZcGJFQkFBQUFBQUNBRFJuSmQzUWJNM3NnanVNbU5TZUorMmN5bVdmaU9FNkx4NjhuU2JLMW1SMXJadHVzWUpoTXNmM2tJQWdLSFRVSXcvQkZTZXRGOHIydHZmZmVXKys5OTU0a2FjbVNKUXJEVU50dnYvMXk3UTQrK0dBZGRkUlJrcVRkZHR0TlU2ZE8xWkZISGlsSmV2SEZGelZ2M2p6dHNjY2VrcVNLaWdwZGZQSEZPdi84OC9YS0s2OTBtSHovOE1NUDlZOS8vRU9TMU5EUW9KZGZmbGtQUHZpZ050MTBVLzNuUC8vUlcyKzlwWDc5K3VuY2M4K1ZKQzFldkZpZmZ2cXA2dXZyVzhlSW9ram5uMzkrajF3WEFBQUFBQUFBNExPSTVEdFdTU2FUK1pxN2Y5N01kcEhVVjFMYmg2RHUxOURROEpRa2xaV1YvVE5OMDI4dVhicjBGVFVuaVZOSnl1VnkzMXpSK0ZFVWZjbk1YaWdVQ2p1dTczdSt0N2Q0OFdMdHM4OCsybVdYWFRwdGMrNjU1MnJwMHFXdHg3dnV1cXYrL2U5L3E2R2hRWkkwWjg0YzdiSEhIdXJmdjM5cm15QUlkUHJwcHl0TjB3N0hmUHZ0dDNYbGxWZEtrajc5OUZNOStlU1Rldjc1NTFWVlZhVmNMaWRKeXp5ZzlhNjc3dEwxMTErdmFkT21kZE9aQXdBQUFBQUFBQnNla3Uvb01uZC9XRkxXekpJMFRSY0dRWkIxOTdaTnppNHZMNTlYYkR2UXpDNHJMeTlmV0R4V0ZFVlBKRW15L0Fib0c1RGh3NGNyaXFKTzYvdjI3ZHY2dXFHaFFXVmxaVHI2NktQMXhCTlBLRTFUeFhHc09JNDFkKzVjYmJMSkpycm1tbXMwYWRJa0RSMDZWRUVRZERobVZWVlZheUo5anozMjBLR0hIcXBKa3licHJMUE9VbE5Ua3lvcUtucmdUQUVBQUFBQUFJQU5HOGwzZEZrK24vOUoyK05zTmpzeVRkT3lOa1YzdWZ2MDR1dExWRXk2dHlnVUNuUFhVcWpyalBZSjhZc3Z2bGlYWEhKSnArM1RORlZOVFkwazZZVVhYdEQvL00vL0xGUC9uZTk4UjVJMGV2Um9UWmt5UmZYMTlabzBhWkxPT09PTUZkNVIzOTdTcFV0VlYxZW55Wk1uNjRvcnJ0QTExMXlqbTI2NlNXcXo3VXpMMWphU2ROeHh4Mm5QUFRlbzUrVUNBQUFBQUFBQWE0VGtPMVpiUHArZjFmSTZTWkxoM1RGbWtpUXZTckx1R0t1M05UVTFLWk5aOWkxMjJHR0hyVENKZmNvcHA3UyszbTY3N1ZvZmVIcjQ0WWRyenB3NStzdGYvaUlWay9ybDVlVzYrdXFyZGYzMTErdWtrMDdTT2VlYzArVUVlV2xwcWE2Ly9ub05IanhZVjF4eGhiNzk3VyszSnU4ZmUrd3hQZkRBQTh2czhUNWl4SWhWUEhzQUFBQUFBQUJndzBieUhlZ2hTNVlzVVZsWldSZGFkaXdNUS9YcDAwZEprdWoxMTE5WGVYbTV6ajMzWEIxMjJHSGFZb3N0cEdJUy9zZ2pqOVNYdnZRbFZWVlZMVGVHdTh1czQ4OHlCZzhlM1BxNjdYWTRyNy8rdWpLWnpBcTN4d0VBQUFBQUFBQ3dZaVRmZ1I2eVlNR0NaZlp3bDZRYmJyaEJOOXh3d3dyN2JiZmRkc3NjLys1M3Y5T0lFU1AwMFVjZnFYLy8vanJtbUdOMDAwMDM2WE9mKzV3Ky9mUlR6WjA3VncwTkRabzZkV3JyNjkvOTduZTYvZmJiOWU2NzcrcWVlKzdSOE9IZDhoOFRBQUFBQUFBQUFIUVJ5WGVnaDd6Nzdyc2FNbVJJNi9INTU1K3ZUejc1Uk50dnY3M01USGZlZWFldXV1b3FQZjMwMDNKM3ZmWFdXMXEwYUpFR0RCalEydWZaWjUvVk04ODhvNk9PT2tvMzNIQ0RKaytlckxmZWVrdFRwa3hSV1ZtWjdyNzdia2xTUlVXRk50MTBVdzBiTmt5U3RNVVdXMmpublhmV1pwdHRwazAyMmFURCtCb2FHdFRVMUNSSit0V3ZmcVVycjd4U0ttNlgwOVRVcE8yMzM3NjE3U21ubktKdmZldGJQWFNsQUFBQUFBQUFnTThla3U5QUQzbnR0ZGMwWWNLRTF1TkJnd2JwMkdPUDFjRUhINnlqano2NjlXR3NtVXhHTjk5OHM2Wk1tYUlycjd5eWRYLzFoUXNYNnB4enp0RisrKzNYbXNRUHcxQVhYM3l4U2t0TE5XZk9ITzJ6eno0YU5teVkrdmZ2M3pyUHhJa1R0YzAyMitqYjMvNzJNdkc0dTl4ZFR6MzFsQjUvL0hFbFNkSzZyL3NoaHh5aXIzLzk2NUtraHg1NlNILzR3eDkwM1hYWHRmWWRPblJvajE0ckFBQUFBQUFBNExNbTZPMEFnTStpV2JObWFkYXNXYXFwcVpFa0xWcTBTSk1uVDlhUUlVTjA4TUVITDlmK2dBTU9VRGFiMVhISEhhY1hYbmhCa3ZUTU04OUlrbzQ4OHNobDJsWlVWQ2dNUTQwWU1VSmJicm5sTW9uM2pyejIybXY2MmM5K3B0MTMzMTBmZlBDQlhuenhSV1V5R1oxd3dnbUs0MWlTTkdUSUVJMGFOVXFqUm8zU2tDRkRGSVpoNi9Hb1VhTldPZ2NBQUFBQUFBQ0FaWEhuTzlBRC92akhQNnEwdEZRNzc3eXpDb1dDVGp2dE5MMzk5dHU2OGNZYjFhOWZQNm00dlV2THcxQkxTMHQxNmFXWDZ1aWpqOVlKSjV5Z2E2KzlWanZ0dEpPR0R4KyszTDd4cXlwTlU3MzQ0b3VhT0hHaWR0aGhCMzNsSzE5UlJVWEZNbTArL2ZSVGZmREJCNjJ2MHpSdFBWYnh3YTV0SDlBS0FBQUFBQUFBWU1WSXZnUGRiTTZjT2JyenpqdjFyVzk5UytYbDVmclp6MzZtdi8vOTc3cm9vb3RVVVZHaFcyKzlWZjM2OWRPRER6NjRURUs3dkx4Y2wxMTJtUTQrK0dDZGVPS0ptanAxcWlvcks5YzRubkhqeG1uYXRHa3JiSFAxMVZmcjZxdXZYcWFzWlJzYVNlclhyNStlZlBMSk5ZNEZBQUFBQUFBQTJGQ1FmQWU2V2FGUTBKQWhRM1RNTWNjb0RFUEZjYXh0dDkxV08rKzhzOTU0NHcxZGNjVVZVakdoZmVLSkp5N1RkK0RBZ2JyeXlpdjF3UWNmcUx5OGZLM0ZmT0tKSjJyZmZmZnR0TDdsRG4wQUFBQUFBQUFBWFVQeUhlaG1JMGFNMEoxMzN0bTZ2Y3grKyszWFdqZDY5R2pWMXRZcVRkUFdCNjYydC9ubW0ydnp6VGRmcG16UFBmZlVubnZ1MmFYNVYvVU85Yi8rOWErcjFCNEFBQUFBQUFEQXl2SEFWYUFIdENUZU85Tlo0aDBBQUFBQUFBREFad01aUUFBQUFBQUFBQUFBdWhuSmR3QUFBQUFBQUFBQXVobkpkd0FBQUFBQUFBQUF1aG5KZDJBOWNNUVJSK2pCQngvczdUQUFBQUFBQUFBQWRGR210d01Bc0hKejVzelJnZ1VMSkVtTEZ5L1dicnZ0dHRJK0YxeHdnWGJjY2NlMUVCMEFBQUFBQUFDQTlraStBK3VaMHRKUy9mS1h2MXl1dkZBbzZMYmJidE5MTDcya0xiYllRcHR2dm5tdnhBY0FBQUFBQUFDQTVEdXczZ25EVUR2dnZQTXlaYSs5OXByT1B2dHN2Zm5tbXpycXFLTjA2S0dIS3BQaDdRMEFBQUFBQUFEMEZySnp3RHJxZ3c4KzBLT1BQaXBKV3JSb2tYSzVuQ1JwOU9qUml1TllrdFRZMktqcnI3OWVOOTk4c3laTW1LQTc3N3hUSTBlTzdOVzRBUUFBQUFBQUFKQjhCOVpaNzcvL3ZtNi8vWFpKMHFlZmZxb1hYM3hScjc3NnF2YmFheS9GY2F5WFgzNVpaNTk5dHQ1OTkxMmRkTkpKMm5mZmZXVm12UjAyQUFBQUFBQUFBSkx2d0xwcjNMaHgrdE9mL2lSSjJtdXZ2WFRJSVlkbzBxUkprcVRycnJ0T1U2Wk0wZENoUTNYNjZhZHJrMDAyVVQ2ZlgyNk1rU05IYXRDZ1FXczlkZ0FBQUFBQUFHQkRSL0lkdlMyUWxQWjJFT3ViYWRPbUtVMVR6WjA3VjZlZWVtcW43UzY2NkNMdHV1dXVhelUyQUFBQUFBQUFBTTJKVDZBcmx2dFpxYXFxR3JPbVAwTlJGRDBXUmRHdlY5Um03Tml4RzBkUmRIdGxaZVd3TlptcnlPSTR2cnltcG1hTGppcEhqaHhaSGtYUitWRVVuZGtOYy9XWXUrNjZTMDg5OVpRR0RCaWdVMDg5VmM4ODg0ek9QLzk4bFpTVTZNa25uOVNUVHo0cFNhcW9xT2p0VUFFQUFBQUFBSUFORW5lK3I0ZWlLSHJFekhaMTkyZVNKTmxCa3JkdkU4ZnhRWkp1UzlQMDBIdytmM1A3K3NyS3luNWxaV1huU3hxVkpNazN1akRuTkVsdkprbHlWUEc0MHN4ZXptYXozOHZuODNkMzFDZWJ6UjRSQk1IRkhWUWRsc3ZsN28yaWFEY3ptNWltNmU4NlNxelgxOWUvSzhuNzl1MjdPRTNUYkZsWjJSMlNkcE5VcUs2dTNqSUlndHpLNHBiMGx5Uko5bXM1cUtxcTJrclM4WVZDNGZJTzJ0cWdRWU51a3ZRdFNSVW1mN2tMNC9lS2twSVNQZmZjYzFxd1lJRjIyMjAzbFpXVnFhNnVUbVBIamxXL2Z2MzA4Y2NmU3lUZkFRQUFBQUFBZ0Y1RDhuMDlabWJiWmJQWkgrWHorU2xkN1RObXpKaU4rdlRwYzZpa241clo1eVE5dExJK1VSVHRhbVpmYy9kaldzcVNKS21QNC9qcElBaE9sWFJQUng4QUJFRlFKbW0rdXgvV0p1WS91SHRwOGZEc1lydnJ5c3ZMbDV1M3NySnlvL3I2K29XMXRiV0w0amplMzkyZmo2TG9uQ1JKVHN0a011OFdDb1Vmcnl4Mk0zdXI3WEVtazluTzNmK1Z6K2RudFdzYVJsRjBrNW50SzJrUFNkOEl6RTVZMmZocjI5dHZ2NjFQUHZsRVk4ZU8xVzkrOHh2dHV1dXVHamh3b0NUcEgvLzRoN2JiYmp1cCtJQldTZXJidDIrdnhnc0FBQUFBQUFCc3FFaStyNzhhM1AwL1puWmhWVlhWbitycTZ0NWJXWWZ4NDhlUEtDMHRmVjFTdWJ2ZjQrNzdtTmtLKzR3YU5hcE0waFh1L2thU0pPMlQvTCtVTkMyYnpaNll6K2N2NldTSVJVbVNQTkp5RU1keG81cnZpai9Hekxaejk2c0toY0tGYmRvUERjUHdVVWwxOWZYMW43WVU1bks1dWlpS1RqS3pNN2ZhYXF0TGFtdHI1MGxhN283K3ptU3oyZjNNN0xiaXo3eEZVZFJRckpxN1pNbVNiY3JLeXU0d3N4MGtIWlRMNVI2VDlMY3ZqcXMrVE5MZ3JzN1IwKzY0NHc1ZGNza2xPdkxJSTVYTDVmVEdHMi9vZ2dzdWtDUTkrK3l6ZXZQTk4zWGVlZWRKSk44QkFBQUFBQUNBWHNlZTcrc3BkeTgxczhsbU5paVR5VnphbFQ0bEpTV0J1ejhzYWRja1NmWXpzK1h1Vm05dm80MDJPbGRTcGJzZkthbXBiVjB1bDN2STNXOEpndUM4NnVycXJic2F1NW1OQ1lMZ1luZi9rNlFqSkEyc3E2dWIzZFRVOUY0bWs3bkV6QUpKaDdTL216NUprbDgzTlRWdDlmTExMOC9yNmx3dEZpOWVQQzBJZ3F5N2YySm14d1ZCa0RXenlOMS9XMVpXVm1kbU8wcjZqYnQvR0VYUmJsRVVmZFZkYjYvcVBOMnBzYkZSMDZaTjAyR0hIYWE1YytkcXlKQWh1dXl5eXpScTFDaGRmdm5sT3Y3NDR6VjgrSEJKMGcwMzNLQ3R0OTVhbzBlUGxpUXRXTEJBa3RTdlg3L2VQQVVBQUFBQUFBQmdnOFdkNytzcE13dHl1ZHo5VVJUOXdjd09pcUxvNWlSSkhsMVJueVJKL2kzcHY3czZSeHpIazl6OUo1SituYy9ubitpb1RSQUV4N3Y3amtFUS9DV0tvcThuU2ZKaTIzcDMzektLb29WdGl2cEsyc3JkbjArU1pKOG9pbjRmaHVGRFVSVHRhV1lYU3RwQjByN0ZXSmRUVjFmM1hrMU56ZGcwVGIvYjFmT1E5TThrU2U2WU1HRkNTVWxKU1g5M2I1QjAvcng1ODc0L2FOQ2d2U1JOZC9kYnpleDBNOXZ0Lzg3TlJxekNITjJ1dHJaV3A1OSt1cmJlZW10ZGYvMzFpcUpJOTk1N3J5Njg4RUx0dmZmZU91Q0FBeVJKdi8zdGI1WFA1elZseXYvOXg0VDU4K2RMSk44QkFBQUFBQUNBWGtQeWZmMTNuS1N2U2JwMjFLaFJFMmJPbkxta093YU5vbWduZDc5RjBuTUxGaXc0dWJOMnRiVzFuMHlZTU9Gcm1Vem1LVE43TklxaS9aTWsrVXRMdlpuTlR0UDBFRE83WEZKdG1xYTNwV2xhUDc4NU81dzJOVFVka2Nsay9pRXBrWlM2Ky81Smt0emYwcittcHViemFacld0NW55MGtLaDhMU1o3ZCttN0wvTWJLQzd2eUlwN1NETXB5WGRVVkpTc29lN1ArM3VCVFBiYk5hc1dRMzkrdlhiSXdpQ2ttSzd4eVZwMGFKRjgyZk9uRGwvNU5qczQ1Syt1b2FYY3JWOTVTdGYwYTIzM3FxdHR0cEtrdlNmLy94SEYxMTBrUTQ2NkNEOStNZk4yOTIvOE1JTHV2TEtLM1hZWVljcGlxTFd2blBtek5IZ3dZTVZobUZ2aFE4QUFBQUFBQUJzMEVpK3IrZVNKSmtUeC9GcFpuWlYvLzc5VDVWMDFwcU9HY2Z4SHU1K2o2UjNDb1hDZDFvUytqVTFOVVBTTkwxQTBxK1NKR2xOaU0rWU1lUE5LSXErNXU0UG05bURVUlQ5YjZGUW1Kekw1YTZ0ckt5OHJyNitmbWtVUlI5TCtsZjdPK2lESUJncHFkSE16TjBiekd6THFxcXF2blYxZForcWVldVZEOE13L0pHYUUvbS9kdmV5ZkQ3L1YwbmoxZnhRMXRMeTh2S1o3djVDa2lTN3IrVFU5ald6TzkzL2J6ZWJsMTU2NmQwb2loYWFXZXZtNkJ0dHROR0ZrazROVFArMXB0ZHlUWmhaYStKZGtqNy8rYy9ydnZ2dTAyYWJiU1pKZXZqaGgvWHpuLzljWC9yU2w3VC8vdnZydXV1dWEzMzQ2cTIzM3FvNGpuc3RkZ0FBQUFBQUFHQkRSL0w5TXlDWHkxMGJ4L0ZCN241S1ZWWFZIWFYxZGErdDdsaGp4NDdkV05KZFpqWTNUZFBkMmo3STFkMS9abWFIUzdwYlV0dTcwWlVrU1gxVlZWVWNodUZka21ybXpadVhSbEgwVlRQYlI5S3g3ZWNwSnZKUE5MTVQzZjNsTkUyM0xtNkpjMllZaHNmSGNYeTN1Lzh4U1pJbkpOMnA1cnZ4TDJnL1RsbFoyV0h1UGp4TjAvOHV0dGxXMHBrTEZpejRUdHYvQlJCRjBlZmNmV3N6dXlvSWduSHV2bEYxZGZVTzdqNnJlRzVidWZ1aUlBaGE1Z2dEMCtqVnZZNDlwU1h4UG5mdVhQMzg1ei9YVGp2dHBIUE9PVWRCRU9qV1cyL1Y0c1dMWldZYU4yNmNqanZ1dU40T0Z3QUFBQUFBQU5oZ2tYei9iRWdiR3h1UExDa3B5V1V5bVdzbDdiSzZBNzM2NnFzZlJsSDA3U0FJWHMvbjgrKzBsTWR4UE1yZGo1WjBaNUlrRDNYVXQ1aW8zeTJLb3NHelo4OWVQSFRvME0wa2ZhV2wzc3gyaktMb2xPWmN0NTlaL0hyQmtpVkxmbGxmWDc5VTBndHhITi9zN3FkSU9sVFNFVnR0dGRWbW5UMWd0YWFtcGsrYXBxZWIyZSttVDUrZVNGS2FwaCtHWWZqVmZ2MzZuUy9wSnkxdG01cWFOaTRwS1prdjZTcEpwV1pXR29iaEE1TE9jbmVaMmNhUytyaDcrZXBldTdWcDJMQmh1dkhHR3pWbXpCZ0ZRZk56azU5Kytta1ZDZ1c1dXpJWjN0b0FBQUFBQUFCQWJ5SkQ5eGt4WThhTUdWRVVYV3BtUDQyaTZPQTBUZE9XcE95cVNwTGt5ZlpsN242bG1TMXVhR2c0b2FWc3pKZ3hHNFZoMkxlK3ZuNXVtNmFGSkVuZTcyaGNkeDlmVEhKZjd1NFBTcnJmek40ckx5L2ZwZTBXS1daMlQ2RlF1TnJNT2syOHF6blJmcXFaRFRDejFqM3BwMCtmL25vY3grZVkyUytqS1BwenkwTm9aOHlZTVVQU1FFbktack0vRElMZ3FGd3V0NDJhNzRyL3BidGZXTnd2ZnBTa1YxZnJ3cTFsNDhhTlc2Nk1QZDRCQUFBQUFBQ0FkUVBKOTgrUTk5OS8vK3loUTRmdUorbFNkY1BlN3kyaUtQcXVtWDFEMGxGdEUrMTkrL2I5VS9GTzhaMGtOWFZocUd0enVkd3YxWndBTHcrQzRCWjMvN1NEZG4yQ0lEZ3RTWkxsdHBscFVWMWR2WU9aVFpiMDh6Uk5tK0k0SHBXbTZTQjNIeVRwUDVJV1NacFNVMU16dnJhMmR0SEtBbHV5Wk1udTlmWDFDNk1vdXI0TDV3RUFBQUFBQUFBQUswVHkvVE5rOXV6Wml6ZmVlT09qd3pCOFNOTGs3aGl6cXFwcXFLUnJKRDJReStWKzA3YXVxYW5wMUV3bTgvYzRqcy9MNVhJbmR6NUtwejVNa21SSSs4STRqbDl0KzFEVURnUmhHUDVlVXJta0M4M3NRalUvdkZXU0dpUjlKR21XcEhGcG12NUMwdVN4WThkdVhGRlJFVW42dktROTNYM0xPSTZmbGZRUGQxZFpXZG01VVJRMW10bld4YnZ5QVFBQUFBQUFBR0MxcmQ2K0pGaG5UWjgrL1dGM3Y5M01OdStHNGNJd0RHODNzNEs3SDlhK3NxNnU3aDlwbWw3ZzdwT2pLUHBHVndmTlpyTURWeldRbXBxYVBzVTkyYTI0UGN5NTduNm11Ky9YMU5TMGpidVBiR3BxNnBmTDVTcHl1ZHpua2lRWkwra21TWitUcFBMeThsM003QytTVHBVMHJuaG4vRytibXBxdVYvTldOMitiMld4SkxYZmllM0VlQUFBQUFBQUFBRmhsUFg3bisrWmpzMGU0ZEVCUHo3TWhhU3A0ZFVuR05ISnM5dkdPNmo5ZW5KWU1xQWlhQXJQTTRrYi82Y2l4MlIrWWRQdS9YczFQNmVvY1ZWVlZmVE9aelA5SzJ0WGRqemF6SVZWVlZTT0NJS2dvYmd2VFQxSmZTWE9MZDV2Zk9IYnMyUEd2dnZycWg4WCtROTE5dktSaGNSeGZKR21NcFBIRkI2NCs1ZTUvV0lWWWhxWnArb0NaRFpKMFpIVjE5ZjI1WE83cWxmVmJzR0RCc1RObnpseWk1azhSL2lpcFR5NlhhMnl6NS92VmF0NVdSdzBORGRjVXQ1MFpYK3hlYUVyMU4wbGY3V3FjQUFBQUFBQUFBTkNpeDVQdkxoM1F2MysvcjFhT0hkUFRVMjJJdXBJWUhsdi82bXRqNTg5ZktFbkxKTjl6dVZ5bjMvOHdEQytRZEpDYTd3cS9WcEl5bWY5cjd1NXVaZ3ZkZllHWi9VZlNGL3YwNlhPdHBPOFYrMndsNldSSi8zSDNyY3pzdGpSTlh6YXpsNE1ncUM4VUNnZTQrK0FvaXVaMk1IM3JWalRaYkhaZ0VBVFB1bnUvTkUyL0hBVEJpVUVRL0MyTzR3Y2wvYzNkUHpDenBaSWFKUzFOMDNTcEpEZXpQcEw2UkZIVXg5MkQydHJhYTFaeW5mcEZVVlJoWmlQYy9UK1NRcE1HZGVINkFnQUFBQUFBQU1CeTFzcWU3NVZqeCtpT1czaU9aVy81L2c5K3BPZWVyMTNWYnBkSU1uZC9XZEo3N3Y2aG1YMFVCTUZIa2o3SjVYSUwybTdMRWtYUmVaSittczFtcy9sOFBqOTkrdlMvVlZaVzlxK3ZyMS9ZMGVEWmJGWm10akJOMDZNNnFMNnE1VVUrbi84NGp1Ti91L3RQOHZsOFh0TEIxZFhWOXdkQjhFTkp4MGpxTHlsMDk4RE13aUFJckxobGpMdDdhbVl1NmU0Vm5haVpOWlNYbDA5MDk4bnUvejk3ZHg0ZVJaVzJEZngrVG5WMmxnQWlPS0NDUmdnUmtxNksyNHppTnVJdWpvamk0QXJPb0NPTWpnNnlxQ0NpdUlJQ2lxOE9PQUlDNHdydW40S0NLNkxRMVoyd1MzeGxjMERaRTVhUTdxN3ovWkh1Zmp0Slo0TU9TY2o5dXk2dVZKMnRUbFdxVCtpbnE4L1IyNExCNEdzQWdvWkNWbTB2R2hFUkVSRVJFUkVSRVJHNDRDcFZ4dXYxYmdBd3BLYmx0MjNiOW1qcjFxM2Z5OC9QOTRXU2dwVUYzbEVhVko4R29MSlBaTjZOM2hHUlMzdytueis4bjVlWDl5YUFOMnZhdHhqSG5nNWdlbmpmdHUzd2svWnZSSmNMT1BpVzA4NFFFUkVSRVJFUkVSSFJvV0R3bmVKaTgrYk5Celp2M3Z4OVhiVHQ4WGo4TlNoR1JFUkVSRVJFUkVSRTFHQ28rdTRBRVJFUkVSRVJFUkVSRWRIUmhzRjNJaUlpSWlJaUlpSWlJcUk0WS9DZGlJaUlpSWlJaUlpSWlDak9HSHduSWlJaUlpSWlJaUlpSW9vekJ0K0ppSWlJaUlpSWlJaUlpT0tNd1hjaUlpSWlJaUlpSWlJaW9qaGo4SjJJaUlpSWlJaUlpSWlJS000WWZDY2lJaUlpSWlJaUlpSWlpak1HMzRtSWlJaUlpSWlJaUlpSTRzeFYzeDJvYS9uNStmanBwNThPdVg1U1VoSXV2L3h5QU1ET25UdHgxVlZYMWJxTjNyMTdZL2p3NFlmY0J5SWlJaUlpSWlJaUlpSnFYSTc2NFB0WFgzMkY5OTU3cjBMNnpwMDdrWlNVaExTMHRDcnJ0MnpaTWhKOFQwMU5yWEVRZmN1V0xmajN2LzhOeDNIUXBVdVhRK3c5RVJFUkVSRVJFUkVSRVRWR1IzM3dmY2lRSVJneVpFaVp0THk4UEF3Y09CQ1BQUElJZXZYcVZlTzJrcE9UMGJ0Mzcyckx6WjgvSDNQbXpFR3JWcTN3K09PUHc3S3NRK283MVU2M2J0Mk9XNzE2OVpiNjdnY1JVVjNqZUVkRWg0cmpCeEVSRVJIUmtYUFVCOTlqbVR4NU1ycDA2WUtMTHJvb3J1MFdGeGRqL1BqeG1EZHZIbnIyN0lreFk4WWdQVDA5cnNlZ3lpVW5KOCt4TE9zNHJmVmNFWG5IdG0xUGZmZUppS2d1Y0x3am9rUEY4WU9JaUlpSTZNaHBjc0gzVHo3NUJENmZEMU9uVG9XSXhLM2RkZXZXWWNTSUVmamxsMTh3ZE9oUS9QblBmNDViMjFRclhVVmtKSUNScG1tdUJ6QlhhejNYNS9NdEJxRHJ1M05FUkhIRThZNklEaFhIRHlJaUlpS2lJNkJKQmQrM2JkdUdKNTk4RW4zNzlvMzdWREJQUHZrazl1N2RpeGt6WnFCcjE2NXhiWnRxUit2SWU4Wk9BTzVUU3QxbldkWVdBUE8wMW5POVh1OFhBSUwxMjBzaW9zUEg4WTZJRGhYSER5SWlJaUtpdXRka2d1K0JRQUFQUGZRUWlvcUs4TUVISCtERER6K3N0czc5OTkrUFAvM3BUd0NBWURBWS9TYWxBcTAxTWpJeWNQTEpKeU1RQ01Rc1l4aEdYSisycncxRDBNeXlySVZhYXdlQUl5Sk9hRnVIdDZQU1ltMXJBSkZ5c2NxS2lCTXFvMFhFY1J3bnVtd2dsQStVWGk5SGF4ME01MGVWMWVIdDZHTkZ0eFhlZGh4SFI2Y0JhQXVnekRVTy84NjAxc2VKeUYwaWNwZGxXVHNjeDNrZndEc2xKU1VMVnExYVZWSXZ2eFFDQUppbXVVaEV3aSt1eU0vUTcwNkgwOHFWaWM1SDZENk8xVWFadEhpMFVhNHRIZDNaeXZvYnE0M3l4NnF1alpyMjEzR2NNbjByMzBaVWZuWDlkYUpmczdVUUFBREhjV0sySGIxZCtyS3RlQjdoL1RpMEVkMU96THlhSHFzbWJRU0R3VWo1eXZvYkRBWmoxbzNWUm5TWjhtMEFhQTJPZC9WS2dHWlI0MWZNMTNzVnIrRXE4eEI3akNuZmJtVmpUSzNxVjVKWGszYXI3SFBvYjNSVjE2TFN0a1BqVkxDV1kxQWd4cGhRb2QzeWZhbGlEQ2cvMWxUMjJxKzJmcXk4OEhiMDJGSytYOEZnTU9ZWVVObDRVVzQ4aWRsMjZDZkhEeUlpSWlLaUk2VEpCTjhmZSt3eExGdTJEQUF3ZE9oUUpDY25WMW4ra1VjZUtSTkV2L0RDQzdGMzc5NXFqM1BtbVdkV21qZHMyREQwNjlldlZ2Mk9KNjIxSVNJSldtdWx0VllBVkduOEFFcEVsTlk2OGpONk81UXZXbXVsbEtxUUh5NFRTcE53ZXJoc3FINUNkRjlFcE15YlBxVlVoZTNxOGczRGlLUkZiOGM0NzhoUEVZSFd1bzJJcERpT2sxaFNVbEkvbjRaUUdhSDdSRkQ2ZTVmd0Q2MTErUGNqNGUxUWZ1Um5LRjFDditjS2JZVFR0TmFWdFJHZFgyMGIwZHRSelVUblIvcGJycXN4KzF0ZEc3VTk1OURybzlKelZrcEp1YjZFanhWOXpvZjl0eUg2Tlh1b1plTFJ4cEhzUzFYalVFM0xIRzRiSE8rT09Bbi83UXZ2aDE5Zk1WN0QwZU5hOUJoUVpxd0oxd21OSVpXTlZlWGJyV3lNaXBTcllueXFNcStHN1ZiSUt6L1d4TG9XVWVkYjV1NVl4ejhBQUNBQVNVUkJWUG9wcFE1NURLcnF0WHFvZVllYmY2aDVoenRlMUdUY2lzYnhnNGlJaUlnby9wcEU4UDI1NTU3REJ4OThnRjY5ZW1IQmdnWG8xYXNYbWpkdlhtV2RzV1BIbHRsLzhza25LMzJpSFFBbVRacUVwS1FrM0hubm5aV1dPZm5ra3craDkvRVIxTmpyOVhvdnFMY09WT1RLeXNwUysvZnZWeVVsSlNvOVBWMlZsSlNvbGkxYlNrbEppZkw3L1NvbEpVWDUvWDRWREFaVlltS2lDZ2FES2lFaFFRV0RRYVcxbHZDMjR6aks1WElwQU5ORjVQVHkzMUFJdllIY3JyWCtRR3Y5bllqOHI5ZnIvYnplenB6S2FHRDNKUjA2QlVEbDV1WUtBQnc0Y0VBQW9LU2tSQUtCZ0tEMEcwZ0NBTzNhdFJNQThQdjlrYnhnTUJqNTJiSmx5d3BwanVPVVNVdExTeE9VUGxFcTRiUndHY2R4UkdzdHFhbXBGZExLbDB0S1NpcnpRVVE0THh3c1RFcEtLcE1YSFJnTi8weElTS2pRUnZseTBXVml0ZUZ5dVNxa2xTOFhYVVpFcGdBd3F4cnZITWRab3BUNmllTmQzZEJvY0g5WG15b1hBT1RtNWtwbDQwNjdkdTNFNy9kSDlpc2JiNkxIa3VpeHB2dzRFejFPSkNjbnh4eGpITWVSbEpTVVNIcGxZMHY1ZElUR2kralhmL2t4cGJMeEpIcXNLSjllYmh5WkFzRGkrRUZFUkVSRVZQZU82dUI3TUJqRVk0ODlodmZmZngvMzNuc3ZPblRvZ0FVTEZoeFNXNy8vL2UrcnpILzExVmVSbXBxS25qMTdIbUp2bTV6QXFsV3JJanYvL2U5L0Q3dEIwelQzaGQ5SWh0NUFiZ2J3TG9CNVhxLzNTODViU2xTbkhBQ094K09wdHVEbXpadVBTSWVPWnFacDdnbHZjN3lqSmk0QUFGV05QUnh6eWpKTnN6Qzh6ZkdEaUlpSWlLaHVIZFhCZDcvZmp4OSsrQUgzM25zdmJycnBKaXhhdEtpK3UwUjE3MGNBODRMQjROeTh2THdmNnJzelJFUjFpT01kRVIwcWpoOUVSRVJFUkVmQVVSMThUMDVPeG11dnZZYldyVnZYZDFmb0NDZ3VMdTYvZXZYcUxmWGREeUtpdXNieGpvZ09GY2NQSWlJaUlxSWpwM1lyTVRWQ0RMdzNIWHdqU1VSTkJjYzdJanBVSEQrSWlJaUlpSTZjby9ySjk4cjA3ZHNYSWxKbEdiL2ZYNnMyRHg0OGlMUzB0TVBzV1pPaFF2TkRFeEVSRVJFUkVSRVJFUjJWbW1Udy9aWmJia0ZTVWxLVlpaNSsrdWtxOCtmT25Zdk5temVqUllzVzJMRmpCOWFzV1lQcnI3OCt6ajJ0WDZacGpnNEdnMi9rNStldkxaOW5XVllmQUttMmJjOEs3UThMQm9OTDgvTHlxcHhZUHpzN3U2TmhHSG1PNC9TdHJpd1JFUkVSRVJFUkVSRlJZOVVrZysrOWUvZEc4K2JOcXl3emZ2ejRLdk1MQ2dyd3hodHZBQUJjTGhkTTA4U0FBUVBpMnMvNjFLTkhqMVlpTXNweG5GZkRhZG5aMloxZExsYzdBTkJhWHk0aXpTekxLZ2p0OTFaS3BWdVdkUUFBUktUQTQvRnNMOSt1WVJqL0VKR1NmZnYyTFQ2eVowUkVSRVJFUkVSRVJFUjA1RFNwNEh2UG5qM3h4UmRmb0Ztelp0V1dYYkprU1pYNXc0WU53N0Jod3hBTUJxR1VxbllhbThZbUlTSGhDZ0JySE1mWmxaV1YxUXlsSHpMMEIzQU5Tb1BydjlOYUd5S1NFZHJQMEZwM0JIQXhBRGlPTThvMHpUd1JzY0p0YXEyVmlQeFZhLzFaaXhZdGVsbVdWWGtIU3R0Y0VpdUFUMFJFUkVSRVJFUkVSTlRRTmFuZ3U4dmxxdmFKOTlveURDT3U3VFVnZzdUV2JaT1NrdllBMkZvNkRiNy9xdVhMbDQ4REFMZmIzUjlBbXRmcm5ZclFGRFdPNHl6Snk4dWJIMjdBTk0wYkFQd252Qi8rZ0VKRStnRG9VMTBISE1mcEJlQ3p1anBCSWlJaUlpSWlJaUlpb3JyU3BJTHZWRE01T1RrWGE2MTc3TisvLzRUVTFOUjFTcWsvZWp5ZU5XNjNPOTJ5TEsyMS9oV2xRZlJVeTdJMkFmaUgxdm9NcFZTSlpWa3VyZlZtcjlmcjlucTlyd040SGFYQituUVIrUW5BSksvWE94YWw4OFJmQ2FDM2JkdUQ2dnVjaVlpSWlJaUlpSWlJaU9KSjFYY0hxT0V4RE9OYUFCUFdybDFiRkN2ZjYvVzI5M3E5N1IzSEdSdE9FNUgrWHErM2ZTQVFPRDlXSFJFWkFRQkZSVVVUdzJtTzQyVFc1QWw0SWlJaUlpSWlJaUlpb3NhR1Q3NVRCVnJyaDdUV2FWbFpXZTBCcUVBZ2NFeFdWbFo3d3pBU3RkWXdUWE45cUdnTEFQMURkV2FZcG5rQVFBS0FiZEh0WldkbmR4U1J1d0U4WEZCUVVGZ3ZKMFZFUkVSRVJFUkVSRVIwQkRINFRoV0l5TU1pTWpnNU9Sa29mUkwrYThNdzREak9IQkdaQkdDV2lQelZjWnlaSW5JZWdFK0R3ZUE5aFlXRkcxcTFhdFZPUks2UGJzL2xjbzBGc0gzbnpwM1AxOWM1SGFwVmE5Yml6N2YrcGI2NzBXaXRXck8ydnJ0QVJFUkVSRVJFUkVSVUx4aDhwd3BzMng0Q1lBaEtGMDNkcXBRNjMrUHhyQWxsaTJtYVgydXQvVXFwNWdBdTBsb251bHl1MWExYnQrNE1BTUZnY0ZtNUppOERjRXlyVnEyMnQyclZLam85QVVDaWFacDd5L2ZCNi9VMnE4TlRyQkVOL1VGaDRWNHMrY0ZUMzExcDNFUy9YOTlkSUNJaUlpSWlJaUlpT3RJWWZLY0tNak16MjZTa3BIaThYbStuY0pwcG1tK0p5Q3NBY2dHY0RlQU5BTGRwclErRTltOExsMVZLN1Fhd0tLckpBWTdqSkpjL2psTHFhZ0RYYXExdk9STG5WVnNiMXVROUMrRFordTRIRVJFUkVSRVJFUkVSTlQ0TXZsTUZhV2xwb3JVdTgrUzVpS1FBdUFiQTdTaGRMSFZFS1Axa0FMOFA3d09BMys4dk02KzdiZHVmeERxTzIrM09VRXBkNWZQNTNxMnpreUVpSWlJaUlpSWlJaUtxQnd5K1U0MDVqck1Zd0ZLbDFGU2wxR2VoNUFTdGRjdW9mU1FsSmIwRzRKSDY2eWtSRVJFUkVSRVJFUkZSL1dMd25XcE1LYlVEd0JxVVBzMmVBUUM1dWJtWkFMNEo3MGNSdDl0OWF6WHRuYWExVG5LNzNiZFZVcVRFNS9QTmlWZi9pWWlJaUlpSWlJaUlpSTZVSXhKOFg3Vm1MZjU4NjErT3hLRW9obFZyMXNhOVRjdXlkZ09BMWxwcHJadUY5MUg2aFB5L2ZUN2YvVXFwOGRVMGt3SWdwWXB5ZXdBdytFNUVSRVJFUkVSRVJFU05UcDBIM3pYMEI0V0ZlN0hrQjA5ZEg0cXFJdnI5V3RaSWRMdmQxNGxJc3VNNHQ0cEltU2ZiaTR1TE93S0F5K1hxNG5LNTVoY1hGMGNXWnkwcEtmRURDTnEyZlV4VkIzQzczVU9WVWlPcUswZEVSRVJFUkVSRVJFVFUyTlI1OEgzRG1yeG5BVHhiMThlaCtObTdkKy9CdExTMFQ1UlNsMm10WjVZKzRLNUZSQ0psa3BPVDN3NXRwZ0ZvRWJXUDVPUmt1TjN1eVQ2ZjcrUDY2RDhSRVJFUkVSRVJFUkZSZmVPYzcxVEIyclZyaXdCY0g1MlduWjM5dG1FWW0wU2tKVXFqOFZWT0thTzFYbDNYL1NRaUlpSWlJaUlpSWlKcXFCaDhweHJKejgrM1E1dmJBRWcxeFd2RTUvT05CMURkdlBCRVJFUkVSRVJFUkVSRWpZNnE3dzRRRVJFUkVSRVJFUkVSRVIxdEdId25JaUlpSWlJaUlpSWlJb296QnQrSmlJaUlpSWlJaUlpSWlPS013WGNpSWlJaUlpSWlJaUlpb2poajhKMklpSWlJaUlpSWlJaUlLTTRZZkNjaUlpSWlJaUlpSWlJaWlqTUczNG1JaUlpSWlJaUlpSWlJNG96QmR5SWlJaUlpSWlJaUlpS2lPR1B3bllpSWlJaUlpSWlJaUlnb3poaDhKeUlpSWlJaUlpSWlJaUtLTXdiZmlZaUlpSWlJaUlpSWlJamlqTUYzSWlJaUlpSWlJaUlpSXFJNFkvQ2RpSWlJaUlpSWlJaUlpQ2pPR0h3bklpSWlJaUlpSWlJaUlvb3pCdCtKaUlpSWlJaUlpSWlJaU9LTXdYY2lJaUlpSWlJaUlpSWlvamhqOEoySWlJaUlpSWlJaUlpSUtNNFlmQ2NpSWlJaUlpSWlJaUlpaWpNRzM0bUlpSWlJaUlpSWlJaUk0b3pCZHlJaUlpSWlJaUlpSWlLaU9HUHduWWlJaUlpSWlJaUlpSWdvemhoOEp5SWlJaUlpSWlJaUlpS0tNd2JmaVlpSWlJaUlpSWlJaUlqaWpNRjNJaUlpSWlJaUlpSWlJcUk0WS9DZGppVGViMFJFUkVSRVJFUkVSTlFrTUJoS3NaUy9MeVEzTnpmemNCcnMwYU5ISzlNME43bmQ3aHVyS3VkMnU5Mm1hYjRTajNzek96dTdxMm1hVDJabFpTWEd5cmNzSzhPeXJJbHV0N3YvNFI2TGlJaUlpSWlJaUlpSUtKcXJ2anRBVmJNc0t3REEwRm8vNGZWNkg0aFZ4alROYVNKeXUrTTRuWDArMy9yeStXNjN1NU9JVEFmd2lkZnJmYktxNCtYbTVyWjBIQ2NQd0ZpdjEvdnZVUDIvT1k3elhFNU96a2w1ZVhtL1ZOS0hHU0p5ZGZuMFFDRFFKVDgvL3pmRE1QNHBJbTBkeDFtVmxaWFZQcnFNNHpqK05Xdlc3QUFBcGRSQkFEZVlwdmxmcjljN0t0VDI3UUFtVlgrMThJRFg2NTBjM25HNVhMMjAxamVzV3JWcVJQbUNQWHIwYUFYZ0E2MTFSNlhVamRuWjJkL2w1K2YvWElOak5IaVdaVjBLWUFDQTMydXRqd1Z3UUVTMkF2Z3FFQWc4bjUrZnZ5SmNOaWNucDR0U2FneUFpMFNrR1lDZkhNZVpzM2Z2M21jTENnb08xa1gvZXZUb2NWSkNRc0p3QU9jQzZBUUFXdXVOV3V0SlBwL3Z4UmhWeExLc1FhSFhRT3U2NkJNUkVSRVJFUkVSRVZHOE1mamVTSWpJMEp5Y25ObDVlWGtyYTFxbmUvZnV4eWNrSk53akluY0JTTkZhZjFKZEhjZHhoZ0k0UGhnTS9oQk9Nd3hqdHRiNlNjTXc3Z2Z3ajBxcXBnSDRXbXM5Q2FYQjFFNUtxYW1CUUVCbFptYTJVVXJkRFNEQk1BemJNSXp5ZFQwQVRnTUEyN1pYVzVaMUw0Q1hMTXY2MXJidFQ0TEI0RGRLcVNIVjlWMXJ2YlRjL2g5RVpHSDVjdG5aMmNjYWhqRS8xT2Z1V3VzNWhtRjhrcHViMjh2ajhXeXM3amdOVmRldVhadW5wcWErQnVCcXJmVmVFZmxTUlA0YkNzQjNCakRJTUl5ZkFheEE2UWN0eDJtdGwybXRkd0I0VFd1OVQwUjZLYVVlYjk2OCtSOEI5QUtnNDlsSDB6UXZBekFQZ05KYUx3RHdoWWkwQTJBcHBjNEZFQjE4Tjl4dTkxVktxWWNBNUFLb2t3OERpSWlJaUlpSWlJaUk2Z0tENzQyQTFucVZpSnhpR01aTG9hZUZxdzJJNXVUa1hLK1VlbDFFQWxyckQwU2tUdzNxZEJHUmZ3S1lFZjEwdE1majJXT2E1aFFSR1dwWjF1dTJiUytwcEorL2VMM2V6MUFhNE82dVZPbk1NYW1wcWY4RG9MbmpPRGM2anZOVnVMekw1VG8vRlBUOU9Mb2QyN2IvWlpybXhRRHVCL0JKZm43K1dnQnJxNzlTcFV6VGZCN0FYd0VrQWdpYXBobWVWdVpOeDNGZVVFcTlDU0JaYTMyaDErdmRFTHBXWHp1T3M5anRkdC9rOC9tK3FPbXhHaEJYYW1ycSt5SnlQb0NwU3FuN1BSN1BudWdDcG1sbWlVaUxxS1NXanVOTUt5a3BHYkZxMWFxU1VOcG8welRmRnBGckxjdTZ3TGJ0Q2g5ZUhBWVJrWmNCYU1keHp2RDVmTDZvUENNbko2Zk0xRWFtYWVhSnlLa0E4clhXcXdHY0ZNZStFQkVSRVJFUkVSRVIxU25PK2Q0SWlNaFdyZlh6QU00eFRYTmdUZW9vcFJ3Um1Sb01CcnM3anZOY0Rhb1lobUhNMUZvWGFhMkhsOC9jdFd2WEl3QUt0TmIvQ1UzWlVpUEp5Y20zQU9nRDRDTVJHUU5nVjM1Ky91WlE5ak1BUEVxcFI4dlhLeW9xR3JoejU4NHJhbnFjYUg2Ly96R3Q5YlVvbmZibUhLV1VPeGdNL2dHQU5nempHeEZwcDdVZUMrQjNwbWxlcEpUcUJ1QXhFV2t1SWd0TjA1eHVXVmJHb1J5N3ZsaVdkYStJbksrMWZ0bTI3VUhsQSs4QTRQVjZWMFYvY09MeGVINzArWHozUlFYZWdkSVBVV2FGTnJQaTJjZmMzTncyQUk3WFd1ZVhDN3dEUURER3R6cldhcTF2dDIwN0Y4Qi80OWtYSWlJaUlpSWlJaUtpdXNZbjN4c0JyYlVLQm9PakRjTzRGc0RUcG1tKzcvVjZ0MVZWeCt2MXZnM2diWlErMFg1c2RjZXdMR3N5Z0RORnBJOXQyeFhhWHI5K2ZYRjZldm90U3FtdkVoSVNQcy9Nek93Vm5xYzlURVJ1TjAzenB0QjIrSU9kWEszMTQ4Rmc4Q21YeTdYS01Jd1BMY3U2UjJ2OW50YmFVVXIxODNnOC92TEhLeWdvS0F6MTZ4S3Q5ZWsxdUV4QTZiVmE2UFA1RnB1bWVSS0FaWVpoWE9jNHpqYWwxRndSK1pQak9DK0l5TjdRTkRqbFBRYWdHTUJZQUs4QUtLanBjZXVaYUszL0tTSjdpb3FLaHRXaW5oT3pNWkVVbEU1QnRDdHVQU3dOOXU4MFRYT2ZpR1RtNXVZZTUvRjR0bFJWM3V2MVhodlA0eE1SRVJFUkVSRVJFUjFKREw0M0RwS2ZuNy9QN1hZUFZrcDlxTFVlRCtEV2VEVnVXZFl3QUhjNWp2T2N6K2ViVjFrNW44KzMxTEtzNndITVRVbEorZEx0ZGwvajgvbldoZk8xMXY5UGEvMnNVbXFSMXZwdXJmWHk3ZHUzZjc5NTgyWS9nSUJwbXRlS3lGZGFheCtBMzRMQjRIbGVyL2VuY0gyMzIzMWphRnFTc0QrRjV2cStJWEloUkxvQUNHcXRmMElNSXJJRndHSUFsNHJJUjFycnpnQUNQcDl2bldtYTJZN2pCRU5GL3dVQSsvZnYzeGE5c0tobFdWZHFyZSt4YmZ2cnc3bW1SMUpPVG80N05HLzZHK0VQTFE3VFRWcHJ4M0djeFhGb0s1cWp0WjRvSWc5cXJiKzNMT3NlMjdZcnZkK0lpSWlJaUlpSWlJZ2FNd2JmR3hHZnovZFJhRDd1VzNKeWNxYm41ZVV0T3R3MlRkTWNGWHJTKzBPZnp6YzBuSjZUazNPQllSZ1g3ZCsvLzlub0o5eHQyLzdBN1hiM0Y1SFhsRkkreTdLRzJiWTlSU24xWjQvSG93RUVMTXVDNHpqZXZMeThiNktQSlNJbmE2MFBpa2lLMXZxQVlSZ21nQi9EYzlnN2pyUFlNSXkvQUdncklwTUJ1R3piZmh6QTQ2RStuYXFVV2k0aVk3eGU3K09WblZOR1JrWUxBSDkwSE9kQkVZbGVJTGF0eStVcXN5aHJpeFl0THN2T3psN2hjcm5PdDIxN0ZvQkxBVFFETVBOd3IrMlJZaGhHWjVSKytQRmorVHkzMi8yWVVxcFplRjlydmRIcjlUNWJXVnR1dDN1a2lGeXV0WDRsUHovLzUzajMxZWZ6amJZc0t3RGdBUUJ6VGRQOEFjQ0Q0YlVDaUlpSWlJaUlpSWlJamhhYzg3MlJDVTJYc3Njd2pQL0p5c3BLUEp5MjNHNTNMeEVaQytERG5UdDNYaGMxRFlrWWhqRkJhMzJYeStXcThBR056K2Q3QzhBNUFMWnJyVE5SR2pqL3UyVlpNZWVqTjAwenl6VE5kd0M4TGlMei9YNS90b2dzRlpIL21LYTUwcktzTWFacDV1VG41Ly9zOVhwZjExcC9FS3Nkd3pCR0FkZ2lJaE5EL2YrcmFacVR5NWRyMXF6WmxRQU9hSzJiQVRoV1JEcm01T1NjNHpoT2N3RExIY2ZwN0RoT1o2MzFobEM3bVFER0hNNjFyRTlhNnlTVWZyZ1JMSitubExvVHdEM2hmeUxTUDFZYkhUdDJUREZOYzVwUzZuRUFueFlWRlEydW8rNDZ0bTJQQ1FRQ1BRQzhCZUIwRVZsZ1dkYXNUcDA2SmRmUk1ZbUlpSWlJaUlpSWlJNDRCdDhiR1kvSHMwVnJQUkpBMTZTa3BCR0gwNWJQNTF1Z3RlNHJJbjNXcjE5ZkhFNDNUZk5tQUthSWpGaXhZc1d2c2VwNnZkNWwrL2Z2dDVSUzk0V1NzclRXWGNMNVNxa2JUZE1jWVZuV1JBQXJST1IweDNGdXRHMjczL0xseTVmYnRuMDlnRDhDMktDMUhpVWlyMVRWVjdmYjdkWmFYd2RndE1majJSOUtMaEdSdjd2ZDdxdWp5NHBJU3hFUnd6QStGSkdMdE5aOURjUDRVQ25WVld2dEVwRmpST1FZQU1iaFhMOEdaQnRLZy9ESGw4K3diZnNZMjdiRnRtM1JXaCtNVmRudGRwOXk3TEhITGdFd0VNQXp0bTFmRVQwVlQxM0l6ODlmYTl2MjlZN2o1SWFtSWJxeFZhdFdMOVhsTVltSWlJaUlpSWlJaUk0a0J0OGJJYS9YKzVMVytqc0FEN2pkN2xQQzA3WWNZbHZ2UkM5NG1wR1IwVUpFbmdLd3hMYnRmNFhUczdPek8rZm01aVpFMTEyelpzMk9XSXVsb2pRQWZvR0k5TlZhTHdId3F1TTRmMWRLN2JRczY5THdQd0NKSWpMSmNaelRBQXlwcXA5S3Fja0Fsbm05M24rSDAzdyszd3dBODBWa2FuWjJkbVJSV2EvWCt6KzJiYWZidHAydXRaNERZS0p0MitrQWxnRTRIc0JFQUJOREFmaEdUeW0xRkVCUVJIclY5Z01GeTdKeWxWTGZhYTNiaThobHRtMFBBMURoQ2ZxNmtwZVg1MVZLblEvZ2YwWGsxdHpjM09PTzFMR0ppSWlJaUlpSWlJanFFdWQ4YjV4ME1CZ2M1SEs1YkFEL0l5SXhGeDg5RkMxYXRIaGNhOTA2RUFoY0hBN3FaMlJrdERBTXc5WmFUd053ZjAzYUNRYURmd25QK1c1WjFwVWk4bzdXdWppNmpJZ0lnRlRETUg1djIvYVN5dHB5dTkxRHRkWm5PNDV6WG01dWJudXRkWHJvWHl1dDlkY2ljckhMNVpvY3ZUQnJaVVJrclczYjU0VDZWVkNUYzJub1BCN1BIdE0wM3hXUmF5M0x1dE8yN1NrMXFkZTFhOWZtV3V2M1JHUzMzKysvWU1XS0ZadnF2cmNWZVR5ZVBaWmxMUVZ3a3QvdlB3SEFsdnJvQnhFUkVSRVJFUkVSVVR3eCtONUk1ZWZucnpCTmM3eUlqTlJhbjFRYXh6NDhsbVZkcUxXK1MyczliUG55NWN2RDZRVUZCWVZ1dDNzY2dLZmRidmNpbjgvM2NXM2IxbHEvNi9WNiswYW5aV1ZsdFU5T1RxNHkwR3BaVmpjQXo2QjBidmF2dFM1OXlGOUVJQ0pGQUhacHJRdEVwSjlsV2JOczIvNHdPenU3czFJcVMwUk9BSkFqSXVlWXBua3BnTSswMWgxTjB4d2Y2bE9iZUZ5M2hrQXBOVnhyZlJHQTV5ekxnbTNiTDBVL3daNmRuWjBHb016SnBxYW1EaENSRGdCNkg0bkFlL2Z1M2R1NVhLN0xmRDdmTEFDQmNMcHBtbTIxMWoxRnhCOXIwVmdpSWlJaUlpSWlJcUxHaU1IM1JtemJ0bTJQSG52c3NkZUx5TW1IMjFadWJ1NXhXdXRaQUJiNmZMNEo1Zk45UHQrenBtbGVwWlNhbVpPVGs1T1hsL2RMRFpwMVpXVmwxWG9SemZCME1GcHI4WHE5cXkzTG11UTR6czhBQ2h6SDJXSVl4dGFEQnc5dVg3VnFWVW40T0pabDJRQTZBWURMNVJvSzREWUFCVnJyTmdEK0Y4QjByZld2U3FuckFXd08xUXVnZExIWW9GS3FUdWM0cjJzZWorY250OXQ5dVlpOEt5SXZtS1k1VWtTK0FWQUk0SGRhNi9ORUpESDYyd2NpY2daS3IvTVZwbW1lWGI1TnJmVjJuODgzSHFVZmdqd1lEQVlYNStYbExUclVQcnBjcmhTbDFLdW1hVDRwSWw5cHJiY0FhQXZnTWhGSjExcVBYTDU4K2E1RHZ3cEVSRVJFUkVSRVJFUU5CNFB2amRqbXpac1B0RzNiOWs0UldYQTQ3YmpkN2s1YTY3a0FXb3JJSXprNU9WbEtxUlFSU1FHUXByVk8wMW8zRTVFZkFKeXJsSG9Wd0NYaGFXbHljbks2aUVoSEFGMU4wNXlNMGlleDM3QXNxNjNXZWxSdCtwS1RrM01HZ0E5Q2dmSEhzN096bDl1Mi9ZOXFxZ1VLQ3d0UER5OFMrdHR2dnczZHZIbnpFQURhTk0zcFd1dXRYcS8zMzZacG5nYmdOOXUySjZJMG9Ed0VwZk9PTHdKdzZpRmZ3QWJDNS9NdDd0R2pSOWVFaElTN1JlUnFBSmNEU05GYTd4Q1J4UURlUDNqdzRJeW9LaTFSR29TL0kxWjdvZW1NeGdOd2FhM1BNQXpqWWJmYlBkam44MDA5bFA3dDNyMTdhK3ZXcmNlSXlHVUFMaGFSWmxycm5RQVdPNDd6b3MvbisraFF6NTJJaUlpSWlJaUlpS2loT1RybTNLRERZbG5XY2dEZHF5Z1MxRm9YaVVpUjF2cWdpR1E0ampQWTUvTzlpTkpwUXg0SlRYK3pUa1JXQWxpcHRWNHBJaXR0MjE1bldkWjByWFZmQUx2THRhdEVwQzJBMzl1MnZjU3lyTE1BZkE0Z1gwUnUwbHJQMDFwM0ZwRzNIY2Z4QWRnRHdBK2dKUHhUS2FXQ3dXQ3FpS1FxcGRJY3g5bnM4L25lQ3gvQU5NM3BBTFo2dmQ0UnBtbWVKaUl2N1R3UUdDL0FEUzJUak12MmxUaGZCeDBVR2dvdEFDQTFVWjBXY1BTdiswcTBYVmZYdXpGeUhDM05rMVJ1VW9MS09PQVBMai9neDhyNjdsTmRjNkRuYkZ5VC8wRjk5NFBvU09pVTZWNTAxaG01NS85bnhyVDY3a3FqOE9kYi80SWxQM2krV0wvR2QwRjk5NFdvb1RKTmN4RUFlTDFldms2SWlJaUlxTW1xOHlmZk8yZTYvNnFCL25WOUhLcWFBSE4rWGhQN2lXWEhjWWFMU0U4QTZ3QnNkeHhuSjRCZFNxbGR3V0J3VDM1Ky9yN29wa3pUL0ZwRUhzekl5SGlsb0tEZ29GTHFLUUNQMmJidHI2SUx0dGI2NlhKcDZTTHlhbmlucEtUazU0U0VoQlZLcVVzOUhzK2VUcDA2blpHZW5qNEV3RFZLcVV1MDFza2lZbWl0RFJFeFF0VzBZUmhhYSswQWNKUlNsVDRsSHd3R0hjTXdEcWE0MU9PSkx0VTVPU1VOclk5ci9jZWd2d1JGTzM4dFBUbWxrTjdxMkpidEV4SzcxT3pLTmkzNzkreUVrVkRTbzMyclkzc29wZXE3TzNYbXYxdTI0TUNCZysxRDM4SWdJaUlpSWlJaUlpS3F0VG9Qdm11Z2Y0c1d6YzdQeXV4YTE0ZWlTcXhhc3hhRmhYc0JJR2J3UGJTQWFrMFhVZFVpY2xzZ0VDZ09UL1BpOFhqMlYxWEJ0dTJicXNpZUh0NVlzV0xGcjdtNXVlZDRQQjQvQUt4ZnY3NDROTzNKK0JyMnJRS3YxM3RiZURzL1A5OEdjSGFuVFBlaUhOUHNYUDRKVDYwMWpwWUZXT3VLMWhyRnhjVklTVW1wNzY3VXFkQlRyZlhkRFNJaUlpSWlJaUlpYXNTT3lKenZXWmxkd2EreTE1OTRCeEp0Mnk2SVcyUGxoQVB2OVlHQjkrcUp5RkVmZUNjaUlpSWlJaUlpSW9xSG8zZmVDQ0lpSWlJaUlpSWlJaUtpZXNMZ094RVJFUkVSRVJFUkVSRlJuREg0VGtSRVJFUkVSRVJFUkVRVVp3eStFeEVSRVJFUkVSRVJFUkhGMlJGWmNKV0lpSWlJaUlpSWlLaXA2WnpwL3FzRyt0ZDNQNW95QWViOHZNWTN0Yjc3UVUwVGcrOUVSRVJFUkVSRVJFUjFRQVA5VzdSb2RuNVdadGY2N2txVHRHck5XaFFXN2dVQUJ0K3BYakQ0VGtSRVJFUkVSRVJFVkVleU1ydmlQek9tMVhjM21xUS8zL29YTFBuQlU5L2RvQ2FNYzc0VEVSRVJFUkVSRVJFUkVjVVpnKzlFUkVSRVJFUkVSRVJFUkhIRzREc1JFUkVSRVJFUkVSRVJVWncxK2VENzJXZWZqYmx6NTFaYnJxaW9DSysvL2pvY3g0bWthYTBSQ0FTcS9SY01CdXY0TE9ob1ZGLzM1cDQ5ZTNENzdiZmppeSsraUhtOGp6LytHTGZkZGh2Mjd0MWI2M05hdUhBaGJyMzFWa3lkeW5WT2lJaUlpSWlJaUlqbzZOYmtGMXd0TGk2RzMrK3Z0dHppeFl2eHpEUFA0UFBQUDhjVFR6eUJZNDQ1Qm0rKytTYWVmdnJwYXV1MmI5OGVIMzMwVVp4NlRFMUZmZDJiVTZaTXdicDE2NUNlbm81VnExWkYwcE9Ta3RDaFF3ZE1uandablRwMXdzYU5HeXUwbDVXVlZlbXgxcTFiaDFHalJzRXdEUHo4ODg4NDc3enowS1ZMbDJyN1NFUkVSRVJFUkVRTmsrTTRXTDkrUFU0NjZhUmExdzBFQW5DNW1ueG9rbzV5dk1OcjZKSkxMa0Z5Y2pJZWVPQUIzSGpqalpnMnJYU1Y2aFl0V3VEWlo1K3R0TjdDaFF1eGNPSENJOWhUYW1yaWVXOSsrdW1uZU9lZGQ5Q3laVXZjYzg4OU1Bd2prbmZDQ1NmZzFGTlB4YzZkTzFGU1VvSy8vZTF2WmZJQllNR0NCUlhTRUFxOER4a3lCSjA3ZDhienp6K1BlKys5RjMvLys5L3g4c3N2bzFPblRuRzRDa1JFUkVSRVJFUkh2MDJiTm1IQ2hBbTQ5OTU3Y2VLSko4YWx6VmRmZlJVZmYvd3hwaytmanJTMHRGclZuVFZyRmw1NjZTVzgrZWFiNk5peFk0M3JIVHg0RUpkZmZqbjY5T21Ed1lNSFI5TDc5T21EZnYzNm9WKy9mclhxQjFGRDFlU25uVUVvTUZqZTY2Ky9qb2tUSjVaSk8rKzg4ekJ0MmpUMDZORUR4eDEzSEFEQTVYTEJOTTFLLzlWbTRLSGFNMDJ6TFlDSzBkNmp4Skc4TnhjdVhJalJvMGRqeUpBaFdMaHdJVEl6TTlHM2I5OUlrTDV2Mzc1NC9mWFg4Y2dqaitEVFR6L0ZNY2NjZzhHREIwZnlGeTVjR0RQd3ZuVHBVdnpsTDM5QmVubzZKaytlakZhdFdtSFNwRWxvMWFvVmJyMzFWbnovL2ZkeHYyNUVSN3R1M2JvZFY5OTlJS0xHaDJNSEVSRlI0NWVTa29MOC9IeU1IajI2Mm1tT2UvWHFoYlBQUHJ2TXYwV0xGcFVwczMzN2RreWJOZzBiTm16QSsrKy9YK3YrOU8zYkZ5MWF0TURNbVROclZlL0xMNy9FN3QyN2taMmRYU1o5dzRZTjJMMTdkNjM3UWRSUUhmVlB2aTlidGd5Yk5tMnFrSjZUa3hQNVNzd25uM3lDKys2N0Q2bXBxVURvNmQ5bm5ua0dicmNieGNYRlNFNU9qdFRyMXEwYnhvOGZmd1RQZ0tweGkyVlpJN1hXNzRuSXZNTEN3Z1VGQlFVSDY3dFROZEdRN3MzZHUzZmowVWNmeFIxMzNJRUJBd1lBQVA3NXozL2luLy84Snk2Ly9ISjA2dFFKYnJjYkkwZU94R1dYWFFZQUdEWnNHSjUrK21sY2RORkZhTm15WllVMlMwcEs4T0tMTDJMV3JGazQ3YlRUTUg3OGVEUnIxZ3dBMExKbFMweWJOZzMzMzM4L2hnd1pncHR1dWdsMzNIRkhtZk1ob3NvbEp5ZlBzU3pyT0szMVhCRjV4N1p0VDMzM2lZZ2FQbzRkUkVSRWpjT1dMVnVRbjU5ZmFmNXBwNTJHZ29JQ2ZQVFJSMGhLOVdxZTd3QUFJQUJKUkVGVVNxcVFuNTZlampQUFBCTVRKa3dvRTZBZk5HaFE1SDE1MkxoeDQ1Q1JrWUYrL2ZwaDNMaHhPUDMwMDVHUmtWR21qTmZyeGNpUkl5dnRUMUZSRWI3ODhrdDg5ZFZYTWZPN2RPbUN5Wk1ubDBtYk8zY3VPblRvZ0xQUFBydlNkc00yYnR5SWlSTW5Zdmp3NFdqWHJsMjE1WWtha3FNKytQN3h4eC9qMDA4L0xaTldYRnlNNGNPSFJ3S2NCdzRjd0x2dnZvdisvZnRqL3Z6NUdEMTZOSEp6Y3pGcDBpUWtKeWRqNzk2OWVQamhoM0hiYmJlaFI0OGVaZG82ZVBCZ2xaOE1ybGl4b283T2pLSzBFWkdCQUFhMmFOR2kwRFROandETURRYUQveTgvUDM5ZmZYZXVNZzNwM2t4UFQ4ZThlZk13WmNvVTVPYm1saWwzN2JYWGx0bC80b2tueXV4ZmVPR0Z1UExLSy9ISUk0OUUwcjc1NWh0TW5EZ1JQLy84TTI2NTVSWU1Iank0d2p4dXpabzF3L1BQUDQ4cFU2Ymd0ZGRldytlZmY0NDc3N3dUbDF4eVNjd242SW1vZ3E0aU1oTEFTTk0wMXdPWXE3V2U2L1A1RmdQUTlkMDVJbXF3T0hZUUVSRTFjRjZ2RjZOR2phcjJBYldubm5xcVFwcmY3MGUzYnQxdzVwbG5Jak16RXdNSERzVGpqeitPMXExYnczRWNwS2VuUjhyT21UTUhQL3p3QTJiT25JbVRUejRaMzMvL1BlNjU1eDVNbno0ZGJkdTJqWlFyS1NuQnRtM2JNR3pZTUxScDA2Wlc1L0wyMjI5ajU4NmRaZEpXclZxRnBVdVhZdVRJa1ZDcTZrazVDZ3NMY2M4OTkyREhqaDBvTEN4azhKMGFuYU0rK0Q1NjlHaU1IajA2c2w5UVVJQisvZm9oTXpNemtwYWVubzRaTTJiQU1Bdzg4OHd6T08rODh6QnUzTGpJSUxkanh3NXMzTGdSQXdZTXdIWFhYWWZCZ3dkSFBpbmN2MzgvWG43NTVVcVB2My8vL3NoVHkxUjN0STY4VjJ3aEluOEc4R2VYeTdYZnNxeFBBY3dWa1E4OEhzK2UrdTFsV1EzdDNnei9BYzdKeWNFRER6eFE0L040OHNrbkk5dmJ0Mi9IaUJFajRQVjYwYjU5ZTl4MDAwM0l6TXpFNTU5L1htbjl6TXhNakJrekJ2Lys5Nzh4YXRRb3ZQenl5NWc5ZTNhRlQrT0pxS0tvc2E4VGdQdVVVdmRabHJVRndEeXQ5Vnl2MS9zRmdLcS9pMHBFVFE3SERpSWlvc1pod1lJRlNFMU54ZGF0VzlHK2Zmc3llZXZXcllOdDIralRwdzhTRWhJaTZROC8vRERXcjE4UGhHSUdxMWV2Um5KeWNtUXFsL0I3LzQ4Ly9oalBQdnNzeG80ZGk1TlBQaGtBOE5CREQrRnZmL3NiQmd3WWdCZGVlS0hDR20xLytNTWZjUHp4eDlmcUhCWXZYb3dmZi95eFROcS8vdlV2R0lhQnE2NjZxc3E2ZnI4Znc0WU53My8vKzE5TW5qd1pwNXh5U3EyT1RkUVFIUFhCOS9JKy9mUlR0R3ZYcnN4VHd0ZGZmejFlZSswMVBQMzAwK2pmdnovdXZmZmVNcCs4blhqaWlaZ3padzZlZi81NXpKNDlHOGNjY3d4dXYvMTJPSTZETm0zYTRLT1BQa0pSVVJIMjdObFRZUjd0alJzM1JnYTkrbVFJbWxtV3RWQnI3UUJ3Uk1UUldrZCtsazhEVUdWK3JEVEhjUndSY1VSRVIyMDdXdXRBcUUyZzlBMWZKQzFjTjdwK3JMVEs4clhXT2VGMlJRUlJ4d0NBVkFEWGlNZzFqdU9VbUtiNXVkWjY3cDVpSkZTOFF2V3ZvZHlicWFtcHlNakl3SVlORzdCdlgrVmZIRWhOVFVXblRwM0tMTWJTcWxVcmFLMHhjT0JBM0g3NzdiajU1cHZ4K3V1dlY3bDZlWEZ4TVo1NjZpbTgrZWFibURkdkh2YnMyZE1nQXUrR29KbHBtb3RFUkllZkJOU2xOMVprdjY3elF0bGw5a1A1ZFpZWGxYOVllZVhQSjVUblJJOEYxUWdBMEk3alZEaFd1TTI2eUFNQXgzRjBKZm1IbkJjTUJyV0lWSmtYZmMxcWtOY2FzY2M5YUsyUEU1RzdST1F1eTdKMk9JN3pQb0IzU2twS0ZxeGF0YXFraHRlZkRrUFUySUVxWGp2bFg1TzF5cXZrZFJ5elhnTWRPMnJjVnhFSjFQVGFoLzZQRUl6VCtGQm1IS3NxRDNVd2RnU0R3UXBqUXZUeGc4RWdLaGtmcXNyajJFRkVSTlFJdEd6WkV0MjZkWU5TQ2p0MjdFQ2ZQbjJRbloyTnUrNjZLekpIK3JKbHl6QisvSGhjZGRWVlpZTHZIVHAwaVB5dDM3NTlPeEI2cjc1bXpacEkyN05uejhiRWlSTng5OTEzNC9MTEw0L1VUVWhJd09USmszSDMzWGZqNXB0dnh0Ly8vbmYwN2RzWFhidDJ4Y1NKRTdGczJUSU1HVEtrVnVjeWZ2eDQ3TjI3TjdLL1pNa1NmUDMxMTBoSVNJZzVaVTdZL3YzN2NkOTk5MkhwMHFVWU0yWU16anp6ekZvZGw2aWhhRkxCOTVLU0VuejQ0WWU0NUpKTHlyenBTRTlQUi8vKy9URmp4Z3hjZmZYVk1iL3lrcENRZ1B2dXV3ODllL2FFYVpvQWdIMzc5aUVsSlFVSWZXSTRjK1pNZlBUUlIyWHF0V3ZYcnNvQTVwR2t0VFpFSkVGcnJVS0w3U3F0dFJJUnBiVXVzeTBpRmZJcnF4Tk9VMHBGMHNMYnBlL3ZwRXl3VzBRaTF6LzY5eEMrN3JIU0tzdXY0WGtEUUNLQWRxR2ZEVTVEdkRlZmYvNTUyTFpkYVg1T1RnNmVlKzY1TW1tR1lXRGF0R2xsenVHNjY2N0QwS0ZEWTdieDIyKy80YkxMTGtOYVdocGNMaGV1dSs2NlNvOVhUeVIwdnd0Q043UFdXcUx5cEtaNUFBU2w5Mk8xZWYrWGpFaTVjSHFvYnR6em92c2lJbFhtaGRPcnlndWZVMmpmQ0kwcHRWYlZWeERySXErdTJxMXFLcVZEellzbEtvaUcwTyt4allpa09JNlRXRkpTVXJ2Qmt3NUg5R3M1MXVzS3RjbUw5WnFUL3h0b3krU1Z5NWJvZGl0N3JkWWlyL3pZY2FqblVXbGV1UDNRbUZycnNTTjhXWTZHc2FPNjF6L0hEaUlpb3FOWGVIRlVsSzdaZ2xkZWVRVVRKa3pBZ0FFRGNQSEZGK094eHg2TC9QMHUvN0Rib0VHREl0czdkdXhBczJiTmtKQ1FnTjI3ZHlNMU5SVXJWNjdFYzg4OWg0c3Z2aGliTm0zQ3VISGpLaHcvTXpNVDdkdTN4OGNmZjR3K2Zmb2dQVDBkUFh2MnhNYU5HeU1CODNmZmZSY2Vqd2NYWDN3eGV2YnNHYWxiV0ZnSXY5OGZtWjRtK21uMWtwSVNQUFBNTTlXZS8rN2R1M0hISFhkZzdkcTFHREZpUkxWUHlCTTFaRTBxK0Q1MzdsenMzTGtUTjl4d1E0VzhnUU1IWXY3OCtYamdnUWN3YytiTVN1ZlZPdjMwMHlQYmUvZnVyZklKM1I5Ly9CR2pSbzNDN3QyN01XL2V2SHFkZmlhb3NkZnI5VjVRYngzNFB5bzNOOWZZczJlUEtpNHVWcTFidDFZSER4NVVmcjlmcGFXbEtiL2ZyMUpTVXBUZjcxZkJZRkFsSmlhcVlEQ29FaElTVkRBWVZJN2pLSmZMRmZtcHRSNGdJdmNqNm8xak9MaXZ0VDRJWUtIak9KOHBwVmFYbEpSOHYzTGx5cDJkTXQwTkxzTGJFTy9OUTEyOHRUWWZqb1EvL1c3Um9zVWhIYXN1TmFEWFRGT2pRdU9FSERod1FGRDZIelFKQkFJQ0FJRkFRTnExYXlkK3Z6K3lId3dHQmFWUGlVdkxsaTNMN0R1T0U5bE9TMHNyc3gvZWRoeEh0TmFTbkp4Y1pqKzg3VGlPSkNVbFJZS0M0WHJoZ0dkaVltS0ZldUc4aElTRVN1dEY1NVd2NTNLNXFzdWJBc0NLbWpvQ0NMMyt0TmJidGRZZk9JNnpSQ24xazlmcnJYemVKNm9UWHEvMy9QcnVReFBseXMzTkZaU3VtU0xob0hFZ0VKRHcySUhTcnk5SHhwUmdNQ2poc1NONkg2SFhkSGpzaU41SDFOaWd0WmJVMU5ReSs5SDVLU2twa2JHaC9CaVFsSlFVR1J2S3Y4NFRFeE1qMitYcm9mU0RkK0hZUVVSRWRQVHorWHdvS2lwQ3o1NDlNVzNhTkh6MDBVZllzbVVMRE1OQWNYRXhsRkpJVEt6OEdjTWRPM1pFcHBuWnRXc1gwdFBUWVpvbVpzMmFCYi9majdmZmZqdG12ZVRrWkR6MjJHUFl0MjlmbWVEK0NTZWNnTi85N25lWU1HRUNQQjRQN3JqampqTEJmZ0Q0eHovK2dYWHIxdUg1NTUrUHJHY1hObVhLRkd6YXRBbG5uWFVXUEo3SzEzMS84ODAza1phV2hrbVRKdUgzdi85OWphOFhVVVBVWklMdmUvYnN3U3V2dklJcnI3eXl3anhaQ0Ewc2p6NzZLQVlPSElnSEgzd1F6enp6VE13bmtZWU1HWUpMTDcwVVYxNTVKWGJzMkJFemFGaGNYSXhYWG5rRk0yZk94T21ubjQ1Smt5WngzdmYvNDNnOG5zaTBFNXMzYno2c3hrelQzQnJlRHIxeDNLdTEva1JyUFcvdjNyMGZGaFFVRkI1bWYrdGNRNzAzVjY1Y1dlR1BhTFJaczJhaGMrZk90VDdmYUZ1M2x2NzZvaGR5b1NiUENZMFRsUlk0M0hIamFHQ2FabVJzQzQxOW13RzhDMkNlMSt2OWtuTTFVeE1WNE5oUk5ZNGRSRVJFamN1WFgzNkptVE5ub2x1M2JoZzBhQkN1dU9LS1NGNVJVUkdhTjI5ZVpmMGRPM2JnbDE5K3dkbG5uNDFBSUlCZ01JZ3JycmdpOHMzNEhqMTZvTEN3RURObXpNRE5OOThjQ2RUYnRvMWZmdmtGSFRwMEtOUGVtalZyOE5SVFQrR25uMzdDRTA4OGdiUE9PZ3UvL2ZZYkRoNDhpT0xpWWhRWEYrT0NDeTdBZDk5OWh3RURCdUM1NTU2RFpWbEE2UDMvN05tek1XalFJUGo5L2dyQjkwQWdnTm16WndNQWpqdnVPRXllUExsQzhKNm9NV295d2ZmSEgzOGNCdzhlckRLWTJLTkhEOXg5OTkyWU9IRWlIbjMwVVl3YU5hcE1rSFByMXEzNDdydnZJbk55cjEyN3RzelR4Z2hOOGZIQ0N5OUFhNDJ4WThmaWtrc3VxY096b3REWDFIY0MrTUJ4bkhtN2QrLytkUDM2OWNYMTNhbmFhS2ozcHVNNEtDNHV4bi8rODU4eXg5cXpadzhHRFJxRVlMRDI3OC8zN3QyTGhRc1hJajA5SFg2L0g3Tm56MGJyMXExeDdMSEg0c0NCQTFCS1ZUbm5HeEdWOFNPQWVjRmdjRzVlWHQ0UDlkMFpJbW8wT0hZUUVSRTFFdmZjY3cvKytNYy80b1VYWHNDOTk5NkxzV1BIUmdMd1c3WnNxZlpCdGl1dXVLSk1iR0RKa2lYNDRJTVBzRzNiTmd3ZE9oVGp4bzFEMjdadE1YdjJiSnh5eWltNDlOSkxBUUJqeDQ3RldXZWRoUkVqUnBScDc0VVhYa0IrZmo0QVlPVElrVEdQS1NKSVNrcENJQkRBa0NGRDhQVFRUK09jYzg1QisvYnQ4YWMvL1FrREJ3N0V5eSsvWEtiTzBxVkxNV0hDQkt4YnR3NEFjTlZWVnpId1RrZU5KaEY4bnpkdkhqNzc3RE04OU5CRGFOZXVYWlZsYjc3NVp2ejIyMitZTTJjTzl1M2JoN0ZqeDBhbStWaThlREVBNE1JTEwwUnhjVEhXcjErUG0yNjZLVkozNjlhdGVPS0pKM0RMTGJmZzVwdHZqdFQ3NmFlZmtKU1VWR0hCeXlaTWhaNXVQZnlHbEpyaDhYZ21oUlpuYkhRYXc3MTUwa2tubGZtYVdYakJsa09Sbkp5TWNlUEdJUkFvL1hXMWFkTUdEenp3QUJCYUxPYWhoeDdDZSsrOUYvbTBuWWhpS3k0dTdyOTY5ZW90OWQwUEltcGNPSFlRRVJFMUR1R24xQkdhTTMzU3BFbXdiUnR1dHhzSER4NEVBS3hldlJwZHUzYU43SmVYbUppSURoMDZSSjVlRHdRQytQbm5uNUdVbElRMmJkcGc4K2JOV0xCZ0FRWU1HSUR1M2J2aisrKy94NldYWG9xQ2dnSnMyclFKanp6eVNJVTJCdzhlakFzdXVBRHQyN2RIV2xvYVVsTlRrWnFhaW11dXVRWjMzbmtuYnI3NTVzZzBPTHQzNzhhUUlVUHcyMisvUmVvLzlOQkRaZHJic1dNSEhuendRU3hkdWhSZHUzYkZTeSs5aER2dnZET09WNUtvL2gzMXdmZnZ2dnNPVHp6eEJNNDc3enhjYzgwMU5hcHozMzMzb2FTa0JHKy8vVFkyYk5pQXA1OStHaWVlZUNLKy9mWmJkT3pZRWFlY2NnbysvdmhqQklOQnVOM3VTTDMwOUhTODg4NDdGUUtIOCtmUHg4S0ZDL0hXVzIvRi9menFrbW1hbzRQQjRCdjUrZmxyeStkWmx0VUhRS3B0MjdOQys4T0N3ZURTdkx5OFJWVzFtWjJkM2RFd2pEekhjZnBXVjdZbVBCN1BvVWVDNjFsanVUZVhMRmxTNXNuM3dzSkRuOG5INVhKaDBhSkY4UHY5U0V4TWpDd0tDd0NiTm0ySzlKV0lxc2JnR1JFZENvNGRSRVJFamNPd1ljUHc1WmRmVmx0dTgrYk4rUHp6Mk11MFRKNDhHWDYvSHl0WHJrUitmajVXckZpQi92MzdJeWtwQ1VvcG5IUE9PWkhnKyttbm40NzMzMzhmQUxCbzBTSjA2TkFCT1RrNUZkcnMxcTBidW5YckZ2TjRDUWtKWmVhZlQwOVB4OHlaTTZ0Y2VMNTE2OVpvMjdZdHhvd1pneXV2dkxMS05lUThIZzhXTDE1Y1pub2Nvc2JncUE2K080NkRDUk1tb0V1WExqRlhidzR2OXBpUWtGQW1YVVF3Y3VSSWRPalFBWFBuemtWYVdob0tDd3Z4N2JmZjR2cnJyd2NBdlBmZWUramV2VHRPT09HRVNKM2s1T1NZQThER2pSc2IzZGRsZXZUbzBVcEVSam1PODJvNExUczd1N1BMNVdxSDBzVzdMaGVSWnBabEZZVDJleXVsMGkzTE9vRFM2MUVRS3pCdUdNWS9SS1JrMzc1OWk0L3NHVFVzamVuZWZQYlpaeXVrblhqaWlaRS9xc0Znc05JL2tBa0pDU2dxS2lxVFZ0a2M4OHVYTDBkbVptYVZmU0VpSWlJaUlpSTYydjN0YjM5RHYzNzlZdWFWbEpSZzdOaXhDQWFEZVB6eHh5dDlQMzdnd0FFTUh6NGNXVmxaeU0zTnhXMjMzWVkxYTlaRXZnbC8vdm5uNDhNUFA4U1dMVnVRbTV1TGYvM3JYOWk2ZFNzKytlUVRYSGJaWlJYYSsvNzc3M0hmZmZmRlBKYmpPSmd5WlVxRjZXUUFvSHYzN2pIVEVZcFhQUHJvbzFWZWk3QU5HelpnK3ZUcHVQcnFxK3MxK042alI0K1RFaElTaGdNNEYwQW5sTWJFTm1xdEovbDh2aGZENVhKeWNpNDJER000Z05ORHN6K3MxbHBQOEhxOXNWZTVwYVBXVVIxOFYwcGg0c1NKU0VsSmlUeGgrOVpiYjJIWHJsMUlTRWpBOTk5L0R3REl5TWlJV2YrV1cyN0I5ZGRmaitUa1pMejExbHZ3Ky8wNDk5eHo4Y1VYWDJEWnNtVVlOV3BVcEd4NmVqcTJiZHVHUllzV2xaays1TmRmZjhXMzMzN2I2TDQyazVDUWNBV0FOWTdqN01yS3ltcUcwcWVXK3dPNEJxVUQ1TyswMW9hSVpJVDJNN1RXSFFGY2pOS0JkNVJwbW5raVlvWGIxRm9yRWZtcjF2cXpGaTFhOUFvdnVsRVpFVm5TbUo5c3IwcGp1RGRQT2VVVXpKa3pCMTI3ZGkyVHZuWHJWdVRuNTJQanhvMVl1WElsbGk5Zmp1dXV1eTVtR3hrWkdWaXdZQUU2ZCs1YzZkUTJmcjhmeTVjdngvejU4ekY4K1BCcXJ4MFJFUkVSRVJIUjBleVVVMDZKbWI1MTYxWTg4TUFEMkwxN054ekh3UXN2dklBYmI3d1J2WHIxS2pOZExFTFR6SHo1NVplUllEc0E1T2ZuUi9iUE91c3NuSHJxcWRpeFl3ZHljbkx3M252dllkdTJiVmkvZm4zTTRIdlhybDFqUHB5SDBIUTB2WHYzeGtVWFhWUWhyMW16WnJVKy8xZzJiZG9FRWNGeHh4MFhsL1lPaFdtYWx3R1lCMEJwclJjQStFSkUyZ0d3bEZMbkFuZ1JwYk5EWEttMWZoL0FEMXJyNTBRa0JVQS9FWG5MTk0zUlhxKzNacDg0MEZIaHFBNitBNmdROENzb0tNRGJiNWQreU5TNmRXdmNjY2NkeU03T3JyUitlRkJhdlhvMW1qVnJCcmZialRGanhxQmJ0MjdvM2J0M3BOeTU1NTRMeTdJd2ZQandNZ3RSSmlZbTRnOS8rRU9OcHhWcFFBWnByZHNtSlNYdEFiQzFORWJxdjJyNTh1WGpBTUR0ZHZjSGtPYjFlcWNpTkVXTjR6aEw4dkx5NW9jYk1FM3pCZ0QvQ2UrSFA0MFZrVDRBK2xUWEFjZHhlZ0g0cks1T3NMNDE5SHN6T1RtNVF1QWRvUlhWd3d1cmlBZ3lNelBSdDIvZm1HME1IandZMjdkdng5U3BVMUZjSEhzZFhCSEJzY2NlaTcvKzlhK1Z0a05FUkVSRVJFVFVWUDM2NjY5NDg4MDM4Y1liYnlBdExRMVRwMDVGY25JeVpzeVlnZEdqUjJQeTVNbm8xNjhmcnIzMldqUnYzaHdJVGZ0YVBpQy9hOWN1dEdqUkFnQ1FrcEtDbVROblJ2STZkdXlJbVRObm9sdTNidWpVcVZPRlBxU25wK1BNTTgrTTJUOFJ3ZkhISDE5cGZtMmtwYVZoM2JwMTBGcEg0a2pGeGNWWXZIZ3hUampoaEFvekJCeEJJaUl2QTlDTzQ1emg4L2w4VVhsR1RrNU81S3Y4anVNY281UzZKVHhWTTBvZlRueXNlZlBtZVNMeVFIWjI5clA1K2ZuN2p2Z1pVTDA0Nm9QdjVZMGNPYkxTRlptck1ucjBhQXdjT0JBdWx3c1BQZlFRdG0zYlZtYmVxdVRrWkx6MDBrdHg3bTM5eU1uSnVWaHIzV1AvL3YwbnBLYW1ybE5LL2RIajhheHh1OTNwbG1WcHJmV3ZLQjExVWkzTDJnVGdIMXJyTTVSU0paWmx1YlRXbTcxZXI5dnI5YjRPNEhXVUJ1dlRSZVFuQUpPOFh1OVloRDRKQk5EYnR1MUI5WDNPRFVGRHVEZnZ2UFBPeUdLb2xUbmxsRlBnOFhqZ09LVnI1bFkxZjF1N2R1M3c0b3N2VnBwUFJFUkVSRVJFUkdVRkFnR3NXN2NPUzVjdXhUZmZmQU92MTR1RWhBVDA2OWNQQXdZTWlBVFFuM2ppQ1F3Wk1nU3paczNDeXkrL2pLbFRwNkozNzk2NDhjWWIwYkZqUndRQ0Fiei8vdnRvMTY0ZDl1L2Zqd1VMRnVDR0cyN0FwWmRlaWdNSERsUTQ3djc5KzZHVXdubm5uUWNBT09lY2N6QnUzRGpNbnorLzBnZnFVRHJUQVZhdlhoMlpOejRXdDlzZG1SNjNLaGRmZkRIbXpadUhDeTY0SVBMUVlWRlJFWXFMaSt2MTIvSzV1Ymx0dE5iSGE2MS9LQmQ0QjRCZ1hsN2V5dkNPeitlYkdacHFKcUtnb0tEUXNxejNBTndEb0RPQUZVZXM4MVN2bWx6dy9YQ0VuMVJPVGs3RzhjY2ZYOS9kcVRPR1lWeXJ0WjZ3ZHUzYUl0TTBLK1I3dmQ3MktCMDRoNFlEcnlMUzM3YnRUN0t6czdzYmhqR3JmQjBSR1lIU0FYTmlPTTF4bkV5bFZCOEFETDRmcG5qZG0yM2F0S2x4MmFxQzdrUkVSRVJFUkVSMGFJWU9IWXF2di80YUlvSlRUejBWOTk5L1B5Njk5TkpJMEQxYWh3NGRNSHo0Y054KysrMllQbjA2NXM2ZGk4V0xGMlB1M0xsd3VWeVlNbVVLZHUvZURhVVVjbk56MGE5ZlA1aW1XZWFiOFpWcDNibzFBT0NOTjk3QXJsMjdLaTEzd2drbllPM2F0Vmk3ZG0ybFplNjY2NjRhQmQ4ZmZQQkJYSERCQmRpMGFWUGtvYitFaEFSa1pXWGgxRk5QcmJaK1hmRjRQRHROMDl3bklwbTV1Ym5IZVR5ZXFoYXlkeXBKVDBGcGpLenlpMGxISFFiZnFRS3Q5VU5hNjdTc3JLejJBRlFnRURnbUt5dXJ2V0VZaVZwcm1LYTVQbFMwQllEK29Ub3pUTk04QUNBQndMYm85ckt6c3p1S3lOMEFIaTRvS0Npc2w1TWlJaUlpSWlJaUltb0VoZzRkaWl1dXVBSm5uSEVHV3Jac1dhTTZ4eHh6RElZT0hZb0JBd2JndDk5K2cyRVlBSURQUC84Y2dVQUFJaEpKTysyMDAyclZuMWRlZWVVUXpxSnlnd2NQeHVEQmcyUG1pUWpPUHZ2c3VCNHZUaHl0OVVRUmVWQnIvYjFsV2ZmWXRqMnZwcFd6czdQVHROWi9FcEgvemN2TCsyL2RkcFVhRWo2NlNoV0l5TU5LcVorVGs1TzNpRWhid3pDK1RrNU8zdUk0emhNQUpnSG9LeUtmYXEydkFtQUIrRFFZREo2N2E5ZXVUQUIvRUpIWjBlMjVYSzZ4QUxidjNMbnorZm83S3lJaUlpSWlJaUtpaHE5ang0N28xYXRYalFQdjBkcTBhWU51M2JxVlNYTzVYSkhBT3gwNm44ODNHc0FqQU5vRG1HdWE1dmVtYVZaY1piYWNqSXlNSk1NdzVvaklzUUFlQnFDUFRJK3BJZUNUNzFTQmJkdERBQXhCNmFLcFc1VlM1M3M4bmpXaGJERk44MnV0dFY4cDFSekFSVnJyUkpmTHRicDE2OWFkQVNBWURDNHIxK1JsQUk1cDFhclY5bGF0V2tXbkp3QklORTF6Yi9rK2VMM2UrQ3lIVFVSRVJFUkVSRVJFZFBnYzI3YkhaR2RuLzhmbGNqMGFlamgxZ1dWWnMzZnUzUG1YOWV2WFY1Z1l2M3YzN3NjbkppYStDZUFzQUk5RUw4SktUUU9ENzFSQlptWm1tNVNVRkkvWDY0MHNiMjJhNWxzaThncUFYQUJuQTNnRHdHMWE2d09oL2R2Q1paVlN1d0VzaW1weWdPTTR5ZVdQby80L2UzY2VIMFdSL2cvODgvUk15Q1NFa0hCZnVrRlFRaVNUNlk3dTZzcXVlS0NpNjdrcW9naHlDT0tGaXF0NHJLNEt1K0tDaUp3aUtnSWlyb0FpTHF1Q29QdDFQY0JNVHlZUWc2SmNFY0lkQ09TYzZmcjlrWm41VFpKSkNKQVFTRDd2MTR1WDAxWFYxVTkzZXRya21ab3FUYnNld0orVlVvTk94bmtSRVJFUkVSRVJFUkdkQ0svWHV4SEFyV2xwYWJxbWFXK0t5QjJKaVltK0xWdTIzQlhlVHRmMWZpSXlYeWtWRFdDQWFacUxHaTVxYWloTXZsTVZ6WnMzRjZWVWhaSG5JaElENEVZQXcxQytXT3JZUUhrM0FCY0d0d0dnckt5c3dyenVicmY3azBqSGNibGMzVFZOdTliajhYeFlieWREUkVSRVJFUkVSRVJVeHpJek04MzA5UFErU2ltM2lBeE9UMDkvSXJnUXE2N3JRMFZrTmdDUGlOem1kcnMzTlhTODFEQTQ1enZWbW1WWlgxdVdkUS9LUjYydjBqUnRsWWk4Q2FCbGNGdlR0RlhSMGRFUE5IU3NSRVJFUkVSRVJFUkU5U2tqSStNZ2dIVW9INHg2SmdDa3BhWDlWa1JlVTByOSs5Q2hReGN4OGQ2MGNlUTcxWnFtYWZzQTVLQjhOSHQzQUVoUFQwOEc4RlZ3TzR5NFhLN0JSK252UEtWVXRNdmx1cXVhSnFVZWoyZGhYY1ZQUkVSRVJFUkVSRVRIN3EyMzNzS0tGU3N3ZCs1Y05HL2V2S0hET2VsNjllclYzbTYzOS9ONFBBc0ErSUxsdXE2M1ZVcjlRVVRLbEZJL0FvRE5aaHVybE5LVVVvTTNiZHBVMHFDQlU0Tmo4cDJPaTJFWStRQVFlSmpFQmJkUlBrTCtUWS9IOHhkTjB5WWVwWnNZQURFMXREc0lnTWwzSWlJaUlpSWlJcUo2MExkdlh4UVdGbFlvR3pkdUhDNjU1SkxROXQ2OWV6Rm56aHlVbFpYaG80OCt3b0FCQXhvZzBvWmx0OXRqTkUxN1M5ZjFGMFhrdjBxcG5RRGFBdWduSWdsS3FTZXlzcklPb0R4WDlsc1JPUUpncks3clZmb1NrYlZ1dDN0cFE1d0huWHhNdmxOMW1ybGNybHRFeEdGWjFtQVJxVEN5dmJpNHVBdktIejduMk8zMno0cUxpME9MczVhV2xwWUI4THZkN2pZMUhjRGxjajJxYWRyWW83VWpJaUlpSWlJaUlxSzZOMm5TSlBqOS90RDJpQkVqRUJkWFlSbEFqQjgvSHQyN2QwZi8vdjB4ZnZ4NG5ILysrZWpldmZJRUNJMWJmbjUrWHF0V3JmNG1JdjBBWENFaWNVcXAvUUMrdGl4cmhzZmorWGRZODVZQTRrVGs4VWg5S2FYZUFNRGtleE54VXBMdjJUa2JNV0R3OEpOeEtJb2dPMmZqTWJVL2ZQaHdTZlBtelQvUk5LMmZVbXBlK1hOQmlZaUUyamdjanNXQmw4MEJ4SWR0dytGd3dPVnl2ZXJ4ZUZiVTNWblVyYXoxMmJqbXh2NE5IUWFkb3JadTI5N1FJUkFSRVJFUkVSSFZ1K1RrWkF3ZE9oUi8vL3ZmMGFwVksxaVdoWVNFaEZEOXdvVUxzWGJ0V3N5Yk53L2R1blhEZDk5OWg5R2pSMlB1M0xsbzI3WnRnOForTW0zWnNxVjR5NVl0endGNDdtaHRUZE5zY1hLaW90TkJ2U2ZmRmRUeVE0Y080OXUxR2ZWOUtLcUpxSTlxMjNUanhvMEZBRzROTDNNNm5ZdHROdHQyRVdtSjhteDhqVlBLS0tWK09JRm82NVZTMW9JalI0cnlzMy80c2FGRG9WT1lnbHJlMERFUUVSRVJFUkVSMWFkOSsvYmhoeDkrZ01QaFFINSsrWXpDd2VUN2loVXI4UExMTCtQNTU1OUh0MjdkQUFCUFAvMDBSbzBhaFNGRGhtRGF0R2xJU2txcXNYK2lwcTdlays5YmN6SmZCdkJ5ZlIrSDZwZlg2M1VIWHU0QklFZHBYaXNlajJjaWdLUE5DMS9udG03MHZnSGdqWk45WENJaUlpSWlJaUtpVThuZXZYc0JBSW1KaWNqSnlRRUF0R3paRXUrODh3NWVlZVVWUFBqZ2c3ajY2cXREN2FPaW92RHFxNi9pd1FjZnhKMTMzb2tISG5nQU45OThNelJOYTdCeklEcVZjYzUzSWlJaUlpSWlJaUtpSm1qZnZuMklpNHREVkZRVTh2UHpFUnNiaXcwYk5tRHk1TW00NG9vcnNIMzdkb3dmUDc3S2Zzbkp5ZWpRb1FOV3JGaUJtMjY2aWNsM29tb3crVTVFUkVSRVJFUkVSTlFFN2R1M0x6VE56SUVEQjVDUWtBQmQxN0Znd1FLVWxaVmg4ZUxGRWZkek9Cd1lOMjRjamh3NUFydWQ2VVdpNnZEZFFVUkVSRVJFUkVSRTFBVHQyN2NQdi83Nkt5NjY2Q0w0ZkQ3NC9YNWNjODAxK1BlLy93MEFTRTFOeGFGRGgvRDIyMi9qemp2dkRDWHEzVzQzZnYzMVYzVHUzTG1CejREbzFNYnZoQkFSRVJFUkVSRVJFVFZCMTF4ekRWNS8vWFZNbXpZTnMyYk53ckJodzZDVXdwNDllekI0OEdEazV1WWlPam9hNzd6ekRyNzk5dHZRZnM4Ly96em16NS9mb0xFVG5RNllmQ2NpSWlJaUlpSWlJbXFDT25mdURGM1hvZXM2VWxOVDBiNTllMFJIUjZOMTY5Ykl6YzNGeXBVckVSMGRqVjY5ZXVHNzc3NERBR3phdEFuYnQyOUh2Mzc5R2pwOG9sTWVrKzlFUkVSRVJFUkVSRVJOVEVGQkFiNzQ0Z3RNbno0ZEkwZU94TVVYWDR5ZE8zY2lPam9hbXFhaGQrL2VXTGx5SlFEZy9QUFB4OXExYXdFQWE5YXNRZWZPblpHV2x0YkFaMEIwNm1QeW5ZaUlpSWlJaUlpSXFJbTlLNERTQUFBZ0FFbEVRVlRKenM3RzQ0OC9qdSsvL3g2cHFhbVlPSEVpWW1OajRYQTRBQUI5K3ZUQnhvMGJzWFBuVHFTbnB5TXZMdzk1ZVhuNDVKTlBPT3FkcUphNDRDb1JFUkVSRVJFUkVWRVRrNTZlamkrLy9ES1ViQWNBcjljYjJyN2dnZ3R3N3Jubll0KytmVWhMUzhPeVpjdXdaODhlYk5teWhjbDNvbHBpOHAySWlJaUlpSWlJaUtpSnNkdnRzTnNycGdZUEhEaUErUGg0QUVCTVRBem16WnNYcXV2U3BRdm16WnVIbmoxN0lpa3A2YVRIUzNRNll2S2RpSWlJaUlpSWlJaW9DZkw1ZlBqb280L1F2bjE3RkJZV1l1WEtsYmp0dHR0dzFWVlhvYWlvcUVyN3dzSkNhSnFHaXkrK0dBRFF1M2R2akI4L3ZnRWlKem85TVBsT1JFUkVSRVJFUkVUVUJObnRka3lmUGgzNStmblFOQTNwNmVubzM3OC9kRjJIMys4LzZ2NnRXclU2S1hFU25hNllmQ2NpSWlJaUlpSWlJbXFpUHYvOGMvaDhQb2dJYkRZYkFPQzg4ODVyNkxDSUdnVW0zNG1JaUlpSWlJaUlpSnF3eW5PL0UxSGQwQm82QUNJaUlpSWlJaUlpSWlLaXhvYkpkeUlpSWlJaUlpSWlJaUtpT3Nia094RVJFUkVSRVJFUkVSRlJIV1B5bllpSWlJaUlpSWlJaUlpb2puRTFCU0lpSWlJaUlpSWlvbnFTbmJNUkF3WVBiK2d3bXFUc25JME5IUUkxY1V5K0V4RVJFUkVSRVJFUjFRTUZ0ZnpRb2NQNGRtMUdRNGZTZEluNnFLRkRvS2FMeVhjNkZXa0FySVlPZ29pSVRseG1aaWJhdG0yTFRwMDZOWFFvUkVSRVJFUW4zZGFjekpjQnZOelFjUnd2WGRmWEFJQnBtcGMwZEN4RXB5UE8rVTRub3NyOTQzUTZlNXpvZmFYcittcGQxNmZXMUNZNU9ibTFydXNMVTFKU09weklzUUxFTUl4WDB0UFR1MFdxVEVwS2N1aTYvZzlkMTUrcGcyTVJFVFVLYjcvOU5tYk1tSEhVZGlOSGpzUjc3NzEzMUhhRmhZVzEvbGRTVWxKSFowRkVSRVJFUkVSVWZ6anl2WkhRZFgyVmlGeW1sUHJhTk0zZUFGVGxOb1poREFRdzM3S3NJUjZQWnk0QWRPL2VQYjVGaXhaalJPUW1wVlFTZ0NJQUdVcXBaendlejdxakhQTVRBTCtZcG5sUFlEdEZSRGE0WEs1YlBSN1ArNUgyY2JsY2QydWE5czhJVlVQZGJ2ZFNYZGN2RjVHTExjdDZKMUppUFRzN2V4Y0ExYng1OHlMTHNselIwZEh2QXJnY2dEOHRMZTBjVGRQY3RiaGMvekZOODViZ2h0UHBQQmZBYUwvZi8wcUV0cEtZbVBnV2dHc0J4T2k2N2pGTjg1VCt1cEpoR0ZjQkdBTGdRcVZVT3dCRklwSUg0TDgrbjIrcTErdGRIOVoyaEZKcXNJajBBTkJNS1pVRDRHWFROQmZWVjN5cHFhbG5SVVZGUFE3Z2p3Q1NBRUFwdFUwcE5jWGo4VVRLNUVrZ3puK1lwdG1xdnVJaW9tTno4T0JCdlAzMjI0aUxpOE9nUVlOT3FLLzgvSHhjZHRsbGFOdTJMV3cyVzQxdER4OCtESmZMaFNsVHBsUW8vK0dISHpCa3lKQXE3YU9qby9IbGwxOGlOemNYTjk5OGM4UStQL25rRXlRa0pKelFPUkFSRVJFUkVSRlZ4dVI3SXlNaXYzZTVYTU05SHMvcnRXa2ZIeCtmQXVBK0FFdVZVZ3RGNURjQUJtcWE5aitYeTNXSngrUDVYNlQ5ZEYyL1RFVDZLcVh1RFphWnBwbHRHTVpYbXFZOUFXQnhwQThBTkUyTEJuQklLVFUwTE9ZbFNxbG1nYzNuQXUxbU94eU9Lc2ROU1VscGtaMmRmVGdqSTZQUU1JemJsRkpyZFYxL3dUVE5KKzEyK3k2LzMzOS9MYTdSOXZCdHU5MytlNlhVWm8vSHM2VlNVNXV1NjIrSnlKOEJYQVdnbjFMcUhWM1hiekJOOC9PakhlZGs2OUdqUjR2WTJOajVBSzVYU2gwV2tTOUZaRWNnQWQ4VndBaWJ6Yllad1BxdzNTYUt5SCtVVXY5UlNyWFFORzBBZ0hjTnd6alQ3WGEvVk5jeDZycmVEOEFIQURTbDFFb0FYNGhJZXdDR3BtbC9CQkNlZkxlNVhLNXJOVTE3R2tBNkFBNTFKVHFGUFBEQUE4akx5OE9VS1ZPUWtKQ0E2NjY3N29UN3ZPdXV1NUNZbUZoam16VnIxcUNvcUtoS3VWSUtaV1ZsV0xKa0NabzFLLzlmaXNmandmUFBQMStoZnQ2OGVhRmo3Tnk1RXlOR2pEamh1SW1JaUlpSWlJZ2lZZks5Y1NsV1NtMFRrUWxPcDNPWjErdmRmYlFkTE12S09YejQ4Rm1iTm0wNkZDd3pET1BmQUQ0U2tmc0JWRW0rZCsvZVBSckFGS1hVVDZacFZrN3lqd1B3aWN2bEd1UHhlQ1pXYzloQzB6UlhoUjJ2RE9XajR1OFZrZDhycGFiNS9mNEpZZTNiMld5Mnp3RjRzN096andRTDNXNjNWOWYxdjRqSU0rZWVlKzdFakl5TS9RRG1IdlVxQmJoY3JsdEVaSDdnZlNDNnJoY0hxdkpLU2tvdWlJNk9mbGRFZWdNWTZIYTdWd1A0cjY3cjV3SllZUmpHSTI2M2UwYWtEeGdhaUQwMk52WWpFZWtENEhWTjAvNlNrWkZ4TUx4QjRKc0o4ZUZsU3FsVTB6UzNCcmRUVWxJbVIwZEhieEtSaHdIVWRmSmRST1ExQU1xeXJOOTZQQjVQV0owdExTMHR1Vks4bVNKeUxnQ3ZVdW9IQUdmVmNUeEVkQUpFQk04ODh3eHljM05EeWU0VFpWa1cvSDcvVWR2VXBHUEhqb2lPamdZQWJOKyt2VXA5Ky9idDBhWk5Hd0E0NnJHSWlJaUlpSWlJVGdTVDc0MklVcXFaaUR3SzRDTzczVDRKd0oxSDI4Zmo4ZVJYTHJNczYvODBUUU9BNXBIMmFkR2l4WGdBS1VxcFN3SDR3dXZjYnZlbnVxNi9yV25hMzlQUzB2NmJtWm01dGpheGkwZ1BFWGxNS2JVTXdOMEFYdk42dmV0VFVsS2FPUnlPZVlHUjBvTXFKN3ROMDV6cWREcmYyN0Jody83YUhDZGNVVkhSSjNGeGNTN0xzdjRuSXMrSXlPZEtLYkVzNjQ3bzZHaXZpTFFDTUVzcHRVL1g5Y3RSZm8ybmkwZzNBTk1NdytodldkWXpIby9uaTJNOWRsMHpET05oQUgyVVVxOEZwd0dxekRUTjdBaGxXOE8zczdPejgzUmQzMVFmaWU3MDlQVFdTcWt6bEZKckt5WGVBY0NmbVptNW9WTFpScVhVeTZacHpndE1jY1RrTzlFcHh1RndZTzdjdVFqOFArT0VMVnEwQ0haN3piK2FIRHg0RUwxNjlhcTIvdnZ2dncvMXNYSGp4aXIxcG1raVByNzhjOGc5ZS9hY2NNeEVSRVJFUkVSRTFXSHl2UkVSRWMzdGRpL1hkWDJKaUF6VWRYM3U4VXlQSWlMbkJWNStYYm5PTUl6K1NxbEhBRXl0THVtc2FkcG9wZFFmTkUzN2o2N3JWNXFtK1gxNHZWTHFIRjNYRDRjVk5RZHdybEpxcldtYU4rbTYvaStiemZhcHJ1dFhpOGdFQUwwQi9MbHlvampJNi9YdVRrOVBUN1lzSy9Ka3ZwSDliSnJtdTZtcHFWRlJVVkh4U3FsaUFQL1l2My8vZ01URXhHc0FaQ3FsNW9uSVV5SnllZGkxQVFCVEtYV2ZpTXpTTk8zM0FCbzYrUzVLcVRFaWNyQ2dvT0N4RStuSTVYSWxBT2dXNlJzUEp5b2pJMk8vcnV0SFJDUTVQVDI5WTBaR3hzNmEycHVtK2VlNmpvR0k2a1pKU1VtRlVlTU9oK09FRS9DYXBtSFNwRW5vMEtIbWRiUVhMRmlBSDMvOHNkcjZ5Wk1uQjUvVkVhZW5tVGx6SnZ4K1A1bzFhNGF5c3JJVGlwbUlpSWlJaUlpb0preStOMDRQQXVnTFlHYjM3dDFUTjIzYVZPTmMyU2twS1hGMnU3MnR6V1pyTFNJWEtLV2VWa3A5NGZmN3A0YTMwM1g5ajBxcHR3RjhXMU9TTnlNajQyQnFhbXBmdTkzK2Z5THl1YTdydDVtbStaOWd2WWprV3BZMVNFUmVBWkJoV2RaOHk3S3lEeDA2ZEFpQTVmUDU3cmJiN2Q4Qk1BRllTcW5iVE5OY0h0dy9QVDM5VE11eXdrZHhUL0w3L1YrSnlHMWhaWjFGSkNFd1hVbWtPUXErQXZCdVZGVFVWVXFwcjVSU2ZoSHB1R1hMbHVLNHVMaXJORTJMQ3JSYkF3Q0ZoWVdId3FmbVNVdExPMWZUdExtbWFiNVkwN1U5R2RMUzBseUJlZFBmQzQreGx1d3VsNnVMcG1ueEFIb0NlQXpBQVJGNXFCNUN0WlJTcjRqSVUwcXA3d3pER08xMnV6K29oK01RVVQwYk0yWU12dm5tbTlEMndvVUwwYjU5ZTF4enpUVlYycGFWbFdIUm9rVll2SGh4aGZLTExyb0lTVWxKMkx4NU13Q2dUNTgrbUQxN2RxMk9iN2ZiOFplLy9BVUFjTXN0dCtDM3YvMHR1blRwZ2drVEp1RFNTeThOZlJCUVhGeU1YYnQyWWNpUUlianNzc3V3Wk1rUzJHdzJEQnMyREhmY2NRZXV1KzQ2L1BUVFQ0aUxpenVoNjBGRVJFUkVSRVFVQ1pQdmpaQnBtanNNdzNoU1JLYkZ4OGMvQWVCdk5iVnYxcXpaelpxbXZSVld0QWpBZzE2dk56Uy91bUVZVnltbEZnUFk2ZmY3YndnbTlOUFQwOXRZbHZVaWdKZkRwelhKeXNyNlJkZjF2a3FwejBSa2hhN3JzL3grLzZOdXQzdG1Ta3JLN096czdGSmQxL01CYks0OGdsN1R0Q1FBWlNJaVNxbGlFVG5INlhRMkQ4WlRWbGEyejJhekRVZDVJbitxVWlyYTQvR3NCTkFMNVI4bU5ITTRISnVVVXV0TTA3emlLSmZyenlLeVNLbi9QNXZOK3ZYcmQrbTZmbGhFUXRQdXRHalJZZ0tBSnd6RHVNL244NzJsYVZwUEFNTURjOXczS0p2TjFoWGwzeWlvTWhUVTVYS04welF0bEZWU1NtMHpUZlBsc1BvdW1xWnREdHZGRGVCUEdSa1pPZlVScThmamVjWXdEQitBSndFczFYVjlMWUNud3RjQUlLSlQzNk9QUG9xQ2dnTDgvUFBQZU9HRkZ3QUF6WnMzeDdoeFZSK0pZOGVPeFVVWFhZUnJyNzIyUW5tYk5tM1F2SGx6SERseXBNbyt4NkpMbHk0NGN1Ukk2TU9BbFN0WFZxaFhTbUhEaGcxSVRVME5UVU56NVpWWFlzS0VDY2pQejhkdmZ2TWI3Tml4QTRaaG9HM2J0aWNVQ3hFUkVSRVJFVkU0SnQ4YktiZmJQZE13aklGS3FiRk9wL05kcjlkYmRlTGJBSnZOdHRydjk5OElvQTJBRkUzVEJnSEkxblg5ejZacC9qYzVPYmsxZ1BkRUpNK3lyTXZERjNKVlNqMHRJc01BdkErZ3dwemlwbWxtTzUxT3cyYXp2UWNnZmYvKy9aYXU2MzFFNUNZQTkxV09JNURJSHlNaVk1UlNHeXpMK2kyQTZ3RThZN1BaUmh1RzhiNVM2a1BUTkw4SWZFQUFYZGVyakR5UGpvNGVxcFRxWWxuVzlZRTJGd0o0cHFDZzRJYndid0hvdXQ1SktmVmJFWm1tYVZwUHBWU0x0TFMwM2txcExZRnpPMWNwVmFocFd2QVlOZ0JUQVh4NC9EK1p1cWVVaWhZUmlFaVZsUU0xVGJzSFFPdmd0b2hrQUFnbDMyMDIyMjYvMzMramlMUUFrQVJnb0loazZMbyt4alROVitzaFhNdnRkdi9ONlhTK2E3ZmJYd0J3czRpc05BempuZjM3OXcvZnNtVkxjUzM2SUtJR2xwU1VWS1VzS2lvS2wxeHlTWlZ5RWNFWlo1d1JzUzRvS3lzTGQ5MTFGMXEyYkZtaHZLQ2dBTkhSMFJVV2RDMHRMVVhIamgzeC92dnZoOHAyN05pQnQ5NTZDNUg4OHNzdmlJbUp3WHZ2dlFlSHc0R09IVHNDQU00KysyeXNYcjA2MUs1ZHUzWk12aE1SRVJFUkVWR2RZdks5OGJMS3lzcEdSRVZGdWUxMiswd0FsMWJYTUNNall4dUFiY0h0WHIxNlRXN1dySmxiUkJZQTZKcVRrN05QMS9Yck5FMzcwZVB4aE9icE5neWp1MUpxRklCRnBtbCtHcW52UUtMK2NsM1hXK1htNWhhMWE5ZXVJNERmQmV0RjVBKzZybzh0enlHclp3TC9mYkdrcEdSY2RuWjJLWUIxaG1ITVZVcU5CVEFFd04zbm5udHV4K29XV0UxUFQ0KzFMT3NwRVhrbk16UFRSUGtDc3Z0c05sdWZ1TGk0ZndCNEpOalc1L08xam9xS09nUmdHb0JtSXRMTVpyTjlET0J2U2ltSVNHc0FzVW9weC9IOUNFNmFQU2kvY0dkVXJuQzczVzJDcjNWZEx3N09neHlVa1pGUkdQNWhRbnA2K290S3FkVWk4ckt1NjZzaUxkSmFGd0lmQnQyYWxwYW1hNXIycG9qY2taaVk2TnV5WmN0ZDlYRThJanIxYVpwV0lSbU93SlF5dDk5K08yNjg4Y1pRMllvVks2b2syanQxNm9SRml4WlZLRnUvZmozbXpadUg3ZHUzWTlLa1NkaTFheGVlZi81NVhIenh4Umd3WUFBU0VoTHErWXlJaUlpSWlJaW9xV1B5dlJITHlzckswblY5a29nOHJ1djZuWlpsV2JWWkVHLzkrdlhiZFYzL3Q0Z01kanFkM2IxZTcwYlROTCtzM0U0cDlhcUlGQlVYRno4Y0xPdlJvMGNMbTgzV1BEczdPeStzcWQ4MHpUMlJqcVdVNmhWSWNyK2lsRm9CWUxtSTdIWTRISmNhaGhGcUp5S0wvWDcvZEJHcE52R084a1Q3RXlMU1VrUkNjOUpuWm1iK2FCakdDeUl5VHRmMWZ3Y1hvYzNLeXNvQ2tJRHk2VmZ1MGpUdEhyZmJmUUhLRTlYamxGSVRBdlBGZHdkUUw5T3cxQVZOMDlZRjVxenZHeGlkWDJVRWZHMWxaR1NVdVZ5dU56Uk42eTBpZjZqOGJZYTZscG1aYWFhbnAvZFJTcmxGWkhCNmV2b1RSMXVJbFlnYUo4dXljTk5OTjFVbysvWFhYekZ6NWt6TW56OC9WSGJreUJIRXg4ZFhhSmVibTR2Tm16ZmpsMTkrUVU1T0R0eHVOL2J2MzQ5TExya0U3N3p6VG1pay9obG5uSUdKRXlkaTd0eTVNQXdEWjU5OU5ycDA2UUtIdzRHdVhic2lOVFgxSkowdEVSRVJFUkVSTlFWTXZqZHllL2JzZWE1ZHUzYTNBSmlFbzh6OUhrNUViQ2hQN0VaYXJCUzZydDhzSXYwQTNCT2VhRy9ldlBteXdFanhQd0x3MWVKUU05MXU5emlVSjhBZG1xYTlyWlNLTkFGd3JLWnBUOWEwd0dsYVdscHZFWGtVd0xPV1pma013K2h1V1ZhaVVpb3hNTEsvRU1EcjZlbnB2UUlqdm10VVVsSnlSWFoyOW1GZDErZlU0andhVEVaR3hrRmQxejhVa1Q4YmhuR1AyKzJlZmlMOUJYLzJsbVZGL05uWHRZeU1qSU9HWWF3RGNGWlpXZG1aQUpoOEoycUNORTNEMHFWTEs1VFZkdVQ3OHVYTE1XZk9IRGdjRHZUbzBRUFhYWGNkL3ZDSFB5QXhNUkhCYi96NGZENGtKaVppL1BqeCtPV1hYL0RsbDE5aTNicDFlTys5OXdBQVU2Wk1PU25uU1VSRVJFUkVSRTBIaysrTlhHNXVibEhyMXExSDJXeTJUd0U4V3JuZU1Jd0wzRzczdCtGbFRxZXpCNERybFZLYlBCN1BUNVgzY1RxZDdRRE1BUEN4MisxK0xiek81L005WWJmYi8yY1l4dC9kYnZkamxmZXRoWDJtYWJhcFhHZ1lSazc0b3FnUmFEYWI3VjhBSEFBbWlNZ0VCSkk1QUlvQkhBQ3dCVUJQeTdLZUIvQm9jbkp5NjVpWUdCM0FtUUN1VmtxZFl4akdOd0MrVTBvaE9qcDZ2SzdyWlNMeTI4Q28vRk9XcG1tUEs2VXVCekRaTUF5NDNlNVo0U1BnblU1bmN3QVY1cHh4dVZ5dS9QejhuUEI1MWdQVDl0d1B3R2RaVnAwdWd0cXJWNi8yZHJ1OW44ZmpXUkQrd1l5dTYyMlZVbjhRa2JKSWk4WVMwZWxqeDQ0ZDJMaHhZNDN6dTFmSHNpejA3ZHUzUXRuQmd3Y3hlZkprekpneEkxUldXbHFLZHUzYVZXZzNmUGh3WEhUUlJSZ3laQWcyYnR5SWpSczNZdUhDaGJBc0N6NmZEK3ZXcmNQdTNidHh3dzAzd09Hb09KT1l6K2ZEaWhVcjBMNTkrMk9PbVlpSWlJaUlpS2dtVEw0M0FabVptWi9wdXI1UVJHNnZYS2VVZXRFd2pOWktxWDhIRXRSbmk4aUFRS0oyV0lUdWJEYWJiYUdJK0pWU1F5dFhlcjNlNzF3dTE0c2k4cVN1NjJ0TTAveFBiV0owdVZ6SFBQbHVJRkVjcTVTU3dQUXc0NVZTclFEODRQZjd0OXRzdGp5LzM3L1g2L1dHUnRJSFJyRjNBZ0NIdzNHcGlDd01MTEJhR2hnWnY4RG44MzFwczltR2k4aXZnZkxnL2tvcFZTSWlOWDRLMEJBeU1qSitkcmxjVjR2SWh5SXlUZGYxSjBUa0t3Q0hBSFJTU2wwc0lzMlVVcUZFdTZacE55UW1KdDdUcWxXckpRQzJXcGJWd2JLc1cwV2tNNERIdlY3djVtQmJ3ekNlOHZ2OVgyZG1acTQ1M2hqdGRudU1wbWx2NmJyK29vajhWeW0xRTBCYkFQMUVKRUVwOVVSV1Z0YUJ1cmdlUkhSeStYdyt2UDMyMjVnOWV6WnV2UEhHWTA2K2QrN2NHVTg5OVZTVmFXY2lqWHpmdG0wYmNuSXF6Z1FXRlJXRjZPaG9BTURLbFNzUkd4c0xBUGorKys4eGF0U29DbTJYTGwwYVNyVHYyTEVEMTE1NzdUR2VMUkVSRVJFUkVWSHRNUG5lUlBqOS9vZHRObHMvRVVrTUwxZEtUUWJ3RUlBaEl0SktLYlVid0ZJQWZ6ZE44NGZ3dGs2bnM3bmRicDhGNERLbDFDZ1JhZU4wT3MvUU5DMG1NQzFNSElEbUFQSUNvODNmVEU1TzdwV1RrN012c0g4N3BWUXZBQjBNdzNnSlFBOEF2UUlMcnY2ZlVtcEpiYy9INlhTMnN5enI0OEQ1akVoTFMxdGVtK2xXQ2dvSzd0dTBhVk1KeWo5RitCQkFyTnZ0TGd1YjgzMDZ5cFAwS0M0dW5oR1lkcVpYOERLYXB1a0kxcDlxUEI3UDE2bXBxVDJpb3FJZUZKSHJBVndOSUVZcHRVOUV2Z2J3VVVsSnlkdkI5a3FwRDBRa0JjQzFTcW4ySW5KRVJOWUJHTzUydXo4SjY5cXVsUHF0eldaNzF1VnkzZWZ4ZUY0L252ank4L1B6V3JWcTliZkFkRVZYaUVpY1Vtby9nSzh0eTVyaDhYaitYU2NYZ29oT21nTUh5ajh2R3oxNk5Bb0xDekY4K0hBTUdqVG9tUHJvMzc4Lzl1d3BYeFprMnJScEZlb0tDZ293YWRJa1RKMDZ0Y3ArTDc3NEl1NisrMjRNR0REZ2hNNkJpSWlJaUlpSXFMNHcrZDVJbUtaNWVVMzFYcTkzTjRCV2xjczlIczh5QU10cWN3eWJ6ZllpZ0lFb254ZDhKc3BITTRmcWxWSktSQTRycFFwRVpCdUFzMkpqWTJjQ3VEV3d6N2tBSGdPd1RTbDFyb2pNdHl4cmc0aHMwRFF0MisvMzM2NlVhcVhyZWw2RXc0ZW1vbkc1WEFtYXBuMmpsSXF6TE90OFRkUEdhSnIyWDhNd1ZnRDRyMUpxcjRpVUFpZ0RVR3BaVmlrQUpTS3hBR0oxWFk5VlNta1pHUmt6SWh3blhKeXU2ekVpY29aU2Foc0FtNjdyZlVUa2lGTHF6eUp5c0RiWDdXUUtqQngvTHZDdlJxWnBaZ1ovTmtmaE0wM3pKbDNYcDJ1YU5sdlg5ZmFtYVk0NzF0aTJiTmxTdkdYTGxsckZGaUhXR3U5dkltb1luMzc2S1FDZ2E5ZXVlUGJaWjlHbFM1ZGo3aU00NTNva2tVYStIMDM0MURXUmxxNm9QTHFlaUlpSWlJaUlxTDR3K1U3SFlpSUFVVXB0QUxBN01LTDZnS1pwQndBY2RMdmRCWUhwWDREeTBlRi9CL0M0eStWeWVUd2VUMlptNW45VFVsTGlzN096RDBmcTNPVnlRVVFPVzVaMVQ0VHEwSEJJajhlVGJ4akdWcVhVSXg2UHh3UGd6clMwdE9XYXB0MEY0RjRBOFFCc1NpbE5SR3lhcGdrQUZmaDh3QXBNRy9OK1RTY3FJc1VPaCtOaXBkU2pTcWs5ZnI5L2ZtQU85WVVBMmdFNEVwZ2J2YW53bTZaNWoyRVlmaEg1VTFKUzBzVHd1ZUtKcUdtNjg4NDdrWnFhaXY3OSs0Y1dOajBXMTExM0hmYnQyMWR0ZlVsSkNTWk1tSUNKRXlkVzIyYlVxRkVZT0hCZ2FIdnUzTG1oZWQwM2JOaUFGMTU0QVNoL3JpTXFLZ3JUcDA5SDY5YXRBUUM3ZCsvR2lCRWpqamx1SWlJaUlpSWlJcUlHMWFWTGx4aW4wL203K3VnN1BUMDlxajc2cGFPU3dPS3RSTlNJSkNXNzF0dzJhSmlpMnJsdDBEQ1ZsT3c2N2pVd2lKb0NYZGZYNkxyTzl3a1JFZEZwanY5UEp6b3hIUGxPOVNZM043Y29OemYzdS9yb095TWpvNncrK3FXalV1RUwyQklSRVJFUkVSRVJFVkZrVEw1VGszTm1zdk5hRFhKN1E4ZEJwellMYXVHMkhPL3lobzZEaUlpSWlJaUlpSWhPVDB5K1U1T2pRWHNrSmlhNlQ2ZU9IUnM2RkRwRjdkaTVFMFZGSlIwQU1QbE9SRVJFUkVSRVJFVEhoY2wzYXBMU1VudmgzYmZuTkhRWWRJb2FNSGc0dmwyYjBkQmhFQkVSRVJFUkVSSFJhVXhyNkFDSWlJaUlpSWlJaUlpSWlCcWJlaC81M2pYWmRiY0NPTDkyQXhOZzRlWWN6K3NOSFFjUkVSRVJFUkVSRVJGUlUxRHZ5WGNGM0I0Zkg5Y25KYmxIZlIrS3FwR2RzeEdIRGgwR0FDYmZpWWlJaUlpSWlJaUlpRTZDa3pMbmUwcHlEODZ2M1lBNGZ6VVJFUkVSRVJFUkVSSFJ5Y1U1MzRtSWlJaUlpSWlJaUlpSTZoaVQ3MFJFUkVSRVJFUkVSRVJFZFl6SmR5SWlJaUlpSWlJaUlpS2lPc2JrT3hFUkVSRVJFUkVSRVJGUkhXUHluWWlJaUlpSWlJaUlpSWlvampINVRrUkVSRVJFUkVSRVJFUlV4NWg4SnlJaUlpSWlJaUlpSWlLcVkvYUdEb0NJaUlpSWlJaW9McVNucDBjcHBZWW9wVzRCa0NZaUNVcXBBeUt5SGNDbkpTVWxrelpzMkxBLzByNHBLU25OSEE3SER3RE84dmw4cVY2dmQzMWR4NmZyK2lvUnVVd3A5YlZwbXIwQnFNcHRETU1ZQ0dDK1pWbERQQjdQM0xEeUVVcXB3U0xTQTBBenBWUU9nSmROMDF4VTEzRVNFUkZSM2VESWR5SWlJaUlpSWpydHBhV2xuYU9VOGdKNERVQ0tpS3hSU3MwVEVWTXAxUWJBazlIUjBlZFV0Ny9ENFJnTjRLeVRFYXVJL043bGNnMC94dDBtaWtpdVV1b1Z5N0ptaWtnSEVYblhNSXpINmlsTUlpSWlPa0dOWXVTN3orZERmbjQrV3JkdURSR3B0bDErZmo2MmI5K08xTlRVa3hvZk5WMjhONG1JaUlpSTZwL1Q2ZXlpYWRwL0FiUUM4SUJwbWpNQitNT2FpSzdybC9uOS90eEkrNmVscFhVRzhMUlNhbytJdEszbmNJdVZVdHRFWklMVDZWem05WHAzMTJZbnBWU3FhWnBiZzlzcEtTbVRvNk9qTjRuSXd3QmVxdGVJaVlpSTZMZzBpcEh2UC83NEk2Njg4a29VRlJWVnFjdkx5OFArL2VYZkt2em9vNDh3ZlBodytIeStpUDNjZi8vOWVPdXR0eXFVUGZUUVE1ZzFhMWJFOWxkZGRSVysrZWFiYXVONjdybm5zSFRwMG1NOEcycE1HdXU5ZWZEZ1FRd2JOZ3hmZlBGRnhQb1ZLMWJncnJ2dXd1SERoNCs1NzlXclYyUHc0TUY0L2ZYWGp6cytJaUlpSW1wYWJEYmJheUxTWGlrMXlPMTJUNnVVZUFjQVpacm1LcS9YR3pINWJyUFpaZ0hZQVdCT2ZjZXFsR29tSW8rS1NLTGRicDlVMi8zQ0UrOEFrSjJkblFkZ0U0RG05UklvRVJFUm5iRFRPdmsrZS9ac3VOM3VDbVgvK3RlLzhNOS8vak8wUFhueVpEenl5Q01BZ05UVVZQaDhQbXpkdXJWS1h3QlFVRkNBa3BLU0NtWEZ4Y1VvTFMyTjJENC9QNy9hWkNrQXJGMjdGci8rK3VzeG5STTFEbzM5M3B3K2ZUcCsrdWtuSkNRa0lEczdPL1R2NTU5L1JuRnhNVjU5OVZVNEhBNXMyN2F0UW4xMmRuYU4vZjcwMDAvNDYxLy9pczJiTjJQKy9QbjQ4Y2Nmanp0R0lpSWlJbW9hZEYxUEVaR3JBYXc1bnZuUGRWMi9FOENmbEZMM2lFamtYN0Rya0lob2JyZDd1VkpxQ1lDQnVxNWZkano5dUZ5dUJBRGRBSHhkOTFFU0VSRlJYVGl0cDUzNTlkZGY4ZXV2djZKLy8vNmhzbFdyVnFGVHAwNEFnTEt5TXF4ZHV4WURCZ3dBeXIrV2g3aTRPS3hhdFFyZHVuV3IwcCtJaEtZR2VlT05OekJ2M2p3VUZSWEI0L0ZneVpJbFZkcVhsWlZoN05peHNOdnRXTHg0TVhidTNJbWRPM2VHNm84Y09ZS3RXN2ZpMDA4L3JkWDVkT3pZRVU2bjh6aXVCSjFxR3ZPOStlbW5uMkxKa2lWbzJiSWxSbzhlRFp2TkZtcDM1cGxuNHR4eno4WCsvZnRSV2xxS1VhTkdWYWdIZ0pVclYxWXBReUR4ZnYvOTk2TnIxNjZZT25VcUhuNzRZVHp3d0FONDdiWFhrSlNVVktzNGlZaUlpS2pwRVpFclVUNmkvRi9IdW05NmVubzNwZFIwcGRTYnBtbCthUmpHSmZVU1pHUVBBdWdMWUdiMzd0MVROMjNhVkhLVTluYVh5OVZGMDdSNEFEMEJQQWJnZ0lnOGRKTGlKYUttd2VaeXVWb0VOMFRFanYvL2dSOEF3T1B4RkVUNGhoRVJSWEJhSjk4dnV1Z2lqQjgvSGpmZGRCTUE0TkNoUThqTXpNVFFvVU9Cd1BRVmh3NGR3aFZYWEFFQWlJNk94aFZYWElGbHk1YmhycnZ1UW5SME5IYnUzSW1QUC80WWQ5OTlONVJTRUJFY09IQUF1Ym01bURoeElxWk1tWUtrcENUOCtjOS9ybkw4ZSs2NUJ5TkdqSURUNlVSQ1FnSm16SmlCMWF0WGgrb1BIejZNcjcvK0d1dldyYXZWK1Z4NjZhVk12aDlGY25KeWEwM1RDckt6cyt0OVJNcUphS3ozNXVyVnEvSE1NOC9nL3Z2dng1QWhRekJ5NUVpa3BhWGgzbnZ2QlFCOC9QSEhlUGJaWnpGdTNEaGNmdm5sdU8yMjIzRDc3YmRIakRIY3VuWHI4T2lqajZKRGh3NTQ5ZFZYa1ppWWlDbFRwbURreUpFWVBIZ3dYbnJwSmZ6dWQ3ODdocDhBVWRQU3MyZlBqai84OE1QT1dqUWxJZ3JoczRNYUM2VlUxOEJnbFFwZm0weEpTZW5nY0RqR1ZtcTcyalROandMMXpaUlM3d0hZVTFoWWVOSVQyS1pwN2pBTTQwa1JtUllmSC84RWdML1YxRDZRZU44Y1Z1UUc4S2VNakl5Y2VnK1dpSnFNbEpTVXRpTHlxNGhVbUMxRDA3UURLSCtPV2lrcEtaMERVMThSMFZHYzFzbjNDeSs4RUVWRlJjakl5QUFDQ2MyNHVEaWNmLzc1OFB2OWVPdXR0M0QrK2VkWEdEVTdZTUFBTEZ1MkRIUG16TUY5OTkwSEVjR3NXYk53ODgwM1F5a0Z1OTJPYjc3NUJtdlhyc1d6eno2THVMZzR4TWJHb24zNzloRmpPT3VzczZEck9nRGcyV2VmeGNLeVhXMEFBQ0FBU1VSQlZMUFBQZ3NBMkw5L1AvcjI3WXR4NDhiaDBrc3ZEYlgvOGNjZllacG1oUkhSVkhzeE1URjlSV1MycnV2TExjdGFscGVYOSs5ZHUzWWRhZWk0S211TTkyWitmajVlZU9FRmpCdzVFa09HREFFQWpCa3pCbVBHak1IVlYxK05wS1FrdUZ3dVBQSEVFK2pYcng4QTRMSEhIc05MTDcyRXl5Ky9IQzFidHF6U1oybHBLV2JNbUlFRkN4Ymd2UFBPdzhTSkV4RVhGd2NBYU5teUplYk1tWU8vL09VdnVQLysrekZ3NEVDTUhEa1NEb2ZqdUg4dVJJMlZ3K0ZZYUJoR1I2WFVVaEZaNG5hN014bzZKaUk2OWZIWlFZMkZpRVNqUENGVVlSU20zVzV2QTJCMHBlWStBQitoZkFETVRLVlVMd0M5TjI3Y1dIQXlZdzV5dTkwekRjTVlxSlFhNjNRNjMvVjZ2UnVyYTJ1ejJYYjcvZjRiUmFRRmdDUUFBMFVrUTlmMU1hWnB2bnB5SXllaXhpbzdPenZQTUl5dmxWSzlnOS9BRHdvTURQeWFpWGVpMmp1dGsrOHRXclRBdkhuejRQZjdNWDM2ZFBUcjF3OXBhV213Mld4WXVIQWhmdnJwSjh5ZE83ZkNQbWVkZFJZR0RCaUF0OTkrRzJscGFlamR1emM2ZGVxRWRldld3ZS8zdzI2M1k4MmFOYmo0NG90RCt5eFpzaVRpMUI0MUNjN2RmZWFaWjFZb3o4akl3TFJwMDVoOFAzNENvSVdJM0c2ejJXN3YzTGx6Y2FkT25UNEZzUFRnd1lQTGZ2bmxsNE1OSFNBYTZiMlprSkNBRHo3NEFOT25UMGQ2ZW5xRnVzb2oyLy94ajM5VTJMNzAwa3Z4cHovOUNjODk5MXlvN0t1dnZzSXJyN3lDelpzM1k5Q2dRYmp2dnZ0Z3QxZDhKTVhGeFdIcTFLbVlQbjA2NXMrZmo4OC8veHozM0hNUHJyenl5b2hUMXhBMWNUMUU1QWtBVCtpNnZnWEFVcVhVVW8vSDh6VUExZERCRWRFcGk4OE9PdTFabHJWSDB6U0l5Qm5oNVY2dmQzM2c3d2NZaG5FQmdHK0NkUzZYNjFFUkdhcVVlc2J2OStjNW5jNHVnYjdpTlUyRHpXWnI3M1E2ODMwKzMrNTYvdGF0VlZaV05pSXFLc3B0dDl0bkFyaTB1b1laR1JtRkFENE1icWVucDcrb2xGb3RJaS9ydXI3S05NMmFGMWdpSXFvbHBkUUhJdEk3K0MxOC9QL0VPNVJTSHpSMGZFU25rOU02K1Q1aHdnVHMzYnNYQlFYbGd4VEdqUnNIVGRQUXMyZFB2UGJhYTdqKyt1dVJtcHBhWmI5Nzc3MFhHelpzd05peFkvSGhoeCtpUjQ4ZU1FMFRQcDhQZnI4ZjMzenpEYVpPblJwcVAzandZRHo0NElOVitybmdnZ3VxalczYnRtMFFFWnh4eGhudysvMmhSS0ZTQ3BwV2NaM2J2THc4eE1mSEl6WTI5b1N1UnhPaEVMaU9BUTRBMTR2STlTMWJ0dlRwdXY0RmdLVmxaV1ZMMTY5ZnY2dWhnbXlzOTJaQ1F2a1ViMmxwYVhqeXlTZHJmVDFlZlBIRjBPdTllL2RpN05peE1FMFRIVHAwd01DQkE1R2NuSXpQUC8rODJ2MlRrNVB4dDcvOURXKysrU2IrK3RlLzRyWFhYc003Nzd3VEdpVlBST1hDbm8xSkFCN1JOTzBSd3pCMkF2aEFLYlhVTk0wdk9EY2pFVlhHWndjMUFzR2srbFVBRnRSbUIwM1RocU44MVB6emRydjkrY3IxSXJMS2JyZkRicmRmQ09EYnVnNDRYRlpXVnBhdTY1TkU1SEZkMSsrMExNdXEvSHQ1SkJrWkdXVXVsK3NOVGRONmk4Z2ZBREQ1VGtSMVpZbFNhbUx3QTh3Z1ZmNUx3N0dOQUNScTRrN3I1SHViTm0xZ3M5bXdkKzllQUVEYnRtMWh0OXVSbHBhR1VhTkc0YnJycmtOaFlXSEVmU2RNbUlDOHZEeTBhZE1HUTRjT1JWeGNITDc1NWh1MGFORUN5NWN2RHlVWkVSZ3B2R3JWcWlwOWhQMmhVc1hQUC8rTURoMDZZTmFzV2RpL2YzOW94RzlKU1VtRjBiMldaV0hzMkxHSWlZbkJ6Smt6VCtoNjFFUmd4UmlHc1ZvcFpRR3dSTVJTU3ZrRC93MXVoOWRaSXVLUFVCWnFGMndUWG1kWmxpVWk0ZTE5WVdINGd2VkgyemVzWFlVMkFFSlo1ZkJQWHdNL0N6dUF5MFhrOHFpb3FPbTZybit0bEZwc3M5bVdabVJrYkt1M2l4dEJZNzgzWTJOajBiMTdkMnpkdWhWSGpsUS82MDlzYkN5U2twTFF2SG56VUZsaVlpS1VVaGc2ZENpR0RSdUdPKys4RTRzV0xhb3k2ajFjY1hFeEpreVlnSC85NjEvNDRJTVBjUERnd1hwUHZOc0VjYnF1cnhFUkZUYnlUNm4vZjNGVm9BNkIrcVBWaFY3WFZJZnllMXVGYndjYVJPeTdGblVSajF1NXJ2SnhhNGdKbG1XcDhPMXE2bW82YnZEOWZGVEJaNFZsV1ZYT0wvamFzcXdxc1lTM0M5UWpVc3cxMVlYM2ZhekhqVlFYZk8zMyswUHRJaDNYNy9kWDZTOVNYYkE4c04wS1ljOUZoRDBIbEZJZFJlUmVFYm5YTUl4OWxtVjlCR0JKYVducHlsTjkvWXpUV2RqekE3VjhScHp3ODZOeUhhcC9mdFJIM1FtZnAyVlpWWjUvWWU5VkJIOXZPSVlmZzY4V3o0QXE1M2VpZFRpTzUwTmRQRHVDNTNtMFowZWxPajQ3cUZFNGZQandxaFl0V3V3UWtWdGRMdGRFajhmak9kbytsbVhkbzJsYWxWOG9sVkszaThnQXk3THUwelJ0bTJWWkoyVSs5VDE3OWp6WHJsMjdXd0JNd2xIbWZnOG5JamFVbjgreFBCK0ppR3BrbXVaV3d6RFdLcVVxTEw0bUltdmRidmZXaG91TTZQUnpXaWZmaHcwYkJnQjQ2S0h5dFhFR0RScUVUcDA2QVlFRkx2djI3VnZ0dmpmZmZET2VlT0lKb0h3eENRQkFZV0VoWW1KaWtKaVlXS0Z0VmxZV2R1M2FoWU1IRDJMWHJsMDQ1NXh6QUFBK255OUN6K1crK2VZYkdJYUJ0TFEwakJrekJ2Mzc5MGRLU2dvS0N3c3JKRWJmZi85OVpHVmw0WTAzM2ppQksxRTdTaW1iaUVRcHBUUUFHZ0JOS2FXSmlCYW8wNVJTNFdXaC93YmEyOExMTkUycjNONFdMQU9naVVoVTVSaUNJempDLzhnTHZnNGYzVkc1WFhpaXZSYm5DU25mb1RXQTZMS3lzcE0rUDBsVHVUZW5UcDBLdDl0ZGJYMWFXaG9tVDU1Y29jeG1zMkhPbkRrVjdvRmJicmtGano3NmFNUStkdS9lalg3OStxRjU4K2F3MisyNDVaWmJxajFlUFpEQS9SME1Wc0krK1JlbGxLRDgvcFNqMVFXNkVLVlVqWFVvdjRlRDVhRjJ3YnBndTdDcUd1dkMrd3Q3YjFTcEM3Nk9jTXdxZFpxbVZTaXZxUzc4dU1IbnpESDlBQ0k4SHlvNzJzaXdodGkzcHJxalRabFVVLzJ4VHJjVWxrUUxma1cwdFlqRVdKYlZyTFMwVkk3YUFaMElxZlJlbHNEUElQUytxT1o5SHJFdTdQa1JzUTRWMzg4MVBRZU90NjdhNTBlbG1JNTZudFdkUy9ENUVmNU1DNTZicG1sVmZxZW9yZnA0SDUrS3o0NFQyYmN5UGp2b2RMTnAwNllTWGRkSEEzaGYwN1QvR0laeGg5dnRYaDNleHJLc0Z1SHZFNC9IODBXa3ZnekRPQy9RL3I4ZWoyZDkvVWRmTGpjM3Q2aDE2OWFqYkRiYnB3Q3EvR0xzY3JsYytmbjVPVnUyYkNrT2xxV25wOGRhbG5WL1lKQlQxUkU1UkVRbndMS3NKU0x5dS9BOGdXVlpTeHMwS0tMVDBHbWRmRWRnRWNqdnZ2c09BSEQ3N2Jmam1XZWV3YVdYWG9yZi9lNTNXTEprQ1JZdVhGaGxxbzR4WThZZ09qcTZRajkrdngvNzkrOUhmbjUraGZLaFE0ZWlaY3VXNk5HakIxYXNXSUhKa3lkandZTHliekorOHNrbjZOR2pSNVdZOHZMeThNc3Z2K0R1dSs5R256NTk0SFE2OGVxcnIyTFdyRm5JeTh0RFFVRUIxcTlmajNidDJtSDY5T200OWRaYjRYSzU2dWtLbFZQUWlrelR2S1JlRDNKMFVkMjdkOWVLaTR1MVZxMWFhU1VsSlZwY1hKeFdXbHFxbFpXVmFjMmFOYlA1ZkQ0dE9qcGE4L3Y5bXMvbjA1bzFhNmI1L1g0dEtpcEs4L2w4TnB2TjlpY0FFMUVwRVIvNHc5QVNrYTh0eS9vUGdQVmxaV1hmTmVUVU0wM2gzcHc0Y2VKeFhadktpN2JVNVBEaHd3Q0ErUGo0NHpyVzhmSXJIRDRGM2pOTm1RWkFTMDlQRndBb0tpcVMwdEpTOGZsOGd2SVBtS1I5Ky9ZQ0FHVmxaYUZ5djk4dmZyOWZXclpzV1dFYjViOG9obDQzYjk1Y3dyY3R5eExMc2dUbEN6dUhYbHVXSlVxcEN0dlIwZEdoeEdPd1BQZ2hSTE5telNyc1Y2a3U5RHE4VFhBN0tpcXF5ajdCMTNhN3ZjWTZBTk1CR0pVL29BdzhHL2NxcFpaYmx2V3RwbWsvbTZaWi9SeFBWR2RNMCt6VDBERTBZY2Y4L0FnK0N5STlQNEx2YzcvZkw4MmJONi95UEFrK1A1UlNFaHNiVytGNUVueE9XSllsTVRFeEZaNE40YStiTldzbWtaNHBDSHMyUk5wUEtTVkhlM2FFbC9QWlFZMlphWnFMZFYyL1YwUmVCZkM1WVJoWlNpbDM0RnUwWjRsSWI1VGYvOFZINzYyaXBLUWtSMkppNHN1YXByMVluOStvemN6TS9Felg5WVVpY252bE9rM1Ria2hNVEx5blZhdFdTd0JzdFN5cmcyVlp0NHBJWndDUGU3M2V6ZlVWRnhFMVRUNmZiMmxVVk5TRXNFRm1TdE0wSnQrSmp0RnBuM3ovNktPUDBLWk5HK3pZc1FNalJvekFjODg5aCtUa1pIVHExQWxKU1Vrb0tDaEFtelp0a0pTVUZOcEhST0J3T0NyMHMyZlBIaWlsTUh2MmJGeCsrZVhRTkExNWVYbUlpWWxCYVdrcHNyS3lrSnViQzUvUGg2eXNMQUJBNTg2ZHNXdlhMdXphdFF0bm5YVldhR3FOTDcvOEVwcW00Y0lMTHdRQWpCdzVFbzgvL2poMjc5NE5yOWNMQUZpNmRDbTZkZXVHdG0zYll2VG8wU2Z4aWpXb3NrMmJOZ0hsSXp1T3F3T24wNmtIcHljSi9HRllDbUNWWlZrZkZoY1hMODNKeWRsWHB4R2ZnS1p3YjI3WXNBRWpSb3lvdG43QmdnWG8yclhyQ1Z6RjhnOE1FSmk2aDVvVUM0Q1ZrWkZSYllQamZZNDBScnF1SHdxK0Rqd2Jjd01Mc24xZ211YVhuS3VabWhnK1AycUp6dzVxYkV6VG5PbDBPbGZiYkxhSEF0TlI5Zzk4NkxRRHdHSUEvL0o0UEIvV29xc0s0dUxpMmdLNHpMS3NtNXhPNS9WZXIvZTcramtEd08vM1AyeXoyZnFKU0lXdnZBWVdQMHdCY0sxU3FyMklIQkdSZFFDR3U5M3VUK29ySGlKcXV0YXZYLyt6cnV1WkFJSWo4cnh1dDN0VEE0ZlZxSFJOZHQydGdDb2Z1TkxKSThEQ3pUbWUxK3Z6R0tkMThyMm9xQWp6NXMzRHdJRURNWFhxVk54d3d3MVlzMllOUHZ6d1E5eDc3NzBBZ0o5KytnbHBhV2tWOWlzdExhMlM0QXdtTGM4NDR3eTg4TUlMdU9DQ0N5ck1jMjFaRmtwTHk2ZTNIRHAwS0pvMWExWmgvNWt6WjhMcGRNS3lMQ3hjdUJBWFhYUVJXclJvQVFRV3YxeStmRG0yYnQySzNOeGNEQjA2RlBQbno4ZUhIMzZJRzI2NG9Vb3NWRDJielFhbDFHRUFIeXVsbHBXVWxIeWNuWjE5dUtIanFxeXAzSnVXWmFHNHVCanZ2dnR1aGErN0h6eDRFQ05HaklEZmYreC9zeDgrZkJpclY2OUdRa0lDeXNySzhNNDc3NkJWcTFabzE2NGRpb3FLb0dsYWxXOEhFQkVBNEVjQUgvajkvcVdabVpsckd6b1lJanB0OE5sQmpZclg2OTBJWU5UeDd1OTJ1LytHU25PdXIxKy9mbnR5Y3ZMdlkyTmpQN2JiN2F2VDB0SnV6TXpNL094NCtqZE44L0thNnIxZTcrN2dlZ3lWOXNzRWNPdnhISk9JNkFRc0NTYmZsVklmTkhRd2pZMENibytQait1VGtseDE1Z0txZjlrNUczSG8wR0VBWVBLOU9yTm56MGJMbGkxeC92bm5oOG9tVFpvVW1wNGlPenNibXpkdnJqSXl0NlNrQkRFeE1SWEszRzQza3BLUzhNSUxMK0MyMjI3RDFWZGZqZi85NzM5QVlMSEgwYU5INDhDQkE4akx5MFBidG0weGR1ellDc2NOV3JWcUZYSnpjL0hDQ3k5VUtJK1BqOGYwNmRQUnJWczNqQm8xQ3A5Ly9qa21UWnFFZi83em4zVjZUUnE3b3FLaWxacW10VDdWRi9wcWF2Zm1XV2VkVldIQjFPQkNzOGZENFhCZy9QanhvWG5yVzdkdWpTZWZmQklBOFAzMzMrUHBwNS9Hc21YTEtpdzhTOVRVRlJjWDMvN0REei9zYk9nNGlPajB3bWNIVWUzbDVPVHM2OTY5KzVYeDhmR2ZhWnAyRFlEalNyNFRFWjFPL0g3Lyt6YWI3WGtSRVovUDkxNUR4OU1ZcFNUM3dMdHZ6Mm5vTUpxa0FZT0g0OXUxMVg5YnRxNGMwOEozcHhLZno0ZkZpeGZqa1VjZXFUQi9kUGk4MEhQbnprVmlZaUl1dnZqaUN2c1dGaFlpTmpZMnRGMVdWb2JQUHZzTUYxOThNYnAyN1lwQmd3YmhqVGZlZ0ZJS08zZnV4TEJodzNET09lZmdycnZ1UW5SME5NYU5HNGV4WThkaXdZSUZDRjlVdnJpNEdETm56a1I2ZWpxY1RtZUZZODZaTXdmcjFxM0RndzgrQ0UzVDhPQ0REMkwxNnRWWXZIaHhQVjJoeGlrbkoyZmZxWjU0YjRyMzVyZmZmb3V2di80NjlPLzc3NzgvNXVzV1pMZmJzV2JOR3F4ZXZScGZmZlVWUHZ2c00xeHlTZm5VNjl1M2J3Y0FKdDZKS21IeWpJaU9CNThkUk1kbTA2Wk5oM3crMzJXbWFUN1UwTEVRRVowTWdXOFRiVkZLYmMzS3lzcHA2SGlJVGtlbmJmTGRicmRqM0xoeHVPaWlpeUxXTDF5NEVKOS8vamxHang1ZFlZcUs0dUppRkJZV2hxYmRRR0J4eXZ6OGZGeDc3YlVBZ09IRGgrTzExMTdEKysrL2ovNzkrOE13REl3Wk15YlV2bWZQbnBnNmRTcm16NStQTys2NEEydldySUZsV1pnd1lRSjI3TmlCaHg5K09OUldLWVVaTTJaZzVzeVp1UFBPTzlHN2QyOEFRSjgrZlhEVFRUZGh3b1FKV0xac1diMWNJMm9ZVGZIZWZQbmxsekZ4NHNUUXY5bXpaK00zdi9sTmFBb2N2OTlmN1NLclVWRlJLQ2dvcUZBV0d4dUxsaTFiVnZrV1FGWldGcEtUazJzVkV4RVJFUkZSWGZONnZVZktad29nSW1vYVJHUWVnSGtOSFFmUjZlcTBubmFtOHFoaEJPYmFuakpsQ3Q1Ly8zM2NmdnZ0dVBiYWE3RnQyelo0UEI2MGFORUMzMzc3TFFEZ25IUE9BUUFjT1hJRVU2ZE94WlZYWGhsYUdMS2twQVFqUjQ1RVFVRUJ4bzBiaHovKzhZOVZqcE9Ta29KRml4Wmh3b1FKZU9tbGw5QzJiVnNzWDc0Y0R6MzBFSHIyN0FrRUVvVVRKMDdFK3ZYck1YandZRHp3d0FNVituanNzY2RRV0ZpSTU1OS9IdXZXcmNOOTk5MkhqaDA3MXN1MW9wT3JxZHliWjU5OU5oWXVYSWdlUFNyT1Q1YVhsd2V2MTR0dDI3Wmh3NFlOeU1yS3dpMjMzQkx4V25YdjNoMHJWNjVFMTY1ZDBhVkxsNGh0eXNyS2tKV1ZoYzgrK3d5UFAvNTR0ZGVkaUlpSWlFNXRYRnl1WVp5TUJlVk9kVWs5WEk5Qnc0Q0dqb09Pd3NLN1d6WjZYbXJvTU9yTG1jbk9helhJYWZVTVBGVHNUMUNBSkNXbnZkdlFzZFNXQmJWd1c0NTNlVVBIUVlUVFBma2VTVWxKQ1RadDJvU25ubm9LTjkxMFU2aHMzTGh4OFB2OWNEZ2NHRFpzV0NqSkZ4MGRqZlQwZER6eXlDT2hQdUxqNC9Ib280K2laOCtlTlU1dmtaaVlpQmRmZkJGRlJVV0lpWW5CbENsVDhQdmYveDRBTUd2V0xMeisrdXZvMHFVTFhuMzExWWlqb0tPaW9qQnUzRGljYzg0NWVQUE5ON0Z1M1RwOCtPR0hWVWI3VXVQUUdPOU5oOE5SSmZFT0FBVUZCWGppaVNlQThrL0prWnljakp0dnZqbGlyUGZkZHgvMjd0MkwxMTkvSGNYRnhSSGJpQWphdFd1SHUrKyt1OXAraUlpSWlPalV4OFhsVHI2VHRhRGNLVS9RTHpHaHBlczhRMi9vU0tnYTM3dE5IRGh3TUI5QW8wMithOUFlaVltSjd0T0pBeS9yelk2ZE8xRlVWTklCQUpQdmRFcG9GTW4zbEpRVVpHU1VUNUFmR3h1TE9YTXFMbFJ3OXRsblkrM2F0VkJLVlpuNndtNjM0eC8vK0VlVlBpKzg4TUlxWlZkZmZUV3V2dnJxS3VYQmhHUjRFdk8yMjI3RGIzN3pHL1R0MjdmQ1FwU1ZpUWdHRHg2TUcyKzhFVHQzN21UaXZaRnBqUGZtUGZmY0Uxb010VHBubjMwMk1qSXlRdlBPYTFyMU0xeTFiOThlTTJiTXFMRS9JaUlpSW1vOHVMamN5WFd5RnBRN0hmUTR1enRtVDV2YzBHRlFOWnJLdlpxVzJvdlB3SHJVVk80ak9uMDBpdVI3YlZVMzUzUjlTRWhJUUw5Ky9XcmRQajQrdnNLQ25FMlFCc0NxUmJ0RzZYUzZOMXUzYmwzcmZXdEt1aE1SRVJFUkVSRVJFVFZtekl6Uk1YRzVYSGU0WEs2cVE2d0JHSWJSMHpDTThXSGJmeklNNDc1YWRDdUdZWGgwWFI5YnA4RVNFUkVSRVJFUkVSRVJOWkFtTmZLZFRweW1hV09VVXFIdjZTVW5KN2VPalkwOUd3QXN5ekpFNUJiRE1KWURnRkxxQ2hFNXh6Q01ESlF2bXJrN0t5dnJsOHA5R29aeERZQlVwZFFuSi9kc2lJaUlpSWlJaUlpSWlPb0hrKzlVYTA2bnN3c0FwNlpwWDZha3BNUUJRTE5telM0QThCektwMDVwSVNKZEFFd0w3TkplS1JVckl0TlFQb2Y1aDkyN2QvOW5mSHg4MzBwZFA2V1Ura25UdEM2R1lYU3BLUWFmei9lVDErdmRXRStuU0VSRVJFUkVSRVJFUkZRbm1IeW5XclBaYkNNQkhGWksvUkFkSFYwTW9FQXBOZDd0ZHA4SEFLbXBxYWwydS8xdTB6UWZSUG1JOWh1VlVtZTUzZTVKd1Q1U1VsSWlyamdkbVBQOHFDdFJhNW8ySHNEVGRYNXlSRVJFUkVSRVJFUkVSSFdJeVhlcWxlVGs1TllpTWhyQU5RRHVBL0NGYVpxekFFRFhkUStBTXdHVWlvaGQxL1ZDQVBsS3FhY0JITloxL1M4QTJpbWxXbms4bmp3QW9kVkZEY1A0SElDNDNlNUxVWjdBUHlzcUt1cnZQcC92VWEvWG05dVE1MHhFUkVSRVJFUkVSRVIwdkxqZ0t0VktURXpNRlVxcHRXNjMrLzhpMVN1bGJqSk5zNE5TNnFxdzRtbW1hWFl3VGJPRGlPeXZ2STloR0ZjQnVOU3lyTDhHeSt4MmV5c0EvUUVrMU5lNUVCRVJFUkVSRVJFUkVkVTNqbnluV2lrb0tGZ2FHeHZyVGtsSjZhQ1Vjb2hJZkVwS1NvZVltQmlmWlZrUWtVVzZyaGVMU0RPbDFEeVVUeVV6U3RmMTIxQ2VuRStzMUtVR1lJSlNhb1hINC9sZmc1d1VFUkVSRVJFUkVSRVJVVDNoeUhlcWxSWXRXbHhydDl0ekhBN0hUaEc1SHNBRWg4T3hVeW4xcllpOEl5TFhBUGlmMysrL1FTbTF0enpmcm00NmNPQkE4b0VEQjVKRjVNVzllL2VXQlB2VGRYMmdVcXFYeitjYjI3Qm5Sa1JFUkVSRVJFUkVSRlQzT1BLZGFzVTB6Y1hCdWRvTncxaWtsQXJOK1k3eVpQcmZSZVFLRVhsSDA3UXVBTzVRU2cxcjFhcFZuMENULzJ2VnFwV1dteHVheHIwZkFMSGI3ZC9vdWg0NmpvaG9LSjkrWnEydTYxWjREQ0xTcjdwcGI0aUlpSWlJaUlpSWlJaE9KU2NsK1o2ZHN4RURCZzgvR1llaUNMSnpOdFpKUDdxdXJ4V1J3V0hiRDRwSWU4dXlWb3JJb3dDKzBqUnRVS0E2RHNBb0FBZUQ3VzAybXhmQWtjRG1KS1hVZXhFTzAwMUVKaXFseGlxbHRvVlhhSnIyUTUyY0NCRVJFUkVSRVJFUkVWRTlxL2ZrdTRKYWZ1alFZWHk3TnFPK0QwVTFFZlZSSGZRUzYvUDViSFo3K1cyamxHb21JbWVMeUQxS0tSdUEyVXFwYjFHZUtML01zcXpKSXZJanlrZXRsNXFtdVNQWWtXbWEzd1A0dnZJQmRGMC9Ed0Q4ZnY5cXI5ZTd2ZzVpSmlJaUlpSWlxcldmZnZvSmJkdTJSVUpDUXNUNjNOeGNsSlNVb0Z1M2JrZnR5K2Z6SWZqM0U5SEpvcFFDeXY4T2IraFE2QlJuV1JZMGpUTlNOM1dIRHgvRy8yUHZ6dU9qS05ML2dYK3FlM0p3MzRJdUtNZ1ZBaVRUSGNFRFVBNnZyNkNzS0FoNGdBb3UzcTV5TFlnaUtxc0kvcFpEWVZGWXZGYkVFMVJVRUR4UUZIQ21Kd0VEU0pSVEFibENDREJKWnZyNS9aR2UyVWt5Q1NFRVF1RHpmcjN5SWxOVlhWVXpGQ0h6VFBWVDI3ZHZSMEpDUXRTZkcydlhya1c5ZXZWdzNubm5IYk92bkp3Y3hNWEZGU2c3ZXZRb2xGS0lqNDh2MTNsWEZpZjl0NEN0RzFKZkJQRGl5UjZIS3N6dkluSzNVbW9HZ0NtYXBoMTF5dXZvdXY0cWdGemsvK2YvQzREcktuYXFSRVJFUkVSMHBucmlpU2ZRdlh0M2RPMmFuL2x5eTVZdE9IcjBLTnEwYVlPMHREUk1uejRkTTJiTUNBY0Zzck96OGRsbm4rSEdHMjhzRUNBZlBIZ3dIbnJvSWR4eXl5MVJ4NWsxYXhhMmI5K08xMTU3cmNUNXpKZ3hBejZmRDYrKyttcXhiUVlQSG94MjdkcGgrUERoWlh6V2RLcGxabVppMHFSSmVQVFJSMUcvZnYwVDZrdEVNR1hLRlBUdjN4K05HemN1VXArVGs0UFpzMmNqTGk0Tzk5eHpUNm43WGJKa0NhWk9uWXI1OCtlalpzMmFwYjR1RUFoZzBLQkJlUHp4eDlHbVRadFNYMGVWMDVvMWF6QisvSGpNblRzWERSczJMTlUxdi8vK083S3pzMHM5UnNPR0RZdjlJSk5PSDk5Kyt5M0dqUnVITjk1NEE0bUppVVhxSDM3NFlWeC8vZlg0KzkvL1htSS9nVUFBL2ZyMXd5MjMzSUtCQXdjQ3pzKzVJVU9Hb0ZXclZuanl5U2RQMm5NNG5mRWplRG9oSWhMMCtYd2ZHWVl4UTBSdXRTenJhK1R2WU44VkRBYXZLN3g3M1RDTS94T1JZbitxSzZXYUlqL25lMiszMjMxUnREWjVlWG1MZnY3NTUvMG5NdSsxNjlMUjg4Ym92MHdUYmQyMnZhS25RRVJFUkVUSEtUVTFGVzNidGcwL25qdDNMbEpUVXpGLy9udzBhOVlNVzdac3dkeTVjM0h2dmZjQ0FGNTU1Ulc4L2ZiYlNFcEtRdXZXcmFQMnVXWExGc3llUFJzVEprd29kZ2U3aUdEQ2hBa1lOR2dRbWpadEdpNVBUazdHZi83ekgvend3dys0OU5KTG8xN3I5L3VSazVOemdzK2NUcVg0K0hoczNMZ1JZOGFNd2N5Wk02SHJPclp1M1JvT05KV2tVNmRPbURScFV2anhyNy8raXJmZmZqdnF0U0tDOGVQSDQ5dHZ2MFZPVGc1YXQyNk5LNjY0b2xSemZPT05OOUNtVFp2akNyd0R3SVlORzdCaHd3WTBhdFFJQUxCaXhRcU1IajI2Vk5jMmJkb1ViNzMxMW5HTlJ4V3JaY3VXeU03T3h1elpzekZ1M0xoU1hUTmx5aFI4ODgwM3BSNWo1TWlSeFg2UVNhZVBGU3RXb0U2ZE9pZjhvZHZDaFF1Um1abUo2Njc3Mzk1YnBSVHV1dXN1akJ3NUVuMzc5bzBhM0QvVE1maE81VVlwOVlscG1nSGsvNkpRMCtWeXJUUk4wM1llLzJKWlZrZWwxUDFLcVV0SzZNYmx0Qit1YVZvd1dnTmQxMzhDVU9iZ3U0ajk1dUhEUnpQVDEvOVMxaTdvTENDUWp5dDZEa1JFUkVSVWRuLy8rOTl4MDAwMzRhV1hYc0x3NGNOeDMzMzNZZHEwYWJqampqdXdmLzkreko4L0g0TUdEU28yOEE0QXNiR3hXTDU4T1ZxMGFJRzc3cm9yYXB2UFB2c01peFl0UW9jT0hRb0UzenQzN296bXpadmozWGZmTFRiNFRwVlBmSHc4bm52dU9keCsrKzJZT1hNbUhuamdBZFNyVncralJvMDY1cldob0haSVdsb2F6anZ2dkNLcEhJTEJJTWFQSDQvbHk1ZGp4b3daK1A3Nzd6RjI3Rmk4K09LTDZOaXhZNEcybXpadHdxNWR1OEtQZi8vOWQ2eGZ2eDVkdW5UQmloVXJqam1uenAwNzQ5Q2hROWl4WXdlV0xWdUdSbzBhWWVmT25kaTVjeWVxVjYrT0YxNTRJZHoyK2VlZlIvZnUzZEdoUXdmTW5qMGJ6Wm8xdzFWWFhRVUFxRktseWpISG9sUHYyV2VmeGVMRmk0dXR6ODNOeFVjZmZZVFBQLys4MkRiUFBmY2N1blRwRW42Y2xKU0VXYk5tSFhQc3pwMDdsMkhHZEtyNS9YNnNYTGtTWGJ0MlBhRlVWUWNPSE1DTUdUTnc1TWdSOU96WnMwaTlVZ3BEaHc2TmV1M3MyYk1MZkhoK3BtSHduWTZMeStXNlNrVE9WMHAxQjFBTlFPUWhxSDM5ZnY4S0FJaUxpL3ZWdHUxZXVibTU2NUgvSDdFTkFGNnZ0MWRKL1J1R2NaRlNhazB3R094eXNuSytiOTJZTmdmQW5KUFJOeEVSRVJIUjJjSXdqQWFXWmUwSEVIWFR6S215Y3VWS0JJTkIrUDErL1BycnIxaXhZZ1V1dU9BQzdOdTNELzM3OThjRkYxd0F5N0p3d1FVWFlNeVlNZmpsbDE4d2QrNWNWSzFhRlIwNmRNQzZkZXVRa0pDQXRXdlhBczZPNHgwN2RzQ3lMRFJwMGdTMzNub3I1c3laZzE2OWV1R2NjODRwTVBiUm8wZngwa3N2b1dQSGp1R2Rmci85OWhzT0h6NE1BTGpqamp2UXNHSERjTitOR2pWQ2d3WU5DdlR4KysrLzQ4c3Z2eXhRMXFKRml3S0JmQ3Fvb3RkZXk1WXQ4Y2dqaitDVlYxN0I3YmZmamxxMWF1R0dHMjRvOWZWTGx5N0Z1SEhqRUF3R0lTSzQ1Skw4L1duMTZ0WERhNis5aGpGanhzRG44K0daWjU1Qmh3NGRZQmdHZnYzMVZ6ejQ0SU40N0xISDBMZHYzM0NRYk1HQ0JmamdndytLakRGNzl1eFN6V1hWcWxXd0xBdFBQUEVFamh3NUFwZkxGYjQ3eE8xMlkrclVxZUcyVmFwVVFaczJiWERaWlpkaHdZSUZ1UERDQzNIWlpaZVYrbm1mYVNwNkhaWkd2Mzc5MEsxYnQvRGozYnQzSXljbkIrZWZmMzZSdG9GQUFGdTNiaTF5bmtWQ1FrS0J4MHFwSWptOXFYS3NoMmlXTDErTzdPeHNmUDc1NTBYK0wzcnl5U2R4OWRWWEg3TVBFY0ZUVHowRjI3YWovanhhdVhJbEprK2VqUG56NTBlOXZyUnBqeW9yQnQrcDFFUmtDUUMzVXNxeWJUdGIwelIzNkNBWHgxUHg4Zkg3bmJhMWxWTC94QnpmcUFBQUlBQkpSRUZVTHo0K1B0dDVETU13dnJZczY3bUttajhSRVJFUkVaV3JPMHpUL0llSUxGUktmWmlWbGJVMEl5UGpsT2RRZWZiWlozSDA2RkZrWldYaDAwOC94WmRmZm9ucnJyc09iNy85Tm1KaVlrcTg5b0VISGtDdFdyWHc3cnZ2NG9FSEhnQ2NQTnVoZ09aamp6MkdPKys4RSsrLy96NWVmdmxsakI4L3ZzRDFMNzMwRXZidjMxOWdGK2d6enp5RDFOVFVZc2U3ODg0N0M1U3RXclVLcTFhdE9tWTdLcURDMTE3Ly92MXg5ZFZYbzFhdFdzZDk3V1dYWFliNTgrZmp6anZ2eEwzMzNvdU9IVHRDUkxCNDhXTGNjc3N0eU1yS3dzMDMzNHhhdFdxRjEwYS9mdjJ3WThjT1BQLzg4MWl5WkFtR0RSdUdpeTY2Q0dQSGpzWFlzV01CQUpabFljaVFJWGpsbFZkZ21pWUE0TFhYWGtOTVRFeUphWEd1dU9JS2ZQMzExK2pSb3dlZWV1cXBBcnVjMTYxYmg3eThQQURBa1NOSHNIWHJWbGlXaFgzNzltSG56cDJ3TEFzQTBLUkpreFBPZ1Y4SlZmZzZQSmFXTFZ1aVpjdVc0Y2QzM1hVWERoMDZoRGZlZUtQSTRaZno1czNEekprejhmcnJyNWQ0UnhBVjY3UmZEOUY4OU5GSGFOU29FZjcydDcrRnkzYnYzbzFaczJaQjEvVlM5VEZuemh5c1dMRUMxYXBWdys3ZHU0dlVIeng0RUNJU3RhNU9uVHFJalkwOXdXZHhlbVB3blVyTjUvTTlHdm5ZN1hZM3RXMDc4dVBPZDBRazlGdm1aRVNjc283OFcrZDJnWWlJaUlpSXppVDFsRkozQWJpclpzMmFXWVpoZkFyZ2cyQXcrRmxhV3RyaFV6R0JUei85RkFEUXUzZHZEQnc0RUxmY2NndmVlZWNkTkc3Y0dBc1hMaXp4MmtXTEZtSDY5T21vWGJzMnZ2LytlOERKeTEzNHdOWGlEcnVzVWFNR2hnNGRpaVpObW9UTDVzNmRXNlNkaUJSN08zK2ZQbjNDd1ZNNkxoVys5dXJXcllzdFc3WVUyUzFha3NhTkcrUGFhNi9GSDMvOGdjT0hEeU0yTmhiVHAwL0h4SWtUOGQxMzM2RlZxMWJvMWFzWDVzeVpVK1JEbVlTRUJJd2VQUm9USjA1RVdsb2FMcnFvNERGcFU2ZE9SY2VPSGNPQmQrVGZmWTdZMk5oajVxVGZzR0VERGg4K0RKZkxoZHR1dXcxdnZ2a200S1J2eXM3T2hxWnA4UHY5bUR0M0x1Yk5tNGVjbkJ4czJyUUpDeGN1UkU1T0RrYU1HSEcyNXZhdThIVjRQTWFPSFl2YmJyc05MN3p3UW9FODc3dDM3OFlycjd5Qzd0MjdIelB3TGlJOHE2SjRsV285L1B6enovQjRQQmd4WWtTQnUzZVdMRmtDQUxqZ2dndkNaZnYyN2NPY09YTXdhTkNnQW1lZ0xGNjhHRE5uem9SaEdFaE5UY1hFaVJPTGpIUDQ4R0dJU05TNlN5KzlGQ05HakRnSnorNzB3ZUE3bFpuUDU5c1MrdDZ5cktKSHM1ZUJaVmsvQVNoN2tpa2lJaUlpSWpxbElqYmMxRlJLRFFBd3dPVnlIVEZOOHdzQUh5aWxQdlo0UEFkUDVaeWFOR21DWnMyYWhYZmxGaWM3T3h1WFgzNTVzZlU3ZHV4QVdsb2FhdGV1RFRoQmh0OS8veDJabVpsWXZIaHhPT2krZVBGaU5HdldERzNhdEVGMmRqYWVmUEpKUFByb28vakxYLzRDT0RtVGQrN2NpV25UcHBYcjh6emJuZXExdDJ2WEx0eDAwMDNoeDdmZmZqdmNiamUrK09LTGNObWZmLzZKN094c05HM2FGSnFtRmVuRDdYYmoybXV2eFE4Ly9BQzMydzFOMDdCMzcxN0V4Y1ZoeG93WkNBUUNBQkFPckZlclZnM1ZxMWNQWC8vcnI3L2krdXV2eCtEQmd3djB1MnpaTXF4ZHV4Yno1czByMDNQNzRZY2ZZQmdHTkUwcnNqdDEwcVJKNk5LbEM2NjY2aW84ODh3enVQamlpekZvMENEMDZkTUh2WHYzTGphUDg5bmlkUHdaV0p6bXpadmp2dnZ1QzkvTkVESjU4bVRVcjErL1ZCOEVwcVdsbmRYcGhvNmxNcTJIT1hQbW9IYnQydmpyWC85YW9QeVhYMzVCYkd4c2dlRDd4bzBic1dUSkV2end3dzk0N3JubnduZTZ0Ry9mSGs4KytTUUFJQ01qQXpObnppd3l6dmZmZjQ5Ly92T2ZVZXNLMzRGeEptTHduWWlJaUlpSVRqdUdZWHlsbEpMODk3RmlBNUNJeHdKQW9wVFpvY2VSN2FLVTJhWG9LMVJtbDZLTkFMQUxqMmZiZG9HeGxWSWlJclpTS2xEYzh4WVJXMFNDa2Ywb3BjUzJiYnZRWTRuU1JwUlNkdUU1SEt0ZHREYkJZRkNVVXFLVXNxUDE1VHlYeE5DOEkzZDFPNEdIcWdCdVZFcmRhTnQycm1FWXkwVGtnNE4rbEp3SHBoeUlDTnh1TjM3NjZTY01IVHEwMk56RWdVQUFDUWtKZU8yMTE0cnR5N0lzUFBkY3djeVplWGw1c0cwYnp6NzdiSUh5Z1FNSG9rMmJOcWhXclJxOFhpOVdyVnFGUG4zNkFNN3V3aFl0V3BUTDh5c0xYYUc2YVpyTG5YOUx0ck91dzM5R0tRdVdzbDJSTW1ldGhzb0N6bG9MQ1lUcVErMGpyeWxVRml5dUhZRGtVSWVuY3UzVnFsVUxUenp4Qk9BRXBITnpjM0hKSlpmZzNYZmZCWnkxMGJ0M2I3UnQyeFl2di94eWlYMHRXN1lNMTF4elRZR3lldlhxb1ZPblR2RDcvZUd5UVlNRzRjRUhIOFNDQlF0d3d3MDNZUFBtemZqd3d3OHhaTWlRLzcyb2dRQm16SmlCSGoxNm9IMzc5bVY2Yml0V3JNQ1ZWMTVaWXB2RGh3K0hQd2pJenM0K0tZZXNScXpWME45LzVEb0lScXk1WUdSWm9iWUZyckZ0MjlZMExSaXh6b0thcG9Xano4N1AzVURoTnBGL0Z1NUQwN1FnQUNQVXgrbjBNN0N3RFJzMjRPNjc3eTVTUG1mTy80N0M4L3Y5Y0xsY1JkYmtOZGRjRTE3ekFIRGhoUmVpV3JWcUdEQmd3REhIZmZIRkY0dWNjWEdxT090b21mT3pMT0Nza3lDQW9GSXFJQ0pCNSsrMlFKbnpmVkJFQWhIMWVhR2ZZN1p0NTJxYUZpeDBmY0Q1ZVhWeGFQelRlVDJFV0phRmI3NzVCZzg4OEFDeXM3Tng5T2hSMUtsVEIzRFNvU1VuSnhkSTNYYlpaWmRoeElnUkdEbHlKQVlPSElqbm4zOGVobUdnU1pNbWFOS2tDUll0V29SRGh3NmhWNitpUnoyS0NFUWthbDJQSGoySy9EOTdwbUh3bllpSWlJaUlUa2RLUkRUbEVCRWxJa29wcFlVZU8yMUNUY0tQODkvMy9xOWRSRm5odnBSU1NvdldWNmdzZEoySWFNVzFpVElIVFNtbE5FMHJNQ2VucnhMZmFDdWxvcVluS2J5RE50cU8ycktXUldzVExjOXJ0SGJINGdRZFlwVlNEVVhrcENkMVhiRmlCZWJQbng4T05MVnQyelljWE4reFl3ZGlZbUxDQjd0Tm16WU5Ibytud1BXNXVia0FnTTgrK3d6dnZQTU9Ibnp3d1hBNm1wREhIMzhjMjdkdkx6Wm9yNVNDMiszR2p6LytpRDU5K2lBUUNDQWpJd01EQmd4QUlCREF2bjM3d20wRGdRRDhmbitCbmNiVnExZEh0V3JWeXUwMUNSRVJYU2tWNDZ4bERZRG1yRlV0b2t5UFVoYXRYWkd5MFBlYXBrV1dGVm52b1hVVXVjNlB0NnpRMldQRlBWOEFpQVhRMFBuemhGV3BVaVVjbkl4MkY4UENoUXV4ZS9kdXZQamlpNEN6UTNqMjdObDQ4Y1VYQytRMDNyTm5EOWF0VzRkYmJya0ZtemR2eHVIRGgyRlpGczQ3N3p3QXdMdnZ2b3Y0K0hoTW56NGR5RS9oaWttVEpxRnIxNjVSNTdWanh3NXMyN1lOTzNmdVJLZE9uUXJVaGRaMDRYTERNREJqeGd3QXdQNzkrN0YyN1ZyMDc5OGZXN2R1UlRBWVJIcDZPdXJXclJ0dW41bVppWnljbkhDNmtjek16RExsdXk4TkVkRUJ4RWFzTWIzUW54b0FQYlJtUSt1eDBQb05YeE5hazVxbTZjNmZMdWM2b05EUDNjTHJMdlJuNkdkaTVNL0drdEpKUmJZNWxUOERvN0Z0RzM2L0h5TkdqSWg2MEdwSkNnZlBRMmRqbE1hcnI3NTZYR09WTnhHSkFSQ3ZsTkpGeEFWQWQ3N1hsVks2VXNvVit0NVpjNjVpNnNOL2I1SHJJL0x2WHRmMVNyTWVRaVpObW9UR2pSdmoxbHR2eFlnUkk3QisvWG84L2ZUVGFOQ2dBZExUMC9IWVk0OFZ1YVpqeDQ2WU4yOGVIbnp3UVF3Yk5neFBQUEVFZXZic0dhNnZWYXNXbGk5Zlh1UzZMNy84RXYvNHh6K3daczJhay82OFRrY012aE1SRVJFUjBXbkhzcXpvVWFZem15c2xKVVVkUFhwVTVlYm1xa0Fnb0FLQmdHcllzS0hLeTh0VGdVQkE1ZWJtYXJWcTFWTEJZRkFGZzBGbDI3WUtCb09xV3JWcTRlOXQyMWEyYmF1NHVEak50bTBsSXBGbDRjY2lvbUpqWTFVd0dOUkNIMGlJaUlxSmlTblFKbFJtMjNhNG5jdmxVaUp5dTFMcVlVUUVRME1CQ1JISkFiRGN0dTB2bFZJYmNuTnpmL3o1NTUvM04wMXc5eTNQRnl3WURPS3JyNzdDa2lWTHNIUG5UdXpldlJ0WFhIRUYyclZyaDk5Kys2MUEyNmVlZWdySnljbFJnMGQvL1BFSG5udnVPWGc4SHZqOWZnUUNBUXdZTUtCSVR1M1NNZ3dqSEp6ZnRHa1Q4dkx5MEtGREIrellzYU5BMmhJQTJMeDVNeFl2WGh4K2ZPKzk5eGJZMVZ3ZWdvSnN5N0s2bFd1bngwOUxTVW5SRHg0OHFQbjlmcTF1M2JwYVRrNk9WcjE2ZFMwM04xZkx5OHZUWW1OajlVQWdvTVhGeFduQllGQUxCQUphYkd5c0Znd0d0WmlZR0MwWURHcTJiV3U2cnQrbGxCcUJZNnc5VGRQVzUrYm1yam9aYTY4d3Y5K1BPWFBtNExycnJrTkNRZ0xnQktJOEhnK21UNTllSUpDVm1abUo2dFdyNC9ubm4wZGVYaDd5OHZMd3lDT1BoQTg4UEhqd0lQeCtmNm56YXA5enpqbVlQSGx5MUxvNWMrYkE1WEpoMEtCQkJjcERxWlJDNDhYRnhXSENoQW13YlJ1NXVia1lPblJvZ2JYNnl5Ky93T1Z5WWN5WU1aZzBhUkl5TXpPakhwNTRvaXBvcmNhMGFORkNPM0xraUY2N2RtMHROemRYcTFLbGlwNlhsNmRWcVZKRnk4bkowZVBpNHJTOHZEdzl0QTVkTHBjT1lBaUFVU2pGT3N6SnlUa2w2N0FreWNuSmFOT21UWm11L2VDRER6Qmx5cFNvZFk4OTloajY5T21EbDE1NkNmLzk3MytqdG5uenpUZlJyRm16TW8xZEZpZHBIV21KaVltdXpNeE1WNDBhTmZRcVZhcm9mcjlmajQyTjFYVmRkd0c0RjhEaktIazlMTlUwYmNQcHNCN09PKzg4M0hqampZaU5qY1g0OGVQeDVKTlA0djc3NzBmejVzMFJFeE9ENjY2N0x1cDFUWnMyeGJ4NTh6Qnk1RWcwYjk2OFFOM0Jnd2R4eFJWWEZMa21FQWpBdHUyb2RRQnc4ODAzNDhFSEh5eW5aM2I2WWZDZGlJaUlpSWpvOUJBb3ZCTWJ6cTdXMDVGaEdPRjMwVTV3SVZ0RVBoZVJEN096c3ovSnlNaklPdGx6T0hUb0VFYU5Hb1dXTFZzaVBqNGU5OTEzSC9yMzd4KzE3YjU5KzRwTmdhQnBHdUxpNGpCdTNEaE1tREFCMTE5L1BXNjY2U2JzMmJNSFI0NGNLZERXNy9jakx5OHZhdUN4VHAwNmlJMk5oV0VZbURwMUtyWnMyWUkxYTliZy9QUFB4em5ubklNdFcvS1B6Wm82ZFNvdXZQRENJdGNQR3phc2pLOUVwV0I3UEo1d0Nwb1RXZGVHWWV3S2ZWOVJhNit3dVhQbklqczdHdzgvL0hDNDdJSUxMc0RRb1VQeDBrc3ZvVXVYTHVqWXNTTUFvR1hMbHZqbW0yOEE1OURmOTk5L1AveGh6VXN2dllTcFU2ZEMwelJzMzc0ZFRaczJQZWJZVmF0V1JiZHUwZU9NSDMzMEVXSmpZNHV0QjRCbXpacUY3L0JZdFdvVkhuLzhjU3hkdWhSdzdnSUJnSysvL2hyZHVuVkRreVpOTUdYS0ZNVEZ4V0hLbENrRkRuZXR4UEl5TWpJQTU0TzQwaklNNDgvUTk2ZkxPb3dtbE44OThwRE1zdlFSRXhOVDVNRE1NV1BHaFB2UHpjMUZvMGFOQ256UXRIUG5Ua3ljT0JIQllMRE1ZNTlHN1BUMDlGd0F1ZEVxRGNNNEVQcitkRjRQSVU4ODhVVDQ3cFU2ZGVwZzZ0U3BtRHg1TXViUG40OCtmZm9VK0lDdXNIcjE2aFZJV3dUbi85SGF0V3NYS1MrTm1qVnJsdUVaVkI0TXZoTVJFUkVSRVZGWktCSFpEK0JqMjdZL3pNek0vR0xMbGkzK1VseFhibXJVcUlIWFgzOGRiZHUyUmUvZXZZdTk1Zi9Rb1VQWXRtMGIvdk9mLzZCQmd3Ym8zcjE3Z2ZwR2pScmhoUmRlQUFBOC9mVFRnSk9LbzdpZGZ3Q2kxcjM4OHN1NCtPS0wwYVpORzhUSHh5TTlQUjJyVjY5R2h3NGRDclJyMEtCQk9NVklwQk1KanAxbEtuenRSYklzQzIrODhRYUdEUnNHWGRleGZmdDJaR1ZsSVNzckM0MGFOVUo4ZkR5ZWZ2cnBjRHFaWTNuNTVaZFJ0V3BWVEpndzRaVE0vMWl5c3JMdzJXZWZZY0tFQ2VqVXFSUFMwOU54L2ZYWFE5TTBqQjQ5K214ZXQ2ZlZPaXpPNGNPSEFTZHQwb21JaVlrcGN0QnFaRTV3T0dtekl0dUVQdFE0UzFTSzlSQlNPRzJVYmR2WXNHRURxbFNwRXI0TDUzaDA3ZG9WQ1FrSjRVT2pTMFBYOVZONlIwUkZPV3QvUWhJUkVSRVJFVkhaYVpyMm1zZmptUXFnOU8rMHk1bXU2MmpidG0zVXV0alkySENnODlOUFAwWDE2dFdSazVPRGd3Y1BGcWozKy8xUkE2SzFhOWVPbXJQNDFWZGZ4ZTdkdXpGMjdOZ2lkUzFidGdTY0lQb25uM3lDR2pWcVlPTEVpZWpkdXpmOGZuK0JnelNwN0U2SHRSZGkyelpHang2TjNOeGNUSnMyclVBdStOallXTlNzV1JQbm5YY2VObS9lakprelorTHZmLzg3TWpNenNYSGpSdXphdFF2ZmZmY2R0bTdkaXNHREI2TmR1M2FBcy92ZDVYTGg1NTkvTHBLclBkTGV2WHV4Y3VYS0V1ZTNlL2R1dUZ3dUxGcTBLR3I5dWVlZWkyYk5tbUh0MnJYWXMyY1BVbE5Ua1pXVmhWdHZ2UldOR3pjR0FNeWFOUXRObXpaRjU4NmQ4ZE5QUDJITm1qVjQ1SkZIY041NTUrSDExMS9INnRXcnkvanFWVzZuMHpvc3lhNWQrVGVLUk9id3AvSlhXZFpEY2Y3MXIzL0I1L05oL1BqeHFGKy8vbkZmLy8zMzMyUE1tREdsK29BUlR0bzRYZGVMbkt0eUptTHduWWlJaUlpSWlJNmJ4K1BaVzlGektFa29oY3VPSFRzd2E5WXM5TzNiRng5Ly9IR1IrcnZ1dWdzOWUvWXNrb3ZkNVhMQk1Jd2kvZGFwVXdmWjJkbFI2MElPSERpQVgzNzVCYXRYcjhiUm8wY3hmZnAwakIwNzlvek9hWHNxVmZUYUMzMlFJaUxRTkExMzMzMDNEaDQ4aUdiTm1xRmh3NGFvWDc4K2F0ZXVYV0NuOFlRSkU3Qm56eDRBd0pvMWF6QjI3RmljZSs2NWlJbUpRWHg4UEs2NzdqcVlwb2tQUC93UTU1eHpEbUppWXNMWEs2VVFFeE5UNU02T2JkdTI0Vi8vK2xlSmN3M3RlaTZ1WGFkT25kQzllM2M4Kyt5enVPQ0NDeEFYRjRlNHVEZ01IandZclZ1M3h0MTMzNDFycjcwV1YxNTVKWlJTV0xod0lXNjk5ZGJ3QjAzMzNuc3Z2Rjd2Q2I2aWxWTkZyOFBTV3J0MkxSbzJiSWlxVmF0VzlGVE9hSlZsUFJRbUl1RjgvVGZkZEJPdXYvNzZNdmNWRXhOVDZtRDZGMTk4Y2RyYzNYT3lNZmhPUkVSRVJFUkVaNlExYTlaZzNMaHhhTldxRllZT0hZcFBQdm1rU0pzLy92Z0R1cTZYMjVqOSt2WERyNy8rQ2dDb1g3OCt1blRwZ3NURVJMUnQyN2JFSExwVU9lemZ2eDhQUC93d0RoMDZoQTgrK0FDWFgzNDUrdlhyZDh6clJvOGVqZGpZV0FCQXQyN2RzSExseXZDTzlQZmZmNzlBSDMzNzlrWFZxbFhES1R0MFhjZVBQLzVZcEUvVE5MRjgrZklTeDMzNDRZY1JHeHNiVHF0VW5GQk8rRkRPOTZ1dXVpcGNsNVNVaE5hdFd3TUF4bzBiVitSREFCRXBOdVVUVmF3alI0N2d5eSsvUk0rZVBVKzRMeEVwY2daRzZHRFJTSkZwUjJ6YkxsSlBwNC9zN0d3OC9mVFQ0VFV5ZXZUb2lwN1NHWW5CZHlJaUlpSWlJcXEwdnYvK2UyemJ0ZzI3ZHUxQ2ZIdzhBb0VBVnExYWhYZmVlUWZmZi84OXJydnVPb3dhTlFxeHNiR29YYnMydnY3NmF6UnIxZ3k2cm9kVGJUUnYzaHdmZmZRUkRoOCtETC9manhvMWFwUjVQcmZkZGh1cVZxMktkdTNhb1ZHalJnWHFRZ2V1M25ISEhWR0RsYUdEQytuMGRPalFJUXdlUEJoSGpoekJHMis4Z1RmZmZCTkRoZ3hCNTg2ZFlab21hdGV1alppWUdMaGNydkNmU3Fud1RubS8zdy9idG84WnJEOXk1QWh5Y25Ld2UvZHVOR3JVQ01GZ0VCNlBCMVdxVk1HeVpjdE9hSDJlcUxpNE9HUm5aK1BiYjc5RjFhcFZrWjJkalkwYk4yTEFnQUVWTmljcTN2VHAwM0gwNk5GU2ZVQjBMQWNPSEVDWExsMUtiTE51M1RwY2ZQSEZKendXblh3WkdSbDQ0SUVIc0hmdlh0eDc3NzBZTW1USUNmZVpsNWVIUG4zNmxLcHQ2SzZjc3dHRDcwUkVSRVJFUkZScHZmYmFhL0Q1ZkdqZXZEazZkKzZNYjc3NUJxTkdqY0lsbDF3U1BnQTFaTWlRSVpnNGNTTHV2dnR1d01uSjNhOWZQeVFtSm1MSWtDRUlCQUpvMWFvVk9uZnVYT2I1M0hERERjZHNNM0xreUhBKzdVaFBQZlZVbWNlbGs2OUdqUm80OTl4ejhlaWpqNkoxNjlaNCt1bW4wYVZMRjN6ODhjZFlzR0FCRGg4K0ROdTJ3MStoSGVHUlgxZGVlV1dKWThURnhjSHI5ZUwxMTE5SG5UcDEwTE5uVCtpNmpqRmp4dURBZ1FPSWo0L0hxRkdqVHRsempzYmxjbUhNbURFSUJvT0lqWTFGcDA2ZGNQbmxsMWZvbkNpNlRaczI0YzQ3NzhTRkYxNTR3bjNWcmwwYmMrYk1LVkFXK2xrYTBxcFZLMHlhTkNuOGVOdTJiWGpvb1lkT2VHd3FmK2VmZno0TXc4REFnUVBSdm4zN2N1blQ1WEpoK1BEaHBXcnI4WGd3Zi83OGNobVhpSWlJNkxUV05NSDlWZjg3N2hZcW5mNTMzQzFORTl4ZlZmVGZHOUhwekRDTXJ3ekQ0TDhUS3VKVS9aK3paOCtlNDc0bUx5OVBiTnMrS2ZPcFNQeC9LMTk1cmIyOHZMeHkrWHVwTERadTNDaUhEaDJLV2hjSUJNcDFyTE5oclo3cTM3c1BIRGh3MXEzWnlyU08rRDZzWXAycXRjS2Q3MFJFUkVSRVJIUkdxVisvL25GZjQzTHg3VEVkMjltMlRscTFhbFZzWFhtZWxVQW5COCtaSUtwNFdrVlBnSWlJaUlpSWlJaUlpSWpvVE1QZ094RVJFUkVSRVJFUkVSRlJPV1B3bllpSWlJaUlpSWlJaUlpb25ESDRUa1JFUkVSRVJFUkVSRVJVemhoOEp5SWlJaUlpSWlJaUlpSXFad3krRXhFUkVSRVJFUkVSRVJHVk13YmZpWWlJaUlpSWlJaUlpSWpLR1lQdlJFUkVSRVJFUkVSRVJFVGxqTUYzSWlJaUlpSWlJaUlpSXFKeXh1QTdFUkVSRVJFUkVSRVJFVkU1YzFYMEJJaUlpSWlJaUlpSVRyWk5HYi9od1VkSFZmUTBxQmliTW42cjZDbWNFbXZYcGFQbmpiZFU5RFRPV0Z1M2JhL29LUkFWd09BN0VSRVJFUkVSblRMcEd6Wml3S0FoRlQyTnMwYjZobzBWUFlYVGhQeTRiLy8rUnA5ODlrVkZUNlRjS0NlYmdRQjJSYytsSFAxWTBSTTRtVVRzTnc4ZlBwcVp2djZYaXA3S0dVMGdIMWYwSEloQ0dId25JaUlpSWlLaVUwSWdIMmRsWmVQSDFaNlNtcWx3ODlPSXJxRWFBQVJ0SEs3b3VSdzNKWXNxZWdvVmJjdUcxSDhBK0VkRno2TThHWWJ4RlFCWWx0V3RvdWRDcGJOMVk5b2NBSE1xZWg1RWRPb3crRTVFUkVSRVJFU254TllOcVM4Q2VMR2tOb1poL0orSUtKL1B0L2pVemV6WUdPZ2tJaUtpNDhYZ094RVJFUkVSRVoxT2J0STBUUWR3V2dYZmlZaUlpSTRYZys5RVJFUkVSRVIwdXRBQkRFQitMdXVoQUFJVlBTRWlJcUtUaGVlZ1ZKeFRkU1lLZys5RVJFUkVSRVIwV2pBTW81dFNxaW9BSkNjbjkwaE5UVDF6VHNja0lpS0tVTXB6VU9oa09nVm5vakQ0VGtSRVJFUkVSS2VMbTBUeXoxblZkYjBQQUFiZmlZam9qRlNhYzFDbzh0TXFlZ0pFUkVSRVJFUkV6dnZURzBNUFJPUkd2bWNsSWlLaXlveS95QkFSRVJFUkVWR0ZNd3lqaTFLcVllaXhVcXFCMisyK3ZHSm5SVVJFUkZSMkRMNFRFUkVSRVJIUjZTQ2Nja1lwQlJHQlVxcFBSVStLaUlpSXFLd1lmQ2NpSWlJaUlxS0twZ0QwZ1JONGo4RGdPeEVSRVZWYURMNFRFUkVSRVJGUmhYSzczWmNxcGY1U3VGd3A5UmZUTkMrcG1Ga1JFUkVSblJnRzM0bUlpSWlJaUtoQ0thWENLV2NpT1dVM1ZjU2NpSWlJaUU0VWcrOUVSRVJFUkVSVTBXNUNvWlF6b2U5RmhNRjNJaUlpcXBSY0ZUMEJJaUlpSWlJaU9uc1pobkVCZ00wQU5qczczZDFPbFMvVXBsMjdkazNXclZ1M3ZjSW1TVVJFUkZRR0RMNFRFUkVSRVJGUmhiRXNheXVBYnFISGhtRjg1WlIzSy9GQ0lpSWlvdE1jMDg3UXFjVDFSa1JFUkVSRVJFUkVSR2NGQmtNcG1zTHJRcVdrcENTY1NJZnQyN2V2WXhqR2RyZmJmV3RKN2R4dXQ5c3dqRG5sc1RhVGtwSmFHNGJ4WEdKaVlteTBldE0wVzVpbStTKzMyejN3Uk1jaUlpSWlJaUlpSWlJaWlzUzBNNmM1MHpRREFIUVIrYWRsV1dPaXRURU00MVdsMU4yMmJUZnorWHhia0IvRWJxbVVHcW1VNmc3Z1BCSFpEZUJMMjdhZlRFMU4vYjI0OFZKU1Vtclp0cDBLWUlKbFdYT2R2dTYxYmZ2L0pTY25YMWpjdFlaaHZLYVU2bDI0UEJBSXRFcExTL3RUMS9YSGxGSU5iTnRPVDB4TWJCVFp4cmJ0dkEwYk51d0RBRTNUY2dEME53empEOHV5eGpsOTN3MWdhaWxlcmpHV1pVMExQWEM1WEZlSlNQLzA5UFRSaFJ1MmI5KytEb0NQUmFTeHBtbTNKaVVsL1pDV2xyYTVGR01RRVJFUkVSRVJFUkVSSFJOM3ZsY1NTcW5oeWNuSmJZK2ovVTFLcWM0QUZnRjRHb0FId0YyYXBxMXlBczlSMmJZOUhFQ1RZREM0T2xTbTYvcGJTcWtjWGRkSGxEQmtOUUFyUk9SbUViblo2YWRXSUJEUUVoSVM2bW1hOWhDQUdGM1h2Zkh4OFRzanY2cFdyZnBGcUJPdjE3c2V3TjhCakRWTjgxb0FDQWFEMzRuSUE4ZjZzbTE3V2VTRVJPUXlwZFR5d2hOTlNrbzZ4K1Z5ZmVYTXVaMkkvS0xyK3VjcEtTbm5sL2IxSlNJaUlpSWlJaUlpSWlvSmQ3NVhBaUtTcnBScXFldjZMQUNYQTVCalhSTU1CdDlNUzB0N0FVQXdWR1lZeGhTbDFLTXhNVEg5QVB5NzhEWEp5Y210bEZLUEFYZ3RMUzF0WGFqYzQvRWNOQXpqSmFYVWNOTTA1M3U5M2grTG1lZnZsbVY5aWZ3QWR6dE55LzlzcDJyVnFqTUIxTEJ0KzFiYnRyOE50WGU1WEYwQnZDRWlpeVA3OFhxOXN3M0R1QnJBQ0FDZnA2V2xiUVN3c2JTdmwyRVkwd0VNQlJBTElHZ1lSaWl0ekFMYnRtZG9tcllBUUx5SWRMY3NhMnR5Y25JL1RkTlcyTGE5MHUxMjMrYnorYjR1N1ZoRVJFUkVSRVJFUkVSRTBYRG5leVdnbE5vbEl0TUJkRFlNNDY3U1hKT1dscllqTXZDTy9PRDRDdWZQYWxFdTBYVmRmMTFFRG9uSXFNS1ZCdzRjZUFwQWhvaThYZExPK2NMaTQrUHZBTkFId0tkS3FmRUFEamh6QTRBWEFIZzBUWHU2OEhXSERoMjZhLy8rL1QxTE8wNmt2THk4WjBUa0p1U252ZW1zYVpvN0dBeGVCa0IwWGY5T0tkVlFSQ1lBT004d2pDczFUV3NENEJtbFZBMmwxSExETU9hWnB0bWlMR01URVJFUkVSRVJFUkVSZ1R2Zkt3Y1IwWUxCNEJPNnJ0OEVZSkpoR0lzc3k5cFRocTR1UW40d2YyWGhDdE0wcHdHNFdDblZ4K3YxRnVsN3k1WXQvdHExYTkraGFkcTNNVEV4eXhJU0VxNEs1V2tQVVVyZGJSakdiYzczb1E5MlVrUmtZakFZZk43bGNxWHJ1djZKYVpvUGk4aENFYkUxVGJ2RjQvSGtGUjR2SXlNank1blhOU0xTb2JSUFVFU1crM3krbFlaaFhBamdKMTNYKzlxMnZVZlR0QStVVW4rMWJYdUdVaXJiU1lOVDJETUEvQUFtQUpnRElLTzA0eElSRVJFUkVWSEZNVTJ6VFRBWXJKR2FtcnE2Rk0xTG9weU5pc0ZTdEkwcUpTVWxKdHI3WENJaU92c3crRjQ1cUxTMHRNTnV0L3QrVGRNK0VaSEpBQVlkNjZLVWxKVDZBR29GZzhGR1NxbGVTcW5oQUY0b25EYkdOTTJSQU82emJmdi8rWHkrRDR2cnorZnpyVEZOc3grQUQ2cFVxZktOMisyKzBlZnpiUXJWaThobkl2S2lwbWxmaWNoRElySjI3OTY5cTNiczJKRUhJR0FZeGsxS3FXOUZ4QWZnejJBd2VJVmxXYitHcm5lNzNiY3FwU0xUNGZ3VlFBcUEvdUVYUXFsV0FJSWk4aXVpVUVydEJMQVN3TFZLcVU5RnBCbUFnTS9uMjJRWVJwSnQyNkZmb0dZRHdKRWpSL1prWkdUa1JMd1d2VVRrWWEvWHUrSllyeThSRVJFUkVSR2RmQWtKQ2ZVS2IvNHFURVFlMDNYZEhkcDBGbzNiN1I0Y0RBWTlhOWV1WFJ0Wm5wS1MwdHpqOGZ3R1FBekQrSnRTYW9iWDZ5MVR2TVF3ak9tMmJUZHgzczhTRWRGWmptbG5LaEdmei9lcGlMeW5sTG9qT1RtNTI3SGEyN1k5V1VReU5FMzd6c25sUHQ3djl6OGUyY1l3akhFQW5nZndpYy9uR3g0cVQwNU83bWFhNXJNSkNRbjFJdHQ3dmQ2UGJkc2VDS0NGcG1rKzB6VHZCd0JOMHdaWWx0VW5sQy9kdG0zTDUvTjl2V1BIanFNQUFzZ1BqRGNYa1J5bGxBSndWTmQxdzlsVkVKcnZTZ0JEQVB4REtWVk5LZVh5ZXIwVExjdHFaMWxXTzl1MmJ4RVJGNENuUTJWUnZ1YTBhTkdpSm9BZXRtMHZMUFNTTkhBUndoYkFBQUFnQUVsRVFWUzVYTnNqdjJyV3JOa3RLU21wc1dtYXR6bHRyZ1hRdld4L1EwUkVSRVJFUkNWenU5MkRUZE1VMHpUL0ZhM2VOTTBIblBxWG90VWJodkcrYVpwaUdFYVJJTE5oR0plYnByblZOTTFMVHNiY25SU2Q0bmE3b3dhV0RjTjR6Nm52RzZWYW1hYTV4elROVEFBNm5IUEhETVA0cjJFWWY1cW1lY1EwemJWdXQvc2ZMVnEwaUF0ZFpKcm1iVldyVnYwMUtTbXAyUWxPWDFOSzNlWnl1WDR3VGZQR1VHRzdkdTJhaUVpR1lSaTNuMkQvUVA3NzNyZVVVcjNjYnZjeE44d1JFZEdaanp2Zkt4bE4weDRTa2F0MFhaK1ptSmlZbEo2ZW5sdGMyMkF3T0UzWDlZOUZwS0dtYVplS3lCTnhjWEUzcDZTa1hPZnhlSGE2M2U2cmxGSVRBSHl5Zi8vK3ZnQnM1MUtsNi9vVUVXbm1jcm1tRmU3WDUvTzlheGpHWmdEdmkwZ0M4Z1BuRDVxbW1lMzFlbWNYYm04WVJpS0Fwd0gwVVVvdHlNdkxleVltSm1ZY2dMY053M2hDS2JWQVJENjBMQ3NWd0dhMzI5MVVLVlZrWEYzWHg0bklUcVhVdjVEL1MrdFFwVlI3eTdJS3BKQ3BYcjE2THdCSFJhUzZVdW9jcFpRck9UbTVzMjNiTWJxdXI3VnQrd2JrLzFMMHRWSUt1cTRuQUJnUDRNMnkvYTBRRVJFUkVSR1ZUbTV1N3VkeGNYR2lsT3BSVEpOcmtMK1QrOG9vZFVvcGRUbUFmWlpsZVVPRmJyZTdnMUpxbEZMcXBwTTI4WHlmQXhqa3pQMmpRblU2Z0I3SWY5OTZKWUIzSXl2YnQyL2ZEa0I5NTdwZ1Nrckt1U0x5azRqc0EvQ0dpQnhXU2wybGFkckVHalZxOUFCd0ZRQUpCQUpMWEM1WFFOZjFlUUM2QXBBeXp0M1dOTzMvYk50K1RVVGVNMDN6UHEvWCsrL1kyTmdiUk1RRzhGbHBPekpOczQySXJJbFdKeUxPUzZETk5Bd2o2Z2NvSW5LYnorY3IvUG9SRWRFWmlNSDNTc2JqOGV3MERPTWZTcW1YNCtMaVJqdjV5YU5LUzB2ekFnajlRdmF5WVJqL1ZVb3R0bTE3Q29DQlBwOXZxV0VZTjJ1YXRtakxsaTNoZkhUT0ovNkdVbXJZdW5YcmRrZnIyN0tzbnhJU0VzeHExYXBsT1VXSklwSVpxdGMwN1ZiRE1Eb3JwUnFKeUVOS3FSMjJiZC9xOC9uKzZ6VHBaNXBtZHdBalJHU2NVcXJYTVc0UGRJdElYd0QzZUR5ZUkwNXhybExxUWJmYnZjem44NFYzdVN1bGFpbWxsSzdybndDb0tpSzJydXU5UkdTMGlMaVVVdldkcG5xcFhuUWlJaUlpSXFKeWtwNmV2c3N3akRRQXllM2F0V3NZK1o0ck1URXhWa1M2S2FVT0txVmFKU1VsTlU1TFM5c1JxbzhJWUM4SWJaNHlUWE1HZ1BzQjdCV1JaU1VFOVU5WWJtN3VrdGpZV0RzVVpJL2tkcnN2VVVyVkJuQXdXcjNMNWVxSy9NRHpFcWVvbG0zYnIrYm01bzZPMkZUMmhHRVk3eW1sYmpKTnM1dlg2MTJlbHBiMnA5dnRma2pUdExjTXd4aG1XZGJNdG0zYjFvMkppYm04MEJBWEFLaGRlRmUrVXNxeUxHc3I4dDlQNXdHNHpUQ01MWUZBNEd0blBuOTE3c2plYkJnR25EaUpiaGhHZHFGK1B2UjZ2YmNEUUNBUTBGMHVWelVSdWNPMjdjMkYydFVTa1lPaHg1cW0xWERTbjRiZXh5SW5KMmY5Y2J6c1JFUlVpVEg0WGdsWmxqWExDWkNQY2J2ZGI1ZjJrMy9Mc2o0ekRHT3JVcXBiUk5uN2tXMWF0R2hSVXluMVBJQWZJM2V4SnlVbE5ZdUppZGtSZVdoTVNUbjNuREd5bmZ6ME5XemJYcVJwV281cG10Y1dhamMxR0F5TzBYVTlycmkra1A4THl6UVIrY215ckxtaE1wL1A5NXBwbWdPVlVxOGtKU1g5a0phVzlxZnpuR1lDbUFubnRrZ0F1N3hlNzJqbnRzd21BUDdsakYyL2hDR0ppSWlJaUloT2xzOEFKTWZFeEhRSDhIYW9NRDQrdmpPQWFpTHl1bExxRG1jSCtieFF2Y3ZsNm9hQ0FXeUl5QUdsMVBpOHZMeHBMcGZyL21pQjcvTHk4ODgvN3pkTmN6V0FTd3pET00reXJEOUNkVXFwYXlSLzIvY2lwZFR0YnJlN3FjL24yeEpSM3czNTcrMldJRDhRL2d1QVJ3dVBJU0p2T2p2NEV3RXNSLzU3di84NnVkai8yYTVkdXc5MFhXK3BhZHFIQUk0NFkwSXBGU2NpbWxMcXpZZ3hxOW0yUFJUQXF3QlVTa3BLRlkvSGM4U3lyREhJZjcrWTdMeGVrd0Q0bk11dUZKRTduWlNvWWJadGJ5ODgxMkF3YUFVQ2dTMXhjWEh6bEZManZGN3ZldE0wTjRqSXU1WmxqWFBHZUZYWDlhNjJiUThKcFdrbElxS3pCNFB2bFpNRWc4RjdYQzZYRjhCTXBWVFV3MGVMb1R1MzFFVlZzMmJOaVNKU054QUlYQjBLNnJkbzBhS21ydXRlRVhrVndJalNEQklNQm9la3BxWitCK2NRVTZYVSt5TGlqMnpqNUg2dnF1djZwWVVQZ1kza2RydUhpMGduMjdhdlNFbEphU1FpdFoydk9pS3lRaWwxdFpNZXAzOXhmVVNNdWRIcjlYWjI1cFZSbXVkQ1JFUkVSRVJVemo0SE1Ob0ovTDRkVVg2dDgzN3RSUUIzYUpyV0l6TDRycFRxaXZ3QTl0SlFXU2pJaS94QTc2bWEreVZLcWU2RlVuZGVxNVJhYTl2MkYwcXAyNTBkK0hOQ1V3ZHd1WWhzOW5xOW9mZXZVZCtYS3FXcUlEL1lmYUJRK1lNaWN0bTZkZXYrVEU1T2J1a1VKMXVXbFFFbnlLMlVjbnU5M3ZBZDFhWnBCaUsrLzRkdDI0UGRibmMvbjgvbmMvb2NMeUovYUpvMkxyVFJ6RENNMmtxcHdWNnZkMzVwWG96NCtQaStBSzQ2ZlBqd25ZbUppYkVBbWl1bE5vYnFSV1M0VW1xMlVtcTUyKzIreGVmenZWdHlqMFJFZENiaGdhdVZWRnBhMmpvUm1heVU2aUVpVnhXdWozYkFqdHZ0SHFpVWFseGNManZUTkx1THlIMGlNamJ5OVBlTWpJd3NFWGxXUkI1enU5M1hsV1crSXZLUlpWblZJNy84Zm4velkxMW5tbVliVGROZVVFcHB1cTZ2RUpFL0FLUXJwVlpxbWpaZktUVlVSRElBM0dLYVppODR1L1RkYm5kUHd6RHVCWkNzbExyWk1Bd2ZnUDRpMHRnd2pNbUdZVXdXa1hySEdwK0lpSWlJaUtpOGFacTJFa0JXbEYzcTF3RHdXcGFWS2lMckM5VXJBSmNEMk9qeGVMYWQ0aW1IQlFLQno1MXZ3M05MU0Vpb0J5QUZ3SkpBSVBDbHN4czluTFBlTk0zMkFPb0JXQksxMDRKdUV4SGJ0dTJWa1lWZXJ6Zk5zcXhaWmMzNUxpSnZLYVZ5TkUzN1BqazV1UjhBVFVTT0txV21SdDdoWFFaM0FsZ1JIeCtmSEJzYmV6TUFsMjNiOGNuSnlaMlRrNU03aTBpN1lEQTRUU2sxVlVUMkppY25kMjdhdEduOENZeEhSRVNWQ0hlK1YySjc5dXg1K3B4enp1bW5sQ29TeEJhUmxZWmhMRmRLclJDUklJQU9BSzRIOEZ0T1RzN2poZHM3aDkyOENXQzV6K2ViVXJqZTUvTzlhQmpHOVpxbXZaNmNuSnljbXByNmV5bW02RXBNVER6dVh5cEM2V0JFUkZtV3RkNDB6YWxPSHIwTTI3WjM2cnErS3ljbloyOUVYa0NYYVpwZUFFMlJmeXZtY0FDREFXUTRBZmJmQU13N2ttTjNyaEtyMWZVSHBUOEFWSEZwMVEvbHlBd1JrYW94K0V2VE5tN0xINURHQ3FJMWJlTzJqbmZlZEFhejhmYVdqYjVKRlQwTklpSWlJam96ZUR5ZVBOTTBseXVsL3RxK2Zmc0wxNjVkKzV2em5peEpLVFVSK2UrTGxnQjQyRENNUk11eTBnM0RTQUpRVDBUK2Urd1JUcDYwdExRMXBtbnVpd3krVjZsUzVXcWxsR2JiOXBKMTY5YnRkbkxhZDNjK01CRGJ0cnRwbWhaNlRzVnl1OTMvVUVwZEp5SnowdExTTnBmVTluaFpsclUxSlNXbHMyM2JDM1ZkZjZwRml4WUxMY3NhV0E1ZEo0cEl2S1pwWFpWU3NTSWlTcWwvNWQvby9UOGlBazNUaGdKQWpSbzFrcHozcVVSRWRJWTc2Y0gzWmdudW9RS1V4MzlvWnlVUjBZSTJrcHNtdUwrS1ZuOG94ODZ1RWFjNTM4dmJUUlBjZmdBNEdwRE5zUm91MWhTdUFFUVg0RTlkMHlibjVlWDlNejA5dmNEdGUyNjN1Nm1JZkFDZ2xsTHFxZVRrNUVSTjA2bzR0L3RWRTVGcUlsSmRLYlVhd09XYXB2M0gyWkVoQUpDY25OeksyVkhmMmpDTWFjamZ5ZkdPYVpvTlJHUmN0SGtYSnprNXVTT0Fqd0VFQUV4TVNrcGE2L1Y2SHpuR1pZR3NyS3dPR1JrWk9RRHc1NTkvRHQreFk4Y0RBTVF3akhraXNzdXlyTGt0MmlUZnAzUTlwa3Vuem44QmdIWFdhclJzMDZKNXJUcDF3eS9GdHMwWkNBYURhTmFpZGQyU0JxU3p4MDllQ3djT0hNeDA4a0FTRVJFUkVaV1h6d0Q4VmRmMUhnQitDd2FEMTJpYUZzN25idHYyVWszVEhuWjJrS2VMU0ZlbDFERUQyS2VBTFNKTGxGSUQzRzUzUzUvUHQ4bDVmM2cwTXpOekJmSS9PRmdLWUxocG11MjlYbSthcG1sZEFRUnQyMTRlcmNQR2pSdFhhZENnd1hTbDFOMEF2amgwNk5EOWhkdTBiOSsrZlV4TXpPMVpXVm5QbEhYaUhvL25ZSXNXTGE2cFZxMWEvUm8xYXR4bUdNYlVLTTJpSHJpSy9QZm5ML2w4dmxGS3FSam5lZVo2dmQ3d1dXS0dZWHltbE5ybjlYcHZLK3NjaVlqb3pITFNnKzhDREt4WnMzclh4SVRXSjN1b00xbHRBRjFMMGE1SXFoa0FTTit3RVZsWjJldTNiUENPakZhdmFkckhBTm81RDcvVmRiMUF2VklxQ09BUWdFTWlrcUdVdXNydGR0L3I4L2xlZHE2L0ZVQjNFZG1rbEdvRVlEeUFud0g4YkZuV0p0TTA1d0hvWlJqR3JzSkRSejV3VXVVc0E1Q21sTG9Nd0llNnJxODNUZk05MjdaOUFBNEN5QU9RRy9wVDB6UXRHQXhXVlVwVk5VMnptbTNiTzN3KzM4TGlYcUQ0K0hoTW52Z1UvSDQvYnJubEZveDY3R0UwYmRvVW16ZHZocVpwK09jLy80a09IVHBneEloU3BiYW5zOENBUVVQdzQycFBSVStEaUlpSWlNNHdTcW5QbmQzUVBRQzhvbW5hdFNLUzdhU2tnVzNiWHl1bGNwM2crelRud05JOHY5OS9PaHphK1RtQUFVNWU5MDFLcWFzQnJOaXlaWXNmK1dlQUxkVjFmYmlJWEFsZ3JZaGNycFJhNC9QNU1ndDM1SGE3VzJxYTlwNkl0QWZ3Z3Rmci9RZUFZT0YyTVRFeGZRQ01xRktseXF3VG1iaXphZXYzbEpTVXIyM2JEaCtxcXBTYUJlQUxFZm5RdG0xTjA3UzNSR1FXZ0c5Q2JVUmtJL0xmQTljQWdMeTh2S3hRWGJ0MjdSb3FwYTRTa1oxTzJ0Tm81bHFXTmUxRTVrOUVSSlhMS1VrN2s1alFHbSsvOXVxcEdJcWlPRmJ3MExidFVVcXBMZ0EyQWRocjIvWitBQWMwVFRzUURBWVBwcVdsSFk1b3JnekRXS0dVR3R1aVJZczVHUmtaT1pxbVBRL2dHYS9YVzFLZVBLK0lGTjQ1WEZzcDlaL1FnOXpjM00weE1USHJORTI3MXVQeEhHemF0R25IMnJWclB3RGdSazNUcmhHUmVLV1VMaUs2VWlyMENZSG91aTdPb1VTMnBtbkY3cElYaUNnQTgrZlB4NG9WSzNENTVaY2pLU2tKbXpkdnhyQmh3MkRiTmhvMGFJQWJicmloRks4cUVSRVJFUkZSMlhrOG5tMkdZYXgzMHJQb0FLNVVTbjBkeWorZWxwWjIyRENNSDVSU1Y2U2twTVRZdHQxRlJINUlUMDh2c2lQN1ZNdkx5L3NpSmlaR0FQUXdET01IQU9lS1NEaDk2Y0dEQjcrdFc3ZXVIMEFQdDl1OVhDbFZON1NqUDVKcG1pbE93RHVvbFBvL3I5ZjdSWEZqaXNpTlNxbnYxcTVkKzF0eWN2SjVUbkdxWVJpQy9PQjVuSWhvaFhhczY0WDdNVTF6Z1czYml6MGV6endBdjBhVXp3WHdvMlZaODUzVXBtK0p5Q3FmejFmazRGV2xWQzNrcHp3OUZDcUxpWWtaNnVTUVAxZEVuZ1dRR2RIK1FnRFBCb1BCd2h2U2lJam9ETWVjN3dTZno3Y1l3T0pTTmhlbDFPQkFJT0FQcFhueGVEeEhTcnJnR0xmY3pRdDlzMjdkdXQwcEtTbWRRNzlzT3JzbUpqdGZaV0paMXVEUTkwSFJzczl2M2hyMzNITVA3cm5ubm5DYmxpMWJZczJhTlJBUkZNN0xSMFJFUkVSRWRCSjlwcFI2MURUTk81eDg3Z1VDMUU3NmxpdEU1QzZsVk4xU0hsaDYwcTFidDI2M2FacVdjNGYyYXVRZnhCcWUyNVl0Vy94MTZ0VDVEc0RsenU1NEZINXVyVnUzcmlFaUM1VlNtWGw1ZWQzV3JWdTN2Ymp4bkZTbnlRRCtGbGt1SW8rSlNDaWdmYjlTcXBsdDI4TWptcndmMmQ3NUVPTUdwVlJHb2ZMelJhUUtnSzJsZWY0aTBnckFuNkdOYXUzYnQ2K2psQnB1Mi9Zb0FEY0N1TlN5ckVFUlkzNEg0T1BVMU5RRnBlbWZpSWpPSEF5KzAzSHplcjBacFdoV0ppZDR5dndKWWVDZGlJaUlpSWhPSlJINVhDbjFxSWdNVlVvaEdBd1dDRkE3NlZ1ZUNRV2RnOEhnMGdxYmJGR2ZBeGpqN0VqZnVYYnQycldSbGM0SEIxY0N1QlZBbHMvbld4VlpYN1ZxMVR1VlVuOEJjRU5KZ1hjQTBIVjlnSWpraU1nQzVPKzh6OUEwN2Q1RGh3NzlOeU1qSXd2NStkWjdBYWpqOC9rK0NsMW5tdWE5bXFaOUYzb2NEQWJkbXFiRk9jRndSSlJmN2VUYkwvYVc4ZVRrWk1QbGN1M3llRHc3bFZKdFJTVDhmR05pWXA0QmtKV1ptVG0zWnMyYXkxd3UxeHJETUg0OWRPalE4eUl5WHlsVnorLzM5eTcxSzB0RVJHY01CdCtKaUlpSWlJaUlLa0IyZHZhM05XdldQS0tVdWxSRXRxYWxwVzJNckU5TlRmM0pNSXo5U2lsRFJQYW5wcWIrVk5heDNHNTNUNlZVYTh1eVhpeVh5VHZCZDJmdXJ4ZXV0RzE3aVpPaTFCQ1JoUUFDa2ZWS3FZN0kvd0NpcDJFWW5RcGZMeUo3ZlQ3ZlpBQktSQVlwcFQ2ekxDc1RBTkxUMDNjQk9HYnVkNi9YTzd0UTBXVWlJc0ZnOEllSU1rM1R0QWNCZUN6TEtuYm51NlpwZDRuSVJVNGYxd0NZaS95Zy93MEE3ck50KzBibjd1Mk5obUZjcjVUNnZFYU5HbmZsM3hRUTZPck1tWWlJempKYUtkb1FFUkVSRVJFUlVUbHpVbmwrNVR5TXRxdmRCckFjK2NIcVpjN2pNbEZLdFZOS1RURU00NVh5MklqbjlYcC9BSEFRVVZMS0lEKzlhYXFJL0ZsY1BZQmF6cnorcHBRYVZmaEwwN1JoeU45eGZwVlNxaG1BSXJuWGo1ZW1hVjJWVWordlhidjJRS2pNTUl5eEFKSkU1SjhSVGFYd3RVcXB2NGpJYjZacGRsTktuUmNJQkJZa0pTVmRySlI2WFVUbWhuYmNPd2V2OWdSZ0s2WE9BUkRqY3JuKzJyaHg0eW9uT244aUlxcDh1UE9kaUlpSWlJaUlxSUo0dmQ1ZUpkVmJsdFczdEgxWmx2VU1nR2VLcVh2ZTdYYnYwalJ0am1tYWpmYnYzOS9YMmFsZFZnR3YxMXU3aEhxeExLdGhjWlZlci9mNjBneWlhVm8vRVRtc2FkckhaWnBsUkZjaWNrVkVIbmpkTUl3bmxGSlBpTWgvTGN1S3pBOGZCSkNsbExyUk5NMWZiZHV1QzZBSGdBa0FuaFdSMVVlUEh0MWFvMGFOelNMaTB6VHRLYmZiUFVqVHRKNEFlZ0hZQnVEMlFDRHdoY3ZsR2k0aS8yelFvTUdFYzg0NVp5bUFaVXFwZHp3ZXo4RVRmRDVFUkZRSmNPYzdFUkVSRVJFUjBWbkE1L085SmlLM0E3aW9WcTFhNTFmMGZFckRzcXkvS2FXdTlIZzhSMDZrSDdmYmZZbFNxZzZBSDFKU1VtSk0wMXp0Qk41ZjF6UnRjT0gySWpKUktYVWxnRytWVWg4QVNEOTY5T2c4QUwvYXR2MVlSa1pHbGxMcTFtQXcyRE1ZRExiVE5HMldpT2dBYnZONnZlMjhYdThIYVdscGg3MWU3MU9hcGpVVGtjZEZwQ0dBdngwOWV2VG9DYjBvUkVSVWFYRG5PeEVSRVJFUkVkRlp3cktzdHhNVEV6OU9UMC9QcnVpNWxGTFE2L1grZUt4R2xtVU5LYWsrTnpmM3A1aVltR3RjTHRkYWo4ZVRsNXljL0x5bWFYN0xzaFlWMDkvekFKNlBVblZIS1AyUDErdjkzQ2xiM0xoeDQ3bzdkdXlJR2xUM2VEeDdBYnpzZktsb2FXMklpT2pNeE9BN0VSRVJFUkVSMFZta0VnWGV5MDE2ZW5vdWdIRHUrZFRVMUFWbDdDcHEzdjNpQXU5Uk1QQk9SSFFXWWRvWklpSWlJaUlpSWlJaUlxSnlkc1lFM3pkczJJQ3NyS3lvZFh2MzdvVmxXYkR0TWg4TVh5YloyZGs0ZUpCbnFKekp6c1IxbDVtWmllenM0amZDWkdkblk5ZXVYY2ZWNTZsK0RZaUlpSWlJaUlpSWlDcmFHUk44SHoxNk5NYU5HeGUxYnRteVpSZ3laQWo4L3BJUGNsKytmRG1HRFJ0V2JuTjY5TkZIOGV5eno1YXFiZi8rL2JGNDhlSnlHNXRPalROeDNmMzczLzlHNzk2OWtabVppU1ZMbGhTNTV2UFBQOGZmL3ZhMzQ1clR3b1VMY2UyMTEyTC8vdjNIZFozZjc4ZWtTWk9RazVNVHRYN09uRGxZdjM1OStQR1RUejZKZmZ2MkhkY1lSRVJFUkVUUnBLU2tuR3VhNXBPaEx3Qk5BVFNOTEV0SlNUbTNvdWRKUkVSRXA2OHpJdWY3bGkxYnNIMzdkZ3djT1BDRSt0bTdkeS9TMHRMS2JWNzMzMzgvN3I3N2Juei8vZmZvMUtsVGlXMjNiOStPUTRjT2xkdllkUEtkcWVzdU5UVVYzYnQzeHg5Ly9JRXhZOGFnV2JObWFObXlaWW45dlBycXE3ajAwa3ZSdG0xYitQMytJanZkbHkxYmhtclZxaUUrUGg1SGpodzU1bk9JalkyRnkrWENxbFdyOE4xMzMySGt5SkhodWw5KytTVWNqRisyYkJsY0xoY0NnUUFBWU9uU3BlalNwUXNhTm13SUFFaElTRUJNVE13eHh5TWlJaUlpaW1LdmlEeWlsS29OQUVxcFVQbDRBQkNSVEtYVXhBcWNIeEVSRVozbXpvamcrL0xseXdFQW5UdDNQdUcrSW42aEt1RGJiNy9GZ2dYUnoyTzU4Y1liMGFOSEQ2eGV2YnBJT282ZVBYdGl6NTQ5V0xUb2Z3ZW9KeVVsNGIzMzNzT1dMVnN3WThhTUU1NHpWWXd6Y2QwZFBIZ1Ftelp0d2lPUFBJTEV4RVJjZHRsbG1EbHpKbDU4OFVVTUhqd1lCdzRjUUhaMk5yS3pzOUc3ZDI4QVFLOWV2VEJyMWl5NDNXNEF3T0RCZzdGcDA2YW8vWGZwMHFWVXI4ZVRUejZKRzI2NEFkOTg4dzB1dmZUU2NNQmVLWVZYWG5rRk8zZnVCQUJzMjdZTkgzendBWll1WFFvQXlNM054ZXpac3hFYkd3c0FtRFp0R3VyV3JWdXFNWW1JaUlpSUluazhuanpETUJhSnlCMkkrSjFkSkh4ZTVrS1B4NU5YZ1ZPc2xFelRIQ01pOTFpVzFiU2k1MEpFUkhTeW5SSEI5MUNBc1cvZnZnWEttelJwZ3ZuejV4L3orcHR2dmhrN2QrNUVJQkJBSUJBb3NsdDQyYkpsMkxsekoxYXZYbzE3N3JtblFOMmNPWFBRc1dOSHdBbkdlanllSXYybnA2Zmp3SUVET0hEZ0FKbzFhNFloUTRZZ0p5ZW4yRlFhVkRtY2lldnV1KysrUTgyYU5aR1NrZ0lBR0RSb0VCNTY2Q0VjT0hBQUR6LzhNSEp6YzdGaXhRb3NYYm9VWThhTWdXM2JlT2FaWjlDalJ3OWNkTkZGQUlBbm5uaWl3TzcyZDk5OUZ5dFdyTUNVS1ZOS3ZRdTlhZE9teU1yS3dySmx5eEFmSDQvMzMzOGZEUnMyUkpVcVZmRGVlKytGMjAyZlBoMWR1M1pGKy9idEFRQWpSNDdFeUpFalViOSsvVktOUTBSRVJFUlVFaEg1UU5PME95SUM3c0QvQXZIdlY5UzhLcmxZcFZUMWlwNEVFUkhScVZEcGcrOGVqd2ZidDI5SC8vNzkwYnAxNjNENU8rKzhnN3k4MG0xQ0dEWnNHSTRjT1lJZmYvd1IzM3p6RFVhTkdnVUFTRXRMdzRjZmZnaGQxd0VBbXFaaHlKQWhCYTU5NDQwM3d0K1BIajBhaXhZdHdvRURCOUMvZjMvRXhjVUJBSEp5Y2pCZ3dBQzQzVzVNbmp3NVBHOHFPN2ZiM2RUbjgyMEZJS1ZvWHU3TzFIVzNmUGx5TkdqUUlEeDJTa29LUHZ6d1E5U3BVd2QxNnRRQm5GUTE4Zkh4dVBqaWl6RjE2bFRrNU9RVVNBdVRtSmdZL3Y3bzBhTVlPWElrZXZmdWpVc3Z2YlJVcjB2SWpCa3owS1pORzR3ZVBScERodzdGcDU5K0NnRDQ2cXV2TUhyMGFOU3NXUk1BOE5aYmIrR2JiNzdCRlZkY2dSbzFhbURBZ0FIdysvM28zYnMzaGc4ZmZseGpFcDBwMnJScGMrNzY5ZXQzVnZROGlPajB3NThQUk1jbk96djc4eG8xYW1RREtCd3N6dkw3L1Y5VTBMVG9MSldTa3BJZ0l1c0xsNXVtR1g1Zm5QZi8yYnZ2K0tpcS9QL2o3ek9wRkRFMEJVRU15RXBaQ0hNbmkyV0xLSzZyc2xaa0FVSFIvZUtDdWk2b3F5SVczRjBVQlFTeHJJcXVxS2pZTUNCWVFPeGRNSmtoZEFRTWlJVmlEREdRTnJubjl3ZkovTkpKWUpKSnd1djVlUGdnOTl4ejcvbmM0V1lrNzl3NXA3Q3cxNnBWcTliWGUzRUFnRW8xK3ZEOTZhZWZWcnQyN1RSKy9QalFWQk9TOU13eno2aGJ0MjVsK3I3NjZxczY4Y1FUeTRTbGt2VEhQLzVSa3BTVmxhVXZ2L3hTNTU5L2ZtaGY2UkMwSm80NDRnak5uajFiTDcvOHN2Nys5Ny9yN0xQUDFqMzMzS005ZS9ZUUJJYVJNZVkreDNGT05zYTg1cnJ1d2tBZzhMNmtZSDJOM3hUdnU5MjdkK3Zqano5V3QyN2RsSk9Ubyt6c2JFblNrVWNlcWNMQ3d0QXZGUW9LQ21TdDFidnZ2cXU1YytkcSt2VHBhdDY4dWZidDI2ZG16WnFWbVVMbmhSZGUwTjY5ZTNYcHBaZnE3TFBQcnRHNkJvOCsrcWlTa3BMMDNudnZWYm1ZYlZKU2twNTQ0Z2xKMHZqeDQwUHRyNy8rdXVMaTR2VFNTeS9wMjIrL3JkRjFBMDFSczJiTkh2SDVmRW1TVWlTOW1wYVc5a1drYXdMUU1NVEh4OC96K1h3ZHJiVXB4cGhYMDlMU2VDSUVxTWFtVFp2eWZUN2ZtOWJhb2VXZWZsKzhkdTNhZ3NoVjFyaFphMXYzNmRQbjJOV3JWNGYrMFo2Y25Oek9XdnRTTUJpOEpqMDlmVU5rSzJ5WVVsTlQxenVPczE1U3p5cTZyQ040QjRDR3BWR0g3eHMyYk5Cbm4zMVdJUUROeTh2VHRtM2JkTlpaWjVYcC8rYWJiK3FSUng3UmhBa1RkT0dGRjFZNFgwRkJnZUxqNDBQYndXQlF4aGg1UEo0YTEzVDY2YWZybEZOTzBWTlBQYVhKa3lmcndRY2YxTTgvLzZ6SEgzOWNIVHAwT09oclJRWEdHTk5KMGpVZWorY2FuOC8zazZSRmtsTHk4dkxlcnN0L0NEZlYrKzYxMTE1VFVWR1JKT25GRjEvVW80OCtLaFZQNVpLUmtWRmg3dm1TcDkxdnV1bW1NdGRhc3RqcHJsMjdOR2ZPSEEwZE9sU2RPblhTelRmZlhPV25Bclp2MzY3SEgzOWN6WnMzRDgzUi91Q0REeW8rUGw3ZmZ2dXRYTmZWN3QyN1E2L1hxbFdyOU9jLy8xbVM5UFBQUDRmT00zandZRW5Tdm4zN1F2dUJ3MWczU1RkS3V0RnhuTzhrcFZoclV3S0J3RWVTM0JvY0Q2RHA2bUdNbVNocG91TTRHYVhlSHo2TDFLY0tnWWFzcUtnb0pTb3FLaFMrRno5c2toTHB1aHFxN3QyN3QyclpzdVhROHUwZWp5Y3ZMUzN0T2UxL0RUMnhzYkdqVmJ4NGJlL2V2VnU2cnZ1bU1jYUpqbzcrdFNUQzl5b1VUNFYwcTdXMnNuVUltQW9KQUJxWVJoMiszMy8vL1VwSVNORGd3WU8xY2VOR25YRENDWktrcjc3NlNxN3Jxbi8vL21YNlAvcm9vNW82ZGFvbVQ1NnM5UFIwM1hMTExXWEMwMTkrK1VVdFcvNy9UeE82cnF2bzZOcS9SUEh4OFJvd1lJQSsvUEJEWldSa0tCZ002dGxubjFYNzl1MTF6REhISE5JMUk4U3E3RDh5Mmhwai9pcnByL0h4OGIvNGZMNjNKTDBhREFiZlNFOVAzeHZPZ1p2aWZaZVhsNmQ1OCthcFY2OWVDZ2FEdXZUU1N6Vmt5QkNOSGoxYWtqUnUzRGlOSFR0V2t2VE9PKzlvMnJScEdqTm1qSVlNR1ZMbVBDVlR3VWpTdmZmZXE5emNYQTBiTmt5U05IRGd3RXJIL3VpamovVHNzOC9xK09PUDEzMzMzUmVxOWZycnI5ZVdMVnRDL1VwK3FURnExQ2lOSHo5ZThmSHhLaXdzVlBQbXpmWGFhNjlwN05peEdqNTh1RHdlajlMVDA1V1RrMVByMXhCb2FrcTlSM2FTOUErUHgvTVB4M0YyU1VweFhUZGw1Y3FWNzlYbnA0WUFOQnlsM2g4U0pkM2c4WGh1OFBsOFAwaGFZSzFOOGZ2OUgwZ3FpbXlWUU1OUVdGajRSbFJVVko2a2VPMy8vdG03YTlldXR5SmRWMFBWckZtemRzYVlXZVdhWXlSbFMzcXVWTnZZeE1URWU2T2pvMlBqNHVJV0cyTzhrb2FtcGFVdHFPZVNHeFdQeDVNaTZkYnk3Y1lZdWE1TCtBNEFEVXlqRGQ4LytPQURyVml4UXBNbVRkTFdyVnMxYXRRb25YdnV1YUg1cnhNU0VrS0xNSmFJalkzVmxDbFQxTGx6WjgyWk0wZWJObTNTSTQ4OEVnbytzN096eTRTSFJVVkZ0WnI2UTVJQ2dZQlNVbEwwNXB0djZ0UlRUOVhERHo4c3Y5K3Y2ZE9uNitLTEw5WVZWMXloeXkrL1BFeXZRczBadWMwY3gva2d0Rm44NkhqcGJXdHRtZTNLK3RXa1QzWG5yR20vVWwycjZoZEtrMHRQYzFMOGcrUVJrb1lhWTRaR1JVVzVqdU84YTYxOS91ZGNlOGozZTFPOTd4WXVYS2lXTFZ0cTBLQkJXclJva2VMajR4VWZIeDk2K3I1WnMyYUtqNC9YbkRsejlNZ2pqK2pDQ3kvVWVlZWRGMXE4TlNZbUp2VEV1aVNscEtUb2d3OCtDTzJyak91NnV1ZWVlNVNTa3FMaHc0ZFgrQ1RCSzYrOElrbkt5TWpRMy83Mk55MWJ0aXkwNzZlZmZ0TGd3WU4xN3JubjZ1U1RUOVlERHp5Z2dRTUh5dS8zaC9wMDZ0U3BWcTloZGFLTVdwYjYvbEdwKzdJTVUvcG1MTGVyc3NaUzkzTk4ra2RpekVyYmF6dG1PR29KeDVpSGN1M2xodCtPVEs4QUFDQUFTVVJCVkEvSGRkYjFtRWNiWXlwN2Y1U2s5c2FZc1ZGUlVXTWR4d2xLZWo0cjEyMWJ4Zmx4Q0J6SGViK1N2Nk5EdXIvciszczRBdTlUaC94OVZNVjRkZjRhSCt6MzdNRyt4b2Z3SHRHeC9QRWw3dy9XMm83R21HdU1NZGM0amxOb3JYMU8wcXNGQlFYTG1GNERoN08xYTlmbStIeStKWkl1MVA3dm56ZTNiOStlRyttNkdxcFZxMVp0S1Q5SHZ1TTQ4NHQvVGl1UmE2MDlvblhyMWhPTk1lZEsrcFdrODlMUzBwaEgvd0RTMHRKU0hjZlpKcWxMNlhacjdUZUJRQ0FRdWNvQUFKVnB0T0Y3aHc0ZDFMZHZYNTEvL3ZreXhtaktsQ202NjY2N3RIcjFhbjMzM1hjYU5teFlwVThQRzJQMDk3Ly9YUjA3ZGxScWFtcVpKNDZ6c3JKMDVKRkhocmFMaW9wcS9BUnlYbDZlUm80Y3FZeU1EQ1VtSnVxZi8veW5Mcm5rRWtuU0dXZWNvYTVkdStycHA1L1c0NDgvSG5wU09nS3NNYVlrZlFuOVdmd0RWNW4yaHRTdlZPZlNiYit2Wk5HanNoZTcvMk40VmxLMHRUYTJ1cjQxMVZUdnU4NmRPMnYwNk5IS3phMzhaNGp0MjdmcjMvLyt0OUxTMGhRZEhhMGxTNVpveVpJbG9YcTdkKyt1NTU3Yi94QkxJQkRRdEduVDFLVkxGMjNidGswcVh2eTF2TnpjWEtXa3BHajgrUEVhTm15WXJMV2hmdEhSMGZyb280LzAzbnZ2aFo2K2w2UXp6enhUQ3hZczBKMTMzcW5vNkdobFptYUdwcnI1NktPUFF2UFVxM2hlK0RCL3I5bnlYNWU2WDZ2clcybDd1VGxEYTN5ZXcyWE1hc1lOeDVpMUdhOUdZNVpwTEZmQXdaeWp0cldVSDlNWU0wQlNpMHI2aGY0c0R1ZURrcG9iWTJvK3p4VnFxL3pmVFZWVC9sUjczOVRUOTI5OWZ4L1YxWGkxZVorb2wvZWxVdU1lMU90VGd4cHFQSjR4NWt4SnpTcnBHL3F6MVB0RE05ZDFZd3NLQ3FvSzk0SERoclYyZ1RIbXdwS3ZJMTFQWTlLN2QrK1d4cGhCMXRwL2xHcmVKK2wveHBoSmtyNlY5UHUwdExUMENKYloyTXlYZEVPNXQzbW1RZ0tBQnFqUmh1ODllL2JVQXc4OEVIcHE1Nnl6emxLUEhqMUNRZDN3NGNPclBYN3c0TUdoK2FGTGJOeTRNYlFJcG9xRHpkSlA0bFluUGo1ZVYxNTVwWTQ1NWhodDJiSkZzMmJOQ29XZ21abVpHalpzbUdiUG5xMHJycmhDM2J0MzEyZWZmVmJyYXo0VVZwNWN2OTkvZXIwT1dvY2N4M20xNURmOXBlZGVMTDRmY3EyMXk2eTFDNExCNEd1clZxMzZXWklTZTNwSEhPcTRUZlcrTytXVVUyU3QxYXV2VnZ5VVlrRkJnUzYvL0hJbEppYks2L1dxVDU4K3V2NzY2MFA3RnkxYUZKb1AzblZkM1hycnJUcmhoQk0wZHV4WWpSczNUanQzN3RTZ1FZT3F2SVlISG5oQUR6endRSm0ycTYrK1dvbUppY3JMeXl2VHZtL2ZQajM0NElQNjRvc3Y5T3RmLzFyLytNZitmNysvOWRaYkNnUUNvVzFKWlo3RVAxUkZWamxONmZzSFRaL1A1MXNncVV2NTNNMFlJMnR0bHFUWFhOZGRrSldWdFRRakl5TXZzYWYzL1lnVjI0VHh2b0dHeUhHYzk0MHhIYXA0ZjlodHJWMXNqRm1RblozOTlxWk5teXIrOWh3NFRGbHJGeGxqaWlUWi9Qejh4Wkd1cHpHSmpZMGRaYTMxNU9ibUxpemRYbEJRTUMwdUx1NHFhKzBuZnIrZjRMMTJGaGxqYmlqOXM3RHJ1dnhTQ0FBYW9FWWJ2a3NxODdTd0pQM3d3dy9LeXNyU1paZGRwbzRkTzlicVhKbVptZnJ4eHgvVnAwK2ZVRnRlWGw2VlUyWlU1cHh6enBIMmZ5eXh6QUthcFhYdjNyMVdkYUZLb1o4WVM0VkpyMHRhc0hQbnpyZnE4bU9nVGZHK3EyNmFtOWpZV0QzMjJHUHEzcjI3N3JqakR1WGw1WVVXUDVWVVptNTFqOGVqZi96akgrcmZ2Nzh5TWpJa1NhMWJ0OWJzMmJNcm5EYy9QMS9qeG8zVDFWZGZMYS9YVzJaZnAwNmR0R2JObWlxdnQxV3JWbnIrK2VkMTlkVlhoMnJJeThzTGJVdlNoQWtUOU52Zi9yYmE2d2Fhc3RJL2pGbHJkMGhhS0dtQjMrOS9sM25lZ2NOYnVmZUg3YVhlSHo1a25uZWdjb0ZBSU10eG5MY2xGYXhkdTViRmhXb29NVEV4M2hoenE2U24xcTlmLzFQcGZXdldyTW4wZXIwM2VUeWV4eDNIZWN2djl6OGJ1VW9iRjcvZi83SGpPRHNsSGFYOTcrdmZGeSthRFFCb1lCcDErRjdhdG0zYmRQdnR0eXN4TVZGWFhYVlZyWTlmc1dLRkpKV1pyenMvUDcvR1R5Q1h0bnYzYnJWdTNicld4NkYyckxYZlMxb3NhWUhINDNrdk5UVzFzTDVyT0Z6dXUyN2R1bW5QbmoxUzhmendyNy8rZW1oZnliUXpKVXArR1ZBU3ZzZkV4T2czdi9sTmhYUHUyN2RQa25UODhjZFh1citxOEwxSGp4N0t5TWhRbno1OTlNUVRUMGlTNXMrZnJ5Ky8vRkxUcDA4L3hDc0ZtcFJ2SkMxd1hUY2xFQWg4R3VsaUFEUW9HeVV0S0NvcVNsbTVjdVh5U0JjRE5CYXU2NzdpOFhqNEJWVXR0R25UNXArU2puWmRkMnBsK3dPQndCTStuKzhDWTh6alhxOTNNd0Z5amJuRjA4eGNwZjIvVEUycFpobzBBRUFFTllud2ZldldyYnJtbW12a3VxNm1UNTllNWRPLzFYbjExVmZWczJkUGRlalFJZFNXbjUrdnVMaTQwTGExVnBzMmJTcHpuT3RXbkxwMXpabzE2dHExYTdYalhYSEZGWlhPZzQwYSs2ZmY3LysyK0I4ZEVYRTQzSGV1NjJyYnRtMGFQWHEwL3ZLWHYwakZVK3RVTmUxTWZRb0VBaG93WUlBa3FiQ3dVRVZGUmFGdFNicnp6anMxY09EQWVxOExhQWh5YzNPdldiZHUzUStScmdOQXc1T1hsemVDOXdmZzRMaXV1ekE2T2pwaVAzODBObDZ2MTJ1dG5TVHB3VUFna0ZGVlAydnRYNDB4WHhoakZpY2xKWjJabnA2ZVZyK1ZObHFMakRGWGFmOXJ1UERBM1FFQWtkRG93L2RQUHZsRXQ5MTJtendlang1NjZDRjE2OWF0MXVmWXVIR2pVbE5UZGZ2dHQ1ZHAvLzc3NzhzOFNSd01CalZzMkxCcXo3VnExU3F0V0xGQ2Q5MTFWN1g5T25YcUZQcTZxS2hJd1dCUUhnL3IzZFdVMysvZkdzbnhENGY3YnRldVhmcnV1Ky8wNG9zdjZ1eXp6OWFwcDU2cXp6Ly9YSzdybGdud2c4R0RtNzJpc2w4Z1ZGYkRwNTkrcXJ5OFBNMmRPN2ZNV0VsSlNYcm9vWWVrNHFmeFUxTlROWG55NU5EK2cvbjBBTkJVRUt3QnFBcnZEOERCVzdWcTFjK080N3p2T0U2a1MybndYTmVOTXNZa1N5cXkxdjdHY1p6UStqTFcya1JKclVxM3VhNjd5eGh6YkhSMDlITEhjVlpMK2psaXhUY2V4bHJyU3JKK3YvK0RTQmNEQUtoY293N2ZwMCtmcmhkZmZGR0ppWW1hTld1V2pqMzIyRnFmSXhnTTZsLy8rcGZhdG0ycnM4OCtXM1BuenBYSDQxRjJkclkrLy94empSbzFLdFEzSmlhbXpIUWJLbDVBczhUWFgzK3RmLzd6bityVnE1Zk9QUFBNYXNjdENVdWJOV3VtZGV2V0tSZ01xblBuenJXdUgvWHZjTHJ2amo3NmFQMzk3My9Ybi83MHAxRGJ2SG56TkcvZXZETDlldlhxVmFQclhyMTZ0ZGF0VzZjampqZ2lOSzFNUWtKQ3BYMlBPdW9vZGV6WVVWdTJiTkdGRjE1WVptNTVTZHE4ZWJOdXZ2bG1TZEtQUC82b1BYdjJoTFpMM0hISEhUcjY2S05yVkJzQUFBQ0FzRERHbUQ2UzRpVUZqREhsbjdxSk5jYVkwZ3MvRzJOeUphMjAxaVpKU3BLVUlTbWlEMXcxQWxiUzd1SlBnek1kRWdBMFVJMDZmTy9YcjU5aVkyTjExVlZYbFptbW96YlMwOU8xWWNNR3padzVVODJhTmRPYU5XdjB6anZ2S0NvcVNrbEpTUm81Y21TWi91M2F0U3V6Yll3SmZaMlNrcUs0dURqTm1ERkQwZEhWdjdRNU9UbDY1SkZIWksxVmZIeTh6ai8vZkoxODhza0hkUTJvWDRmTGZkZStmWHVscEtSVVdJeDE1TWlSR2pkdVhHajdqVGZlMEN1dnZGS2o2ODdNek5SRER6MmtZRENvbUpnWURSbzBTUDM2OWF1MGIxSlNrcEtTa3NxMEpTY25oMTd6RGgwNjZMTExMcXQydlBLTDR3SUFBQUNId3UvM254N3BHaG82bjg4M1ROSUxra2I0L2Y0WHkrLzNlcjNmU25JcmV5MGR4emxPMGh2R21HZlMwdEpZME9rQUhNYzUzMXBMOEE0QWg3UEVudDczaDQ4YWJSdXk1Y3VYVjJoelhiZlc1eWtxS3JJLy8veHpyWTRKQm9NSE5WWnREQjgxMmliMjlMNWZnNyt1SnEyaDNZc044YjdMeTh1ejJkbloxWTVWVkZSVTZ4b2JNNzUvY0Rob2FPK1BEUjN2QzhDQkZVL053ZmNKRGdyM1QrUG45WHAvVy9KMWNuTHk4WTdqM09NNHppMk80OXpqOC9tQ2p1UDhWTld4blR0M2JsWnZoVFp5M2J0M2owdE9UbzZKZEIwQWdLbzE2aWZmdzZWLy8vNFYya28vV1Z4VEhvK255aWswcWxMK3FXSWNQaHJpZlJjWEYxZnQwL3lzU3dBQUFBRGdRQUtCd0djbFgrZm01dTZOaTR1YlVEelZUTDYxZHEra1RWVWR1MzM3OXR4Nks3U1IyN1JwVTM0TnVnRUFJb2p3SFFBQUFBQUExSW0xYTlmK0tDbjBGQStmYWdBQUhFNTRqQlVBQUFBQUFBQUFnREFqZkFjQUFBQUFBQUFBSU13STN4RUozSGNBQUFBQUFBQUFtalJDVUZUSmNaeEpTVWxKUFNyYjUvUDVCdnQ4dmt0TGJkL2NyMSsvMHc5MHpxU2twTTZPNCt5cVNWOEFBQUFBQUFBQWFLeFljQldWNnR1M2IydGp6QjJ1Nno1VjBwYVVsTlExT2pyNmFFbXkxZzR5eHJUMCtYeWJpcmZQOTNnOENUNmZMMWVTakRHYlVsTlRkNWMvYjFSVTFIWEdtSUs5ZS9kK1ZyOVhCQUFBQUFBQUFBRDFoL0FkbFlxSmlmbXpwUFd1Ni83Y3UzZnZscElVSFIwOVF0SkYyaCt1SDJPdGpUTEdkQy9lN202dDdTenBUNUxrdXU0ZGp1T3NOTWI0U3M1cHJmVVlZLzVtclgyblZhdFdaL3A4dnFvTDJIL09MeW9MOEFFQUFBQUFBQUNnb1NOOFIxWEdXR3ZieDhYRjdaSDBvNlRDd3NMQzgxYXRXblczSkhtOTNoR1NXdmo5L2lkVVBFV042N3BmckZ5NTh1MlNFemlPTTF6U0N5WGJ4cGlTUHdkTEdueWdBbHpYUFZQU08zVjFnUUFBQUFBQUFBQlFWd2pmVVVHL2Z2MytaSzN0dTIvZnZpN05temYvMnVQeG5KR2FtcnJlNi9VbStIdythNjNkb2YwaGVuT2Z6L2V0cE91c3RTZDZQSjRDbjg4WGJhM2Q3dmY3dlg2Ly8wVkpMMnAvV0o5Z2pOa3M2UUcvMy84ZjdaOG4vbHhKNTZlbHBZMko5RFVEQUFBQUFBQUFRRGpWUy9pK2R2MEdYWEw1bGZVeEZDcXhkdjJHV3ZXUGlvcTYyRm83WThPR0RiODRqbE5odjkvdjc2RDlnZnFOSHMvK05YdU5NU1BTMHRLV0pDVWw5WW1LaW5xdS9ESEdtRnNrNlpkZmZwbFYwdWE2YmsrUHh6TllFdUU3QUFBQUFBQUFnQ2FsenNOM0s3czRPenRIWHl4UHJldWhVQjFqRjlXMHE3WDJkbXR0aTk2OWUzZVE1QWtHZysxNjkrN2RJU29xS3RaYUs4ZHhNb3E3dHBJMG92aVlaeHpIeVpVVUkybFg2Zk1sSlNWMU5zYU1rM1RucGsyYnNzTjlhUUFBQUFBQUFBRFEwTlI1K0w1MS9jcVprbWJXOVRnSUgyUE1uY2FZdjhmSHgwdjduNFQvT0NvcVNxN3J6alBHUENEcE9XUE0zMXpYbld1TUdTQnBhVkZSMGZqczdPeXRyVnUzUHRvWU03VDArYUtqby84amFYZG1adVpEa2JxbUVsOXYycUovM0RBaDBtV2dFZmw2MDVaSWx3QUFBQUFBQUlCR2lEbmZVVUZhV3RxMWtxN1Yva1ZUZi9SNFBLZWxwcWF1TDk1dEhNZjUyRnBiNlBGNGpwRDBSMnR0YkhSMDlMbzJiZHAwbGFTaW9xS3Z5cDN5SEVudFdyZHV2YnQxNjlhbDIyTWt4VHFPazFPK0JyL2Yzekw4VjJhLytDa3pzOFByYnkwTi82blIxSDBSNlFJQUFBQUFBQURRdUJDK280S2VQWHUyYmRhc1dhcmY3MDhzYVhNYzV4Vmp6Sk9Ta2lYOVR0SkxrcTZ3MXVZV2IxOVIwdGZqOFdSSmVyL1VLZi9xdW01OCtYRThIczhGa2k2MjFvNnFqK3ZLV0w5eW9xU0o5VEVXQUFBQUFBQUFnTU1iNFRzcWFOR2loYkhXbG5ueTNCalRUTkpGa2taci8yS3B0eFMzSHkvcGxKSnRTU29zTEN3enIzdGFXdHFTeXNieGVyM2RQUjdQZVlGQVlHR2RYUXdBQUFBQUFBQUFSQURoTzJyTWRkM1BKSzN3ZUR4UGVEeWVkNHFiWTZ5MVI1YmFWbHhjM0xPUy9oMjVTZ0VBQUFBQUFBQWdzZ2pmVVdNZWorY25TZXUxLzJuMjdwS1VuSnpjVTlJbkpkdWxHSy9YZS9rQnp2Y2JhMjJjMSt1OW9vb3VCWUZBWUY2NDZnY0FBQUFBQUFDQStrTDRqb1BpOC9teUpNbGE2N0hXdGl6WjF2NG41T2NFQW9HYlBCN1BmUWM0VFROSnphcnB0MGNTNFRzQUFBQUFBQUNBUm9md0hWV0o5WHE5ZnpIR3hMdXVlN2t4cHN5VDdYbDVlWjBsS1RvNitvVG82T2kzOC9MeVFvdXpGaFFVRkVvcVNrdExhMWZkQUY2djkwYVB4M1BMZ2ZvQkFBQUFBQUFBUUdORCtJNEtjbkp5OGx1MGFMSEU0L0djWTYyZHUvOEJkMnVNTWFFKzhmSHg4NHUvYkNHcFZhbHR4Y2ZIeSt2MVBoZ0lCTjZNUlAwQUFBQUFBQUFBRUdtRTc2aGd3NFlOdjBnYVdyb3RLU2xwZmxSVTFMZkdtQ08xUDQydmRrb1phKzI2dXE0VEFBQUFBQUFBQUJvcXduZlVTSHA2ZWxyeGw3c2ttUU4wcjVGQUlIQ2ZwQVBOQ3c4QUFBQUFBQUFBalk0bjBnVUFBQUFBQUFBQUFORFVFTDREQUFBQUFBQUFBQkJtaE84QUFBQUFBQUFBQUlRWjRUc0FBQUFBQUFBQUFHRkcrQTRBQUFBQUFBQUFRSmdSdmdNQUFBQUFBQUFBRUdhRTd3QUFBQUFBQUFBQWhCbmhPd0FBQUFBQUFBQUFZVWI0RGdBQUFBQUFBQUJBbUJHK0F3QUFBQUFBQUFBUVpvVHZBQUFBQUFBQUFBQ0VHZUU3QUFBQUFBQUFBQUJoRmgzcEFnQUFBQUFBUU5Qa09FNTdhKzJmU3pWMWtDU3YxM3RGU1lNeDVnMi8zNzhySWdVQ0FGQ0hDTjhCQUFBQUFFQ2QyTFZyVjA3Nzl1MGZOc2EwS04xdWpIbEtrcXkxZTNmdDJ2VlN4QW9FQUtBT01lME1BQUFBQUFDb0U5dTNiOCtWdE1SYXE4citrN1NrdUE4QUFFME80VHNBQUFBQUFLZ3oxdG9VWTR5MC80bDNsZjdhV3BzUzRmSUFBS2d6aE84QUFBQUFBS0RPNU9ibUxyYldGcFJ2dDlZVzVPVGt2QjZacWdBQXFIdUU3d0FBQUFBQW9NNXMyTERoRjJQTTIrWGJqVEhMTm0zYWxCMlpxZ0FBcUh1RTd3QUFBQUFBb0s2bEZFOHpJMnN0VTg0QUFBNExoTzhBQUFBQUFLQk81ZWZudnlZcFdLb3BXRkJRc0RDQ0pRRUFVT2NJM3dFQUFBQUFRSjFhczJaTnByWDIvWkp0YSswSGE5YXN5WXhzVlFBQTFDM0Nkd0FBQUFBQVVCOVNqREV5eGtnU1U4NEFBSm84d25jQUFBQUFBRkRuQ2dzTEY5aGkrZm41Q3lKZER3QUFkWTN3SFFBQUFBQUExTG5WcTFmdk1NWjhLdW56dFd2WC9oanBlZ0FBcUd2UmtTNEFBQUFBQUFBY0hselhmVFhTTlFBQVVGOEkzd0VBQUFBQWFDUzY5dlQrelVvaklsM0h3Y3JLVTV3a0pmYjBYaERwV2c2V2tlWjlzejd3UktUckFBQTBmSVR2QUFBQUFBQTBFbFlhMGFwVnk5TjY5K3dSNlZJT1MydlhiMUIyZG80a0ViNERBQTZJOEIwQUFBQUFnRWFrZDg4ZWV1R1ovMFc2ak1QU0paZGZxUytXcDBhNkRBQkFJOEdDcXdBQUFBQUFBQUFBaEJuaE93QUFBQUFBQUFBQVlWYm4wODQwOXNWZ21nb1doQUVBQUFBQUFBQ0ErbFBuNFR1THdVUWVDOElBQUFBQUFBQUFRUDJxbHdWWFdRd21zbGdRQmdBQUFBQUFBQURxRjNPK0F3QUFBQUFBQUFBUVpvVHZBQUFBQUFBQUFBQ0VHZUU3QUFBQUFBQUFBQUJoUnZnT0FBQUFBQUFBQUVDWUViNERBQUFBQUFBQUFCQm1oTzhBQUFBQUFBQUFBSVFaNFRzQUFBQUFBQUFBQUdGRytBNEFBQUFBQUFBQVFKZ1J2Z01BQUFBQUFBQUFFR2JSa1M0QUFBQUFBQUNnTWV2YnQyKzNtSmlZQ1pKT2xaUW9TZGJhYmRiYUJ3S0J3Q01sL1h3KzN4aHI3ZVhHbUI2U1lxMjE2eVhOOVB2OUwwYjBBZ0FBZFlJbjMydmdkNy83blZKU1VpSmRCZ0FBQUFBQVRjYXVYYnNpWFVKWU9JNXpUblIwOUZwSmY3WFdickhXUGkzcExVbHhIby9uMUhMZDd6UEdiTGZXem5KZDkxRmpUQWRqekFzK24rL21DSlVQQUtoRFBQbGVBM2w1ZVNvc0xJeDBHUUFBQUFBQTFKbFhYbmxGUFh2MlZOKytmUS9wUElzV0xWS0xGaTEweGhsblZObG45ZXJWdXZ6eXl6Vm56aHoxNjlldjBqN3IxcTFUdTNidDFMNTkreXJQODhJTEwraTU1NTdURzIrOGNVZzFId0pqakprdHlicXVlMklnRUFpVTJoZlZyMSsvbnFVN1cydjcrdjMrclNYYnZYdjN2ajh1TG02VE1lWjZTZFBxdFhJQVFKMGpmQWNBQUFBQTREQlhWRlNrRHo3NFFETm56dFNkZDk2cHM4OCtXeSsvL0xJZWVPQ0JHaDJma0pBUUNzQTNiTmlnRjE5OFVhTkhqOWJWVjE4dFkweUYvbjM2OU5IeHh4K3ZGU3RXVkJtK1Q1MDZWVC84OElQdXUrKytLbjhoVUZoWXFOemMzRnBkYXpnbEp5ZTN0ZFllYTYxZFhpNTRsNlNpbFN0WHJpbmRVRHA0bDZTMWE5Zis2RGpPSmtuZDZxVmdBRUM5SW55dm9hKy8vcnBDMjRzdnZxZ2ZmL3hSMTExM1hVUnFBZ0FBQUFBZ0hLS2lvalJyMWl6ZGZ2dnR1dTIyMjVTVmxTWFhkWldmbjYvYmJydXQybU0vL1BCRHBhZW5oN1p2dXVrbXRXL2ZYZzg5OUpBeU16TTFjZUpFblhwcStkbFhKTmQxOWRSVFQrbXBwNTRxMHo1ejVreWRkTkpKdXYvKyt6VnUzRGlOR1ROR2Q5MTFsODQ0NHd4Tm1USkZwNTU2cW43Lys5K0g4ZW9QWG1wcWFxYmpPSHVOTVQyVGs1TTdwcWFtL2xDYjQ3MWViNEtrNHlWOVduZFZBZ0FpaGZCZDBsZGZmYVZ2di8yMlFudS9mdjNVcmR2K1h6NHZXYkpFTjl4d2c1bzNieTVKV3JwMHFhWlBueTZ2MTZ1OHZEekZ4OGZYZTkwQUFKUklTa282S2owOWZiY2tOOUsxQUdpNGV2WHExWEhkdW5XMUNvWUFIRDVpWW1JMFpjb1VKU1FrcUUrZlBrcFBUNWN4UmhkZGRGRzF4KzNjdWJOTStDNUpWMXh4aGRxMGFhTWVQWHJJV3F1OHZEeGRldW1sNnQyN2Q1WG4yYk5uajZaT25hcWlvaUpKVXV2V3JmWFlZNDlwL1BqeCt2Nzc3eVZKNzd6empqcDM3bHhsK0Y1UVVLRDE2OWVycUtoSWp1TWN4S3RRYTY2MWRwWXg1alpyN1pjK24yOThXbHJhZ21yNlIzdTkzczRlajZlVnBGNlNicGIwc3pHR3Avb0FvQWtpZkpmMDVwdHZhdW5TcFdYYTh2THlOR0hDaEZENG5wdWJxNFVMRjJyRWlCRjYrKzIzTlduU0pDVW5KK3VCQng0Z2VBY0FSRngwZFBUVmp1TmNZNHhaS0dtQk1lYmQxTlJVRml3QlVFWjhmUHc4bjgvWDBWcWJZb3g1TlMwdExUWFNOUUZvT0lxS2loUVZGYVdKRXlkS2tyWnQyNlllUFhvYzhMaTJiZHVxZS9mdW9lM3M3R3kxYXRWSzU1OS92aVFwR0F4Sys1L3kxdW1ubjE3bGVYYnMyS0dwVTZlV2FXdlJvb1VlZSt3eFJVZFhIbC9rNStjclB6OWY5OTEzbjFhdFdxWDE2OWNyR0F6cWtrc3VxYS93WFlGQVlKTFA1d3RLdWxWU2l1TTR5eVhkNXZmNzN5bmZ0emg0LzZaVVU1cWtjMU5UVTlmWFM3RUFnSHBGK0M1cDBxUkptalJwVW1oNzA2Wk5HalpzbUhyMi9QL3JvaVFrSk9pWlo1NVJWRlNVcGsrZnJnRURCdWp1dSs4bWVBY0FOQmpHbUtNa2paRTB4blhkTE1keEZsdHJVN0t5c3Baa1pHVGtSYm8rQUExR0QyUE1SRWtUSGNmSmtKUmlyVTBKQkFLZlNiS1JMZzVBWkN4YXRFano1czNUdmZmZXE4VEVSRW5Tb0VHRE5HalFJSDM5OWRlVlRzVXFTV2VjY1lhR0RCbWlJVU9HU0pKU1VsSTBlL1pzelpvMVM3MTY5WktLcDdTWk9uV3ErdlRwVTIwTlJ4NTVwS1pNbWFJVFRqaEJMNzMwa2xhdlhxM2JicnN0OUhOM2JtNnVYTmZWNTU5L3J2VDBkSzFhdFVxN2QrK1dNVWFiTjIvV0thZWNvcXV1dWtyMzNudXZZbU5qdy93S1ZjdE5TMHY3VjFKUzBndlIwZEdUSlEweHhpenorWHpQWjJabVhsbjYzMkZSVVZFN2k0cUtMakxHSENFcFVkS2x4cGhVeDNIKzZmZjdINnpQb2dFQWRZL3d2UkpMbHk3VjBVY2ZYV1pCbDZGRGgrclpaNS9WdEduVE5HTEVDRjEvL2ZYeWVEd1JyUk1BZ01wWWF5VXBRZEpsSG8vbnN0YXRXK2UwYWRQbUxXdHR5cjU5Kzk3WXNHSERMNUd1RVVCa0ZiOVBxRGo0dWNIajhkemc4L2wra0xUQVdwdmk5L3Mva0ZRVTJTb0IxS2QrL2ZycHFhZWUwcVdYWHFyLy9PYy9Hamh3WUdqZmUrKzlwOGNmZjF3eE1UR2hObXV0Z3NHZ1RqenhSTVhGeFlYYUJ3d1lvTmRlZTAxWFhubWxwa3lab2dFREJxaWdvRUJaV1ZuNjhNTVBhMVRMamgwN2ROUlJSK205OTk3VHhvMGJOWDM2ZEgzeXlTZTYvLzc3NWJxdU1qSXkxTDkvZi8zdGIzL1Q1czJidFhUcFVqMzY2S05semhHSkIrWFMwOU0zU0JyYXIxOC94K1B4ekRIR2pHemR1blV3SXlQamlwSStxYW1wK3lRdExObE9UazYrMTFyN25qRm1wdU00Ny9qOS9yWDFYamdBb000UXZwZFRVRkNnMTE5L1hXZWRkVmFaRmRrVEVoSTBZc1FJUGZQTU03cmdnZ3NhWGZBZVpkVFNjWndQYW5GSXhlWG9xK3RjMmZMMVlUeS90YlpPejM4d3h6U0JhNjcxYTFUWDE5d0FYNlBEOHBxck9xYWFsNEpyUHNqelYrVmdydGxhbTFCU2IrbTZpd08ybHRiYXZ4aGovdEs4ZVhQWGNad1ByTFhQRmhZV0xscXpaazFtTGNkQ0RUaU84MzRWZis4VjJxcDVuNm5RWHMyOVVlUDJPaHl2cXUralF6NUhGWFhVWnJ3NmY0M0xEVnZuci9IQmppZXBZL25qUzRKNGEyMUhZOHcxeHBockhNY3B0TlkrSituVmdvS0NaV3ZYcmkyb1lnd0FUY1J4eHgybnA1OStXamZjY0lQdXZmZGVuWFRTU1dyUm9rVm9mL3YyN2JWa3laTFE5dnZ2djY4YmI3eXh3bm5hdG0ycjJiTm5hOEtFQ2JycnJydVVuSndjV2xpMXZCMDdkdWlJSTQ0SXJhMVdZdmp3NGJyc3NzczBaODRjalJzM1RyZmVlcXZ1dlBOT3paZ3hRM2ZjY1ljdXVlUVNqUm8xU3BJMGQrN2NDdWN0S0Nnbzh3dUIrclp5NVVwL2NuTHlhZGJhTkdQTTVjbkp5Uk9yV29nMU5UVzEwT3YxUHVueGVINXZqUG1ESk1KM0FHaENDTi9MU1VsSlVXWm1wb1lQSDE1aDMvLzkzLy9wN2JmZjFxMjMzcXE1YytjMnhpbG5hdk14WW11TXFlM0hqc1BTdjlTVFdIVnkvdXB3elhVeUJ0ZGMwbmdZWG5PVm5hdDVNY0p4L29iNEd0WEROZmNyZnRxOVdzWFhhVnpYalMwcUtqcVlYMVNnNXNyOEhWWnpqMVhXSG1vcmQrdlUrQngxT0Y2bDUyMGc0eDJ3aGxMajFhYmVneDZ2MUxnSDlmclVvSVphaldlTU9WTlNzMHI2aC80MHhzZ1lFNVRVekhYZDJJS0NBdDRyRUFuZTRsOWtvcHpzUE51eXJzNTk1SkZINnBGSEh0RVBQL3hRSm5pdnJmajRlTTJZTVVNN2R1eFF5NWI3eTMzampUY3E5QnM0Y0tER2poMnJZY09HVlhxZUhqMTY2SmxubnBIcnVqcm1tR1AwcTEvOVNsRlJVUWNjZjkrK2ZXcldyTUpiWGIxS1RVM2Q0L1A1VmtqcVZsaFkyRVZTbFl0ZEcyT2lKTWwxWGJkZWl3UUExRG5DOTFMMjdObWpKNTk4VXVlZWU2NDZkT2hRWVg5OGZMd21UNTZzLy91Ly85TnR0OTJtNmRPbk41b240SXVzY3Z4K2Y5VXIyd0FBR2pXZnozZG5jUUJmSnN3c2ZybzFUOUt5b3FLaUJmbjUrWXZXcjEvL1V3UkxQU3p3LzF3MFZJN2p2RytNNlZBK216Zkd5RnE3MjFxNzJCaXpJRHM3KysxTm16YmxSNnhRSE80V1I3cUF3MWxzYkd4b3p2Y1NydXZXS1BRdUxUYzNWMGNkZFZSb094QUk2TnBycjFWS1NrcVo5Z09wN0dmenlwUXNGcnQ5KzNibDVPU29mZnYydGFyM1lQWHAwK2ZvNk9qb2N3S0J3SE9TZ2lYdGp1TzB0OWIrd1JoVGFLM2RxUDJMclhxenNyTFdsNTREUGprNXVibnJ1dGRLQ3JxdVcyR0JWZ0JBNDBiNFhzcVVLVk9VbjUrdk1XUEdWTm1uYjkrK0dqZHVuR2JObXFYSmt5ZnJqanZ1YURRQlBBQ2c2U3Q1YWxWU3RyWDJqYUtpb29XRmhZVnZybDI3TmlmU3RRRm9HRXFDOStMQWZYdngzTU1ML0g3L2g4enpqb2JBNy9mUGxEUXowblUwVklrOXZYWDZpWUNQUC81WWp6MzJtR2JObWhVS3lmUHk4bW85amN2OCtmTzFZTUVDTFZxMFNDcWVZcWFnb0VCdDJyUXAwKy9oaHgvVy8vNzN2ekp0Q3hZc0NEMHgvL0xMTDJ2TGxpMGFOMjVjaGVscFNudjMzWGMxYWRJa1dXdlZva1VMT1k1VHEzb1BWblIwZERPUHgvT1U0emozR21NK3N0YitJS205cEhPTU1Rblcyb21yVnEzNldaSThIcytGclZ1M3ZxcE5temF2U3RycUo5S3FtQUFBSUFCSlJFRlV1bTRIMTNXSEdtTTZTWnFRbnA3K1RiMFVEUUNvTjRUdnhSWXNXS0IzM25sSHQ5OSt1NDQrK3VocSsxNTIyV1hhdVhPbjVzMmJwNzE3OStvLy8vbFBZNXlDQmdEUXhGaHJkMGw2elhYZGhjelJES0FhR3lVdEtDb3FTbG01Y3VYeVNCY0RvR0g1L1BQUHRYWHJWaVVrL1AvWjdIYnQycVcyYmR2VzZqd3JWNjdVc2NjZUc5cmV2bjI3dW5idHF1am9zakhFYWFlZHB2NzkrNWRwS3gzMGYvREJCMXE3ZG0ybDg4dVhkdUtKSitybW0yOVdYRnlja3BPVDlkVlhYNmxQbno0MWZuTCtZR1ZsWmYzWXBrMmJmeGxqenBIMEoyTk1TMnR0cHFUUFhOZDlKQkFJaE9iYnNkWXVNTWIwbG5TZXRmWm9ZOHhlWTh3S1NWZW1wYVV0cVg0a0FFQmpSUGhlL0krTGUrNjVSd01HRE5CRkYxMVVvMk51dU9FR0ZSUVVhUDc4K2RxNmRhdW1UWnVtNDQ0N3JzNXJCUUNnTXRiYVIveCsvMlJKekJVS29FcDVlWGtqMXExYlYrVzh3K0hDMUV0QTQvWFpaNS9weEJOUFZHeHNiS2h0elpvMU91V1VVNm85YnNXS0ZmcmxsMTgwY09CQVNkS3FWYXZLcktYMjFWZGZ5WFZkdWE1YjV0UGpmZnIwMGZubm4xL3BPZlB5OHVUMyt6Vnc0TUFLb1gxNUNRa0pHang0Y0doN3pKZ3g2dGV2bnlaUG5seURxejU0R1JrWmVSa1pHZitXOU84RDlmWDcvU3NsRGEzVGdnQUFEY3BoUDErSzY3cWFNV09HVGpqaEJOMTk5OTBWOXVmazdQK1Vma3hNVEpsMlk0d21UcHlvOGVQSEt6OC8vNUFXb3dFQTRGRDUvZjVkQk84QURxUStnbmNBamRmMjdkdTFmZnQyL2U1M3Z3dTFyVml4b2tKYlpiNzY2aXRObXpaTjJoOUlLeXNyUzE2dlY1S1VuWjJ0bFN0WGFzdVdMWHIyMldkclhNK0tGU3RVVUZDZ0FRTUdWTm1uYjkrK3V1U1NTOHEwRlJVVmFjZU9IZXJTcFV1Tnh3SUFvQzRjOWsrK2V6d2V6Wm8xUzgyYU5RdXRodjdLSzYvbzU1OS9Wa3hNakw3ODhrdEpVdmZ1M1NzOWZ0U29VUm82ZENqVHpnQUFBQUFBR3JYMzNudFBra0pCZTFaV2x1NjY2eTcxN05uemdPRjdabWFtampubUdLbjQwK1hSMGRIcTI3ZXZKT25GRjE5VWRIUzBSbzhlclljZWVrZ3hNVEVhTVdMRUFldFpzbVNKb3FLaTlOdmYvamJVRmhNVG8zMzc5b1cySGNlcE1MLzc1czJiRlF3RzFiTm56MXBkUHdBQTRYYlloKytTMUxsejV6TGJtelp0MHZ6NTh5VkpiZHEwMGRpeFk1V1VsRlRsOFFUdkFBQUFBSURHYnRteVpVcE1URlRIamgyMVpjc1czWGpqamRxelo0OGVmUERCTWxQRlNBbzl2SmFTa3FLT0hUdnE0NDgvMW1tbm5TWVZoKzg5ZXZSUWZIeThObTNhcExsejUycklrQ0VhUFhxMGlvcUtkUC85OTJ2aHdvWEt6YzNWK3ZYcnRXelpNbGxyVlZoWXFQejhmTVhIeDJ2Z3dJSDY4TU1QNWZQNVFvdXZTdEt2ZnZVcnZmTEtLNHFOamEzMEUraUZoWVZhdkhpeFdyUm9vZVRrNURwL3pRQUFxQTdoZXlVbVRweW9pUk1uUnJvTUFBQUFBQURxUlhaMnRyWnMyYUtMTDc1WWhZV0ZtakJoZ3ZidTNhdlpzMmRYdXI2WjErdlZyMy85YTgyZVBWdVNkTnh4eDJuRWlCRXFMQ3hVYW1xcUxyNzRZa25TQ3krOG9DT1BQRkpYWEhHRlZEd1greC8rOEFlbHBLUW9QejlmUzVjdTFhSkZpOHFjZStqUW9lclNwWXRjMTlXcHA1NWFadCtFQ1JNMGRlcFV2ZlRTU3lvc0xLeFFsekZHblRwMTBvd1pNOVM4ZWZPd3ZrWUFBTlFXNFRzQUFBQUFBSWU1VnExYWFkbXlaY3JOelZWTVRJeisrOS8vS2lZbVJxMWJ0NjYwZjN4OHZPYk9uVnZwdnVlZmZ6NzA5ZGl4WXpWa3lCQWxKQ1NFMm5yMTZxWGJicnN0dEIwTUJ1WHhlR1NNa1RFbTFQN21tMjlXT1BleHh4NnJoeDkrK0tDdkV3Q0Era1Q0RGdBQUFBQUExTHg1ODlEVDRrY2RkZFJCbnljeE1USDA5VkZISFhYQWMwVkhWeDVObEE3c0FRQm9qRHcxNkFNQUFBQUFBQUFBQUdxQjhCMEFBQUFBQUFBQWdEQWpmQWNBQUFBQUFBQUFJTXlZOHgwQUFBQUEwS2o1Zkw2N3JiWGpEL0x3M1g2L1B6Ukp1Yy9udTlWYWUrdWhuZ2NBQUlEd0hRQUFBQURRcUZscjQ0d3hyclYyVEMwUEhXV01PYkZjVzZ3eEptaXR2YXBjK3pIR21Cblcyc21TMXBiZVlZeTVTTklaQjFjOUFBQm9xZ2pmQVFBQUFBQk5RWUhmNzMreE5nZjRmTDZUSlpVUDMyV3R6U3QvcnVUazVKN1cyaG5XMnZjQ2djQUhwZmM1anRQZEdFUDREZ0FBeW1ET2R3QUFBQUFBQUFBQXdvd24zd0VBQUFBQVRZclg2NzNHR0RPdGl0MDFtWnM5enV2MVhsaTZ3VnJiU2Z1bm1QbTkxK3ROS05lLzF5RVZEQUFBbXFSNkNkL1hydCtnU3k2L3NqNkdRaVhXcnQ4UTZSSUFBQUFBb041NFBKNVlTVVdTaHBWdXQ5WmVYRHcvKzRFY2FZeDVybHliMGY3dy9iYmljNWNXSSttWFF5NGNBQUEwS1hVZXZsdlp4ZG5aT2ZwaWVXcGRENFhxR0xzbzBpVUFBQUFBUUQwcVRFdExXMUs2d2V2MTlqSEdWSHVRdGRaSStzN3Y5eDlidXIxNHp2ZDFydXVlVThtYzc3ZEx1aTY4NVFNQWdNYXV6c1AzcmV0WHpwUTBzNjdIQVFBQUIyL3psZ3pkZE91a1NKZlJLR3pla2hIcEVnQUFkY2dZRTIydHpZdDBIUUFBb1BGanpuY0FBQTUzMWk3ZnRmdW54UGtMRmtlNmtzYkQydVdSTGdFQVVHZWFTOHFQZEJFQUFLRHhJM3dIQU9Bd2w3Rmg1UVJKRXlKZEJ3QUFZUmJqOC9uT0x0MWdyZTF4b0lPc3RhMGs5WEljSjZkY3U5SCsrZVRmY2h5SE9kOEIxSm11SnlTTnNoN1BYeU5kQjFBZGErMjdXemVzdkN2U2RUUjBoTzhBQUFBQWdLYW9sYlYyZnJtMkE0Ymt4cGhPMXRvdnJMWFR5N2RMZXRoYWU3ZTFkblc1ZlgrUmRGWTRpd2R3K0xJZWMwbkxsaTFPNjlPN1o2UkxBU3ExZVV1R2R1MytLVkVTNGZzQkVMNERBQUFBQUpxYWJkYmFGTC9mZjNIcFJxL1greGRKd3c5d2JDOUo4d09Cd01MU2pjVUxyc3BhKzBrbEM2NzJJWHdIRUU2L09yNmJYbmptZjVFdUE2alVUYmRPRXRPVzFnemhPd0FBQUFDZ1NVbExTMHVSbEZLK1BSQUl2Q0xwbGFxTzY5ZXYzNjhsZGJIV3B0WjVrUUFBb01ramZBY0FBQUFBTkFYUlBwL3Y1Rm9lMDZIMGhzZmpHV2F0ZFYzWGZhYzJKekhHUkVteXRSejdvSzFkdjBHWFhINWxmUTJIVXRhdTN4RHBFZ0FBalFqaE93QUFBQUNnS1RoUzB1Y0hjZHhQa3RTblQ1K2pqVEhYU1hvdFBUMTlaM1VIZE83Y3VWbjc5dTJ2dHRiKzR2RjRqTFYycEtSZEIxMTVMVmpaeGRuWk9mcGlPUS9uUjR5eGl5SmRBZ0NnY1NCOEJ3QUFBQUEwQlQvbDVlVWwxdWFBK1BqNHFaS0dTVkowZEhSSGE2MngxdjZuc3I1RlJVVkZIbzluajdVMnVIMzc5dHoyN2R0UDhIZzhSeFh2L3RrWWMzVTRMdUpBdHE1Zk9WUFN6UG9ZQ3dBQUhCckNkd0FBQUFCQW8rYjMrMitVZE9OQkhQcjM0djhVQ0FRQ1NVbEpTZW5wNmQ5VTFqRVFDSHd0S2FIVW1FZEw4dlR1M1R0NjdkcTFCWWRTUHdBQWFKbzhrUzRBQUFBQUFJQ0dvS3JndlJvdXdUc0FBS2dLNFRzQUFBQUFBQUFBQUdGRytBNEFBQUFBQUFBQVFKZ1J2Z01BQUFBQUFBQUFFR2FFN3dBQUFBQUFBQUFBaEJuaE93QUFBQUFBQUFBQVlVYjREZ0FBQUFBQUFBQkFtQkcrQXdBQUFBQUFBQUFRWm9UdkFBQUFBQUFBQUFDRUdlRTdBQUFBQUFBQUFBQmhSdmdPQUFBQUFBQUFBRUNZRWI0REFBQUFBQUFBQUJCbWhPOEFBQUFBQUFBQUFJUVo0VHNBQUFBQUFBQUFBR0ZHK0E0QUFBQUFBQUFBUUpnUnZnTUFBQUFBQUFBQUVHYUU3d0FBQUFBQUFBQUFoQm5oT3dBQUFBQUFBQUFBWVViNERnQUFBQUFBQUFCQW1CRytBd0FBQUFBQUFEaHNiTisrdlZiOXYvNzZhLzM4ODg5MVZnK2FydWhJRndBQUFBQUFBQUFBbGZuNjY2K1ZtWmw1VU1lMmE5ZE94eDkvZkptMmpJd01YWHp4eFhydHRkZGtyYTMwdUxadDI2cDU4K2FoN2V1dXUwNS8vZXRmTldUSWtJT3FBNGN2d25jQUFBQUFBQUFBRGRMamp6K3U5OTU3NzZDT1BlZWNjM1RYWFhlVmFWdStmTG02ZCsrdWp6NzZTRE5tektqMHVNbVRKMnZRb0VFSE5TWlFHdUU3QUFBQUFBQUFnQWFyZklpK1k4Y09QZjMwMHhvelpveGF0MjVkNlRFMzNYUlRwZTBmZi95eGZENmYvdlNuUDZsdjM3NTY4c2tubFpPVG8vSGp4NGY2SEgzMDBjckl5RkRuenAwVkhVMThpb1BIM1FNQUFBQUFBQUNnVVNnb0tOQk5OOTJrNzcvL1hvTUhEMVpPVGs2Wi9kSFIwZXJZc1dPbHgrN1pzMGZMbHkvWEJSZGNvSGJ0MnFsZHUzYmF1WE9uVGp2dE5QWHQyemZVYjhPR0RSb3hZb1FXTGx5b1k0ODl0czZ2Q1UwWDRUc0FBQUFBQUFDQUJxK29xRWlUSjAvV3VuWHJGQnNicXl1dXVLTE0vcnk4UEIxenpERmF2SGh4cGNjdlhicFV3V0JRaVltSm9mNmJOMi9XTmRkY28yQXdLRW55ZUR6MWNDVTRYQkMrQXdBQUFBQUFBR2pRY25Oek5XSENCSzFjdVZLdFdyWFN3dzgvckY2OWVvWDJQL1hVVTNyODhjZDE4ODAzVjNtT2wxOSt1Y3oyaWhVckZBd0d5MHc1TTNqd1lCWldSZGdRdmdNQUFBQUFBQUJvMEo1OTlsbHQyN1pOenp6empOYXZYNjlycjcxVzExOS92VTQ4OFVSTm16Wk42ZW5wZXZEQkI5Vy9mLzlLai8vODg4LzF6VGZmbEduNzVKTlA1UFA1ZFAzMTEwdVMvdjN2ZjZ0Rml4YjFjajA0UEJDK0F3QUFBQUFBQUdqUVJvOGVyVXN1dVVSSEhIR0VFaE1UbForZnJ6dnZ2Rk5SVVZGcTFhcVYvdnZmLzZwSGp4NVZIdi9ZWTQvcHBKTk8wcGRmZmlsSnlzL1AxN0pseTNUZGRkZXBkKy9la3FRZmYveFJYYnAwcWJkclF0TkgrQTRBQUFBQUFBQ2dRY3ZOemRYcTFhdTFZc1VLZmZycHAvcnV1KzkwL3ZubnExZXZYbnIzM1hjMWN1UklkZW5TUlQxNjlOQ3ZmLzNyTXNldVhidFdhOWV1MWR5NWMwUGgrOXR2dnkzWGRYWDY2YWRMa2pJeU1wU1RrMVBoV09CUUVMNERBQUFBQUFBQWFOQ3V2dnBxN2R5NVV5ZWZmTExPTys4OGRlM2FWVDE2OUZDN2R1MDBkT2hRL2ZUVFQvcnl5eSsxZlBseS9mVFRUMldPUGY3NDR6VjgrSEIxNjlaTmtsUllXS2dubm5oQ3c0WU4wOVZYWDYxVFRqbEZ6Wm8xVTBKQ2duNzFxMS9wNjYrL2p0QlZvcWtoZkFjQUFBQUFBQURRb00yZVBWdk5temVYSkQzLy9QTzY5ZFpibFpPVG81WXRXNnByMTY3cTJyV3Jicm5sRmcwYU5FaVNkTk5OTjRXT2pZdUwwM1hYWGFkZ01DaEordUdISDFSVVZLUlJvMGFwVDU4K3V2MzIyN1YzNzE1ZGRORkY4bmc4RWJwQ05FV0U3d0FBQUFBQUFBQWF0T2JObXlzWURDby9QMThqUjQ3VXlKRWp0WHYzYm0zWnNrVWJOMjVVWm1hbTR1TGlxancrS2lvcUZMNTM2ZEpGenozM25GcTBhS0UvL09FUHV1bW1tM1RublhmcUwzLzVTejFlRVE0SGhPOEFBQUFBQUFBQUdyd1BQdmhBRXlaTVVOdTJiZFdsU3hjZGUreXhTa3hNVkxkdTNYVEdHV2ZJV2l0alRJM08xYnAxYTZsNENwcTVjK2ZxMUZOUDFRa25uRkRIVjRERERlRTdBQUFBQUFBQWdBYnY5Ny8vdlo1NzdqbGxaR1JvNjlhdDJycDFxeFl0V3FSdDI3YkpkVjAxYjk1Y3p6NzdyQklURTJ0OHpnY2ZmRkRmZmZlZFpzNmNHV3JyMnJXclhuMzFWWFhzMkxHT3JnU0hDOEozQUFBQUFBQUFBQTFlZkh5OGV2WHFwVjY5ZXBWcHo4dkwwOGFORy9YTk45L1VLbmgvNmFXWE5HL2VQRTJhTkVtZE8zY090Y2ZHeHBZNVQxNWVucUtpb3NKMEZUaWNFTDREQUFBQUFBQUFhTERlZnZ0dHZmLysrelhxTzIzYU5FbFNRVUdCempycnJDcjd6Wmt6Ui8vOTczODFhdFFvWFhEQkJXWDJwYWVuYS83OCtXclJvb1YrK3VrblpXVmxxVU9IRG9kNEZUZ2NFYjREQUFBQUFBQUFhTEQ2OWV1bkVTTkcxT3FZWjU1NXB0cjlVVkZSR2pWcWxNYVBIMTloWDBKQ2dyNzc3anNWRlJVcE9qcGFJMGVPMUlrbm5sanJ1Z0hDZHdBQUFBQUFBQUFOMHZUcDB3L3F1Tk5QUDcxQ1cxeGNuRkpUVXlWSjNidDNyL0xZTGwyNjZNa25uenlvY1lIU1BKRXVBQUFBQUFBQUFBQ0Fwb2J3SFFBQUFBQUFBQUNBTUNOOEJ3QUFBQUFBQUFBZ3pBamZBUUFBQUFBQUFBQUlNOEozQUFBQUFBQUFBQURDalBBZEFBQUFBQUFBQUlBd0kzd0hBQUFBQUFBQUFDRE1DTjhCQUFBQUFBQUFBQWd6d25jQUFBQUFBQUFBQU1LTThCMEFBQUFBQUFBQWdEQWpmQWNBQUFBQUFBQUFJTXdJM3dFQUFBQUFBQUFBQ0RQQ2R3QUFBQUFBQUFBQXdvendIUUFBQUFBQUFBQ0FNQ044QndBQUFBQUFBQUFnekFqZkFRQUFBQUFBQUFBSU04SjNBQUFBQUFBQUFBRENqUEFkQUFBQUFBQUFBSUF3STN3SEFBQUFBQUFBQUNETUNOOEJBQUFBQUFBQUFBZ3p3bmNBQUFBQUFBQUFBTUtNOEIwQUFBQUFBQUFBZ0RBamZBY0FBQUFBQUFBQUlNd0kzd0VBQUFBQUFBQUFDRFBDZHdBQUFBQUFBQUFBd296d0hRQUFBQUFBQUFDQU1DTjhCd0FBQUFBQUFIQllDZ2FEdFQ3R1dsc250YURwSVh3SEFBQUFBQUFBY05oWnVuU3BMcjc0WW1Wblo5ZjRtRTJiTnVuTU04K1UzKyt2MDlyUU5FUkh1Z0FBQUFBQUFBQUFUVjh3R05TaVJZdTBiTmt5YmR5NFVUazVPVHJpaUNQVW9VTUhuWExLS2JyMDBrdDE1SkZIMWxzOXA1eHlpdTYvLzM3Tm5EbFQvL3JYdjJwMHpPdXZ2NjY5ZS9mcXVPT09VMzUrZm8yTzhYZzhpb21KT2NScTBSZ1J2Z01BQUFBQUFBQ29VMXUzYnRVTk45eWdqSXdNdFd2WFR2Mzc5MWZ6NXMyMWMrZE9mZlBOTjVvelo0NU9QZlZVOWUzYk4reGovL25QZjFaV1ZsYWwrd29MQy9YV1cyOXAyYkpsbGU2LytPS0xkY01OTjBpU2NuTno5ZHBycjZtZ29FQm5ubmxtamNjLzdyampsSktTY3BEVm96RWpmQWNBQUFBQUFBQlFaM2JzMktFcnI3eFMyZG5adXZubW16Vmt5QkJGUlVXRjlsdHJ0WHo1Y2gxMTFGRjFNbjV1YnE0R0R4NnNnUU1IVm1pUGo0K1hNU2JVbHBtWnFUWnQyb1MyMjdkdkgvcDYvdno1MnJ0M3J4NTY2Q0VsSkNUVWVQeTR1TGhEdmdZMFRvVHZBQUFBQUFBQUFPck0zWGZmcmN6TVRFMlpNa1ZublhWV2hmM0dHSjEwMGtsMVdrUG56cDNsT0k2bVRwMnFrMDQ2U2FlZGRwcnV2dnR1YmRteVJVOCsrYVFrNmMwMzM5UTk5OXlqY2VQR2FjaVFJV1ZDK2F5c0xEMzU1Sk82NktLTDFLbFRweG92dXBxUWtGQ3JvQjVOQytFN0FBQUFBQUFBZ0RxeFpjc1dmZnJwcC9yTmIzNVRhZkIrSUN0WHJ0U3R0OTZxU3krOVZKZGNjc2toMWJKOSszYTkvUExMK3VNZi95aEordWFiYjNUY2NjZUY5cDk5OXRuNi92dnZOVzNhTkczWnNrVVRKa3dJN1pzMWE1YUN3YURHamgycjg4NDdUM2w1ZVRVYWM4eVlNUm83ZHV3aDFZM0dpL0FkQUFBQUFBQUFRSjM0L1BQUEphbFdjNlNYdG5uelp2MzQ0NDlLVDA4LzVQQjk4ZUxGYXRldW5Ud2VqL3grdnpadjNxenUzYnZMNy9lSCtpUW5KK3VhYTY3Uk1jY2NJNy9mcnk1ZHVpZ3RMVTJMRnkvV2hBa1QxS1pORzczenpqczFmdktkaFZZUGI0VHZBQUFBQUFBQUFPckVkOTk5SnhVdk9scmE3dDI3OWZUVFQ1ZHA2OSsvdndZTUdGQ203YUtMTGxMWHJsM1ZvMGVQUTY1bDA2Wk55c25KMGJYWFhpdlhkVlZRVUtERml4ZHI4ZUxGVlI1enl5MjNhUFhxMVRyOTlOTjEvUEhINjhzdnY2enhlQjA3ZGxTWExsME91VzQwWG9UdkFJQW1Kems1T1NZMU5iVXcwbldFVzFKU1VvK0Nnb0xkNjlldi8wbVNFaE1UNDl1MmJkc3BOVFYxODZHY3QzZnYzckhObWpWcmxwcWF1aWRzeFFJQUFBQ0FwTUxDL1QrYWVUeWVNdTFaV1ZsNjRZVVh5clJGUlVWVkNOK05NWEljNTVCcUNBYURpb21KMFl3Wk0wSnRUei85dEY1KytXVzkvdnJyRldvcnIyZlBudXJRb1lPR0R4K3VyS3lzR28yWmw1ZW5TeSs5Vk5kZmYvMGgxWTdHamZBZEFOQ2tKQ1lteGx0cnYvVjZ2Yk1EZ2NEdEplMCtuMis5cElmVDB0SWVQdEE1SE1jWkphblE3L2VIL2lYbzlYcEhHbU9tK3YzK3ppVnQzYnQzajJ2VnF0VzkxdHJuL1g3L1Y2Vk80ZkY2dmVjRUFvRTNEakRPajhhWVNXbHBhWS9YNU5xaS9oOTc5eDBlUmRYOUFmeDdaamVWMEx0MERBSkpTSFltQ0FLaWxBQWlpaFRwV0Y3RUlFMjZBb3FJZ28waVJSUlE5SlVTUWVxTG9oUUJGYVM2TTVzRkVhVUZpRWhOQ0FUU2R1Zjgvc2p1L3JZbGhFZ3hjRC9QNCtQdWJYTm5tUTNoekoxekRZWXRvYUdoMHdETVJPN0dQWTh4OHhwWmxoLzBPbjUreDR3RE1KT1pIN1pZTEpjQUlEZzRlQkV6VndBUUIwQXZ5RGdGbVc1TVRFd2xTWktxQTZoQlJJbXFxdjUrazhZV0JFRVFCRUVRQktHSWNHNDJldmJzV1kveThQQndtTTFtQU1EKy9mdngvUFBQMzdJNVhMdDJEY1dLRmZNb1c3OStQYTVldllyZXZYdjc3Vk9uVGgyOC9mYmJydGZPUGdYMTFGTlAvYU01QzNjSEVYd1hCRUVRN2lvbFM1YnNDS0NjSkVtN3ZhcnFBaWhYa0RHSUtJcVpSOHV5M0krWkIxa3Nsc01BQW9nb3pOa21KaWJtQVVtU2xqTnpmUUFhQUZmd1c1Ymxka1QwcmFJb0M0aG9TRDZyOE1NQUJCYjJYQ1ZKNnNqTXB6Vk5NeGVrZlVSRVJDQ0FtVVMwVTlNMDEzSU51OTMrdGlSSnUyTmlZcG9tSmlidXlHK01tSmlZU0VtU1dnRW9CaUNVbWNNa1NTb0ZvRFF6bHdaUWpvZ3FNbk5aSWlKblAyYmVCYUJwWWM5VkVBUkJFQVJCRUlTaUtUbzZHZ0N3YytkT1BQNzQ0N2Y5K0ZldlhnVXpJelEwMUZXbWFScU9IeitPd01CQVBQamdnNGlLaW5MVjVlVGs0SU1QUGtCTVRNdy9PbTVBUUFDeXM3UC8wUmhDMFNlQzc0SWdDTUpkeFdBd0RBQndURlhWNzY3WDFtUXkxU0dpcVhhN2ZZalZhazEybHF1cStvcWlLTjh3ODBKSmt0b0JPT3pkVjVLa0JVUmtZT2JHbXFZbHV0ZHBtdmE5TE12OWlXaStydXYzeDhiR2RyWGI3WTJJcUllbWFmMExlaTZ4c2JIMW1EbEdWZFhsZnVwQ21mbHBBRjhBS05CT1A0R0JnVzhUVVNTQSsyVlo5bGplUVVTQmtpUnR5T054em1HYXBpMUU3dWZiRXNCc0FGY0FwQU80d3N5WEFWd2lvblBNL0RzelgzRDhkMTZTcERQTWZDWTdPL3RNUWM5YkVBUkJFQVJCRUlTN1IrUEdqVkd1WERsczNyd1p6enp6ekUzSjNYNGpUcDQ4Q1FDb1d0WDFFRFBtenAyTDFxMWJvMDZkT3ZqdXUrOHdlUEJnQkFjSEF3Q21UNStPWXNXS1llalFvZi9vdUNFaEljak16UHlIc3hlS09oRjhGd1JCRU80YXNpdzNCTkNLbVFkZUwzMUtnd1lOU2hQUnQwUlV5V2cwbGdHUUxNdnl4d0FxSUhlbE5vam9UMlp1S2N0eUN3QTFBSVRLc3J6U01RUUJPQUZnZ2pOZ3pjeGZPRlBOYUpxMlVKYmxOQUNUQUlSS2tsU1htWHNDeURQNEhoVVZWYzFnTURReEdvM2ZtczNtYTh3Y3g4eXZBL0FKdnR2dDl1NlNKQlZuNWt4WmxudjZHNCtaTDFzc2x1K1FtM2JuU1dZZURlQmJYZGM5Zm9za29pRUFIbmJNejBkR1JzWkY3ekpWVlV2azkva0tnaUFJZ2lBSWdpQWdkeEVReG93WmcxZGZmUlZEaHc3RmxDbFQ4T0NERDNxMHVYcjE2aTA3L3RHalJ4RVFFSUJxMWFvQkFEWnYzb3pFeEVRa0pDU2dSbzBhMkx4NU0xNTU1UlZNblRvVkNRa0pXTDE2TmViTW1ZT3dzTERyanAyZjh1WEw0L3o1OHdDQXI3LytHbGxaV1hqbW1XZHV5amtKUmNkdENiN1hxaGN6bEVGZGJzZXhoSDhQWXYyNzQzOVlwOTdwZVFpQ2NPOGdvb2tBYkttcHFmL05yMTFFUkVSZ1FFREFTZ0MxbVBseFRkT3NqdjdKekh6TjJZN1p0YUM4SXhIVmNiVHB5TXdKQUpMYzZvSGMxZkNYM2Q5cm1yWVN3Rm9BTmtWUlBOcUdoNGNIRVJFeDgrT080SDRUSXJvUHVZSDEwZ0N1SVIrU0pJMEFZQ2Vpd1Y2ZlFSQXpTd0F5SkVuNkE4QjMwZEhSalIxekJqTUhTNUpVeWIwUE00Y0JDUFF1ZDR4My9vOC8vcmlTMzF3RVFSQUVRUkFFUVJEeUV4Y1hoN0ZqeDJMcTFLbDQ2YVdYRUI0ZWpucjE2a0dTSkNRbko4TmlzUUNPUUwyM3ZYdjNZc1NJRVhqKytlZng0b3N2M3ZDeGYvbmxGMFJHUnNKb05PTHZ2Ly9HNU1tVDBhTkhEMWNlOTdsejU2SmZ2MzdvMHFVTFVsTlRNV3ZXTEhqLys2MHdxbGV2amsyYk5nRUEvdmpqRDZTbHBZbmcrejNvdGdUZkdlaGRxbVNKaCtyVnJYTTdEaWY4Qy94eCtBaFNMNldWQWlDQzc0SWczQlltazZrTmdDZVlPU3NwS1NuUFovc2lJaUxDZ29LQzFnSm9wZXY2OHhhTDVRZG5uYXFxNzdnMU5TaUs4aFF6djBwRUdjdzhIMEJmQUlzQmRDZWlPVGFiN1RQM2REVUFFQmtaV1NZd01IQWRnSW1hcG0wQllBTUFYZGVMRTFHQUxNdXpBVFFHWUFJUTZFZ0RzMFhYOVltT2ZPbnZYcnAwS2Q5bkV4VkZhUWNnbXBuM2FwclcyTDFPbHVVVkFNSTBUV3NQQVBYcTFTdHJOQm8zT25LdW53TFFoWm5udWZkeDVHZ3ZEbUNlOTdFQXJBZndtbmVoTE12cCtjMHhEeGMwVGF0WmlINkNJQWlDSUFpQ0lCUngzYnAxdzRNUFBvaUVoQVRzMmJNSG16WnRBak9qZlBueWlJdUxRNXMyYmRDaVJRdWZmdWZPblVObVppYVNrNVA5anB1ZjlQUjBiTisrSFVPR0RFRnFhaXFHRHgrT1NwVXFZY2lRSVFDQXJLd3NiTjI2RlRrNU9VaExTNE1rU2RpNWN5ZHExYXFGY3VVS3RHVllua3dtRXhZdlhveVRKMC9pOU9uVHR6M2RqdkR2Y052U3prUTNpTVNYbjM1OHV3NG4zR0h4UTBaZzg5WWY3L1EwQkVHNFJ6aFdrYzhxUU5OeVFVRkJXNGxJZG15aytxVjdaVVJFUkdCUVVOQkRSTlNabWJzNThwWlAxVFJ0bWNsa2VrYVNwSjZxcWc2TWpvNmVhelFhUnhvTWhrT3lMQ2NDMk1MTVptYiszV2cwbnRWMS9Rb1JiVlFVNVEwaW1xcnIraWxIZ0p1SktGTFg5YzBBM2lLaUZRQ21xcXI2RVhLRDZuMlptWk9Ta3JMeU93bG1udXpJODE3RFQzVmxJanJvZkhQbzBLR0xzaXkvZE9YS2xUVWxTcFNZRG1BYkVjVzdkOUIxZlNTQVJ5Vkplc3A3c0l5TURMODNBcGg1U0FFK2J3OUVKQkllQ29JZ0NJSWdDTUk5ckdiTm1oZy9mdndOOVhuaWlTY1FHUm5wa2JPOW9CWXVYQWdBYU5ldUhjYVBINDlMbHk1aDd0eTUyTGR2SDdadjM0NXQyN1loSnljSC9mcjFRL2Z1M2JGMTYxYk1uVHNYQ1FrSmlJMk5SYU5HalJBWEYxZW9ZemR0MmhTbFNwWENuRGx6Y09qUUlYVHUzUG1HeHhDS1BwSHpYUkNLcUpyMVl0NEFrZmpKL1cvQXZDSHBVT0s0T3oyTmUxbng0c1duT05MQ2JBTHdhRDVOQnhQUlpidmQzaUV4TVhHVGU0VXN5L2M1Z3RacHpMeE8xL1V1aVltSmUvME5ZclZhRHdEb0Z4RVI4WEp3Y0hBSFpuNWNrcVRlQUt4bXM3a0xnQ2RrV1o1SlJGT1kyY3JNSTVtNUlSSEZxNnJhMnUyWU9oRzV4bVhtSUVlQU9yOE5WT3NBVUFCTUlhTFhZMk5qcTV2TjVwT09PZ0lRQWVCLzdoMDBUVnVHM09BK0FEeXA2M3FTMTVnQkFJeCt5aEVVRkxUTVQ1NTZtOFZpeVRlMWp5QUlnaUFJZ2lBSXdzMVNxMWF0UXZXclZxMGErdlhyaDlLbFMyUGt5SkVJREF4RWNIQXdCZ3dZZ0JvMWFpQStQaDZQUGZZWWloY3ZEZ0I0L1BISEVSY1hoNTkvL2htYk4yL0cwcVZMRVJjWFY2aGpCd1lHWXV6WXNaZzhlVExxMTYvdmQxVy9jUGNUd1hkQktMcmFseTFUMnFTWVl1NzBQTzVwaWRiOU9IZmhJZ0NJNFBzZEVoVVZWUTNBQ0FCdjZib2VRRVRld1hlam9pZ2prUnZjVGdMUUlURXg4YUQzT0pxbW5ZNk5qYTF2TnB2L2RwWXBpdklLTTdmVk5DMHVPenM3SVNRa1pJMmpQQmJBeHF5c3JBZFVWVjN1dGlHcTVQaS9YZE8wb2JJc3I5QTA3V2RIbnpMZU9lSzlFVkZ4QU5mYmFlZ3dnQ2NrU2ZwQjEvVVJ1cTYzQS9BcGNqZVJqU0tpMGphYjdlZDgrcS9TTk0xalkxVlpsbDhIRUtkcFdrRitHd3h3cHRJUkJFRVFCRUVRQkVINE4rdlNwUXQwWFFjQVY0NTNBRmkvZmoyQ2c0UDk5Z2tNREVSY1hCemk0dUxBekhCZk1IV2oyclFQUDFOWkFBQWdBRWxFUVZScGd6WnQyaFM2djFEMGllQzdJQlJoa2ZYclljRkhIOTdwYWR6VFJJcWxPKy9BZ1FPbkZFVlpxS3JxRkpQSjlLWjdYVXhNVEV0SmtqNEVFSVBjNFBhWHFxcjZCTjZkZEYwbldaWWJ1aFdGQTdqUFdhYnJPbVJaaHE3clVaSWtsUTBNREpSbFdVNXpqTTJxcXByZHgzTUczZ3ZBQU1BT0lKYVovN3BlWTAzVHZrZHUwSHdkRWIzb0RMNGJqY1plQUM1YXJWWnpQdDI3K3NuWEhnREFtRThlOXpjMFRadUIzTThnV0pLa2RPUit2ZzhZRElaR0JUbEJ1OTIrTnpFeDhjK0N0QlVFUVJBRVFSQUVRYmhaSkVueUtjc3I4Tzd0bndUZUJRRWkrQzRJZ2lEY0RWUlY5Y2hoSGhVVlZURXdNREFCUUNzQUdvRFdBTFpjYnh3aTZndmdGYmVpVUNJS0FMREJxNTN6NzgrdmlZaVJ1NnJlQnFDU1d6T0RMTXRiaWVoZFZWVTkrbnVUWmRrS29EcUFNR2FlNG05cWlxSjBCbERhcTN3ZUVmMFVFeFBUbHBsL0FkQlAxL1dGZWExTVorYTlBSktKYUtWYldYa0FLM1JkNzJrd0dNNzQ2NmZyK2dYbmEwbVN5Z0JJQXdDRHdkQVd3QndBRi9NN1B3QmxEUWJEVUFBaStDNElnaUFJZ2lBSWdpRGNNMFR3L1NiNStlZWZVYmR1WFZTc1dORnYvZTdkdTFHc1dERTBhTkRndHMvTlhWWldGZ3dHQTR4RzhVY3ZGQTAybXcxMnV4MUJRVUYzZWlwQ0VYTGd3SUZ6aXFLYzFuWDllWXZGc2dnQU8vS2QrNUJsK1ZFQWoyVmtaRXhUVmZVREFCODQ2eFJGZVJQQUU2cXF1cStHaDZJb0R3SFlKVWxTWGJQWmZNSGZ1Q2FUcVRFUlBjTE02N3lEOTk2SWFLUmo4OVFUekh6Y1pESTlickZZTmdFb0FTQk1VWlJmbVRtS3ZKWmRhSnIyczZJb215UkptazlFM3pGem1LN3JjN3pIajQyTnJaNlRrMVBDYnJlckFGUUFybVVlQm9NaGxJaXFBQWkxMld4K2wzL291bDRjd0NYSDIrcGVxL1B0cXFxV3krLzhGRVVSYVdvRVFSQUVRUkFFUVJDRWU4NWRFWUU5Y3VRSTVzK2ZqMkhEaGhWcTkyRW5YZGM5SGtWaFpwdzRjUUkxYTlhOGJ0ODMzM3dUcjc3Nkt0cTFhd2NBT0gvK1BFNmNPSUdHRFhQak5hdFdyY0o5OTkzbkNyNXYzNzRkc2l3akxDek03M2pKeWNrNGVQQWdjbkp5MEtGRGgwS2RUMFpHQm9LRGcxMlB5TmhzTmpSdDJoVHg4ZkVZTUdCQW9jWVVoRnZ0MnJWckNBME5kYjJmUDM4K1B2LzhjNWpOK1dYUnlMVm56eDRvaW9LQWdJQWJQcTdkYm9mQllMamhmc0svRnF1cStreEJHaEpSWFFCakpVbGFIaDBkWGRsakVPWUtBSUtqbzZPajNNdDFYYTh0U1JKc05sdTk2T2hvWjFBYWtpUmxXU3lXdzQ1eDJ6bkdXSGU5T2FpcXV0SDVXcGJsWjRob1VXeHNiRGd6UDBsRXhaajVERFAzQkxETis3RkhJbnFSbVJNQkRBSXd5bXExSm51UHIrdjYrd2FENFVrLzV4N29TRGtEZzhHd0VVQU9NMmQ3dHpNYWpXc0FQT000SDRXSU5ucTNLU3lUeWZRK0VRVnJtamJzWm8wcENJSWdDSUlnQ0lJZ0NQOEdkMFh3L2R5NWM5aTZkU3ZpNCtNTDBOcS85UFIwOU9qUkEvSHg4WGpxcWFjQUFDdFdyTUQwNmRQeHpUZmZvRUtGQ2pjMDNxNWR1L0R1dSsvaXd3OC94RU1QUGVSUlo3RllNSHIwYUx6MjJtdm8yTEVqamg0OWlzMmJOeU01T1JuSnljazRmdnc0MHRQVEVSb2FpcGlZbUVJSDM5OSsrMjM4K2VlZldMRmloY2hSSmJpTUdqVUt1M2Z2OWx0WHUzWnRQUFBNTTFpMGFGR2UvV2ZPbklseTVYSVh1YTVkdXhZMlcrRVd0SGJ0MnRYbnVqeHg0Z1M2ZGV1R1NaTW1vWDM3OWpjMDNvVUxGekJxMUNqVXJGa1Q3NzMzSHFwV3JZcmZmLzhkaHc4ZlJtWm1Kakl5TW5EdDJqVmtaR1RnNnRXclNFbEpRV3BxS2xKVFU1R1Nrb0lISG5nQUN4Y3VMTlM1Q0VXYnJ1djNFNUVlRUJCUVZaS2taZjdhR0F3R255OE5NMStWSk1rN0hjMVJ0L3p5SFFBY2NnYmo4ekNkbWIzdkxOVms1bXhWVlUvSXNqd0JRTGltYWZPUUc1ajNHY0J1dDdjaUl1Y2RxeDZLb3F4VFZmV0lleHROMDNxNXY0K05qUTJ3MiszREFJd0hzSlNJaGdENGxKbWZKcUozTDErK1BQdklrU05aM3NlS2lZbVJpU2hjMS9YaCtaelRqVEJLa2pRRXdJS2JOSjRnQ0lJZ0NJSWdDTUp0WmJQWlJJWUpJVTkzeFpXUms1TURBSVZhN2VxMGFORWluRDE3RnBHUmthNnl4eDkvSEhQbXpNR2lSWXN3ZXZUb0d4cXZZOGVPT0hYcUZFYVBIbzNseTVlN3lwT1NrakJpeEFqMDZkTUhIVHQyQkJ3cjd2ZnUzWXRxMWFyaHZ2dnV3Lzc5KzdGOCtYTGNmLy85cnVCay8vNzk4ZnZ2ditkNXZDVkxscUJXclZxdTl5a3BLZGl5WlF0NjkrNHRBdStDaC9qNGVQejExMStvVWFNR3VuVHBBZ0NZTjI4ZXdzTENFQjhmajRNSEQrTFVxVk40L3ZublBmcGR1SEFCeTVZdFEzYjIveStLblRwMUtqSXpNd3MxajA2ZE92bjg1YlJpeFFvWURBWTBhZExraHNjclY2NGN2dmppQzR3ZVBScDkrdlRCMjIrL2paTW5UMkwyN05rSUNRbHgvWmVTa2dJQWFOaXdJV3JWcW9XWW1CaVVMbDBhbFNwVnV1NHhiZ1dUeWZTOEpFbGZBSmlscXFwUFFGTlJsQ0dPbk5vZnE2bzYyTHRlbHVWVlJOU0ZtUi9VTk8xWGs4bFVoNGhlSWFKV0FPNWo1ck1BZnRCMWZXSmlZdUoxTi9LOHkxMW01Z1lBQ0FBak53Z2R5c3p0QVJ4T1RFejhGb0RINDBpS290UUhNQURBNTZxcVd0M0t4K3U2L3BmZGJsKzNmLy8rVk84RG1VeW1PZ0JpQVV4MUs4NG1vcURZMk5nQXM5bWNnOXlnK0VUdnZrU2tBTmdQd0tacDJnOEFmdkIzTXRIUjBSVU1Cc05NSXVvRllJR3U2NHVJYURrekg1QmwrU01BTXpSTk8rM2VKenc4dkVTSkVpV2UwWFY5akNSSnAreDJlMnRtUG04MEdvZm91djZPSkVtZkEvaW9lUEhpbzJSWm5ndGdrYVpwSjV6OUpVbUtaK1lURm90bGc5ZGNDdlhZbWNsa2tnR0VNdk9hd3ZRWEJFRVFCRUVRQkVISWk4MW04NGhoM0FoSmtncTBLYXZOWnNPenp6NkxEaDA2b0UrZlBvVTZsbkIzSzNMQmQxVlZzVy9mUG8reTQ4ZVBBd0JXcmx5SjRzV0wrL1NwVzdjdVdyUm9rZWVZSjA2Y3dKSWxTL0RrazA4aVBEemNWUjRXRm9idTNidGo4ZUxGYU5ldW5VKys5ai8vL0JQcjF1Vm1FOGpJeU1DMzMzNkwvZnYzbzJQSGpuamdnUWN3YU5BZzFLcFZDMVdxVkhIMUtWV3FGUHIyN1l0Ky9mcTV5dXJVcVlQUFAvOGNjS1NqMmJoeEkrNjc3ejZQb0hsbVppWWlJeVBScVZNbm43bC85dGxuc052dEh1WC8vZTkvWWJQWlVLRkNCV3pmdmgxd0JQbWRmWnhsM3ZKTGhTUGNIZXJXcll2aXhZdWpVcVZLYU55NE1RQmcrZkxsS0ZXcUZCbzBhSUNEQnc4aUxDd00vL25QZnp6Ni9mSEhIMWkyekhOUjhDKy8vT0wzR0h2MjdNR2dRWU13Wjg0Y05HM2F0RUR6dW5qeEl0YXNXWU1ISG5nQSsvZnZkNVVuSitkbTBNanJtaTFUcG96cnBsbWRPbld3YU5FaVRKdzRFZVhMbDhjamp6eUN2bjM3ZXJRZk4yNGN6cDQ5aStuVHB4ZG9YcmRhZG5iMmhxQ2dJQ2FpMW5rMGNhWXVpZk5UUjBUMENJQ0xtcWFwam9LdVJQUXdnSFVBempzQ3dQMGtTWHFzUVlNR0Rmd0ZpdThoeTRub1JWbVdMd0s0aHR6UHRUU0FVRjNYWFRjMkdqUm9VTnBnTUR4RlJNOEJhT0ZJNmJJVmdCVUFhdGFzR1F5Z3BpUkpJeVZKK2t4UmxLM012SnlaVjFzc2xrdkkvWE53cmpUL3h1MzRWZ0JHWmw0dXkvSTI1MGF0N3BpNURqTS9CY0FuS084bVZKYmxWd0dNSlNLN3J1dDlMQlpMQW5LRDJWR1NKTDBQWURpQWwyVlovaVlsSldWSTZkS2wyMG1TMUI3QWt3RE1BRjVXVlhVZHZBTG5xcXJ1QnZDZ0xNczlBSXdnb3JjVVJURXo4MDgybSsxL1JQU2lydXY5QWJqL3BXTXdHbzJuQ3ZNSElrbFNNMlkrcjJtYS94OG1naUFJZ2lBSWdpRGNWZExUMDdGczJUSnMyYklGZi8zMUY3S3lzbEM2ZEdrMGE5WU1FeVpNdUtuSFdydDJMZDU5OTkxQzlTMVRwZ3cyYjk1ODNYWkdveEdQUGZZWVpzK2VqZWJObTZONjllcUZPcDV3OXlweXdmY0RCdzRnSVNIQm84eTU4djJiYjc3eGFYLzE2bFYwN3R3NXorQzczVzdIRzIrOGdkRFFVTHo4OHNzKzlmSHg4Zmp4eHg4eGJ0dzRKQ1Frb0VTSkVxNjZhOWV1NGRTcFU4ak16RVIyZGpZdVhyd0lTWkp3OGVKRk5Hdld6TlZ1eXBRcHlNN09oaVJKV0xseUpRQzRndTBUSjA1RTI3WnRDM1R1VmF0V3hlT1BQKzVScG1rYVB2dnNNNCt5TTJmT1lNV0tGUUNBYWRPbStZeXpjZU5HYk56b1AxM3Y0c1dMRVJFUlVhRDVDTUxOdEdEQkFtUm1adUxBZ1FNWVB0dzNvNFcvTWdCNCtPR0hNV3ZXTE5lZURTVkxsc1RNbVROdnc0eHZqb01IRDU2Ulpka0tJQ1lxS3FyaWdRTUh6anJySWlJaUFwbTVKUkdsRWRFRDBkSFJWZDN6ZVRkbzBDQUtRRGtBWHdQUWtmc3piWW5WYXAzcUhoeVZaWGs2RVkwTUNBam9EbUQrSFRqTmZ3VlZWUWZJc3J3R1FEZ1JHWkFiN001aTVsOHRGc3MrNUg1V2k0aW9Kek5uRTlGYVpuNVUwN1NmM2NkSlNrcktURXBLaWdjd1NGR1VPRWN1OWxsRTlJa3N5LzAxVFZzTUlKcVpVelJOMitsMi9OMktvcndDNEFVaWF1NVlnZStCaUs0eTg0SXJWNjU4NEYzbkp0QXh4K1ZFOUxyRlluRnQrT29JL2c5UUZHVW1NNzlLUk9lTEZTdDJVWktreDVuNUtJQW1tcVlsWHVlallrM1RsZ0ZZRmhNVEl4c01ocWNCVkNTaUxBQWJMQmJMbDE3dDdRRHFYV2ZNUTM0UHhOek1jYVBJN3E5ZUVBUkJFQVJCRUlTN3g5OS8vNDErL2ZyaDNMbHppSXFLUXR1MmJYSHQyalVjUDM0OHp3VjMvMVJJU0FqbXpKbmpkeTdIangvM3UyQnc2OWF0MkxEQjQyRmZyRjY5T3Q5RmZEYWJEYjE2OWNxemZ2MzY5U2hWcXRRTnoxOG8rb3BjOFAzWlo1L0ZzODgrNjFHV2tKQ0E2ZE9uWTh1V0xUNXBMTHAwNlpKdk9wcXBVNmZpd0lFRG1EWnRHa3FYTHUxVEh4UVVoTGZlZWd2OSsvZkhTeSs5aEk4Ly90ajFaVEdaVEpnMWF4WisrdWtuL1BycnIramR1emVlZU9JSjZMcU9MNy9NalUxY3Zud1pyNzMyR3V4Mk8reDJPNnBWcTRieDQ4ZTdObmF0VktrU1pzeVlnUjA3ZGdDT0ZmUUEwS2RQSDlmSzl6Rmp4dHpRWnpSNThtUVlEQWFzV3JVS1pjdVdkWlhiN1hhMGJ0MGF6ejMzbk0rcVppZjNqUzZGdTl1U0pVdXdaTWtTMTN2blhnZDNndFZxeGFwVnE5Q2pSdzhNSERqUW8yN2h3b1ZZdkhneGZ2enhSNzk5alVZam1CbkRoZzFEcFVxVk1HellNSVNGaFNFdExRMWJ0MjcxYVorY25JekxseTlqelJyZkxCZjE2dFZEL2ZyMWIrS1pGZGozQUdJQ0FnSmFBZmpLV1JnY0hQd3dnR0xNdklpSW5wVWtLUTdBZjUzMVJxT3hKWElEbUp1Y1pmNDIyMlRtN1VRMGtwbUwzWjdUdVhNc0ZzdnJBRjdQbzVvMVRmditPa09zMDNWOW82N3JhNjFXNjlYcnRMV3Bxcm9Cd0libzZPakJCb09oQjRBTnlMMHgrblJNVE13RDNrRmxWVlduZXFXaXVTR2FwamxYcWIrZFg4QmFWZFhmQWJqbmp1cWVWMXZITmVNM1AxbGlZcUlHUUhNcmVzTHJPQjhCK0tnQVUvZjcrNGFtYWQwSzBGY1FCRUVRQkVFUWhMdkF4eDkvakhQbnptSDgrUEhvMnJXclI5M2h3L2x0bFZWNEJvUEI3OTVaU1VsSldMVnFGUVlQOXNudWlqLy8vTk9uTENjbkIwYWowZTlpdi9UMGRJOHNFaWtwS1NoVHBveEhHNUZsNHQ1VjVJTHZBSERwMGlVa0ppYWlXYk5tTUJxTlNFdExRN0ZpeGZ4dWJwQ1RrNFBBd0VBY09YSUVaY3FVOGJqNHYvenlTNnhZc1FLOWUvZEd5NVl0OHp4ZVpHUWszbi8vZll3ZVBSb3Z2dmdpcGsrZjd2RVlpVFAxeHRTcFUzSHMyREc4L1BMTENBOFBSMHBLQ2w1Ly9YVjA2OVlOdi8vK095cFhyb3pUcDA5ajFxeFptREpsaWl1STM3SmxTOVNybDd0b2NOR2lSVGgzN2h5ZWUrNDVCQVlHQW9CSEx2ZnJXYjU4T1hidDJvVXhZOGFnWnMyYUhuWE9qVEdEZ29MOHB1Y1I3aTF0MjdaRjkrNjU4Ymk1YytmZXNYbGN1WElGRXlaTVFNV0tGVEZreUJDZkcwRE9tMmY1WGJPNnJxTmh3NGI0NUpOUHNHUEhEcnoxMWxzb1ZhcVUzeWMvY25KeW9PdTYzN29YWG5qaFRnWGZOd0FZQzZDMWUvQWR3R1BNckFPWUFlQlpTWkphdXdmZmlhZ0ZjbE4zWE85WnVJYU85anV2MCs2ZXAybmF5c0wwY3dUcVAzY3ZTMHhNOVAyTjdlWVJLOFVGUVJBRVFSQUVRU2hTRGgzS2ZTQzJRNGNPUG5WMTZ0UzVaY2RsWmxnc0ZvK3lVNmRPd1c2M1E5TTBqL0x5NWN2bk9ZNHprSitZbUlnMWE5WmczTGh4dUhMbEN0cTFhNGRQUHZrRWpSbzFndDF1eDlOUFA0MktGU3Rpd29RSkhxbW9oWHRUa1F5K3IxbXpCblBuenNXYU5XdFFyVm8xcEtTaytGMjFEa2Vnallqd3dnc3ZvSHYzN3E0N1dwOSsraW5telp1SDVzMmJZOFNJRWE3MisvYnR3OTY5ZTlHblR4K1B4MEVlZWVRUlRKa3lCUk1tVEVDdlhyMHdiTmd3ZE8vZUhUYWJEVC8rK0NNQ0F3UFJzMmRQTEYrK0hHRmhZV2pRb0FIZWVPTU5ORzNhRlAzNjljT1lNV05BUkhqMzNYY3hkdXhZZE8zYUZTKzk5Qkk2ZHV3SVdaWWh5ekl1WExpQVNaTW1BWTdBNkkydVFqOTc5aXhtekppQmh4OSsyQlZVRllTOFZLaFF3WFgzMXoyZDB1MDJaODRjbkRsekJ2UG16U3Ywa3hlU0pPRzU1NTVENDhhTjhjb3JyMkR1M0xuNDRvc3YvT2FrZCtaOGQ2WisramVRSkdrbk0xOTJCTi9kdFFPZ2FwcVdLTXZ5NzE1NTRRbkFJd0QrTUp2Tko5MDd4Y2JHbGdOUTBtNjNWeUtpSjRob05JQ3BqbnplZ2lBSWdpQUlnaUFJZ25EYlZheFlFY2VPSGNPK2ZmdlF2SG56QXZVWlAzNDhqaDA3aHZuejU2Tmt5WktGT201T1RnNkdEQm5pVVdhMzIvMldkKzNhOWJvQjgxV3JWdUhNbVRNSUNncUMxV29GQU5Tb1VRTndCT2huekppQmNlUEdvVWVQSHZqNjY2OXgzMzMzRldyZXd0Mmh5QVhmZFYzSHlwVXIwYnAxYTFTclZnMXczSzNLNjR1Ums1T0QwTkJRdEdyVkNtdlhyc1dBQVFQdzY2Ky91Z0x2NzcvL3Zpc0ZERFBqd3c4L3hGOS8vWVdlUFh2NmpOV21UUnRVcVZJRlk4YU1jVzN5dW1uVEp0U3VYUnQvL3ZrbmF0ZXVqUmt6WmtCVlZRd2FOQWd2dlBBQ0Jnd1lnS3RYcnlJZ0lBQkdveEVCQVFHWU5tMGFGaTVjaUduVHB1SGN1WE91R3dLclZxMXlyVTRmTjI0Y1huenhSVVJGUlJYNHM2bFlzU0lHRFJxRXJsMjd1czVKRVBKeTRjSUYxOGFtbHk5ZjlyalpsSmFXaGlsVHBuaTBUMHRMdXlYejZOdTNMNktpb3Z3K0JuYWo2dFdyaDRTRUJHUm1abnBzV1B4dlp6YWJjeFJGMlVwRW5SbzBhRkI3Ly83OXgySmpZeXN6Y3pRUnZZUGNWZXViQUF5VFpUbEMwN1NEc2l4SEF5akx6QW5lNCttNlBvMklublA4SE1nQjhHWm1abWFoVTUwSWdpQUlnaUFJZ2lBSXdqL1Z0MjlmN05xMUM2KysraW9HREJpQVhyMTZ1YkkrNU1Wc051UENoUXRJU1VrcGRQQTlNRERRWjNIZW1qVnJNR2ZPSEwvcGFwY3ZYNTduV05ldVhjT1dMVnZRcDA4ZmFKcUdYMzc1QllHQmdUaDkralJPbno3dGFqZGl4QWpzM0xrVFo4K2VSV3BxS2lJakl3czFkNkhvSzNMQjl4OSsrQUZuenB6eFNCbHg3Tmd4dEc3dHZXQTBWMVpXRmdJQ0F0QytmWHVzVzdjT08zYnNRSXNXTGZEQkJ4L2cwVWNmOVVoVnMzNzlldnp4eHg4WVAzNjhSNjUwZHhFUkVWaTZkQ25Dd3NMQXpGaTBhQkY2OWVybHlnZWxLQXJxMTYrUHVuWHJvbm56NWtoUFQwZVhMbDB3Y09CQWRPN2NHY2dOb3FGLy8vNW8yN1l0S2xldURBREl6TXpFeXBVcjBheFpNL3p5eXk4SUNRbkJ3SUVETVh2MjdCc0tTajczM0hPd1dxMCtlYlBkZmY3NTUxaTBhSkZQK1VNUFBaVHY1aEhDM1dYRGhnMGVHNGk0cDFMU2RSMFhMMTcwYUorZW5uNUw1bEc5ZW5WVXIxNGR3NGNQeDc1OSszenFuVGVrM0RjeGRyZGd3UUtQdjhUQ3dzSThjcWtkT1hMRW8vMlZLMWVRbVpucFUxNnpaazIvcWF0dW8rOEJkRElZREswQkhMUGI3ZTBrU1hMbGM5ZDFmYk1rU2NNQXhBRTR5TXd0aU1nWmxQZGd0OXRuR3d5R2I1aTVvaVJKVFpqNWphQ2dvS2RqWTJNZk41dk5mOStSc3hNRVFSQUVRUkFFUVJEdWFRODk5QkNtVFp1R3laTW5ZL2JzMlZpMmJCbjY5KytQVHAwNndXQXcrTzN6NVpkZjR2TGx5emVVa3ZsV2NpN0dYYnAwS1pZdVhZcXNyQ3hJa3VTemd0NXA1Y3FWcUZDaGd0OTk1NFI3UTVFS3Z0dHNObGNPSldkZTVwTW5UK0xpeFl0bzBLQ0IzejVaV1ZrSURBeEV3NFlOVWJac1dYenp6VGRvMGFLRlQ3QStQVDBkczJmUFJvTUdEZENsU3hkWCtWOS8vWVdLRlN0NkJPV2NLNFRYcjErUE0yZk9vRzNidHBnMWE1YXIvdW1ubndZQXZQZmVlOGpLeWtKcWFpcm16WnVIeno3N3pHZCtqUm8xd3NTSkV6Ri8vbnd3TXpwMjdJaGZmdmtGcjcvK09sNS8vWFVNR1RJRUNRaytDMXZ6VmFWS0ZZd2VQZHFubkpreFpjb1VOR25TQkk4KytxaFBmYVZLbFc3b09FTFIxcWRQSDd6ODhzdUExNmErRVJFUkdEaHdJSjU1NWhtUDloY3VYTUR5NWN0djJYNEIzYnAxODN0ZC92ampqOWl4WTRmZmF4cUF6K05ibjMvK09hNWV2ZXE2QWRXalJ3Ky8vYnpMdi9ubW16djZLQmdSYldCbU9QSzZmeXBKMG1QTW5DNUowazdrQnQ5L0pLSnNSL0I5TmhHMUJKQ1RtWm5wc3hPdDFXcFZBYWlPdHgvTHNweEFSTi9wdWo0ZFFPL2JmbktDajlqWTJJQ01qSXl5SVNFaEY4MW1jODZkbm84Z0NJSWdDSUlnQ01MdDBMSmxTOFRHeHVLTEw3N0ExMTkvalhmZWVRZXJWNi9HMUtsVC9mNmJ2RktsU2pjdFhyVmt5Uko4OHNrbmdGdmFHZmVGZnR1MmJjdHpKYjdOWmtOQVFBQWlJeU5kcStpenM3UFJwazBiREI4KzNMWGdWaEM4RmFuZ3U5bHN4c21USnpGMjdGaFgyWGZmZlFkSmt0Q29VU09mOXM2TkZZT0RneUZKRW5yMTZvWHM3R3kvWTgrZE94ZHBhV21ZTzNldUsxMUZlbm82ZXZmdWpjNmRPMlA0OE9FK2ZZZ0lmZnYyUlVoSWlFZTVNMi83N3QyNzhkVlhYMkhxMUttdW5OcmJ0bTNEdDk5K2kvZmZmeDlHb3hFbFM1YkU0Y09Ic1hUcFVnd2VQQmhCUVVHQUk0ZjFlKys5aDdWcjE3cnlSaFZVMmJKbC9YN3BiVFlicGt5Wmd2cjE2NHNmQ2dLSXlIVlRpWWh3K2ZKbGJOMjZGYTFhdFVKRVJBUm16cHlKYnQyNm9VcVZLdGkyYlJ1T0h6L3VkeGZ3bXlXdmxlMm5UNS9HamgwN0Nuek5idHEwQ1JrWkdSZzZkS2hyMWZ5cnI3NktWcTFhK1czLzIyKy9ZZVRJa2Y5ZzVqZUgyV3crS2N2eTd3QmFBVEFBaUNPaUg1MkJXYXZWZWxXVzVWMUU5R2hzYkd5QXJ1dk5tWG5Yd1lNSHIvdElncVpwMzh1eWZNSVJzTC9ubUV5bVVwSWtwUUlZcXFycVI5ZHJIeHNiZTcvTlpxdGNtR01aamNhalpyUDU3NWlZbUNxU0pLMGhvb0dxcXBxOTIrbTYzalE0T1BoSG04M1dITUNPL01aVUZLVXpnR2RVVmUyU1h6dFpsamNEU0dMbXJ5VkphcXVxNnFzQWRLODJuekx6WG92Rjhta2V4K29Cb0tlcXFuNi9jTElzM3dmZzNaeWNuRmNPSERod05yLzUvQk95TEtjVDBVaFZWUmZjcW1NSWdpQUlnaUFJZ25CbmxDaFJBc09HRFVPZlBuMHdiZG8wYk42OEdZTUhEOGJ5NWN1dm00Ym1uOGpKeVVHbFNwWHc1cHR2ZXBRZlBud1lVNlpNQVRQbjJmZnExYXNvVnF5WVI5blBQLytNOVBSMExGbXlKTTlVTmVQR2pVTk1UTXhOT2dPaEtDcFN3ZmZHalJ0anpabzFydlFZcWFtcCtPcXJyOUM4ZVhPVUsxZk9wMzFHUmdZQXVBTGEvL25QZi95T3UyL2ZQbno5OWRjWU5teVl4KzdLWVdGaGVPR0ZGekJyMWl3MGJOZ1FEei84c0VlL3ZJSjVEUnMyeE5teloxMEJ2MmJObWlFb0tBZ1hMMTdFK1BIajhaLy8vQWNQUGZTUXEvMmJiNzZKR2pWcW9FK2ZQdGkxYTVlclBEZzQyRy91ZVVHNEdjNmRPNGVWSzFjaU1URVJack1aNmVucCtPMjMzOUNxVlN2ODczLy93K0xGaTlHcVZTdFVxVklGaHc4ZnhvSUZDOUM0Y2VOL2RaNnk4K2ZQNC9EaHczaisrZWM5eXNQQ3d2eitqTUFkM216V2orK0phS1NpS004NjhybDdwSlFob3MwQUhtWG1ma1JVQm9CUHlwbDhHSmhaTDBDN2U1NnU2Mk1NQnNPQXd2Umw1cUVBUGtwTVREd3J5ektZZVZXREJnM2svZnYzcDNvMU5UcmFGMlRWZXhWbWJscUFkZ1Fna0puVG1Qa0ZXWmJyMnUzMlhsYXI5U3B5QSt2aHpQeUNKRWsvT0RzNGd1M2wzY1o0aEptYktJcmk4Y3lrM1c3L016RXhjWlBkYnE5bU5CbzdCQVFFUENiTGNoOU4wMzR3bVV5RGlPaURBc3dQelB5RXhXTHhlVnJENTBTSWlnRzRkYjkxQzRJZ0NJSWdDSUp3eDVVclZ3N3Z2dnN1ZEYzSGxpMWJzRzNiTnJScjErNldIak1rSk1RbmU0Wno0VjUrMHRQVEVSb2E2bEcyY3VWS2hJU0VJQ01qQS9IeDhSNTEyN2R2eDlhdFcxRytmSGtJOTdZaUZYeUhXMTVxbTgyR2NlUEdJU01qSTgvVnVKY3VYUUlBbnp0VDdpNWN1SURYWDM4ZER6NzRvRSthRFRnMmcvajU1NS94eGh0dllObXlaYWhRb1lLckxqZzRPTTl4UzVRb2djR0RCMlBGaWhWbzE2NGQycmR2RDFWVlVidDJiWi9qdEc3ZEdwMDdkNzV1dnVtc3JDeGN1SERCbyt6eTVjdjU5aEVFYjJQR2pJSFZhb1hOWnNQZXZYc2h5ekxLbENtRFJvMGFZY3FVS2NqTXpNVDgrZlBScmwwN1JFZEhBNDY5Qkw3OTlsdE1uandaUzVZc3lUTVgyNTMyMDA4L0FRRGk0dUx1OUZRS2haazNFTkZJWm42UmlHQzMyejJDNjNhN2ZiUEJZSmdNWUlEenZmY1lpcUk4cEtycWJ2Y3lrOG5VbTRpcU12UEMyM0FhZHd0clNrcEtZKy9DMHFWTER5S2lQMU5TVW43d1UzZkJiYU5mbTY3cmZRMEdnMlkwR3I4QTBNbTlyYTdyQm9QQkFFbVNzbTdpbkxNQlVHSmk0bDVGVVZvdzh4dVhMMSsydXgxemtDUkpsd0dja0dXNVlVNU96bGtBRFpuWlBYbmkvVVFVeXN3dDNBYzJHQXhHQUp1c1Z1dWUyTmpZeHN6OEhSRnRNSmxNanhEUmo4enNQOEdoRjRQQjhNZE5QRjlCRUFSQkVBUkJFSW80SWtLalJvMndaY3NXL1AzM3JkK2l6R2F6NGV4Wno0ZDRuZkhEL0p3OGVSSlZxMVoxdmQrM2J4LzI3ZHVIeno3N0RLTkhqMFpXVmhZNmR1d0lBUGo3NzcveHpqdnZZTkNnUVhjMHZhM3c3MURrZ3U5d3JHZ2ZPM1lzOXUzYmg3Rmp4K0wrKysvMzIyNzM3dHo0VTE2Yk1wdytmUnFqUjQ5R2VubzZCZ3dZZ0dQSGppRXJLd3RaV1ZuSXlNaEFSa1lHcmwyN2hxaW9LR2lhaGpmZmZOTWpMVTErUWtKQzBLVkxGN1J1M1JwVHBrekIxMTkvRFFDb1hiczIxcTVkaS9idDI3dnVtRFZ2M3J4QTUrMjlRYVkzWGRkeDllclZQT3Z0OXR3WVRGWldGcTVjdVpKbnUyTEZpa0dTcEFMTlNTZzBLVG82dXB6VmFqMTN1dytzS0FxYU5Ha0NXWlpkMzQyUkkwZWllUEhpQ0F3TXhQVHAwNUdlbnU3S0J3L0gweU9qUm8zQ3lKRWpzWHIxYW5UcjFnMTc5dXh4WFZQZS92Z2pONzcyKysrLzV6dVhwazJiSWpNekV6azVlUy8rZGRibGQ4MEdCQVFnT0RnWTY5ZXZ4MzMzM2VmYUU2S29TVTlQLzdsRWlSTFhpS2dKTTUrd1dxMGVnY3JFeE1SZlpWbE9JU0tabVZNU0V4Ti85UjZEbVhmS3NyeVZpTFl6c3gzQWd3Q2VCSEFzS3l2cjlkdDZRZ1VreTNKNVRkTlNBUGkvb0FySVpESjFrQ1RKM3c5OFoyNndSeFJGOGR0WFZkVzVBRnpQR0RJekp5VWxaWHEzSzEyNmREOW0vallwS2VsYlAzVWU3eE1URS85VUZHVWtFZFdQalkwTllPYlZ6TndTdWI5Z0dwQ2JZbXluTE1zK1R5UVFrVWxWMVNQZTVRQVFFeFBUM1dBdytLU2dZZVlZQURtS29peHpqR0VyWGJyMHdxU2twRDR4TVRGVmlDZ2VBREh6RDhoTmtUTlhWZFV4SnBPcGxDTzREbDNYWDJEbS9wSWt2ZVFjTnlNakk5TTl2WkhaYkQ1YXIxNjlwaUVoSWVNc0ZzdHVSMnFiZzM0LzJIOG0ycnRBbHVXaFJGUmRWZFV4L3JzSWdpQUlnaUFJZ3ZCdnRVREFlbEFBQUNBQVNVUkJWR3paTWp6eHhCTUlDd3R6bGVtNmpoOS96SDA0TnEvNDNzMTArUEJoUFA3NDR6ZmM3K2pSbzNqcXFhY0FSNXhpeG93WmlJdUxneXpMR0QxNk5DWlBub3p5NWN1alZxMWFHRFJvRUJSRlFlL2VZc3Mxb1FnRzM0OGVQWXJYWG5zTmh3OGZ4dkRodzlHdFd6ZFgrY0tGQzFHcVZDa0VCd2NqTFMwTjMzNzdMZXJYcis5YUxlOXQrUERoT0hyMEtBQ2dmLy8rUHZXU0pDRTBOQlRGaWhWRDFhcFZzV2ZQSHF4WXNRTGR1M2ZQYzM2cHFhbllzMmNQamg0OWlzVEVSRmdzRmxTdVhCa1RKMDVFczJiTnNHclZLbnp5eVNlWU5Xc1dPblRvZ0w1OSs2SktsU29GT3ZlV0xWdmlwWmRlOGlqNzQ0OC84TVliYndBQWpoMDdsdWZta3U2Ky9QSkxmUG5sbDNuV3IxcTFDalZyMWl6UW5JVENDUThQRHpBYWphZGxXZjRGd0txY25KdzFCdzRjT0hVN2p0MnJWNjg4NjZ4V0s3NzY2aXVNSERuU1owT1RSeDk5RkUyYk5zVzhlZlBRcmwwN2pCdzVFcG1aUHJGSkR4OS8vSEcrOVdhekdSTW1UTURXclZ1dk8rOFdMVnJrV2RlMmJWc01HalFJVnFzVnp6NzdyRS85VzIrOWhTbFRwdmp0bTE5T3Q5dnR5SkVqV1lxaWJBUFFBWURQcW5aSGtITXJnS2VKYUl0M1BtK0hjUUI2TXZOd0FLRUFUaERSdEp5Y25IY1BIanpvbmZyazMrSlpSVkhHTWZQL2lHak41Y3VYTng4NWN1U0dWNFJMa2pRUVFHdG05bGpHUUVRU2N2K3NXd1B3M2lDa3VDT0Z6endBUHM4YUtvb3loWm1IdVJXRkVORURzaXk3Vm5vVFVYdFZWYmY3bTVPcXF2T2RyMlZaL3BpWi8rZDQyNUNJQnVpNi9nWUExeklMU1pJZUJCQnZ0OXN6b3FPamEwbVNGT01JUWdlWlRLWk9SSlRLek5ITTNJNklObm9kTGp1dlZDMlNKRTBGa0tTcXFzbjdQQjByMXlNZE4ydUEzRitBa3gxMXh1RGc0R1VBK3JyM09YVG8wRVVBL25kQkxnQ1R5ZFFDUUxoM09SSHQxRFR0SUhML3ZIcEZSRVNNZEFiK1pWbnVDV0FXZ0YrcVZxMGFrcHljbkZIWTR3dUNJQWlDSUFpQ2NQc3RYcndZYytiTWdhSW9xRnExS2pJek0yRTJtL0hYWDMraGFkT21QdW1lQVdEdzRNRTRkdXdZbGl4WmdySmx5LzZqNDFlcVZBbFBQZlVVUm93WTRWRisvUGh4ekpreko4K0ZxRWxKU1RoOStyUXJPOERzMmJOeDZ0UXB6Snc1RXdEUXZuMTduRDE3RnNPSEQwZXBVcVZRdjM1OWZQREJCMkpocXdBVXRlQzczVzdIcUZHamNQbnlaVXlmUHQwakdGZThlSEg4OE1NUHJwVzRScU1SMGRIUm1EQmhRcDRyMVY5KytXVm9tb2JxMWF1alZLbFNLRkdpaE91L3NMQXdqNDFVbVJrdnZQQUNGaTVjaUU2ZE91VzVBWVRCWU1EczJiTlJ1WEpsbUV3bURCdzRFQ2FUeVRXSCtQaDRQUC84OC9qdXUrL3c5ZGRmRnloWTdsU2lSQW1FaDN2R0t0eFhBMWVwVXVXNndjNkN1Rm03U0F2WFpTQ2lSd0E4RWhBUU1GT1c1WDNNdkVxU3BOVjVyWGk5MVM1Y3VJQ21UWnZtdWRmQW1ERmpNR0hDQktTbHBXSDkrdlUzNVpqeDhmRjQrdW1uLzlFWVpjdVd4YlZyMTlDaVJRdTBiZHZXcDc1YnQyN0lhOFh6OGVQSE1YZnUzSDkwL0p0SlZkVW44cXZYTkszYmRlcmZCL0QrVFovWXJWZVdpUG9CNkZlaVJJbkxzaXl2QjdEYWJyZC83OHhaWGhETS9JdW1hUjU1aDV3YnJoTFJSTzhOVngyNXplZmtOWjZ1NjU4eTgvZk85NUlrTFFLd1U5ZjFlYzR5bzlHNHZ5QnowelROTlk3SlpDSWlRbnA2K29JalI0NWNkaXZQa1NRcDNtZzBwak56RDJhZXdjd0JBQUtJYUFrUnFjejhNNEFUcXFwNmZGRVZSWm5QekxXOHk2T2lvcW9SVVM5ZDEvOWpNcGxjejBsZXVIRGhyRnNBZTRTbWFUNmIwY3F5UEkrSXdnQWdJaUlpTENnbzZCc0FIMm1hdGdxNXEvQWJFWkhQQ3ZYODJHeTJiNGlvTHdDUGVUcnl2QTl4cnFJbm9yREF3TUFYQU15S2lZbnBUa1NMbVBrbm04MzJoQWk4QzRJZ0NJSWdDRUxSODlKTEwySERoZzA0ZE9nUWR1L2VqWkNRRU5TdVhSdDkrdlJCMTY1ZC9jYnZUcDQ4aVlzWEwrTHExYXYvT1BqZXZuMTd0Ry9mM3FjOE9qb2FuMzc2YVo3OXZ2LytlNVF1WFJxeHNiRllzV0lGRWhJUzhOWmJiNkZpeFlxQVl6WDlvVU9IWUxmYmtaYVdoa3VYTG1IbnpwMTQ1SkZIQ3BROVE3aTdGYW5ndThGZ3dIdnZ2WWR5NWNyNWJKNVlvVUlGN04yN0YzRGtiNUlrNmJwM21CNSsrR0cvZDlYOElTSk1talFKZ1lHQmZnUHY3aXQzdi92dXUzekhDZ3dNUktkT25kQ3BVeWVmdXViTm04TnNOdnVVTDFteXhPOVlzaXg3dEcvYzJDZEZzZkF2NXJicW1nQTBJcUpHQU41WEZNWEt6S3ZzZHZ0cXE5VjY0RmJQWThhTUdhN1hlVzBrRE1lZUMvazlOVkVZN3BzYy8xUFRwMC8zZUc4MEd2MStuOXkxYk5rUy9mcjF1Mmx6RUFyUDdmdFFnb2g2QWVobE5CcXZLWXF5RWNCcUl2ckdiRGFuM2M0NVdTeVdKQUJKenZleUxGOWo1dVRFeE1RZGVmV0pqWTJ0cnV1NmV4cVc2WnFtVFhSdlEwUzFtUG1xZStEZFVSNkszS2RDcmdKWUFHQ0JvaWhEbVBsMVRkTXFJVGRBUHptUFExOG1vdUxPTjRxaXhCTFI3MmF6K1pUSlpPb2pTZEpTOThZVktsUm9uNXljN014bE5sRlJsT0YreGl3UDRCdkg2ekFBZ1VTMFVwYmxsZG5aMlFNTUJzTlRiazhHaEJBUk0zTytqOFFFQkFUOHBtbGFmd0N1Ujg2aW82T2pqRWJqZm1aVzNacGVJS0pYRkVXeE0vTXNBT3ZPbnovZld3VGVCVUVRQkVFUUJLRm9ldkxKSi9Ia2swL2VVSitsUzVmaTJyVnJoVjRvbXA2ZWptYk5tdDFRSDV2TmhoSWxTZ0FBVWxKU2tKQ1FnS2VmZmhwV3F4WHZ2ZmNlbm52dU9VUkdSbUxKa2lYWXZuMDdmdjMxVnpSdTNCaExseTVGeVpJbE1YZnVYSXdhTlFxVksxZkdRdzg5aEVhTkdpRXVMazRFNHU5UlJTcjREZ0QxNnRXN2JwdnJiVnhhV05XcVZic2w0OTZ0RE9BUVJWRzJPdEluNndDWWlIU3Yxd3hBZHdSc1hPVUE4cXp6YXVkZDUreWo2N3JPUktRVEVldTZyaE9SKzNnMlIzOFhadGFaMmU0Y042OHhIT1d1MXdDODY1eDlYSy85dEhIdFdPcit3NWVablFISWFDS0tOaHFOazJSWlBneGdGWUJWbXFiNTVQZ1c3cnc4cm5WMlhzZHUxNnJyR25TN3h2MWR5OTdmaCt2VjVUbXUrelhvK0k3WXZhOTlCNXQzVzhkN3YrTzQxN2xmMzk3ZlNjZDN4Ky8zZ0lqWWJyY3pFVVU1SitIOWZYQ2t6dWxNUkoxMVhjK1daWGtMTTY4bW92OXBtbmIrVnYyWkVwSHV5SzJlNFAzSHpjd1JpcUo0cEZ4aFp2ZmtoQmNBUE85NC9UR0FJRC9qeHdJNDVGM096TVdJS05OZkNod25TWktJbVJ2SXN1ekt3MDVFVXdHa01uTVpBS2hhdFdvSU0vL0F6Tk1CVExaWUxBazFhOVpjWGFaTW1UMEF2a2hKU1ptWGxKU1U3VGJzWEFBK2QzbVorUzNubjhuQmd3ZlBBSGhVbHVXM0Fid2FHQmo0dDZxcUx3TjREYmszSnM0eDgxZWFwZzN6SHVkNkpFbnFDZUNVcG1udW13WFBCVEFLd0J3aW1xbXE2cWc4VWkwSmdpQUlnaUFJZ25DWGNtYW9LS3pnNEdCTW1qVHBodnJzM0xrVDI3Zm5aaFlOREF4RTNicDEwYTlmUHhRdlhoeFRwMDVGcTFhdE1HdldMS3hidHc1eGNYRVlQSGl3S3lVTkFMejk5dHZvMzc4L05tN2NpRTJiTmtHU0pMUnAwNmJRNXlBVWJVVXUrQzRVTGN4c29OeklqZVJZM1MxUmJ2UlFZbWIzMStUSXkweU9jcDg2WmlhdlBsSStZNU1rU1pMN2ErZll1WEVxQ3ZDZUt4SDUzSVYwZjNvaXI5Y0ZiV2N3R0h6Szg3dnJ5Y3pPT1ZYVWRUMVkxM1h4ZmYwWGMxN3JlVnpUNU9lYTlybXUzYTVsbnpwblg2ODZmK002MzFQdXBTYTUrdVYxN1RzVjlMcSszdnY4dmtmdTN3UG5lK2UxZnAzUEY0NVYxeFdaT2RCdXQ5L0tKUU1HWnJicnVyNVprcVNIOHBtUFMxWlcxdDlCUWJreGRyUFpmQTNBU3VRR3BLZDU5NjFidDI1eEFJL291djZKZHgwUmxXRG15OTdsN25SZE4wcVNkRkRYOWFHT1BoOHhzNEdaVHhOUmVRQW9YNzU4THlJS1ptWlh6dm1rcEtUTTBxVkxNeEhadkRlVGRheGU5OTM4QkNnRllLM2JlNXVtYWVOTUp0TkdYZGYzT1FzVlJRa0hVRjdYOVQzNXpkMmY4UER3SUNKNkRzQXk5MDF2SFRjeFpnSjQxV2F6TFJTQmQwRVFCRUVRQkVFUWJrVFhybDNSdVhObm4zK0hYazljM1A5bk1nMExDOE9DQlF0Yy82NTFaZ3NZTW1RSUJnOGVuT2NDNEJvMWFpQStQaDd4OGZIL3FyM21oTnRQQlBPRVc4WU95dEEwN2RFN1BZOGJZSXlJaUpDeXM3TXBNek5US2xPbWpHU3oyU2c3TzFzcVdiSWtaV2RuUzdxdVUzQndzS1RyT3VYazVFaDJ1MTBLRGc0bXU5MHU2YnBPQVFFQkVqT1QzVzZYQWdNRG5lVVNNNVBSYUpSMFhTZGQxeVdqMFJnRVlKKy9IOEJFQkdiKzA3RXhvNWFUay9QYmdRTUhySGZrRXhFS3BBaGU2OTZrMk5oWVEwWkdCbDI3ZGsyeTJXemt2UDd0ZGp1RmhZVkpkcnZkZWMxVHNXTEZLQ2NuUjlKMW5aemZBZWZyb0tBZzEvZEIxM1VwTURDUW5LL2R2d2ZPMTQ2YkNNOFIwUWk0QmJXZE44T1lPUXZBVmwzWGZ5Q2lROW5aMmJ0LysrMjNsSHpPcFpXaUtINVhqVFB6TEVWUlpucVZrWi9BZndDQW5QMzc5NmNDK0RVbUpxWlJYaHVaR2d5R004NDlHbVJaTHRDSEhSb2EraDhBd1k0bldyeVZBcEJ2YWgxSFVQMnN4V0w1RWJtQjczUm10a21TZEFaQTZicDE2eFlub2pITXZFVFR0UE5WcTFZTktWKyt2RFBmZkRnekQ1TmwrV2tBdXpSTkcrY28vNUNaRi9rNWx0K2RpcDNIZG1MbUpvN1BzWWFpS0gzOTlkRjFQY1Zpc2Zqa1pTdGV2SGc4Z0FyWjJkbXp2ZXNrU1hwWDEvVWVScVB4cTZwVnF6WVNLV2NFUVJBRVFSQUVRU2dvSXJyaHdMcy8vdEphMzhpNEl0M012VTBFMzRzZ3U5ME9JaEs3SnQ5OHRvTUgvejlOYzNKeThpMDdVRVJFUkdCd2NERHcvOEYySmlMTnNjSGsyc1RFeE45dTJjRUZ3WmR1TnBzOVZoWGZ5dXZmbXl6THJvTTV2Zy9wekx5Qm1kZWtwNmQvNjUwWC9Ub1NBWXh6TDNDa2NsbEpSUFBjOHBjN2ovY2tnRUZlWlNITTdOcmtWWktrZFFCS0E4anhhaGZNelAvTlk4VzRYL1hxMVNzTDRIVUFxc1ZpK2NWUGs3SUFMdVV6aE5FUm9FOTFPejhEZ0d3QUp3Q2dXTEZpYndHNFg5ZjFwOXo2bFhMTTJjRE1JWTczeGJ5T1c5UFA4WW9EOFBuOEZVVjVqWm0zYXBxMnl6RUhHY0JWSW5vdGoxVWRJVVMwQTRCSDhEMHlNcktNSTIzTm9nTUhEcHp5N21RMm02OUZSMGMvWXpRYWY2bFFvVUpDY25KeVY3RUNYaEFFUVJBRVFSQUVRU2dxN3RuZ2UycHFLazZmUG8zSXlNZ2I3dXUrTXZObXVuVHBFdHEwYVlQUFAvOGNEUm8weUxQZHdJRURVYlZxVlR6NTVKTTRjdVFJdW5YcmRsUG5JZHg2MmRuWkZCd2NiQ2VpblFEV01QTWFUZE9TQ3REMVgrK1RUejVCVUZEUVA5ckVWTmQxbjV0THFhbXBJQ0tVS2xYcUpzeFMrSmNoWms0QjhJMnU2MnN1WGJxMDBUc3R5ZzI0cUtycUJ2Y0NrOGxVeXZIeituZnZPa2U2RkEvTVhJYUlVdDNMaUdpVXFxb2ZlZlhkNE4wM1ArSGg0VUVoSVNITEFaUzEyKzFkL0RTUkFEUUNzTSs5a0ptREFJUXBpdkl0Z0ZCSFRuMzNHM1FoUkpScHM5bU9HZ3dHQmpDTW1XY21KaWIraWR3YktSbkp5Y2ttNU43b3NCRFJaOTduUWtSUEFJajFuaEFSM1E5Z2kzdFoxYXBWUXh3M0VCUUFYWkc3RW40a2dKRjVuYnNzeTNzQm5QTXVEd29LbWdjZ3hHYXo1Wm1FMFdxMTdwRmwrVlVpbWliTDhxZWFwcjBvQXZDQ0lBaUNJQWlDSUFoQ1VYRFBCdC8vKzkvL1l0bXlaUmc2ZENqNjl1MkxuSndjL1BEREQ4akl5UEQ0NzlxMWEwaExTME5LU2dwU1UxT1JtcHFLUzVjdVljNmNPV2pjdURHU2twSUtIV1FNQ1FuQit2WHJQY3AwL2ZyeEJQZWc1THg1ODZDcUtpWlBubnhUSHFVUmJvOGpSNDVrUjBWRlZUbHc0TURaT3oyWG0yMzM3dDBvWDc3OFB4cmpzODgrdzQ0ZE96Qi8vbnlFaElUQWJyZWpaOCtlYU5teUpjYU9IWHZUNWlyOE8waVM5S1haYko2VjN5YWp0eE1SMVdibXRRVm9XbUN5TE44SElJR0lIbVhtc1ltSmlUdVFHOEJmb090NnFpUkpHY3pjaklqQ21ma05BSWlKaWVrdVNkSkVJb3JnWEJXSWFDR0F0NGpJZlg0bEFXUllyZGFyc2l5ZkJCQnFNQmdteGNiR0J1VGs1RlMxV3EzSC9jMHBOamEySkRPWForWkFBSXVKeU8rR3E0N0FmM2htWnViSmd3Y1BacGNyVjY2bEkyM08vMjdnSXloSFJIdmRDMHdtVTM4QTNYUmRmOUZxdGViN3FJV21hZE5OSmxNVlNaSkd5TEpjNHZ6NTg4K0tGRFNDSUFpQ0lBaUNJTnhNTnBzdHp4enVnbEJZOSt3VjlmTExMOE5vTk9MRER6L0VyNy8raW5mZWVRZnZ2ZmNlYkRZYmdvT0RFUklTQW9QQmdPVGtaRVJHUnFKS2xTcW9XYk1tU3BZc2lkS2xTNk55NWNxQTQ0dVpscGFHRGgwNklEemNad0ZsdmdJQzh0ejNNRi9PNExzc3kxaTBhQkUyYjk0c0F1OUZEOStOZ1hjQXlNbkpLZlMxRFFCcGFXbFl1blFwbWpScGdwQ1FFTUNSUysycHA1N0M0c1dMMGI5L2Y1UXJWKzRtemxpNDA4eG04NFU3UFFjbms4bFVCMEJ0WmphN2x6UHpkRm1XMy9OcUhnemd2M21OSmN0eWVRQWxpQ2dJUUE4QXpaaDVsS1pwTTl6R2pTR2lTR1lPSUtLTHpQeWVwbW5Ma0hzVG9Cd1JYUUV3d202M3I3UmFyY215TExjbW9ncTZycWVZVEtibmlDaWNpS29DT0NqTDhrdEVWQU9BYWphYjA2S2pvMnNaRElhamlxSkVxcXI2dS92Y29xS2lxakZ6VDJhZTZKakhhQUNqOHpvWFpyWVlESVltQVBaTGt0UUJnRDBqSTJOOVh1MjlFQkZWWW1iWHl2ZVltSmkya2lSOXdzei9zMWdzbnhWa0VJdkZNa3FXNVdBaUdsaWhRb1c2WmN1V2ZkcTV1bDhRQkVFUUJFRVFCT0dmc05sc2VQYlpaOUdoUXdmMDZkUG5INDNWckZrempCbzFDbDI2K0h2Z1dialgzTFBCZDRQQmdLRkRoK0tCQng3QTd0MjdFUm9haXA5KytzbWpUVkpTRXJwMjdZckJnd2VqY2VQRytZNzN5Q09QSUM0dURydDI3WUlzeTNEbTgvYjIrZWVmbzJUSmt1amF0ZXQxNTlpblR4OGtKZmxtSXNuT3pnWVJZZVBHamE2eVpjdVdZY09HRzhxQUlBai8ySUlGQzN4MjdUNTM3aHgwWGNmOCtmUDk5dW5UcHcvQ3dzTHlISFBtekpuSXpNekU0TUdEUGNwNzl1eUo1Y3VYWS9Ma3laZzVjMmFlL1lWN0d4R1ZrV1U1enIyTW1ZczUvbC9YVDExZHJ4Uml6ekZ6dHNGZ1dPL1ZiaTR6ci9ZK25zRmdPT1AyMXFnN0hsK0tqWTJ0ck92NkZpSUtBZkFTZ082NnJrZFlMSmJEN3YwMVRjdnpMeGVMeGZJSmdJKzlpb2N5OHo1SmtpNENXQVBnS29CWkFNb1QwVWNBZGdCNFdKYmw5Z0N1RVJIcHV2NjNXLzlBWm80TENBaVl4TXc5TkUwTFEyNHd2SkhCWUdpdnF1b2s1SzdJandiUU9TY25aN1pqNDFrNHppdUFtYnNEK1BuUW9VTVg4NXE3TzBWUkZBQWh6SHpVVVNSSmt2UWhnRVM3M2U3elcyMTRlSGdKeDh0c3J5cldORzJRb2lqSG1mbEZvOUY0cFNESEZ3UkJFQVJCRUFUaDlsdTNiaDBtVFpxRVhyMTZZZlJvMzNVK3k1Y3Z4d2NmZklCdTNicjVmY0o5OU9qUjJMWnRHeFl2WG95SWlJaGJQbCtqMFlqSEhuc01zMmZQUnZQbXpWRzlldlZDajVXWm1ZbWNuSndDdEJUdUJmZHM4TjJaVTdwZHUzWm8xNjdkVFJuejRzV0xlT1dWVjFDN2RtMTgrT0dIS0ZPbWpFZjk3dDI3OGZISEg2TjE2OVlld2ZlY25Cejg5ZGRmdUhJbE40N3c5OTkvbzNqeDRoZ3hZZ1RzZHJ2UGNUNzk5Rk1FQkFUZytlZWZkNVdKeDJLRU8ySFpzbVUrMTJoNmVqclMwOU9Sa0pEZ1VXNnoyWkNabVltdVhidm1HWHpmdm4wNzFxMWJod0VEQnFCYXRXb2VkV1hLbE1Hb1VhTXdhZElrSkNRa29IZnYzcmZnaklTN2dFeEVtOTBMbk1GMUlob0NZRWhlSFNNaUlpb1IwWEFBSzgxbWM1cGIxWElpV20reFdIWjRIRWlXbndGUXgyUXlOU0tpeGtRVXhNeEpKcE9wbEs3clB3TW9hYlBaSGpRYWpTOERXRWRFV3hSRldRL2dCRE5uNkxwdWx5VEp6c3gySWpJU1ViQ3U2eUdPalZ5RDdYYjdTdmZBdDZJb25RRThCYUNucXFvYkFZUTY1akVXd0FvQWl6Vk42eWZMOHM5RTlCVXpId1p3eW1LeFhFSnU0THdlTTRjRHFNUE1relJOMnhZVEV4TnBNQmdtQStnRVlHMTBkSFF4cTlWNlZkZjEya1FVYnpRYVI4dXlQRGM3Ty91RDMzNzdMY1Z1dDNlUUpLa2NBSjhiRVk2NTlBVFFCTUFsSXNyU2RiMGtnSjdNbkoyZG5lM01IYS9iYkxZbm1mbnFnUU1IcmpyNkRRUlFIa0EyRWJWQjdnMlAvZjZPb2FycTFLcFZxMzRrMHM0SWdpQUlnaUFJd3I5WDA2Wk5BUUI3OSs3MVc3OXIxeTRBd0o0OWUzenFtQm1hcHFGa3laS29WNi9lVFozWDZ0V3JNWDM2OUR6cmJUWWJldlhxbFdmOSt2WHJ4VjUwd2cyNUp5TzJxcXBpMHFSSkdEdDJMSm8wYVlML2ErL093Nk1xMGoyTy82bzdJUW1Fc0FRRk1UTkVRSEdpSk9rT0xvRGk0SUs3S0hwVkdGR0c4U0lYQkZFWWxFVkZXVlFjTWJpd0NJNmlMS0xJSXFDQ00raVZRUVl3M1FrZ0F5WkVkbGtqUzRCczNYWC9TTkkzSVFrUVNNS1M3K2Q1Zko2Y09sVjEzbk1lMnNEYmRkNVN3WWQ5eDQ0ZHhmcnQyNWUvcUcvWnNtVWx6a25TZmZmZFYrdzRNakpTNDhhTlU5KytmZlhvbzQvcTNYZmZWWk1tVFNSSk8zZnUxTkNoUTNYSkpaZm94UmRmTERadXg0NGR4VjVwR1Rac21Jd3htanAxcWk2NTVKSVMxNTAvZjc1eWMzTlB1Qm9mcUd4TGxpd3AwWGJERFRmb3dRY2ZMTEZ5ZmRHaVJSbzhlSENaSldrMmJkcWtGMTU0UVpkZmZubVoreWpjYzg4OVdycDBxY2FNR2FPd3NMQVNuMEZBMHJjWkdSbDNuR3puK3ZYcjk1VDBwdkwzNGNqeisvMmJjbk56aXkyNzhIcTlUNVV4L0FGSjl6Z2NEbGxyTTYyMVU1S1RrNytXWk4xdTkxNi8zOTlsOWVyVmF5WDFjTHZkWDBqNnM3WDJHV05NUTJOTWNHRzVzS0lyN3d2TGlobGowcE9Uazk4dmVqRnI3WFdTdnZaNnZUTUwyMkppWW1wSXVsSFNDSy9YTzB5U3pjM052VDg0T1BqRGd2cnl6eGIyOWZ2OSt5U2xXR3Y3SlNjbkwzTzVYQTlJbWlscG5hVGJDaEw2VXY2cSs3blIwZEZmMTYxYjkwbUh3ekcwUm8wYVhhT2pvNXM1SEk0cnJMVit2OTgvcDZ4bmFvenBWZmozQzJPTWxiUkIwcC9XclZzWGVFdGd6Wm8xNmNjTWF5bXBwekhHV0d0M0dXT0dlYjNlNVdWZGc4UTdBQUFBY0hacjBLQ0JMcjMwVXFXbXBtcmZ2bjJLakl3TW5Ndk56ZFdxVmFzVUhoNnVMVnUyYU5ldVhXcllzR0hnZkZwYW12YnYzNjliYnJtbDJMNkhGU0UzTjFkQlFVR2x2bEdmbVpsWmJMRmdSa1pHaVlXMXgzdVR2NmpVMU5RU2JaOTg4b2wyN3R5cGZ2MzZuVkxzT0RkVnkrUjcvZnIxRlJFUm9TZWZmRkwzM1hlZit2ZnZyN2x6NStyNzc3OHZ0ZjlubjMxVzZvZTl0TVJmeTVZdE5YbnlaUFhxMVV2ZHUzZFhZbUtpbWpadHFxZWVla3ArdjE5anhveFJ6Wm8xaTQxcDBxU0psaTFicHYzNzkrdW1tMjdTeElrVDFiSmxTODJkTzFlUFBQSklzYjVUcDA1VmFHaW9EaDQ4S0VuS3pzNVd0MjdkTkhqd1lMVnMyZkkwbnd4UWZzdVhMMWVUSmszVXVIRmorWHcrWldabWx2b3RjT0VyVjNsNWVWcXpaazJ4UDY5NzkrNVZuejU5NUhBNDlOcHJyeDMzVFk0UkkwYW9UNTgrR2pGaWhINzc3VGQxNjlhdHduOFo0OXprOFhqdUt1K1lUWnMySlVwS1ZFSHQrZWpvNkZhYk5tM0tPcG14WHErM1k4R1BSbEt4K2tzWkdSbnRpODdqOFhnV1NGcFFwSXN6SVNIQnNXL2ZQbWRFUklRek9EallIajE2TkcvZHVuVStTU1ZmZWNxLzNvQ1dMVnNXKzNDdFc3Y3VSOUt0UmE5ZnNKL0U3YVdNM3lQcHFzTGpRNGNPemE5ZHUvYWZQQjdQcDVKSzdQWmRFUC9mWEM3WEZHdHQvS1pObTdJMmJkbzAwdVZ5VFUxSlNkbGVSb3lmU1BwRWtpTW1KaVpvM2JwMWVhWE5YY3E0WHBKNm5hZ2ZBQUFBZ0hOSDI3WnRsWnFhcWxXclZ1bTIyMjRMdENjbkp5c3JLMHQzM25tbkZpNWNxQlVyVnVpZWUrNEpuUC94eHg4bFNkZGVlMjJseE9WME91Vnl1WlNTa3FJNWMrWm8wS0JCT25Ub2tHNjk5VmFOSHo5ZVYxOTl0WHcrbng1NDRBRTFiTmhRenovL3ZDNisrT0ppOFczZHVyWEV2SEZ4Y1dyYXRLa2s2ZXV2djlZenp6d1R5QUV1V3JSSXI3Lyt1dUxqNDVXVmxWVm11V3FjZjZwbDhqMDZPbG9mZlBDQjNubm5IVTJkT2xYdDI3ZlhLNis4VXFKZlljMzN4TVRFY3EweWI5YXNtVDc0NEFQOXovLzhqM3IyN0tubXpadHJ5NVl0R2o5K2ZJbFNHc2VUbDVlbit2WHI2ODAzMzFSdWJxNGVlZVFSK1h3K2hZZUhhK1BHL05LNTMzNzdyVFp2M2x5dWVZR0trcFdWcFVHREJxbGR1M1o2K2VXWDlkdHYrUlV5NnRXclY2SnZZZko5M3J4NWV2Lzk5N1ZvMFNLRmg0ZHIrL2J0NnRXcmwzYnYzcTBKRXlZb0tpb3FNR2IwNk5HNi92cnJBMitvU0ZKSVNJZ1NFeFBWdDI5ZnZmdnV1L3JoaHgvMDhzc3ZxM0hqeGxWeXp6aS9uV3ppL1JqMjJJYVRtTWVYbEpUa2sxU2VRb0MyYUJtYTQxMy9aS1NscFdVWEpNcVBxeUJwLzAyUjQ4MG5NYjIvNElzQkFBQUFBTlZVbXpadDlPR0hIMnJseXBYRmt1OC8vUENEakRGNjVKRkh0SERoUXExYXRhcFk4ajBwS1VrcUkvaytlUEJncGFlbmErTEVpYXBUcDg1cHhmZjU1NTlyNTg2ZENna0owZXJWcTZXQ0JiSXFTTkNQR1ROR2d3WU4wa01QUGFSUFAvMDBrSGY0OHNzdmkrM0RxSUw4eUxQUFBodEl2aDg5ZWxSejU4NVZseTVkdEhqeFlyM3d3Z3RLU0VqUTJMRmpTYnhYTTlWMnVXaFFVSkQ2OWV1bldiTm1xVzNidGhVK2YrUEdqVFZwMGlRcGZ4V2lPblhxcFBqNCtITFBFeHdjck9iTm13Yyt2SkpVcDA0ZEhUaVFYNDU0N3R5NXV1T09PNmczaFRQaTY2Ky8xcUZEaC9UWVk0OUpVdUNiMzZMZkNCZkt6YzJWTVVaMzNIR0hzckt5dEdCQi9pTGdvVU9IYXUvZXZVcE1USlRMNVFyMC8vYmJielZ6NXN6QUw5MmlhdGFzcVFrVEpxaHo1ODVLUzBzcmRXOEVBQUFBQUFCdzVzVEZ4YWxXclZvbDZyNHZYNzVjbDE5K3VTNjc3REpGUjBjWE8yK3RsY2ZqVVpNbVRkU29VYU1TY3lZbEpTazFOVlVaR1JtbkZkdVJJMGYwejMvK1UvSHg4Zko2dlZxMmJKbHExS2loSFR0MnlPdjF5dXYxYXYvKy9YcjY2YWQxLy8zM2E5ZXVYZnJwcDU4a1NTKzg4SUtXTFZzVytHL0tsQ21TVkt3K2ZkMjZkVFZseWhUTm5EbFRnd2NQMW5YWFhhZTMzbnBMWVdGaHB4VTN6ajNWY3VWN1VkSFIwWUdmTXpJeWluMTRDK3U4NzlpeFEybHBhWUgyaUlnSVhYamhoY2VkTnpzN1c2TkdqVkpXVnBZdXZ2aGl6Wnc1VTgyYU5WT25UcDFPTytiSXlFanQyN2RQYTlhczBhcFZxL1RYdi83MXRPY0V5c3Z2OTJ2YXRHbTYvdnJyMWF4Wk0wbFNlbnArR2VmQ2I0cUx5czdPVm5Cd3NCbzFhcVQ0K0hqTm16ZFBEei84c0Y1NTVSWHQzcjFic2JHeGdiNTVlWGw2KysyMzFiaHhZejMrK09PbFhqOG9LRWdEQmd4UXQyN2QxS0JCZzBxN1R3QUFBQUFBVUg1QlFVRzY2cXFyOU4xMzMybmJ0bTJLaW9yUzNyMTdsWnFhR3RqcnJYWHIxcG94WTRiUzA5UFZ0R2xUcGFhbTZzQ0JBOFZXeWhjMVpjb1VIVHg0c05ROUVzdmpsMTkra1NSTm16Wk4wNlpOVTNaMnRod09oNTU4OHNsUys4K2FOVXNYWG5paDVzd3B1ZjNWb2tXTDFMQmh3MkxsZFI5ODhFRjkvUEhIR2oxNnRMcDA2YUtubjM2YWtyblZWTFZPdmg4NWNrVDkrdlZUNzk2OUZSY1hweGt6WnVqdmYvOTdpWDRqUm93b2RuelhYWGZwcFpkZU91Njh6enp6akpLU2t2VFNTeStwWGJ0MjZ0bXpwMGFPSEtralI0NlVxT04rUEpzM2J5NnhNcjlSbzBiS3pNelVHMis4b2R0dnZ6MlErQVNxMHBkZmZxbjA5SFFOR1RJazBPYnhlQlFWRlZYcW14aloyZG1xMU9OQ1NnQUFIemxKUkVGVVVhT0dKT25XVzIvVmE2KzlwcDkvL2xtWFhYWlppVyt6cDAyYnBzMmJOK3V0dDk0S3ZJN2w5L3UxZmZ2MkVpV1dTTHdENVhmNTVaZEhybCsvZnQrWmpnTUFBQURBK2ExdDI3YjY3cnZ2dEhMbFNrVkZSZW1ISDM2UWlwU1V1ZWFhYXpSanhneXRXTEZDVFpzMkRkUjdMMXArdHFoR2pScVZ1aUwrWk9YbDVTazRPRmhYWEhHRmxpMWJKa25LeWNuUkxiZmNvbjc5K3BXNnYrUHg1T1RrYU1HQ0JicjExbHRsakFtMDE2MWJWMTI2ZE5HVUtWUFVzV05IRXUvVldMVk92cTlZc1VKSlNVbmF2bjI3NHVMaUpFa1hYWFNSUHZ6d3d6TEhQUGZjYzhlZGM4dVdMZnJyWC8rcVRaczJhZVRJa2VyUW9ZTWthZHk0Y2VyWnM2ZmVmUE5ONWVUa0JMN2hLOHZldlhzVkdSbXAyMjY3VFgvKzg1OWxyZFhpeFlzRG04Vkswb1lORy9UcXE2K2V3cDBEcDIvdTNMbUtpNHNMbEZNNmZQaXcvdmQvLzFkMzNWWDZucGRGTnhUcDBLR0RmdmpoQi9uOUpmZGgzTEZqaHlaTm1xUU9IVG9VKytKcDh1VEptakZqaG1iTW1IRmF2Mmh4Zm91TGkrdmdjRGcrTXNhMDkzZzgvem4ydk52dC9salN4UjZQNThZekUyRzVPZDF1ZDM5SnN6MGVUMXJSRXk2WDZ5K1N4bnE5M3ZBaWJjOUxlc1RyOWJZb2EwSzMyOTNjV3B2c2Nya0dlYjNldDA4bHFQUHdPUU1BQUFDb0JHM2F0SkVrclZxMVNwMDZkZEx5NWNzVkZoWVd5TU8xYXRWS1FVRkJXckZpaFRwMzdxd2ZmL3hSUVVGQlNraElxSlI0RGg4K3JGcTFhaFZyKy83Nzc1V1ptYW1wVTZkcTVzeVpwWTRiTkdoUUlPYWlacytlcll5TUREMzg4TU1sem5YdjNsMkxGeS9XNE1HRDlkRkhIMUhydlpxcTFzbjNaY3VXS1RnNFdPM2F0UXUwT1ozTzQ2NmtEUW9xKzVFdFdiSkV3NFlOa3pGR1k4ZU9MYll4Uk4yNmRUVisvSGoxNk5GRDc3NzdycXkxK3N0Zi9sSnMvUDc5K3lWSnc0Y1BWM3A2dWhZc1dLRDI3ZHRMa2pJek05VzJiVnZ0Mzc5ZkVSRVJjamdjdXV1dXU5U29VU1B0M0xsVFk4ZU8xYlBQUGt2dGQxU1o4ZVBIYSsvZXZZSGpEei84VUVlUEhpM3pXK0tqUjQ4cUpDUkVLdmc4SkNZbWx1aGpyZFd3WWNOVXUzWnREUm8wcU5pNXpwMDdCM1lobnpScDBuRS9pNmkrSEE3SDlaSnFlVHllMU5MT1cydkRqREUxU3pzWEV4UFRLRFEwdE1UbUhIbDVlYnVkVHVlZkpQM3BCSmZmNnZWNnJ5cmE0SGE3YjdYV1hsWDJrTEx0MmJQbmpZSWYveXpwd1ppWW1EYkhiR0lhYkl3cDlyZEdhMjNJc1cxRnhjVEUxTERXZm1TTU9aU1ZsZlZaUVl3ZldHdHZQMTRzMXRybms1T1RKeFVlbjIzUEdRQUFBTURacVZHalJvRzY3ajZmVHl0V3JBZ2szQ1VwTEN4TXNiR3g4bmc4eXN2TGs5ZnJWY3VXTFZXelpxbi9uRGh0bVptWkplYWVOV3VXd3NMQ2RQVG9VZlhvMGFQWXVhVkxsMnJKa2lXNjRJSUxTc3gxNE1BQnZmLysrNEg4M0xGQ1EwTTFmUGh3ZGUvZVhVT0dETkhycjcvT0N2aHFxTnBtci94K3Y1WXVYYXBycjcxVzRlSGhKekhpeEpLU2toUVpHYW5FeE1SU2ExN1hxMWRQRXlaTVVKOCtmWXJWdDA1TFM5T0lFU08wWnMwYTFhNWRXM0Z4Y2VyUW9ZUG16Sm1qMU5SVS9menp6L3IxMTE4VkdocXFQbjM2YU5HaVJmTDcvZHE0Y2FNa2FkKytmVnE4ZURHMTMxR2xnb09EZGRGRkYwa0ZtNlZNbVRKRnQ5NTZxMXEwS0gzQjdmNzkrMHQ4dTN5czk5NTdUeDZQUnhNbVRBaTg0VkdvZHUzYUdqWnNtSHIxNnFWeDQ4YXBiOSsrRlhnM09JOWNMK2xma3ZMS096QWtKS1N0dFhhS0pCVWtzTE9zdFQ2bjAvbVZwQU9TMG8weEx4ZDBmOFJhZTdVeHB2QVA0dDNXMmp0TG1mWnVZMHh2YSszaDhzWVRIaDQrZnYzNjlmc2lJeU83T0ozT0ZhR2hvYU1sOVN2dlBFV0Zob2ErSStscW44OTN5N3AxNjNZcS8vZmhadzZIbytUT3hzV3RQT2I0Ykh2T0FBQUFBTTVTYmR1MjFiUnAwN1J3NFVJZE9IQ2cyR0pWRlpTZzhYZzhtamR2bmc0ZVBGaG15Wm1Lc0dYTEZrVkZSUVdPVjYxYXBWV3JWbW55NU1rYU1HQ0Fzck96ZGM4OTkwaVNmdjMxVjQwYU5VcTlldlZTNDhhTlM4dzFhdFFvWldkbmwwallGOVd5WlV2MTdkdFhpWW1KR2o1OHVKNS8vbmtTOE5WTXRVMityMXk1VW52Mzd0WE5OOTljSWZObFpXWHBpU2VlVU5ldVhWV3JWaTBkT25TbzFINDFhdFRRK1BIajVYQTRkT2pRSWRXc1dWTVJFUkdxWDcrK1JvOGVyWGJ0MmlrNE9GalRwMC9Ya2lWTEZCTVRFMGhvUmtWRmFlVElrVXBQVHc5OFlMMWVyekl5TWxTelprM1ZyMSsvUXU0RktJK2xTNWZxdWVlZTArOSs5N3N5eXpMbDVPVEk0L0hJNVhLVmV0NWFxeGt6WnVpOTk5N1QzWGZmclFzdXVFQS8vL3l6c3JPemxaV1ZwU05IanVqbzBhTTZldlNvb3FPajlkRkhIK242NjY4dmN6NVVUeTFidHF4bmpHbHJyVjBaSHg5ZmJMTU92OS8vMXVyVnEzY2ZiN3pYNi8xYzB1ZktMOStTSmFtcjErdWRWWEE4V2RKdWo4Znp0ZkpYaTE5cmpMbTh5SEZ6U1dVbWhZdVdoaW12bEpRVXI4dmxla1BTTTdHeHNXTWREa2RQaDhOeHY3VTJvdURhZ1hJMDF0cjZ4cGlJd2phLzN6OG1PVGw1WEVHLzBaTCtXOUxBbEpTVWJ3dkhKQ2NuZjFtZWVNN201d3dBQUFEZzdOT21UUnRObXpaTnMyZlBsb3JVZXk5MHpUWFhhTnk0Y2ZyODg4OER4NVZsNDhhTjZ0aXhveVFwTnpkWFk4YU0wYzAzM3l5WHk2VUJBd1pveElnUnV1Q0NDM1RKSlplb1Y2OWVjcnZkNnRLbFM0bDU1c3labzMvODR4OGFPblNvR2pac2VOeHJkdTNhVmJ0Mzc5YjA2ZE4xK1BCaHZmenl5NVNncVVhcWJmSjl3WUlGQ2dvSzBnMDMzRkNzZmR1MmJTVTJPQzBxSnlkSGQ5eHhSNG4yRjE5ODhaVGltRHg1c2x3dWw4YU1HVk9zdlV1WExzVSszRDZmVDhPR0RkUGl4WXVWbUppbzFxMWJhOG1TSlJvNmRLZ3V1dWlpTWxjYkE1WEY1L1BwZ3c4KzBNU0pFeFVkSGEyMzMzNDdzRnA5d29RSjJyTm5qOExEdytWd09MUml4UXJ0M3IyN3pOM0tseXhab2pmZXlLK3dNWC8rZk0yZlA3OUVuOURRVU5Xc1dWTTFhOVpVclZxMTlPS0xMK3FUVHo2cHRGZlJjTzRKRGc2K3MrRDNXaTFqekYzS1gxa2RMcW1aTVdhNnBPTW1oVTlDUGJmYmZhM3lrOXhSeHBoYVJZNmpLK0lleXJKbno1Nlg2OVdyTjMzTm1qVy94TVhGZlcydC9VVlNPMG1kcmJWL0s5TDFIbXR0YTBsL1UzNHlmS1drSUxmYi9aNmtQL3Y5L3NISnljbXZ4OGZIUHlhcFJuSnk4bVJKdGp5eG5NL1BHUUFBQUVERmM3dmRDZzBOMVpvMWF3SmxhSXFLaVlsUlJFU0VObXpZb0lpSUNNWEV4SlE1VisvZXZaV2VucTZwVTZjcU1qS3lYSEZzMnJSSk8zYnNDRlNqZU91dHQ3UjE2OVpBV2R6YmI3OWR1M2J0VXI5Ky9WUzNibDM5NFE5LzBPalJvMHVzVkYrK2ZMbGVlZVVWM1hERERTZTlRZXN6enp5am5Kd2N6Wm8xUzVzM2I5Ym8wYU5MclpxQjgwKzFUYjcvL3ZlL1Y2ZE9uVlM3ZHUxaTdaR1JrU1ZxVFJjMWNlTEVZc2VOR3pmVzIyK2YwbjUxa3FUbXpadWZWTDhEQnc1b3g0NGRldTIxMXdLdjM3ejQ0b3Q2OGNVWGxaU1VwSmRlZXVtVVl3Qk94VmRmZmFYeDQ4ZnJwcHR1MGdzdnZGQ3NmTk8rZmZzMGI5NDhXWnVmMDR1TWpGU2ZQbjJLN2E5UVZQdjI3Zlh3d3crcmNlUEdhdENnZ2VyVXFhTTZkZXFvZHUzYXFsMjd0bXJWcWxXc3h2dnk1Y3YxNUpOUDZvc3Z2aWgxVXhOVVQ5YmFSeVVsZTczZXdDc1JMcGVyc3pGbStxRkRoN1lWNlZyVDdYWXY4UHY5NDhxejZydGd0ZmMvQ242dVlhMTFTdnBId2VsZ1NiOVc1UDBVdFczYnRxUGJ0bTFiby95VjhOOUsrdGJsY2hsSm5iMWU3NFRDZnZIeDhWSEdtTmlpYlpLY2t0cEllam81T1RuUjVYSmRJT2xOU1I1Sms4c2J5L244bkFFQUFBQlV2Qm8xYXFoVnExYjYxNy8rVldMVnUvTDNsTkpWVjEybGYvN3puN3I2NnF1UFc1Wmx5NVl0MnJkdm53NGZQbHp1NVB0WFgzMmxldlhxS1NFaFFaOTk5cG1tVDUrdWwxOStPYkJ5UFRVMVZldlhyNWZQNTlPQkF3ZTBmLzkrL2ZEREQyclhycDJNTVZKQkdlczMzbmhEbDExMm1VYU9IRm5pR3BtWm1WSkJxZDZpakRFYU5HaVFMcjc0WXMyZVBmdUVaWGx4L3FpMnlmZlM2akgxN3QxYnZYdjNQdTY0d2cxUUM5V3NXVE93YzNObHFsKy92dDUvLy8xaWJiVnIxeTZ4WWg2b0tuZmVlYWZxMTY5ZjZwLy9JVU9HYU1pUUlmTDcvZkw3L1NmY0hOWGhjSlJyejRMV3JWdHI0c1NKYXRXcTFTbkZqdk5QYkd6c0paSnVsclRrbUZPWFdtdTNwNldsSFN4c3NOWUdTVElPaDJPaDIrMGVsNUdSMFgvVHBrMVpKN3FHdFhhQjErdTlWL2tyTjRZWlkrN3llRHl0Q282ZnROWU9xT0RiY3JyZDdoV0ZCejZmYjNSS1NzcW5SZUl4SjdscTNaZVRrM1BEMnJWcmR5bi9MMzF2UzNMazVPVDhPVDQrL2dhSHd4RjE0aWtrbjgrMzBscWJleDQrWndBQUFBQ1ZiT3pZc2NjOVAzcjA2Sk9hWjlxMGFUcHk1RWlwRzV3ZVQwWkdocVpQbjY0SEhuaEFxMWV2MXF1dnZxckhIbnRNVjF4eGhhWk9uYXFsUzVmcXh4OS8xRFhYWEtOcDA2YXBUcDA2ZXZmZGQ5Vy9mMzlkZE5GRnV2YmFhM1gxMVZmcjVwdHZWbUppb3NMQ3doUVdGaVpKK3V5enovVGJiNzhwT0RoWUsxYmsveE91ck1XMmp6NzZxQjU4OEVIS3psUWoxVGI1RHVEMEdHTk8rTVdUdytHb3RJMUVTTHlqcUtDZ29LY2tHVW10bXpkdkhwS1dscFpkY09vNlNmOHUydGNZYzlEajhkemxjcmtHR21ORzFLOWZ2M1ZFUk1UOTFsb1RIQnc4WGZrSjRCcVNScm5kN2dHU1BpbDhpK05VV0d2OXB6cFUwb0tDbndjNm5jNExqN21Qb0pNdEdWT1llSStQais4bTZTRnI3YU5yMTY3ZDZuSzV4bGhyYnk5bFNIREJxdlBBUnJGT3AvTVpTVEZuNjNNR0FBQUFjUDZMaUlnSWxMd3RqeG8xYXFoRml4YnEzcjI3YXRldXJkZGZmMTAzM25panhvNGRxeSsrK0VJMzMzeXpldmZ1SFNoSkkwbkRody9YNDQ4L3JrV0xGbW54NHNWeU9CeTY1WlpiaW0zWUtrbHBhV21hTld1V1ZMQjQ5b2tubmlnMno3Rkl2RmN2Sk4rQmM5aC9OdnlzUHM4OGU2YkRxTmJXclAzcFRJZFE3U1VrSkZ4a3JYM0NXanZaR05NbElpS2lnNlQ1c2JHeHRZd3hiU1U5WGNvdzYvVjZYM081WEVtU1BuVTZuWE9PSERseXZkUHBmRlg1WHh4OTZ2Zjc1MWhybC90OHZvMUJRVUZYR21QdWNybGNtUVhqYTFocm5ZWEgxdHF5eXFFRVM4bzl4VnZ6ZXp5ZVlTcFk4YTM4NVBsL0cyT0dGSnlQTU1ZNFhDN1hwc0lCeHBpNmtzS0x0dm45L2c0cEtTay91MXl1MXNhWThaTDAyMisvZmFiOHpVLy9xN1FMdTF5dW9aS0dlNzNldXBMeWlqem5zV2ZwY3dZQUFBQ0FNb1dIaCt1OTk5NExMQkM4OGNZYkpVbFBQdm1rZXZmdVhlWWIrMDJhTkZHUEhqM1VvMGNQbGJWWWFOQ2dRY2N0WVkzcWplUTdjSzR5ZHNXZVBYdnJMdmhxMFptT0JOTEtNeDFBZGViMys0MmtiZG5aMmMrSGhvYldzZFkrSm1tK3crSDRMMG5CZVhsNWM4c2E2L1Y2LytGMnU2LzIrLzNoR3pac09DUnBydktUejM1anpDcXYxMXQ0TEd2dHY2MjFRd3VHZHBQVTJscjdoUEtUM3ZkSjZsaktKV29hWXpKTGFUOGxQcC92MzA2bmMwVEJOWHRJYW1pdEhWRjQzaGh6cjdXMlRkRTJ2OSsveCtWeXhSbGp2aWlvLzM1S3p2TG5EQUFBQUFESFZkcWIrVTdueWY4VHFiRHVPMUFlSk4rQmM5U20vNnp1ZDZaakFNNEdYcTkzUi9QbXpSUFMwdElPdWx5dXFjYVkyWEZ4Y1pjNUhJNysxdHA1cTFldjNuMjg4UjZQSiswa3J0RXpJU0hCSkNVbDVTcC9KZm9mSlYzcDlYcS9LK2l5dEhuejVnT1BIV2V0YlNCcDMybmNYakZyMXF4WkkybU5KRk93T3YyZnljbkpnVTFUNCtQam80MHg4VVhiWW1Oakw1VDBuYVJmckxWdkdXTmVQcFZybjgzUEdRQUFBQUNBc3hISmR3REFPYTl3bzArdjF6dmY3WFluTzUzT2I2eTFVZGJhcmhVeGYxeGMzSTNXV29mYjdTNXNhbTZ0alhDNzNiY1Y3WGZGRlZlcy9PbW5ueklLajQweGwxaHJOMWRFREVXNVhLNjdqVEZOSk0wNVVkL1ZxMWZ2ZHJ2ZEMzSnpjL3NHQndmLzZYU3VlN1krWndBQUFBQUF6a1pWbG54ZnZlWW5kWDdzOGFxNkhNNndEYWtuWE9BSUFKWEIrbnkrMFU2bmM2YWtyNU9UazVOUGQ4S1dMVnZXY3pxZG4xcHJBNzh6alRFMUpEbXR0Yk9LOWcwSkNibGQwbExsSjRqclcyc3ZOY2JNUDkwWWlvcU5qYjNRR1BPT3BMVWVqMmZoeVl6eGVEeGRsYitTdktMQ09HdWVNd0FBQUFBQVo2c3FTYjViMmZuN0R4ek0rdmZLcEtxNEhNNGE5dnN6SFFHQTZpVTJOcmFXdytFWWJLM05rZFRCN1hZLzR2RjRwcFpuanVqbzZORDh2Sy9wNVhLNVhqZkdyUEo0UEhXTDluRzczY09NTVhkNVBKNVdaYzBURWhMU1JaTEQ1L045Y3pyMzVISzVta2lxNWZmN1EyTmlZc0tkVHVjeWEyMjl2THk4T3lYNVQyZnVVM1UyUFdjQUFBQUFBTTVXVlpKODM3eCs5U2hKbzZyaVdnQ0Fhc3NaRkJRMDFWcjdCMnZ0amNhWWh5Ujk3SGE3Yi9MNy9hT1NrNU5UalRHVHJiWGhwUTJPajQrL3d4anpWMG10alRFMXJMWHh4cGd2SlgxYzNrQmlZMk5yU1Jwb3JkMlVrcEx5ejFPOW9ZSjY3ZDlJMm0rTUdSQVdGamJIV2pzcUx5OHZwYUQrKzdIU0ttSkZ1TFUydEdBeklWdks2YlBtT1FNQUFBREFxY3JOemRYT25UdVAyNmRldlhvS0R5LzFuellsOU9yVlN4ZGNjSUZlZXVtbENvb1E1d05xdmdNQXpua3hNVEhob2FHaG4waTZVOUpma3BPVGwwbGFGaDhmdjhMaGNMemljRGk2dWQzdWpaTCtZNHpaNFhLNVdrbktscFJuakhGYWEydjQvZjUxeHBnbXhwZ0pQcDl2WGtwS3lsSkplUzZYNndHWHkvWEFzWmVVVksrVWRubTkzcytkVHVlcmtuNW5qT2t1eVhjcTl4UVZGUlVXRkJUMGxiWFdIRGx5NU1xd3NMQ1AvSDcvajVJbUJnVUY3WStQajQrUWxDTXAxeGlUWTR5eDF0cTExdHJVdUxpNDlrNm5NOFJhVzhQbjgvMzdSSnVoeHNYRlhlZDBPanRhYXc5S01wSjZXR3QzSFJ2NzJmYWN5L2h5QUFBQUFNQlp4T3YxNnZISDgwdFJ2L1BPTzJyZHVuV3AvVHAyN0tpOHZEd3RYSGhTMVRWUFczcDZ1cnAwNmFMdzhIQTVuYzRTNXpNek05Vy9mMzg5OU5CRGtxU0RCdy9xNk5HalpjNTM2TkFoaFlTRWFOZXVYV1gyaVlpSVVGaFlXQVhkQWM0RkpOOEJBT2M2UjBoSXlHSkpWMHQ2d3V2MS9yM3dSSEp5OHJTRWhJUlA4L0x5Mmh0ajJobGpyalRHdERMR05KQlVVMUt3dGRZdjZkZVVsSlNoa2tvcm5mTE9zUTNXMmpMUFNmcENVZ3RyN1hkZXIvZkRVNzJwYmR1MlpWOTQ0WVhLeTh2cnRINzkrbjJTT3JwY3JyNlN1bHByZXpzY2poTExMNHd4S2xpeFhpakg0WEEwUE5HMWpERmhrZ1lVanJYVzdyTFdQbk5NdDdQdE9jODUxUzgyQUFBQUFKd1pyNzc2cWo3OTlGT0ZoSVJVMlRXLy9QSkxUWnc0TVhEY3BrMGJQZnZzczRIajhlUEhLeVltcHNTNHh4NTdyTmp4RzIrOG9RVUxGcHp3ZXQ5L1gzWVY1b0VEQndhUythZ2VTTDREQU01MWZrbURyTFYxdkY3dkY4ZWVURXBLeXBXMHVPQy9jdk42dlkzS084YmhjTnpwOS92cm51YktiUC9odzRmL3VHSERoa01GeDNsZXIzZU1wREdGSFdKaVltcElxbUdNcVJFYUd1bzRmUGl3ZFRxZHRpQUdlL1RvVVY5YVd0ckJ3djRlaitlZDBoTFp5Y25KMzBoeUZLeDZOMlVrdGMrNjV3d0FBQURnM0hIcHBaY3FOVFZWa3lkUFZ1L2V2YXZzdW9VcjB2djM3Nis1YytkcTc5Njl4YzVuWkdTVXVsbzlOemUzMkhILy92M1ZxMWV2TXE4ellNQUFOV2pRUU04OTkxeVpmU0lpSWs3cEhuRHVJdmtPQURqbmViM2UvejNUTVJSVmtJamVjN3J6RkVtOGwycmR1blU1QmFWbktvSTkwWmNGWjl0ekJnQUFBSER1YU4rK3ZZS0RnL1hSUngvcGpqdnUwQ1dYWEZKbDF3NFBEOWMxMTF5akZTdFdhT3ZXcmNYT0RSdzQ4TmczaUNWSjJkblp4WTRMUzhaczM3NjkxR3Y0L1g3NWZMNHlTOU5FUjBlZjFqM2czRVR5SFFBQUFBQUFBRUNsTXNabzZOQ2g2dHExcTBhT0hLbEpreWFWbXZRdXplREJnNVdlbnE2SkV5ZXFUcDA2cHgxTGJtNnVRa0pDOU1namoramVlKzlWZ3dZTkZCb2FLa25LeXNxU0pNMmZQMS9SMGRIS3lzb0tuTnUrZmJ2dXYvLys0ODY5Yk5teVV0dVRrcEpPTzI2Y2UwaStBd0FBQUFBQUFLaFUxbHExYU5GQ1hicDAwY2NmZjZ6NTgrZnJubnZ1T2FteFNVbEoycnQzcnpJeU1pb2srZjdWVjEvcHBaZGVraVJOblpxL0pkWEFnUU1sU2FOSGp5N1c5OEVISHd6VWlQLzk3Myt2Nzc3NzdyU3ZqK3FENURzQUFBQUFBQUNBS3RHelowOTk4ODAzU2t4TVZMdDI3VlMzYnQwVGpwa3laWW9PSGp4WW9hVnEzRzYzSmsyYUpFbDY2cW1uQXUzWFhYZWR4bzRkSzBsNjg4MDNsWlB6LzVVK0hRNkg5dXpabzUwN2Q1YnJXazJiTmxYdDJyVXJMSGFjTzBpK0F3QUFBQUFBQUtnU29hR2hHalJva0o1NjZpa2xKaVpxMkxCaEp4elRxRkVqTldyVXFFTGp5TTNORFd5MFdyUytlM1oyZHFEOXlKRWpDZ29xbmo2ZE1XT0c1czJiVjJJRi9zR0RCK1YwT2xXclZxMWk3UmtaR1JvNGNLQWVldWloQ28wZjV3YVM3d0FBQUFBQUFBQ3F6SFhYWGFkYmJybEY4K2ZQMTkxMzM2MkVoSVFxajJIdDJyWHExS21USkNrbkowZnQyN2VYQ2tyY0ZMYm41ZVVGZmk3cXNzc3VDNVNyS2RTOWUzYzFhOVpNUTRZTUtkYmV0bTNiU3J3TG5PMUl2Z01BQUFBQUFBQ29VZ01HRE5EeTVjczFhdFFvZmZMSkoxVjZiWmZMcGJmZWVrdHQyclNSSkczZHVsV3paODlXV0ZpWVpzK2VyZC85N25lU3BIWHIxc25uODFWcGJEaS9rSHdIQUFBQUFBQUFVS1VhTkdpZ3ZuMzdhdFNvVVpveVpZcWNUcWZ5OHZLcTVOcHo1ODVWV2xxYVpzNmNHV2pidkhtem5FNm5mdnJwcHhMOW4zNzZhVVZIUjBzRjVXWFdyMTlmWWtWN2RuYTIxcTVkcXkrLy9MSlllMVpXVnFYZEI4NStKTjhCQUFBQUFBQUFWTGxPblRwcDRjS0Zldi85OXhVUkVWR2l2bnBGV2IxNnRkcTJiYXU4dkR5MWE5ZE9GMTk4c2F5MWtpU2Z6NmU1YytjcU16TlRraFFjSEJ4WUVWOG9ORFEwOFBQdTNidDE0NDAzcW12WHJpZDE3U2VlZUtKQzd3WG5GcEx2QUFBQUFBQUFBS3FjTVVaRGhneFJseTVkdEhmdjNqSTNWZTNkdTdmUzA5TTFkZXBVUlVaR2x2czZ6WnMzMXdzdnZDQkppb2lJVUZSVWxDUnA0OGFOR2o1OHVGcTBhS0htelp0TGt2NzFyMy9KV3Fzbm5uaWlXTkpka2pJek03VnUzVG9OSGp4WUxWdTJQS2xyOStuVFIvSHg4ZVdPR2VjSHg1a09BQUFBQUFBQUFFRDExS3haTXozNjZLUEg3Yk5seXhidDI3ZFBodzhmTHZmOFYxMTFsWHIzN3EyWW1CakZ4TVFvS2lwS3YvNzZxMGFOR3FXdVhidnFtbXV1MGJoeDQxU25UaDAxYXRSSUgzendnZjd6bi8vbzNudnYxVWNmZmFTTWpJekFYSFBtekpFeFJuLzg0eDlQK3ZxZE8zZFdpeFl0eWgwM0FBQUFBQUFBQUtBQ1JWOGU5OVY5RDNXMStIOEhEaHl3di83NjYyblBrNXViYS92MzcyOWJ0V3BsZS9YcVpkUFMwZ0xuSmt5WVlLZE1tV0t0dGRidjk5dTVjK2ZhRGgwNjJJU0VCUHZqanovYXRMUTAyNjVkTy91M3YvM3R0T000MXcwWTlMeU52anorbHpQOVdUa1hVSFlHQUFBQUFBQUF3RmtySWlKQ0VSRVJwejFQVUZDUTdyMzNYblhyMWsxWFhubGxtZjJNTWVyWXNhUHV2UE5PclZxMVNna0pDZXJXclp2cTE2K3ZuajE3bm5ZY3FENUl2Z01BQUFBQUFBQ29GcTY3N3JwUzIwdmJHRFVvS0VpdFc3ZVdKQTBaTWtSaFlXR3FWYXRXcGNlSTh3Zkpkd0FBQUFBQUFBQTRqa3N2dmZSTWg0QnpFQnV1QWdBQUFBQUFBQUJRd1ZqNURxQXlPVjB1VnhkanpIOWJheTh6eGpTUXROOWE2NVhVeGV2MTdpbHRVRUpDd3VYVzJqV1NEbmc4bmdaVkh6WUFBQUFBQUFCd2VraStBNmdVQ1FrSndkYmFSWkxhUzlvbzZXdEpmbXZ0SmNhWVB4cGpJaVdWbW56MysvMXZHR1A0L3hNQUFBQUFBQURPV1NTM0FGUUt2OS8vcURHbXZiVjJ1dGZyN1NySlgzak81WEkxT1hqdzRHK2xqWE83M1hkWmEyK1h0RmVTcWRLZ0FRQUFBQUFBZ0FwQzhoMUFwVERHdUFwK25GbzA4UzVKWHE5M2MybGpFaElTNnZqOS9nbVNQckRXTmpQR1hGa2x3UUlBQUFBQUFBQVZqQTFYQVZRS2ErMVc1U2ZoYnp6Wk1YNi9mNHd4SnVUbzBhTURLelU0QUFBQUFBQUFvSktSZkFkUUtYdyszd2ZXMmd4SkExd3UxL3RYWG5sbHcrUDFqNCtQL3k5alRIZHI3VFByMTYvZlYzV1JBZ0FBQUFBQUFCV1A1RHVBU3JGNjllcmRmcisvbmFUVnhwanV3Y0hCRzEwdTE2dng4ZkYxaiszYnNtWExwZzZIWTVLa3o3eGU3OGRuSm1JQUFBQUFBQUNnNHBCOEIxQnBVbEpTZnZKNFBBbVNla3JhYjR4NTFoaXp3ZVZ5M1ZUWUp5WW1Kanc0T0hpT3BMMSt2Ny9IbVkwWUFBQUFBQUFBcUJnazN3RlV0anlQeHpQeDBLRkR6YXkxejB0cUlHbGhRa0xDNVpJY0lTRWgweVRGV0d2NytQMys4TmpZMktqWTJOZ29ZMHlJdGRZUkd4c2JGUmNYZC9HWnZna0FBQUFBQUFDZ1BJTE9kQUFBcW9lMHRMUnNTU05jTHRjQlk4eGJmcisvWDB4TXpEQmp6RDNLMzVqMXk2Q2c0djlMTXNZb0tDaG9xN1UyVzFMb21Zb2RBQUFBQUFBQUtDK1M3d0NxbE1QaCtNWmFLMGxOY25KeWZnc05EYjI3aks2dlNQcTlwRDlKOGxWdGxBQUFBQUFBQU1EcElma09vRkxFeDhkMzhmdjl5MWV2WHYxTDBYWnI3ZjNLWDlXK3RtQTEvSUxTeHJ0Y3JnSEdtSXM4SGsrcDV3RUFBQUFBQUlDekdjbDNBSlhDR05QQjZYUis3SEs1VmtoS0tXaU9rOVRhV3JzNU56ZjNiMmM0UkFBQUFBQUFBS0RTa0h3SFVDbXN0Wk1jRGtlWXRmWnFZMHdyU1huVzJsLzhmdi9vckt5czBldlhyOTkzcG1NRUFBQUFBQUFBS2d2SmR3Q1ZJams1ZVpta1phYzYzdXYxL3JGaUl3SUFBQUFBQUFDcWp1Tk1Cd0FBQUFBQUFBQUF3UG1HNURzQUFBQUFBQUFBQUJXTTVEc0FBQUFBQUFBQUFCV001RHNBQUFBQUFBQUFBQldNNURzQUFBQUFBQUFBQUJXTTVEc0FBQUFBQUFBQUFCV001RHNBQUFBQUFBQUFBQldNNURzQUFBQUFBQUFBQUJVczZFd0hBQUFBQUFBQUFPRC9wVzVNVitmSEhqL1RZUUNsMnBpKzZVeUhjTTRnK1E0QUFBQUFBQUNjTGF6OUlqUHpjT2kvVnlhZDZVaUFzbG03OGt5SE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29OdjRQNVRveGg1dTA3NFlBQUFBQVNVVk9SSzVDWUlJPSIsCgkiVGhlbWUiIDogIiIsCgkiVHlwZSIgOiAiZmxvdyIsCgkiVXNlcklkIiA6ICIyNzU2MTcxNzAiLAoJIlZlcnNpb24iIDogIjExMyIKfQo="/>
    </extobj>
  </extobjs>
</s:customData>
</file>

<file path=customXml/item2.xml><?xml version="1.0" encoding="utf-8"?>
<contractReview xmlns="http://schemas.wps.cn/vas-ai-hub/contract-review">
  <reviewItems>
    <reviewItem>
      <errorID>2b839774-62e6-4232-a9aa-3c11cf0a5e88</errorID>
      <errorWord>拌合站</errorWord>
      <group>L1_Word</group>
      <groupName>字词问题</groupName>
      <ability>L2_Typo</ability>
      <abilityName>字词错误</abilityName>
      <candidateList>
        <item>拌和站</item>
      </candidateList>
      <explain>存在发音相同字词的误用。</explain>
      <paraID>6DD769CD</paraID>
      <start>21</start>
      <end>24</end>
      <status>unmodified</status>
      <modifiedWord/>
      <trackRevisions>false</trackRevisions>
    </reviewItem>
    <reviewItem>
      <errorID>fa8c6673-b47a-44e5-a374-2a83468f50d6</errorID>
      <errorWord>拌合站</errorWord>
      <group>L1_Word</group>
      <groupName>字词问题</groupName>
      <ability>L2_Typo</ability>
      <abilityName>字词错误</abilityName>
      <candidateList>
        <item>拌和站</item>
      </candidateList>
      <explain>存在发音相同字词的误用。</explain>
      <paraID>5B794611</paraID>
      <start>16</start>
      <end>19</end>
      <status>unmodified</status>
      <modifiedWord/>
      <trackRevisions>false</trackRevisions>
    </reviewItem>
    <reviewItem>
      <errorID>8c3226c7-a936-4a5b-bfe2-723435f0eab4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4D409937</paraID>
      <start>66</start>
      <end>67</end>
      <status>unmodified</status>
      <modifiedWord/>
      <trackRevisions>false</trackRevisions>
    </reviewItem>
    <reviewItem>
      <errorID>1c122ff3-5dde-4e3d-a4b1-7ed73a12a4e5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59B617E6</paraID>
      <start>54</start>
      <end>55</end>
      <status>unmodified</status>
      <modifiedWord/>
      <trackRevisions>false</trackRevisions>
    </reviewItem>
    <reviewItem>
      <errorID>1921f486-5ee1-4d9c-9297-a6d1734d5d19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6C1BF413</paraID>
      <start>66</start>
      <end>67</end>
      <status>unmodified</status>
      <modifiedWord/>
      <trackRevisions>false</trackRevisions>
    </reviewItem>
    <reviewItem>
      <errorID>ad017de6-9640-4c49-931a-06afc416c2a5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3166DBDD</paraID>
      <start>30</start>
      <end>31</end>
      <status>unmodified</status>
      <modifiedWord/>
      <trackRevisions>false</trackRevisions>
    </reviewItem>
    <reviewItem>
      <errorID>23828274-8ab7-4a53-9fda-00513cb51054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20A63DCC</paraID>
      <start>34</start>
      <end>35</end>
      <status>unmodified</status>
      <modifiedWord/>
      <trackRevisions>false</trackRevisions>
    </reviewItem>
    <reviewItem>
      <errorID>bcea60bc-fd14-431a-acc7-ecd77a2d470a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16D38EC1</paraID>
      <start>28</start>
      <end>29</end>
      <status>unmodified</status>
      <modifiedWord/>
      <trackRevisions>false</trackRevisions>
    </reviewItem>
    <reviewItem>
      <errorID>b0d2840c-5dcf-457b-9269-e7f2d782a8bb</errorID>
      <errorWord>“双碳”战略</errorWord>
      <group>L1_Word</group>
      <groupName>字词问题</groupName>
      <ability>L2_Typo</ability>
      <abilityName>字词错误</abilityName>
      <candidateList>
        <item>“双碳”目标</item>
      </candidateList>
      <explain/>
      <paraID>1E9A81BE</paraID>
      <start>10</start>
      <end>16</end>
      <status>modified</status>
      <modifiedWord>“双碳”目标</modifiedWord>
      <trackRevisions>false</trackRevisions>
    </reviewItem>
    <reviewItem>
      <errorID>734a0256-b57a-406c-a571-41c6d8bb9f47</errorID>
      <errorWord>“双碳”战略</errorWord>
      <group>L1_Word</group>
      <groupName>字词问题</groupName>
      <ability>L2_Typo</ability>
      <abilityName>字词错误</abilityName>
      <candidateList>
        <item>“双碳”目标</item>
      </candidateList>
      <explain/>
      <paraID>1E9A81BE</paraID>
      <start>132</start>
      <end>138</end>
      <status>modified</status>
      <modifiedWord>“双碳”目标</modifiedWord>
      <trackRevisions>false</trackRevisions>
    </reviewItem>
    <reviewItem>
      <errorID>d968ed84-1aa4-4052-8963-1edcb9d49bf0</errorID>
      <errorWord>全年实现</errorWord>
      <group>L1_Word</group>
      <groupName>字词问题</groupName>
      <ability>L2_Typo</ability>
      <abilityName>字词错误</abilityName>
      <candidateList>
        <item>全面实现</item>
      </candidateList>
      <explain/>
      <paraID>54AAF3B1</paraID>
      <start>71</start>
      <end>75</end>
      <status>modified</status>
      <modifiedWord>全面实现</modifiedWord>
      <trackRevisions>false</trackRevisions>
    </reviewItem>
    <reviewItem>
      <errorID>2e4d1a55-0d0d-4982-8326-dfa436063e31</errorID>
      <errorWord>“</errorWord>
      <group>L1_Punc</group>
      <groupName>标点问题</groupName>
      <ability>L2_Punc</ability>
      <abilityName>标点符号检查</abilityName>
      <candidateList/>
      <explain/>
      <paraID>6CDEAC6B</paraID>
      <start>399</start>
      <end>400</end>
      <status>unmodified</status>
      <modifiedWord/>
      <trackRevisions>false</trackRevisions>
    </reviewItem>
    <reviewItem>
      <errorID>b55a7882-1d07-4471-85bf-e8a369809aaf</errorID>
      <errorWord>“</errorWord>
      <group>L1_AI</group>
      <groupName>深度校对</groupName>
      <ability>L2_AI_Punc</ability>
      <abilityName>标点纠错</abilityName>
      <candidateList>
        <item>、</item>
      </candidateList>
      <explain/>
      <paraID>6CDEAC6B</paraID>
      <start>405</start>
      <end>406</end>
      <status>unmodified</status>
      <modifiedWord/>
      <trackRevisions>false</trackRevisions>
    </reviewItem>
    <reviewItem>
      <errorID>5982148d-ee38-4a31-9282-fd68e6a22d38</errorID>
      <errorWord>”“</errorWord>
      <group>L1_AI</group>
      <groupName>深度校对</groupName>
      <ability>L2_AI_Punc</ability>
      <abilityName>标点纠错</abilityName>
      <candidateList>
        <item>、</item>
      </candidateList>
      <explain/>
      <paraID>6CDEAC6B</paraID>
      <start>411</start>
      <end>413</end>
      <status>unmodified</status>
      <modifiedWord/>
      <trackRevisions>false</trackRevisions>
    </reviewItem>
    <reviewItem>
      <errorID>8684e729-95c6-416e-a106-9dc8cd88b700</errorID>
      <errorWord>拌合站</errorWord>
      <group>L1_Word</group>
      <groupName>字词问题</groupName>
      <ability>L2_Typo</ability>
      <abilityName>字词错误</abilityName>
      <candidateList>
        <item>拌和站</item>
      </candidateList>
      <explain>存在发音相同字词的误用。</explain>
      <paraID>72A45CC4</paraID>
      <start>9</start>
      <end>12</end>
      <status>unmodified</status>
      <modifiedWord/>
      <trackRevisions>false</trackRevisions>
    </reviewItem>
    <reviewItem>
      <errorID>1bbd75ec-6626-4f6d-89b1-5ec4f9bca625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72A45CC4</paraID>
      <start>54</start>
      <end>55</end>
      <status>unmodified</status>
      <modifiedWord/>
      <trackRevisions>false</trackRevisions>
    </reviewItem>
    <reviewItem>
      <errorID>70f19151-1e7b-4079-8ca2-958342505656</errorID>
      <errorWord>(</errorWord>
      <group>L1_Format</group>
      <groupName>格式问题</groupName>
      <ability>L2_HalfPunc</ability>
      <abilityName>全半角检查</abilityName>
      <candidateList>
        <item>（</item>
      </candidateList>
      <explain>文本全半角错误。</explain>
      <paraID>7AB4E5A2</paraID>
      <start>109</start>
      <end>110</end>
      <status>unmodified</status>
      <modifiedWord/>
      <trackRevisions>false</trackRevisions>
    </reviewItem>
    <reviewItem>
      <errorID>36109b8c-1e82-4cd3-a560-cb96e8f550a6</errorID>
      <errorWord>)</errorWord>
      <group>L1_Format</group>
      <groupName>格式问题</groupName>
      <ability>L2_HalfPunc</ability>
      <abilityName>全半角检查</abilityName>
      <candidateList>
        <item>）</item>
      </candidateList>
      <explain>文本全半角错误。</explain>
      <paraID>7AB4E5A2</paraID>
      <start>122</start>
      <end>123</end>
      <status>unmodified</status>
      <modifiedWord/>
      <trackRevisions>false</trackRevisions>
    </reviewItem>
    <reviewItem>
      <errorID>165a4f89-367f-459f-8855-bb14932492d8</errorID>
      <errorWord>(</errorWord>
      <group>L1_Format</group>
      <groupName>格式问题</groupName>
      <ability>L2_HalfPunc</ability>
      <abilityName>全半角检查</abilityName>
      <candidateList>
        <item>（</item>
      </candidateList>
      <explain>文本全半角错误。</explain>
      <paraID>7AB4E5A2</paraID>
      <start>167</start>
      <end>168</end>
      <status>unmodified</status>
      <modifiedWord/>
      <trackRevisions>false</trackRevisions>
    </reviewItem>
    <reviewItem>
      <errorID>78dd9dd7-0294-4258-b6b0-7a0854efce96</errorID>
      <errorWord>)</errorWord>
      <group>L1_Format</group>
      <groupName>格式问题</groupName>
      <ability>L2_HalfPunc</ability>
      <abilityName>全半角检查</abilityName>
      <candidateList>
        <item>）</item>
      </candidateList>
      <explain>文本全半角错误。</explain>
      <paraID>7AB4E5A2</paraID>
      <start>181</start>
      <end>182</end>
      <status>unmodified</status>
      <modifiedWord/>
      <trackRevisions>false</trackRevisions>
    </reviewItem>
    <reviewItem>
      <errorID>6a1c35d1-0593-4f6a-9db8-64c606615cad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7E2BF39C</paraID>
      <start>93</start>
      <end>94</end>
      <status>unmodified</status>
      <modifiedWord/>
      <trackRevisions>false</trackRevisions>
    </reviewItem>
    <reviewItem>
      <errorID>64f999ac-31b0-4a5f-a76e-88c36427c496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7E2BF39C</paraID>
      <start>127</start>
      <end>128</end>
      <status>unmodified</status>
      <modifiedWord/>
      <trackRevisions>false</trackRevisions>
    </reviewItem>
    <reviewItem>
      <errorID>6de85175-5d10-4434-b89d-295418611d75</errorID>
      <errorWord>并</errorWord>
      <group>L1_AI</group>
      <groupName>深度校对</groupName>
      <ability>L2_AI_Punc</ability>
      <abilityName>标点纠错</abilityName>
      <candidateList>
        <item>，并</item>
      </candidateList>
      <explain/>
      <paraID>6EE62425</paraID>
      <start>63</start>
      <end>65</end>
      <status>modified</status>
      <modifiedWord>，并</modifiedWord>
      <trackRevisions>false</trackRevisions>
    </reviewItem>
    <reviewItem>
      <errorID>e15ea7c1-12d2-4b0c-96c2-7e39180c1458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10C19AA</paraID>
      <start>37</start>
      <end>38</end>
      <status>unmodified</status>
      <modifiedWord/>
      <trackRevisions>false</trackRevisions>
    </reviewItem>
    <reviewItem>
      <errorID>2d317819-df5a-417f-af0e-43b867dc30c2</errorID>
      <errorWord>法律、法规</errorWord>
      <group>L1_Word</group>
      <groupName>字词问题</groupName>
      <ability>L2_Typo</ability>
      <abilityName>字词错误</abilityName>
      <candidateList>
        <item>法律法规</item>
      </candidateList>
      <explain/>
      <paraID>25FB564F</paraID>
      <start>110</start>
      <end>114</end>
      <status>modified</status>
      <modifiedWord>法律法规</modifiedWord>
      <trackRevisions>false</trackRevisions>
    </reviewItem>
    <reviewItem>
      <errorID>cea6e191-1868-4875-bd93-ef03a1f9e7d7</errorID>
      <errorWord>-</errorWord>
      <group>L1_Format</group>
      <groupName>格式问题</groupName>
      <ability>L2_HalfPunc</ability>
      <abilityName>全半角检查</abilityName>
      <candidateList>
        <item>－</item>
      </candidateList>
      <explain>文本全半角错误。</explain>
      <paraID>52C809B8</paraID>
      <start>186</start>
      <end>187</end>
      <status>unmodified</status>
      <modifiedWord/>
      <trackRevisions>false</trackRevisions>
    </reviewItem>
    <reviewItem>
      <errorID>baaa1458-8d7e-4f0f-b14c-741f19092bbf</errorID>
      <errorWord>上线</errorWord>
      <group>L1_Word</group>
      <groupName>字词问题</groupName>
      <ability>L2_Typo</ability>
      <abilityName>字词错误</abilityName>
      <candidateList>
        <item>上限</item>
      </candidateList>
      <explain/>
      <paraID> 2ABFFB9</paraID>
      <start>57</start>
      <end>59</end>
      <status>unmodified</status>
      <modifiedWord/>
      <trackRevisions>false</trackRevisions>
    </reviewItem>
    <reviewItem>
      <errorID>0da4df82-b77f-43a4-b1f2-3887b7db876a</errorID>
      <errorWord>上线</errorWord>
      <group>L1_Word</group>
      <groupName>字词问题</groupName>
      <ability>L2_Typo</ability>
      <abilityName>字词错误</abilityName>
      <candidateList>
        <item>上限</item>
      </candidateList>
      <explain/>
      <paraID>556742C9</paraID>
      <start>66</start>
      <end>68</end>
      <status>unmodified</status>
      <modifiedWord/>
      <trackRevisions>false</trackRevisions>
    </reviewItem>
    <reviewItem>
      <errorID>e623eddf-70d1-4ee5-bbda-8cc24d502d26</errorID>
      <errorWord>-</errorWord>
      <group>L1_Format</group>
      <groupName>格式问题</groupName>
      <ability>L2_HalfPunc</ability>
      <abilityName>全半角检查</abilityName>
      <candidateList>
        <item>－</item>
      </candidateList>
      <explain>文本全半角错误。</explain>
      <paraID>68460694</paraID>
      <start>95</start>
      <end>96</end>
      <status>unmodified</status>
      <modifiedWord/>
      <trackRevisions>false</trackRevisions>
    </reviewItem>
    <reviewItem>
      <errorID>2b339d5e-a56b-4535-afa7-ba207fda49a1</errorID>
      <errorWord>-</errorWord>
      <group>L1_Format</group>
      <groupName>格式问题</groupName>
      <ability>L2_HalfPunc</ability>
      <abilityName>全半角检查</abilityName>
      <candidateList>
        <item>－</item>
      </candidateList>
      <explain>文本全半角错误。</explain>
      <paraID>68460694</paraID>
      <start>103</start>
      <end>104</end>
      <status>unmodified</status>
      <modifiedWord/>
      <trackRevisions>false</trackRevisions>
    </reviewItem>
    <reviewItem>
      <errorID>28331a56-de04-48ca-b3e1-4b38109211d5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4F93C994</paraID>
      <start>8</start>
      <end>11</end>
      <status>unmodified</status>
      <modifiedWord/>
      <trackRevisions>false</trackRevisions>
    </reviewItem>
    <reviewItem>
      <errorID>0e4ca091-08a2-41ff-8957-bd3b01c59b44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4F93C994</paraID>
      <start>15</start>
      <end>18</end>
      <status>unmodified</status>
      <modifiedWord/>
      <trackRevisions>false</trackRevisions>
    </reviewItem>
    <reviewItem>
      <errorID>ff75a676-8652-4036-8e35-3dc2e82a27fd</errorID>
      <errorWord>"</errorWord>
      <group>L1_Format</group>
      <groupName>格式问题</groupName>
      <ability>L2_HalfPunc</ability>
      <abilityName>全半角检查</abilityName>
      <candidateList>
        <item>“</item>
      </candidateList>
      <explain>文本全半角错误。</explain>
      <paraID>315CF0B6</paraID>
      <start>4</start>
      <end>5</end>
      <status>unmodified</status>
      <modifiedWord/>
      <trackRevisions>false</trackRevisions>
    </reviewItem>
    <reviewItem>
      <errorID>90cc7687-d444-427a-a390-9952eee92dc7</errorID>
      <errorWord>”</errorWord>
      <group>L1_Punc</group>
      <groupName>标点问题</groupName>
      <ability>L2_Punc</ability>
      <abilityName>标点符号检查</abilityName>
      <candidateList/>
      <explain/>
      <paraID>315CF0B6</paraID>
      <start>16</start>
      <end>17</end>
      <status>unmodified</status>
      <modifiedWord/>
      <trackRevisions>false</trackRevisions>
    </reviewItem>
    <reviewItem>
      <errorID>2e327e79-b07a-41b4-9708-71593cd4d6e8</errorID>
      <errorWord>拌合站</errorWord>
      <group>L1_Word</group>
      <groupName>字词问题</groupName>
      <ability>L2_Typo</ability>
      <abilityName>字词错误</abilityName>
      <candidateList>
        <item>拌和站</item>
      </candidateList>
      <explain>存在发音相同字词的误用。</explain>
      <paraID> 346E967</paraID>
      <start>122</start>
      <end>125</end>
      <status>unmodified</status>
      <modifiedWord/>
      <trackRevisions>false</trackRevisions>
    </reviewItem>
    <reviewItem>
      <errorID>13f06749-0fe4-4df6-a92a-6b92c27a2716</errorID>
      <errorWord>拌合站</errorWord>
      <group>L1_Word</group>
      <groupName>字词问题</groupName>
      <ability>L2_Typo</ability>
      <abilityName>字词错误</abilityName>
      <candidateList>
        <item>拌和站</item>
      </candidateList>
      <explain>存在发音相同字词的误用。</explain>
      <paraID>53C2B95F</paraID>
      <start>38</start>
      <end>41</end>
      <status>unmodified</status>
      <modifiedWord/>
      <trackRevisions>false</trackRevisions>
    </reviewItem>
    <reviewItem>
      <errorID>443fc049-cc88-45f5-8d02-72073354d357</errorID>
      <errorWord>拌合站</errorWord>
      <group>L1_Word</group>
      <groupName>字词问题</groupName>
      <ability>L2_Typo</ability>
      <abilityName>字词错误</abilityName>
      <candidateList>
        <item>拌和站</item>
      </candidateList>
      <explain>存在发音相同字词的误用。</explain>
      <paraID>53C2B95F</paraID>
      <start>77</start>
      <end>80</end>
      <status>unmodified</status>
      <modifiedWord/>
      <trackRevisions>false</trackRevisions>
    </reviewItem>
    <reviewItem>
      <errorID>2510c021-efb6-4871-b420-f235ca07556f</errorID>
      <errorWord>拌合站</errorWord>
      <group>L1_Word</group>
      <groupName>字词问题</groupName>
      <ability>L2_Typo</ability>
      <abilityName>字词错误</abilityName>
      <candidateList>
        <item>拌和站</item>
      </candidateList>
      <explain>存在发音相同字词的误用。</explain>
      <paraID>26591D95</paraID>
      <start>21</start>
      <end>24</end>
      <status>unmodified</status>
      <modifiedWord/>
      <trackRevisions>false</trackRevisions>
    </reviewItem>
    <reviewItem>
      <errorID>48bc0d99-43d2-440c-8318-64f29b1fa915</errorID>
      <errorWord>标准地及</errorWord>
      <group>L1_Knowledge</group>
      <groupName>知识性问题</groupName>
      <ability>L2_Term</ability>
      <abilityName>专业术语</abilityName>
      <candidateList>
        <item>标准地名</item>
      </candidateList>
      <explain/>
      <paraID>1CEFFD57</paraID>
      <start>34</start>
      <end>38</end>
      <status>unmodified</status>
      <modifiedWord/>
      <trackRevisions>false</trackRevisions>
    </reviewItem>
    <reviewItem>
      <errorID>a51d07bc-6389-4898-be1a-82dc86ff3bfb</errorID>
      <errorWord>个</errorWord>
      <group>L1_Knowledge</group>
      <groupName>知识性问题</groupName>
      <ability>L2_Knowledge</ability>
      <abilityName>其他知识</abilityName>
      <candidateList>
        <item>套</item>
      </candidateList>
      <explain/>
      <paraID> 4CF8086</paraID>
      <start>43</start>
      <end>44</end>
      <status>unmodified</status>
      <modifiedWord/>
      <trackRevisions>false</trackRevisions>
    </reviewItem>
    <reviewItem>
      <errorID>746254df-cbb0-43c5-9566-d4e5d600f0c4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12D6E75D</paraID>
      <start>102</start>
      <end>103</end>
      <status>unmodified</status>
      <modifiedWord/>
      <trackRevisions>false</trackRevisions>
    </reviewItem>
    <reviewItem>
      <errorID>af499ef4-fd8f-415e-bfe5-cbf860d90283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12D6E75D</paraID>
      <start>139</start>
      <end>140</end>
      <status>unmodified</status>
      <modifiedWord/>
      <trackRevisions>false</trackRevisions>
    </reviewItem>
    <reviewItem>
      <errorID>32e17672-b546-4745-8005-58f2c85fced9</errorID>
      <errorWord>黏土</errorWord>
      <group>L1_Word</group>
      <groupName>字词问题</groupName>
      <ability>L2_Typo</ability>
      <abilityName>字词错误</abilityName>
      <candidateList>
        <item>粘土</item>
      </candidateList>
      <explain/>
      <paraID>7BAC1EBA</paraID>
      <start>42</start>
      <end>44</end>
      <status>modified</status>
      <modifiedWord>粘土</modifiedWord>
      <trackRevisions>false</trackRevisions>
    </reviewItem>
    <reviewItem>
      <errorID>eaf4b370-0944-4941-827e-b5a6a08a5a52</errorID>
      <errorWord>，</errorWord>
      <group>L1_Format</group>
      <groupName>格式问题</groupName>
      <ability>L2_HalfPunc</ability>
      <abilityName>全半角检查</abilityName>
      <candidateList>
        <item>, </item>
      </candidateList>
      <explain>文本全半角错误。</explain>
      <paraID> BC60E1A</paraID>
      <start>4</start>
      <end>5</end>
      <status>unmodified</status>
      <modifiedWord/>
      <trackRevisions>false</trackRevisions>
    </reviewItem>
    <reviewItem>
      <errorID>ae396150-04fd-4b1f-b328-b523f1c4ae26</errorID>
      <errorWord>，</errorWord>
      <group>L1_Format</group>
      <groupName>格式问题</groupName>
      <ability>L2_HalfPunc</ability>
      <abilityName>全半角检查</abilityName>
      <candidateList>
        <item>, </item>
      </candidateList>
      <explain>文本全半角错误。</explain>
      <paraID>5188CC5A</paraID>
      <start>4</start>
      <end>5</end>
      <status>unmodified</status>
      <modifiedWord/>
      <trackRevisions>false</trackRevisions>
    </reviewItem>
    <reviewItem>
      <errorID>a53c05aa-ac44-4c25-af29-a0499635b295</errorID>
      <errorWord>-</errorWord>
      <group>L1_Format</group>
      <groupName>格式问题</groupName>
      <ability>L2_HalfPunc</ability>
      <abilityName>全半角检查</abilityName>
      <candidateList>
        <item>－</item>
      </candidateList>
      <explain>文本全半角错误。</explain>
      <paraID>523BF172</paraID>
      <start>8</start>
      <end>9</end>
      <status>unmodified</status>
      <modifiedWord/>
      <trackRevisions>false</trackRevisions>
    </reviewItem>
    <reviewItem>
      <errorID>bf438d5a-6431-4028-8277-729c85762c49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7DFD517B</paraID>
      <start>4</start>
      <end>5</end>
      <status>unmodified</status>
      <modifiedWord/>
      <trackRevisions>false</trackRevisions>
    </reviewItem>
    <reviewItem>
      <errorID>73ad74c4-70ee-4d6f-b9ec-885923f5361c</errorID>
      <errorWord>-</errorWord>
      <group>L1_Format</group>
      <groupName>格式问题</groupName>
      <ability>L2_HalfPunc</ability>
      <abilityName>全半角检查</abilityName>
      <candidateList>
        <item>－</item>
      </candidateList>
      <explain>文本全半角错误。</explain>
      <paraID> 86332B5</paraID>
      <start>8</start>
      <end>9</end>
      <status>unmodified</status>
      <modifiedWord/>
      <trackRevisions>false</trackRevisions>
    </reviewItem>
    <reviewItem>
      <errorID>595b9c2b-dcd8-4465-b2c4-d61664d4ae99</errorID>
      <errorWord>-</errorWord>
      <group>L1_Format</group>
      <groupName>格式问题</groupName>
      <ability>L2_HalfPunc</ability>
      <abilityName>全半角检查</abilityName>
      <candidateList>
        <item>－</item>
      </candidateList>
      <explain>文本全半角错误。</explain>
      <paraID>3D618811</paraID>
      <start>8</start>
      <end>9</end>
      <status>unmodified</status>
      <modifiedWord/>
      <trackRevisions>false</trackRevisions>
    </reviewItem>
    <reviewItem>
      <errorID>6e08ae69-b4ca-4339-b12f-5b8d4d30b498</errorID>
      <errorWord>-</errorWord>
      <group>L1_Format</group>
      <groupName>格式问题</groupName>
      <ability>L2_HalfPunc</ability>
      <abilityName>全半角检查</abilityName>
      <candidateList>
        <item>－</item>
      </candidateList>
      <explain>文本全半角错误。</explain>
      <paraID>7B3FF61A</paraID>
      <start>8</start>
      <end>9</end>
      <status>unmodified</status>
      <modifiedWord/>
      <trackRevisions>false</trackRevisions>
    </reviewItem>
    <reviewItem>
      <errorID>35623e06-eb01-499b-a66c-b503e886dc4e</errorID>
      <errorWord>-</errorWord>
      <group>L1_Format</group>
      <groupName>格式问题</groupName>
      <ability>L2_HalfPunc</ability>
      <abilityName>全半角检查</abilityName>
      <candidateList>
        <item>－</item>
      </candidateList>
      <explain>文本全半角错误。</explain>
      <paraID> 944A6E8</paraID>
      <start>10</start>
      <end>11</end>
      <status>unmodified</status>
      <modifiedWord/>
      <trackRevisions>false</trackRevisions>
    </reviewItem>
    <reviewItem>
      <errorID>402b36b9-edc5-4ce6-8752-33a5f1dab107</errorID>
      <errorWord>-</errorWord>
      <group>L1_Format</group>
      <groupName>格式问题</groupName>
      <ability>L2_HalfPunc</ability>
      <abilityName>全半角检查</abilityName>
      <candidateList>
        <item>－</item>
      </candidateList>
      <explain>文本全半角错误。</explain>
      <paraID>68841CAF</paraID>
      <start>8</start>
      <end>9</end>
      <status>unmodified</status>
      <modifiedWord/>
      <trackRevisions>false</trackRevisions>
    </reviewItem>
    <reviewItem>
      <errorID>3569020d-387c-40b3-b768-9e47daaf40c3</errorID>
      <errorWord>（</errorWord>
      <group>L1_Format</group>
      <groupName>格式问题</groupName>
      <ability>L2_HalfPunc</ability>
      <abilityName>全半角检查</abilityName>
      <candidateList>
        <item>(</item>
      </candidateList>
      <explain>文本全半角错误。</explain>
      <paraID>725C2EF0</paraID>
      <start>0</start>
      <end>1</end>
      <status>unmodified</status>
      <modifiedWord/>
      <trackRevisions>false</trackRevisions>
    </reviewItem>
    <reviewItem>
      <errorID>256aa5d4-415a-47eb-974e-fb5964fcf786</errorID>
      <errorWord>）</errorWord>
      <group>L1_Format</group>
      <groupName>格式问题</groupName>
      <ability>L2_HalfPunc</ability>
      <abilityName>全半角检查</abilityName>
      <candidateList>
        <item>)</item>
      </candidateList>
      <explain>文本全半角错误。</explain>
      <paraID>725C2EF0</paraID>
      <start>5</start>
      <end>6</end>
      <status>unmodified</status>
      <modifiedWord/>
      <trackRevisions>false</trackRevisions>
    </reviewItem>
    <reviewItem>
      <errorID>41bd4479-8cfa-4fcf-99ed-deea6b55f30a</errorID>
      <errorWord>砂子</errorWord>
      <group>L1_Word</group>
      <groupName>字词问题</groupName>
      <ability>L2_Typo</ability>
      <abilityName>字词错误</abilityName>
      <candidateList>
        <item>沙子</item>
      </candidateList>
      <explain>存在发音相同字词的误用。</explain>
      <paraID>56004944</paraID>
      <start>0</start>
      <end>2</end>
      <status>unmodified</status>
      <modifiedWord/>
      <trackRevisions>false</trackRevisions>
    </reviewItem>
    <reviewItem>
      <errorID>976d3d5f-15b1-48f3-9d16-ac5f7c756dfe</errorID>
      <errorWord>浆片</errorWord>
      <group>L1_Word</group>
      <groupName>字词问题</groupName>
      <ability>L2_Typo</ability>
      <abilityName>字词错误</abilityName>
      <candidateList>
        <item>桨片</item>
      </candidateList>
      <explain/>
      <paraID>415E750A</paraID>
      <start>30</start>
      <end>32</end>
      <status>modified</status>
      <modifiedWord>桨片</modifiedWord>
      <trackRevisions>false</trackRevisions>
    </reviewItem>
    <reviewItem>
      <errorID>c74a7cbe-0ba6-4f54-aead-9a98d666f0ac</errorID>
      <errorWord>拌合</errorWord>
      <group>L1_Word</group>
      <groupName>字词问题</groupName>
      <ability>L2_Typo</ability>
      <abilityName>字词错误</abilityName>
      <candidateList>
        <item>拌和</item>
      </candidateList>
      <explain/>
      <paraID>415E750A</paraID>
      <start>109</start>
      <end>111</end>
      <status>unmodified</status>
      <modifiedWord/>
      <trackRevisions>false</trackRevisions>
    </reviewItem>
    <reviewItem>
      <errorID>06b2215a-4005-4081-b693-f4071ddc1b53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3A6FD923</paraID>
      <start>76</start>
      <end>77</end>
      <status>unmodified</status>
      <modifiedWord/>
      <trackRevisions>false</trackRevisions>
    </reviewItem>
    <reviewItem>
      <errorID>55bd3033-41f9-41b7-a90b-1e12c535aa5a</errorID>
      <errorWord>，</errorWord>
      <group>L1_Format</group>
      <groupName>格式问题</groupName>
      <ability>L2_HalfPunc</ability>
      <abilityName>全半角检查</abilityName>
      <candidateList>
        <item>, </item>
      </candidateList>
      <explain>文本全半角错误。</explain>
      <paraID>48368CA4</paraID>
      <start>14</start>
      <end>15</end>
      <status>unmodified</status>
      <modifiedWord/>
      <trackRevisions>false</trackRevisions>
    </reviewItem>
    <reviewItem>
      <errorID>a6575a36-58f1-4299-9cbb-ab6a810f983a</errorID>
      <errorWord>》（试行）</errorWord>
      <group>L1_Word</group>
      <groupName>字词问题</groupName>
      <ability>L2_Typo</ability>
      <abilityName>字词错误</abilityName>
      <candidateList>
        <item>（试行）》</item>
      </candidateList>
      <explain/>
      <paraID>1CA77B78</paraID>
      <start>27</start>
      <end>32</end>
      <status>modified</status>
      <modifiedWord>（试行）》</modifiedWord>
      <trackRevisions>false</trackRevisions>
    </reviewItem>
    <reviewItem>
      <errorID>1a5e463e-b0de-435b-b5c5-782c48958c57</errorID>
      <errorWord>&lt;</errorWord>
      <group>L1_Format</group>
      <groupName>格式问题</groupName>
      <ability>L2_HalfPunc</ability>
      <abilityName>全半角检查</abilityName>
      <candidateList>
        <item>〈</item>
      </candidateList>
      <explain>文本全半角错误。</explain>
      <paraID>1BF1E247</paraID>
      <start>7</start>
      <end>8</end>
      <status>unmodified</status>
      <modifiedWord/>
      <trackRevisions>false</trackRevisions>
    </reviewItem>
    <reviewItem>
      <errorID>302a620a-2161-4854-88f5-ee116ac05a54</errorID>
      <errorWord>&gt;</errorWord>
      <group>L1_Format</group>
      <groupName>格式问题</groupName>
      <ability>L2_HalfPunc</ability>
      <abilityName>全半角检查</abilityName>
      <candidateList>
        <item>〉</item>
      </candidateList>
      <explain>文本全半角错误。</explain>
      <paraID>1BF1E247</paraID>
      <start>19</start>
      <end>20</end>
      <status>unmodified</status>
      <modifiedWord/>
      <trackRevisions>false</trackRevisions>
    </reviewItem>
    <reviewItem>
      <errorID>b3dfc7f5-d6ac-42cc-b2ec-2e24602ddd20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1BF1E247</paraID>
      <start>284</start>
      <end>285</end>
      <status>unmodified</status>
      <modifiedWord/>
      <trackRevisions>false</trackRevisions>
    </reviewItem>
    <reviewItem>
      <errorID>5ddcf413-3f8c-4e19-b076-bb8f08e79fde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1BF1E247</paraID>
      <start>321</start>
      <end>322</end>
      <status>unmodified</status>
      <modifiedWord/>
      <trackRevisions>false</trackRevisions>
    </reviewItem>
    <reviewItem>
      <errorID>acceba9a-5f75-45fa-8df5-ea3ba43cd44d</errorID>
      <errorWord>黏土</errorWord>
      <group>L1_Word</group>
      <groupName>字词问题</groupName>
      <ability>L2_Typo</ability>
      <abilityName>字词错误</abilityName>
      <candidateList>
        <item>粘土</item>
      </candidateList>
      <explain/>
      <paraID>1BF1E247</paraID>
      <start>385</start>
      <end>387</end>
      <status>modified</status>
      <modifiedWord>粘土</modifiedWord>
      <trackRevisions>false</trackRevisions>
    </reviewItem>
    <reviewItem>
      <errorID>6db0aeb9-6d08-49f1-bbd9-55f3310e9139</errorID>
      <errorWord>(</errorWord>
      <group>L1_Format</group>
      <groupName>格式问题</groupName>
      <ability>L2_HalfPunc</ability>
      <abilityName>全半角检查</abilityName>
      <candidateList>
        <item>（</item>
      </candidateList>
      <explain>文本全半角错误。</explain>
      <paraID>111A3115</paraID>
      <start>10</start>
      <end>11</end>
      <status>unmodified</status>
      <modifiedWord/>
      <trackRevisions>false</trackRevisions>
    </reviewItem>
    <reviewItem>
      <errorID>dd494a07-ece7-4bea-935c-b2562dee544c</errorID>
      <errorWord>(</errorWord>
      <group>L1_Format</group>
      <groupName>格式问题</groupName>
      <ability>L2_HalfPunc</ability>
      <abilityName>全半角检查</abilityName>
      <candidateList>
        <item>（</item>
      </candidateList>
      <explain>文本全半角错误。</explain>
      <paraID>4018E51A</paraID>
      <start>22</start>
      <end>23</end>
      <status>unmodified</status>
      <modifiedWord/>
      <trackRevisions>false</trackRevisions>
    </reviewItem>
    <reviewItem>
      <errorID>4cbaaa98-6ed4-4f2a-aae4-43aa6f9c5fde</errorID>
      <errorWord>)</errorWord>
      <group>L1_Format</group>
      <groupName>格式问题</groupName>
      <ability>L2_HalfPunc</ability>
      <abilityName>全半角检查</abilityName>
      <candidateList>
        <item>）</item>
      </candidateList>
      <explain>文本全半角错误。</explain>
      <paraID>4018E51A</paraID>
      <start>35</start>
      <end>36</end>
      <status>unmodified</status>
      <modifiedWord/>
      <trackRevisions>false</trackRevisions>
    </reviewItem>
    <reviewItem>
      <errorID>204e6823-9a7a-4a62-826d-7826d04ddcc3</errorID>
      <errorWord>单机噪声</errorWord>
      <group>L1_Knowledge</group>
      <groupName>知识性问题</groupName>
      <ability>L2_Term</ability>
      <abilityName>专业术语</abilityName>
      <candidateList>
        <item>整机噪声</item>
      </candidateList>
      <explain/>
      <paraID>  827A6A</paraID>
      <start>46</start>
      <end>50</end>
      <status>modified</status>
      <modifiedWord>整机噪声</modifiedWord>
      <trackRevisions>false</trackRevisions>
    </reviewItem>
    <reviewItem>
      <errorID>282ed7eb-dbde-4f0c-86a1-23a53f398311</errorID>
      <errorWord>＋</errorWord>
      <group>L1_Format</group>
      <groupName>格式问题</groupName>
      <ability>L2_HalfPunc</ability>
      <abilityName>全半角检查</abilityName>
      <candidateList>
        <item>+</item>
      </candidateList>
      <explain>文本全半角错误。</explain>
      <paraID>70332BC9</paraID>
      <start>21</start>
      <end>22</end>
      <status>unmodified</status>
      <modifiedWord/>
      <trackRevisions>false</trackRevisions>
    </reviewItem>
    <reviewItem>
      <errorID>f8ddf62d-e1f4-471d-b410-ac21ac32f5cd</errorID>
      <errorWord>，</errorWord>
      <group>L1_Word</group>
      <groupName>字词问题</groupName>
      <ability>L2_Typo</ability>
      <abilityName>字词错误</abilityName>
      <candidateList>
        <item>，采</item>
      </candidateList>
      <explain/>
      <paraID> 6AC01AC</paraID>
      <start>27</start>
      <end>29</end>
      <status>modified</status>
      <modifiedWord>，采</modifiedWord>
      <trackRevisions>false</trackRevisions>
    </reviewItem>
    <reviewItem>
      <errorID>b07e8acd-ee46-4084-98ac-602c28eae5f4</errorID>
      <errorWord>%计</errorWord>
      <group>L1_Word</group>
      <groupName>字词问题</groupName>
      <ability>L2_Typo</ability>
      <abilityName>字词错误</abilityName>
      <candidateList>
        <item>%</item>
      </candidateList>
      <explain/>
      <paraID> 50F258B</paraID>
      <start>437</start>
      <end>438</end>
      <status>modified</status>
      <modifiedWord>%</modifiedWord>
      <trackRevisions>false</trackRevisions>
    </reviewItem>
    <reviewItem>
      <errorID>b93ac711-cfd4-4377-87cc-dbe90340e8cf</errorID>
      <errorWord>监测</errorWord>
      <group>L1_Word</group>
      <groupName>字词问题</groupName>
      <ability>L2_Typo</ability>
      <abilityName>字词错误</abilityName>
      <candidateList>
        <item>检测</item>
      </candidateList>
      <explain/>
      <paraID> 50F258B</paraID>
      <start>510</start>
      <end>512</end>
      <status>unmodified</status>
      <modifiedWord/>
      <trackRevisions>false</trackRevisions>
    </reviewItem>
    <reviewItem>
      <errorID>1e0f4d39-95b6-41c3-b4b8-16fd82830574</errorID>
      <errorWord>监测</errorWord>
      <group>L1_Word</group>
      <groupName>字词问题</groupName>
      <ability>L2_Typo</ability>
      <abilityName>字词错误</abilityName>
      <candidateList>
        <item>检测</item>
      </candidateList>
      <explain/>
      <paraID>3AEA931B</paraID>
      <start>524</start>
      <end>526</end>
      <status>unmodified</status>
      <modifiedWord/>
      <trackRevisions>false</trackRevisions>
    </reviewItem>
    <reviewItem>
      <errorID>ba30754a-7b13-4d6c-91e9-8e9ecc493bc5</errorID>
      <errorWord>行使</errorWord>
      <group>L1_Word</group>
      <groupName>字词问题</groupName>
      <ability>L2_Typo</ability>
      <abilityName>字词错误</abilityName>
      <candidateList>
        <item>行驶</item>
      </candidateList>
      <explain>〈动〉（车、船）行走：列车向南～｜长江下游可以～万吨轮船。</explain>
      <paraID>3FEE246A</paraID>
      <start>4</start>
      <end>6</end>
      <status>modified</status>
      <modifiedWord>行驶</modifiedWord>
      <trackRevisions>false</trackRevisions>
    </reviewItem>
    <reviewItem>
      <errorID>1c9d64f4-156f-49db-b84b-0e9d774b7ce7</errorID>
      <errorWord>（</errorWord>
      <group>L1_Format</group>
      <groupName>格式问题</groupName>
      <ability>L2_HalfPunc</ability>
      <abilityName>全半角检查</abilityName>
      <candidateList>
        <item>(</item>
      </candidateList>
      <explain>文本全半角错误。</explain>
      <paraID>51816112</paraID>
      <start>0</start>
      <end>1</end>
      <status>unmodified</status>
      <modifiedWord/>
      <trackRevisions>false</trackRevisions>
    </reviewItem>
    <reviewItem>
      <errorID>3dc2f3df-c796-4040-8e20-5a2a87228eab</errorID>
      <errorWord>）</errorWord>
      <group>L1_Format</group>
      <groupName>格式问题</groupName>
      <ability>L2_HalfPunc</ability>
      <abilityName>全半角检查</abilityName>
      <candidateList>
        <item>)</item>
      </candidateList>
      <explain>文本全半角错误。</explain>
      <paraID>51816112</paraID>
      <start>6</start>
      <end>7</end>
      <status>unmodified</status>
      <modifiedWord/>
      <trackRevisions>false</trackRevisions>
    </reviewItem>
    <reviewItem>
      <errorID>cb7b6a1a-c36f-4149-a58f-a3ebb60a8958</errorID>
      <errorWord>（</errorWord>
      <group>L1_Format</group>
      <groupName>格式问题</groupName>
      <ability>L2_HalfPunc</ability>
      <abilityName>全半角检查</abilityName>
      <candidateList>
        <item>(</item>
      </candidateList>
      <explain>文本全半角错误。</explain>
      <paraID>141B9D87</paraID>
      <start>0</start>
      <end>1</end>
      <status>unmodified</status>
      <modifiedWord/>
      <trackRevisions>false</trackRevisions>
    </reviewItem>
    <reviewItem>
      <errorID>ac68f07c-a6f4-4d07-8abd-be3f8f681ec3</errorID>
      <errorWord>）</errorWord>
      <group>L1_Format</group>
      <groupName>格式问题</groupName>
      <ability>L2_HalfPunc</ability>
      <abilityName>全半角检查</abilityName>
      <candidateList>
        <item>)</item>
      </candidateList>
      <explain>文本全半角错误。</explain>
      <paraID>141B9D87</paraID>
      <start>4</start>
      <end>5</end>
      <status>unmodified</status>
      <modifiedWord/>
      <trackRevisions>false</trackRevisions>
    </reviewItem>
    <reviewItem>
      <errorID>1cacf23f-41a8-4415-b7df-0f590600da0c</errorID>
      <errorWord>，</errorWord>
      <group>L1_Format</group>
      <groupName>格式问题</groupName>
      <ability>L2_HalfPunc</ability>
      <abilityName>全半角检查</abilityName>
      <candidateList>
        <item>,</item>
      </candidateList>
      <explain>文本全半角错误。</explain>
      <paraID>27938A76</paraID>
      <start>10</start>
      <end>11</end>
      <status>unmodified</status>
      <modifiedWord/>
      <trackRevisions>false</trackRevisions>
    </reviewItem>
    <reviewItem>
      <errorID>fee1749c-4a28-470c-b62a-f20de8b72219</errorID>
      <errorWord>，</errorWord>
      <group>L1_Format</group>
      <groupName>格式问题</groupName>
      <ability>L2_HalfPunc</ability>
      <abilityName>全半角检查</abilityName>
      <candidateList>
        <item>,</item>
      </candidateList>
      <explain>文本全半角错误。</explain>
      <paraID>64E9F95B</paraID>
      <start>10</start>
      <end>11</end>
      <status>unmodified</status>
      <modifiedWord/>
      <trackRevisions>false</trackRevisions>
    </reviewItem>
    <reviewItem>
      <errorID>0b75ad99-5a1d-4055-8111-532cd791cb92</errorID>
      <errorWord>聚增</errorWord>
      <group>L1_Word</group>
      <groupName>字词问题</groupName>
      <ability>L2_Typo</ability>
      <abilityName>字词错误</abilityName>
      <candidateList>
        <item>剧增</item>
      </candidateList>
      <explain/>
      <paraID>74D0452F</paraID>
      <start>293</start>
      <end>295</end>
      <status>modified</status>
      <modifiedWord>剧增</modifiedWord>
      <trackRevisions>false</trackRevisions>
    </reviewItem>
    <reviewItem>
      <errorID>6df07c60-4eaf-4093-bbb0-575c6f65b61e</errorID>
      <errorWord>粘</errorWord>
      <group>L1_Word</group>
      <groupName>字词问题</groupName>
      <ability>L2_Typo</ability>
      <abilityName>字词错误</abilityName>
      <candidateList>
        <item>黏</item>
      </candidateList>
      <explain>存在发音相同字词的误用。</explain>
      <paraID>74D0452F</paraID>
      <start>310</start>
      <end>311</end>
      <status>modified</status>
      <modifiedWord>黏</modifiedWord>
      <trackRevisions>false</trackRevisions>
    </reviewItem>
    <reviewItem>
      <errorID>d309db63-5a62-4c66-8565-3857a6cb5af0</errorID>
      <errorWord>99%~99.7%</errorWord>
      <group>L1_Knowledge</group>
      <groupName>知识性问题</groupName>
      <ability>L2_Knowledge</ability>
      <abilityName>其他知识</abilityName>
      <candidateList>
        <item>99%～99.7%</item>
      </candidateList>
      <explain>1. “99%~99.7%”中的单位“%”仅出现在后一个数字上，容易引起歧义；根据《现代汉语标点符号数字用法规范手册》，数字表示范围两边需要使用统一的格式。2. 根据标点国标 4.13 中的规则，数字、时间或地域连接符应使用（视觉上更长的）“—”或“～”。</explain>
      <paraID>74D0452F</paraID>
      <start>386</start>
      <end>395</end>
      <status>unmodified</status>
      <modifiedWord/>
      <trackRevisions>false</trackRevisions>
    </reviewItem>
    <reviewItem>
      <errorID>64672a76-af0b-4012-b47b-7281bc26952a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17265C26</paraID>
      <start>81</start>
      <end>83</end>
      <status>modified</status>
      <modifiedWord>》《</modifiedWord>
      <trackRevisions>false</trackRevisions>
    </reviewItem>
    <reviewItem>
      <errorID>011c26de-6ae9-438a-aa77-453ca50e11bb</errorID>
      <errorWord>（</errorWord>
      <group>L1_Format</group>
      <groupName>格式问题</groupName>
      <ability>L2_HalfPunc</ability>
      <abilityName>全半角检查</abilityName>
      <candidateList>
        <item>(</item>
      </candidateList>
      <explain>文本全半角错误。</explain>
      <paraID>5116899D</paraID>
      <start>7</start>
      <end>8</end>
      <status>unmodified</status>
      <modifiedWord/>
      <trackRevisions>false</trackRevisions>
    </reviewItem>
    <reviewItem>
      <errorID>14ddad05-b7a0-4a12-bb78-6a8d2852d108</errorID>
      <errorWord>）</errorWord>
      <group>L1_Format</group>
      <groupName>格式问题</groupName>
      <ability>L2_HalfPunc</ability>
      <abilityName>全半角检查</abilityName>
      <candidateList>
        <item>)</item>
      </candidateList>
      <explain>文本全半角错误。</explain>
      <paraID>5116899D</paraID>
      <start>18</start>
      <end>19</end>
      <status>unmodified</status>
      <modifiedWord/>
      <trackRevisions>false</trackRevisions>
    </reviewItem>
    <reviewItem>
      <errorID>541a8ec5-0342-42f7-975d-8d857462b8f8</errorID>
      <errorWord>（</errorWord>
      <group>L1_Format</group>
      <groupName>格式问题</groupName>
      <ability>L2_HalfPunc</ability>
      <abilityName>全半角检查</abilityName>
      <candidateList>
        <item>(</item>
      </candidateList>
      <explain>文本全半角错误。</explain>
      <paraID>5116899D</paraID>
      <start>21</start>
      <end>22</end>
      <status>unmodified</status>
      <modifiedWord/>
      <trackRevisions>false</trackRevisions>
    </reviewItem>
    <reviewItem>
      <errorID>5f784b0f-8bf1-4d0f-9dfd-af88bd5e7d1b</errorID>
      <errorWord>）</errorWord>
      <group>L1_Format</group>
      <groupName>格式问题</groupName>
      <ability>L2_HalfPunc</ability>
      <abilityName>全半角检查</abilityName>
      <candidateList>
        <item>)</item>
      </candidateList>
      <explain>文本全半角错误。</explain>
      <paraID>5116899D</paraID>
      <start>28</start>
      <end>29</end>
      <status>unmodified</status>
      <modifiedWord/>
      <trackRevisions>false</trackRevisions>
    </reviewItem>
    <reviewItem>
      <errorID>e2aa8121-b8df-41e0-a46b-98f04943c202</errorID>
      <errorWord>（</errorWord>
      <group>L1_Format</group>
      <groupName>格式问题</groupName>
      <ability>L2_HalfPunc</ability>
      <abilityName>全半角检查</abilityName>
      <candidateList>
        <item>(</item>
      </candidateList>
      <explain>文本全半角错误。</explain>
      <paraID>25DE1D91</paraID>
      <start>3</start>
      <end>4</end>
      <status>unmodified</status>
      <modifiedWord/>
      <trackRevisions>false</trackRevisions>
    </reviewItem>
    <reviewItem>
      <errorID>68b77670-7f98-4a39-acd6-fa88650b263a</errorID>
      <errorWord>）</errorWord>
      <group>L1_Format</group>
      <groupName>格式问题</groupName>
      <ability>L2_HalfPunc</ability>
      <abilityName>全半角检查</abilityName>
      <candidateList>
        <item>)</item>
      </candidateList>
      <explain>文本全半角错误。</explain>
      <paraID>25DE1D91</paraID>
      <start>5</start>
      <end>6</end>
      <status>unmodified</status>
      <modifiedWord/>
      <trackRevisions>false</trackRevisions>
    </reviewItem>
    <reviewItem>
      <errorID>21817edb-609d-477c-ad8e-858930cdae92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13348A4</paraID>
      <start>25</start>
      <end>26</end>
      <status>unmodified</status>
      <modifiedWord/>
      <trackRevisions>false</trackRevisions>
    </reviewItem>
    <reviewItem>
      <errorID>63a58f80-93fe-45d2-9855-d1a0653d9435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13348A4</paraID>
      <start>62</start>
      <end>63</end>
      <status>unmodified</status>
      <modifiedWord/>
      <trackRevisions>false</trackRevisions>
    </reviewItem>
    <reviewItem>
      <errorID>7f309969-d935-4dd1-83d5-1e770c1833c9</errorID>
      <errorWord>黏土</errorWord>
      <group>L1_Word</group>
      <groupName>字词问题</groupName>
      <ability>L2_Typo</ability>
      <abilityName>字词错误</abilityName>
      <candidateList>
        <item>粘土</item>
      </candidateList>
      <explain/>
      <paraID>353581B9</paraID>
      <start>8</start>
      <end>10</end>
      <status>modified</status>
      <modifiedWord>粘土</modifiedWord>
      <trackRevisions>false</trackRevisions>
    </reviewItem>
    <reviewItem>
      <errorID>c30505b8-c764-404a-bb60-32125ae08f80</errorID>
      <errorWord>其它</errorWord>
      <group>L1_Word</group>
      <groupName>字词问题</groupName>
      <ability>L2_Alias</ability>
      <abilityName>也作/曾用词</abilityName>
      <candidateList>
        <item>其他</item>
      </candidateList>
      <explain>词汇[其它]为不规范表述或旧称，其规范书面表述为[其他]。</explain>
      <paraID>2E32DC64</paraID>
      <start>46</start>
      <end>48</end>
      <status>modified</status>
      <modifiedWord>其他</modifiedWord>
      <trackRevisions>false</trackRevisions>
    </reviewItem>
    <reviewItem>
      <errorID>50b736de-29d8-4a8d-9029-2b9653bdadab</errorID>
      <errorWord>、</errorWord>
      <group>L1_Punc</group>
      <groupName>标点问题</groupName>
      <ability>L2_Punc</ability>
      <abilityName>标点符号检查</abilityName>
      <candidateList>
        <item>.</item>
      </candidateList>
      <explain/>
      <paraID>2E7F0A3F</paraID>
      <start>1</start>
      <end>2</end>
      <status>unmodified</status>
      <modifiedWord/>
      <trackRevisions>false</trackRevisions>
    </reviewItem>
    <reviewItem>
      <errorID>0a77bb20-dfbe-43e3-9968-60a7652e79fd</errorID>
      <errorWord>、</errorWord>
      <group>L1_Punc</group>
      <groupName>标点问题</groupName>
      <ability>L2_Punc</ability>
      <abilityName>标点符号检查</abilityName>
      <candidateList>
        <item>.</item>
      </candidateList>
      <explain/>
      <paraID> 6F098CB</paraID>
      <start>1</start>
      <end>2</end>
      <status>unmodified</status>
      <modifiedWord/>
      <trackRevisions>false</trackRevisions>
    </reviewItem>
    <reviewItem>
      <errorID>f31e6a7c-55b4-4cf7-9b3b-a07c83cccfee</errorID>
      <errorWord>、</errorWord>
      <group>L1_Punc</group>
      <groupName>标点问题</groupName>
      <ability>L2_Punc</ability>
      <abilityName>标点符号检查</abilityName>
      <candidateList>
        <item>.</item>
      </candidateList>
      <explain/>
      <paraID>17428D48</paraID>
      <start>1</start>
      <end>2</end>
      <status>unmodified</status>
      <modifiedWord/>
      <trackRevisions>false</trackRevisions>
    </reviewItem>
    <reviewItem>
      <errorID>6ed2fdfd-1be5-4143-b077-dc1731b3df2b</errorID>
      <errorWord>、</errorWord>
      <group>L1_Punc</group>
      <groupName>标点问题</groupName>
      <ability>L2_Punc</ability>
      <abilityName>标点符号检查</abilityName>
      <candidateList>
        <item>.</item>
      </candidateList>
      <explain/>
      <paraID>1A8EE233</paraID>
      <start>1</start>
      <end>2</end>
      <status>unmodified</status>
      <modifiedWord/>
      <trackRevisions>false</trackRevisions>
    </reviewItem>
    <reviewItem>
      <errorID>c856def0-e716-4337-aad4-5018bed48add</errorID>
      <errorWord>详实</errorWord>
      <group>L1_Word</group>
      <groupName>字词问题</groupName>
      <ability>L2_Typo</ability>
      <abilityName>字词错误</abilityName>
      <candidateList>
        <item>翔实</item>
      </candidateList>
      <explain/>
      <paraID>1A8EE233</paraID>
      <start>28</start>
      <end>30</end>
      <status>modified</status>
      <modifiedWord>翔实</modifiedWord>
      <trackRevisions>false</trackRevisions>
    </reviewItem>
    <reviewItem>
      <errorID>6718aa8a-906d-4d9f-9aa0-445b448fc124</errorID>
      <errorWord>、</errorWord>
      <group>L1_Punc</group>
      <groupName>标点问题</groupName>
      <ability>L2_Punc</ability>
      <abilityName>标点符号检查</abilityName>
      <candidateList>
        <item>.</item>
      </candidateList>
      <explain/>
      <paraID>29F60299</paraID>
      <start>1</start>
      <end>2</end>
      <status>unmodified</status>
      <modifiedWord/>
      <trackRevisions>false</trackRevisions>
    </reviewItem>
    <reviewItem>
      <errorID>e1491066-ac78-4243-8353-ee048fc9f2ff</errorID>
      <errorWord>、</errorWord>
      <group>L1_Punc</group>
      <groupName>标点问题</groupName>
      <ability>L2_Punc</ability>
      <abilityName>标点符号检查</abilityName>
      <candidateList>
        <item>.</item>
      </candidateList>
      <explain/>
      <paraID>5145223A</paraID>
      <start>1</start>
      <end>2</end>
      <status>unmodified</status>
      <modifiedWord/>
      <trackRevisions>false</trackRevisions>
    </reviewItem>
    <reviewItem>
      <errorID>cede7225-ae7e-4176-8b2f-04ae5c98968c</errorID>
      <errorWord>、</errorWord>
      <group>L1_Punc</group>
      <groupName>标点问题</groupName>
      <ability>L2_Punc</ability>
      <abilityName>标点符号检查</abilityName>
      <candidateList>
        <item>.</item>
      </candidateList>
      <explain/>
      <paraID>17F618EC</paraID>
      <start>1</start>
      <end>2</end>
      <status>unmodified</status>
      <modifiedWord/>
      <trackRevisions>false</trackRevisions>
    </reviewItem>
    <reviewItem>
      <errorID>f5ba29ca-03bd-45a7-b345-0083b249d28c</errorID>
      <errorWord>、</errorWord>
      <group>L1_Punc</group>
      <groupName>标点问题</groupName>
      <ability>L2_Punc</ability>
      <abilityName>标点符号检查</abilityName>
      <candidateList>
        <item>.</item>
      </candidateList>
      <explain/>
      <paraID>3D1F9F02</paraID>
      <start>1</start>
      <end>2</end>
      <status>unmodified</status>
      <modifiedWord/>
      <trackRevisions>false</trackRevisions>
    </reviewItem>
    <reviewItem>
      <errorID>bd3d24a9-72dd-48d9-aff6-274dba689bf0</errorID>
      <errorWord>、</errorWord>
      <group>L1_Punc</group>
      <groupName>标点问题</groupName>
      <ability>L2_Punc</ability>
      <abilityName>标点符号检查</abilityName>
      <candidateList>
        <item>.</item>
      </candidateList>
      <explain/>
      <paraID> 7EC2ED8</paraID>
      <start>1</start>
      <end>2</end>
      <status>unmodified</status>
      <modifiedWord/>
      <trackRevisions>false</trackRevisions>
    </reviewItem>
    <reviewItem>
      <errorID>f1463dd3-168a-4d9c-9520-04e7ea4b9afa</errorID>
      <errorWord>、</errorWord>
      <group>L1_Punc</group>
      <groupName>标点问题</groupName>
      <ability>L2_Punc</ability>
      <abilityName>标点符号检查</abilityName>
      <candidateList>
        <item>.</item>
      </candidateList>
      <explain/>
      <paraID> 75D7F1E</paraID>
      <start>1</start>
      <end>2</end>
      <status>unmodified</status>
      <modifiedWord/>
      <trackRevisions>false</trackRevisions>
    </reviewItem>
    <reviewItem>
      <errorID>1c708209-acd2-4c43-b5c3-d906c4f10fa8</errorID>
      <errorWord>、</errorWord>
      <group>L1_Punc</group>
      <groupName>标点问题</groupName>
      <ability>L2_Punc</ability>
      <abilityName>标点符号检查</abilityName>
      <candidateList>
        <item>.</item>
      </candidateList>
      <explain/>
      <paraID>162800B0</paraID>
      <start>1</start>
      <end>2</end>
      <status>unmodified</status>
      <modifiedWord/>
      <trackRevisions>false</trackRevisions>
    </reviewItem>
    <reviewItem>
      <errorID>95c64e43-3b1a-42c7-9417-0a092bbe0f47</errorID>
      <errorWord>、</errorWord>
      <group>L1_Punc</group>
      <groupName>标点问题</groupName>
      <ability>L2_Punc</ability>
      <abilityName>标点符号检查</abilityName>
      <candidateList>
        <item>.</item>
      </candidateList>
      <explain/>
      <paraID>703964CE</paraID>
      <start>1</start>
      <end>2</end>
      <status>unmodified</status>
      <modifiedWord/>
      <trackRevisions>false</trackRevisions>
    </reviewItem>
    <reviewItem>
      <errorID>d60f8295-1e3d-4c4d-b984-0ff7da43c829</errorID>
      <errorWord>、</errorWord>
      <group>L1_Punc</group>
      <groupName>标点问题</groupName>
      <ability>L2_Punc</ability>
      <abilityName>标点符号检查</abilityName>
      <candidateList>
        <item>.</item>
      </candidateList>
      <explain/>
      <paraID>6B1FE1AA</paraID>
      <start>1</start>
      <end>2</end>
      <status>unmodified</status>
      <modifiedWord/>
      <trackRevisions>false</trackRevisions>
    </reviewItem>
    <reviewItem>
      <errorID>0be62dab-e4fd-4166-872f-997b888e2474</errorID>
      <errorWord>、</errorWord>
      <group>L1_Punc</group>
      <groupName>标点问题</groupName>
      <ability>L2_Punc</ability>
      <abilityName>标点符号检查</abilityName>
      <candidateList>
        <item>.</item>
      </candidateList>
      <explain/>
      <paraID>70703ECC</paraID>
      <start>1</start>
      <end>2</end>
      <status>unmodified</status>
      <modifiedWord/>
      <trackRevisions>false</trackRevisions>
    </reviewItem>
    <reviewItem>
      <errorID>8c666dbd-be03-4566-99b8-48196f6b6d56</errorID>
      <errorWord>、</errorWord>
      <group>L1_Punc</group>
      <groupName>标点问题</groupName>
      <ability>L2_Punc</ability>
      <abilityName>标点符号检查</abilityName>
      <candidateList>
        <item>.</item>
      </candidateList>
      <explain/>
      <paraID>2C8DEA24</paraID>
      <start>1</start>
      <end>2</end>
      <status>unmodified</status>
      <modifiedWord/>
      <trackRevisions>false</trackRevisions>
    </reviewItem>
    <reviewItem>
      <errorID>b071b17d-cdb3-4546-b14a-5009a3ceedcf</errorID>
      <errorWord>、</errorWord>
      <group>L1_Punc</group>
      <groupName>标点问题</groupName>
      <ability>L2_Punc</ability>
      <abilityName>标点符号检查</abilityName>
      <candidateList>
        <item>.</item>
      </candidateList>
      <explain/>
      <paraID>2CE14953</paraID>
      <start>1</start>
      <end>2</end>
      <status>unmodified</status>
      <modifiedWord/>
      <trackRevisions>false</trackRevisions>
    </reviewItem>
    <reviewItem>
      <errorID>a3c7d66f-ec80-492d-9525-8634134251b2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2CE14953</paraID>
      <start>68</start>
      <end>69</end>
      <status>unmodified</status>
      <modifiedWord/>
      <trackRevisions>false</trackRevisions>
    </reviewItem>
    <reviewItem>
      <errorID>a967d6d9-1779-47ae-8c8d-9b5959408080</errorID>
      <errorWord>、</errorWord>
      <group>L1_Punc</group>
      <groupName>标点问题</groupName>
      <ability>L2_Punc</ability>
      <abilityName>标点符号检查</abilityName>
      <candidateList>
        <item>.</item>
      </candidateList>
      <explain/>
      <paraID>22CE8DF0</paraID>
      <start>1</start>
      <end>2</end>
      <status>unmodified</status>
      <modifiedWord/>
      <trackRevisions>false</trackRevisions>
    </reviewItem>
    <reviewItem>
      <errorID>668ece57-f931-4bd8-9e17-0ffd75595ad5</errorID>
      <errorWord>间隔断</errorWord>
      <group>L1_Word</group>
      <groupName>字词问题</groupName>
      <ability>L2_Typo</ability>
      <abilityName>字词错误</abilityName>
      <candidateList>
        <item>间隔</item>
      </candidateList>
      <explain/>
      <paraID>22CE8DF0</paraID>
      <start>23</start>
      <end>26</end>
      <status>unmodified</status>
      <modifiedWord/>
      <trackRevisions>false</trackRevisions>
    </reviewItem>
    <reviewItem>
      <errorID>0d396710-b665-4227-9662-48c18898ed0f</errorID>
      <errorWord>、</errorWord>
      <group>L1_Punc</group>
      <groupName>标点问题</groupName>
      <ability>L2_Punc</ability>
      <abilityName>标点符号检查</abilityName>
      <candidateList>
        <item>.</item>
      </candidateList>
      <explain/>
      <paraID>24ACACE8</paraID>
      <start>1</start>
      <end>2</end>
      <status>unmodified</status>
      <modifiedWord/>
      <trackRevisions>false</trackRevisions>
    </reviewItem>
    <reviewItem>
      <errorID>b17cd8a1-eba6-4645-ac16-760cb83aefed</errorID>
      <errorWord>表明</errorWord>
      <group>L1_Word</group>
      <groupName>字词问题</groupName>
      <ability>L2_Typo</ability>
      <abilityName>字词错误</abilityName>
      <candidateList>
        <item>标明</item>
      </candidateList>
      <explain>〈动〉做出记号或写出文字使人知道：～号码｜车站的时刻表上～由上海来的快车在四点钟到达。</explain>
      <paraID>24ACACE8</paraID>
      <start>134</start>
      <end>136</end>
      <status>modified</status>
      <modifiedWord>标明</modifiedWord>
      <trackRevisions>false</trackRevisions>
    </reviewItem>
    <reviewItem>
      <errorID>2085998d-a8be-45e0-9bd7-77423abf24e2</errorID>
      <errorWord>、</errorWord>
      <group>L1_Punc</group>
      <groupName>标点问题</groupName>
      <ability>L2_Punc</ability>
      <abilityName>标点符号检查</abilityName>
      <candidateList>
        <item>.</item>
      </candidateList>
      <explain/>
      <paraID>3973FAE2</paraID>
      <start>1</start>
      <end>2</end>
      <status>unmodified</status>
      <modifiedWord/>
      <trackRevisions>false</trackRevisions>
    </reviewItem>
    <reviewItem>
      <errorID>630a1215-5e92-4208-b5a4-4bac3dcc240c</errorID>
      <errorWord>、</errorWord>
      <group>L1_Punc</group>
      <groupName>标点问题</groupName>
      <ability>L2_Punc</ability>
      <abilityName>标点符号检查</abilityName>
      <candidateList>
        <item>.</item>
      </candidateList>
      <explain/>
      <paraID>3EA44DC0</paraID>
      <start>1</start>
      <end>2</end>
      <status>unmodified</status>
      <modifiedWord/>
      <trackRevisions>false</trackRevisions>
    </reviewItem>
    <reviewItem>
      <errorID>e0a73f78-f1a6-449c-b4b6-077a1f7da195</errorID>
      <errorWord>作好</errorWord>
      <group>L1_Word</group>
      <groupName>字词问题</groupName>
      <ability>L2_Typo</ability>
      <abilityName>字词错误</abilityName>
      <candidateList>
        <item>做好</item>
      </candidateList>
      <explain>存在发音相同字词的误用。</explain>
      <paraID>3EA44DC0</paraID>
      <start>13</start>
      <end>15</end>
      <status>modified</status>
      <modifiedWord>做好</modifiedWord>
      <trackRevisions>false</trackRevisions>
    </reviewItem>
    <reviewItem>
      <errorID>4aeb102c-d177-426f-b5a8-4ca6f456bdec</errorID>
      <errorWord>(</errorWord>
      <group>L1_Format</group>
      <groupName>格式问题</groupName>
      <ability>L2_HalfPunc</ability>
      <abilityName>全半角检查</abilityName>
      <candidateList>
        <item>（</item>
      </candidateList>
      <explain>文本全半角错误。</explain>
      <paraID>16488003</paraID>
      <start>19</start>
      <end>20</end>
      <status>unmodified</status>
      <modifiedWord/>
      <trackRevisions>false</trackRevisions>
    </reviewItem>
    <reviewItem>
      <errorID>0cfa2566-c9fd-4f11-9a86-e6b9f3c98b77</errorID>
      <errorWord>)</errorWord>
      <group>L1_Format</group>
      <groupName>格式问题</groupName>
      <ability>L2_HalfPunc</ability>
      <abilityName>全半角检查</abilityName>
      <candidateList>
        <item>）</item>
      </candidateList>
      <explain>文本全半角错误。</explain>
      <paraID>16488003</paraID>
      <start>30</start>
      <end>31</end>
      <status>unmodified</status>
      <modifiedWord/>
      <trackRevisions>false</trackRevisions>
    </reviewItem>
    <reviewItem>
      <errorID>c082e162-d32e-4b48-a956-8e76ed9aed1b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20C79C52</paraID>
      <start>72</start>
      <end>73</end>
      <status>unmodified</status>
      <modifiedWord/>
      <trackRevisions>false</trackRevisions>
    </reviewItem>
    <reviewItem>
      <errorID>f9b5f910-7533-4a11-a5a4-0d0c9d456c0c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20C79C52</paraID>
      <start>102</start>
      <end>103</end>
      <status>unmodified</status>
      <modifiedWord/>
      <trackRevisions>false</trackRevisions>
    </reviewItem>
    <reviewItem>
      <errorID>593054b1-300c-4993-8b3f-4732a2db3a24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10F8B660</paraID>
      <start>120</start>
      <end>122</end>
      <status>modified</status>
      <modifiedWord>》《</modifiedWord>
      <trackRevisions>false</trackRevisions>
    </reviewItem>
    <reviewItem>
      <errorID>045bed02-af0f-4b1e-b392-d78b6cff6712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641172AC</paraID>
      <start>102</start>
      <end>103</end>
      <status>unmodified</status>
      <modifiedWord/>
      <trackRevisions>false</trackRevisions>
    </reviewItem>
    <reviewItem>
      <errorID>37e82dc3-c542-49c6-bc5b-990f643208f5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641172AC</paraID>
      <start>139</start>
      <end>140</end>
      <status>unmodified</status>
      <modifiedWord/>
      <trackRevisions>false</trackRevisions>
    </reviewItem>
    <reviewItem>
      <errorID>ffa04c0f-1778-4ae8-b8b5-9ae9f64894d8</errorID>
      <errorWord>黏土</errorWord>
      <group>L1_Word</group>
      <groupName>字词问题</groupName>
      <ability>L2_Typo</ability>
      <abilityName>字词错误</abilityName>
      <candidateList>
        <item>粘土</item>
      </candidateList>
      <explain/>
      <paraID>3D55BDF2</paraID>
      <start>42</start>
      <end>44</end>
      <status>modified</status>
      <modifiedWord>粘土</modifiedWord>
      <trackRevisions>false</trackRevisions>
    </reviewItem>
    <reviewItem>
      <errorID>f3be0963-fca9-49e7-a3f3-dd9054bfc97a</errorID>
      <errorWord>(</errorWord>
      <group>L1_Format</group>
      <groupName>格式问题</groupName>
      <ability>L2_HalfPunc</ability>
      <abilityName>全半角检查</abilityName>
      <candidateList>
        <item>（</item>
      </candidateList>
      <explain>文本全半角错误。</explain>
      <paraID>1B19727D</paraID>
      <start>3</start>
      <end>4</end>
      <status>unmodified</status>
      <modifiedWord/>
      <trackRevisions>false</trackRevisions>
    </reviewItem>
    <reviewItem>
      <errorID>4a1bdd56-bf94-492d-945b-5d64451172cb</errorID>
      <errorWord>)</errorWord>
      <group>L1_Format</group>
      <groupName>格式问题</groupName>
      <ability>L2_HalfPunc</ability>
      <abilityName>全半角检查</abilityName>
      <candidateList>
        <item>）</item>
      </candidateList>
      <explain>文本全半角错误。</explain>
      <paraID>1B19727D</paraID>
      <start>9</start>
      <end>10</end>
      <status>unmodified</status>
      <modifiedWord/>
      <trackRevisions>false</trackRevisions>
    </reviewItem>
    <reviewItem>
      <errorID>e551aa09-0222-4104-acd1-25fc8391fdff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73DE7B08</paraID>
      <start>102</start>
      <end>103</end>
      <status>unmodified</status>
      <modifiedWord/>
      <trackRevisions>false</trackRevisions>
    </reviewItem>
    <reviewItem>
      <errorID>b1b8299e-c923-49d9-a853-b0747a0604cf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73DE7B08</paraID>
      <start>139</start>
      <end>140</end>
      <status>unmodified</status>
      <modifiedWord/>
      <trackRevisions>false</trackRevisions>
    </reviewItem>
    <reviewItem>
      <errorID>268a346f-ad98-4f0d-a436-0910bde11b21</errorID>
      <errorWord>黏土</errorWord>
      <group>L1_Word</group>
      <groupName>字词问题</groupName>
      <ability>L2_Typo</ability>
      <abilityName>字词错误</abilityName>
      <candidateList>
        <item>粘土</item>
      </candidateList>
      <explain/>
      <paraID>26CED63B</paraID>
      <start>42</start>
      <end>44</end>
      <status>modified</status>
      <modifiedWord>粘土</modifiedWord>
      <trackRevisions>false</trackRevisions>
    </reviewItem>
    <reviewItem>
      <errorID>242235e1-f00c-4ba9-ab4e-03a925046281</errorID>
      <errorWord>理</errorWord>
      <group>L1_Word</group>
      <groupName>字词问题</groupName>
      <ability>L2_Typo</ability>
      <abilityName>字词错误</abilityName>
      <candidateList>
        <item>理和</item>
      </candidateList>
      <explain/>
      <paraID>36F3BB60</paraID>
      <start>58</start>
      <end>60</end>
      <status>modified</status>
      <modifiedWord>理和</modifiedWord>
      <trackRevisions>false</trackRevisions>
    </reviewItem>
    <reviewItem>
      <errorID>20dfb982-27af-40d7-a8e5-e5e5e8c971fe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499CFC72</paraID>
      <start>15</start>
      <end>17</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20ebf4-fe13-442a-9279-df60f536a60e}">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102</Pages>
  <Words>8674</Words>
  <Characters>9733</Characters>
  <Lines>13</Lines>
  <Paragraphs>3</Paragraphs>
  <TotalTime>20</TotalTime>
  <ScaleCrop>false</ScaleCrop>
  <LinksUpToDate>false</LinksUpToDate>
  <CharactersWithSpaces>9733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初心す</cp:lastModifiedBy>
  <cp:lastPrinted>2020-12-29T02:43:00Z</cp:lastPrinted>
  <dcterms:modified xsi:type="dcterms:W3CDTF">2025-12-11T03:31:54Z</dcterms:modified>
  <dc:title>附件2</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eyJoZGlkIjoiM2EyOWVkMDQ1ZDJiMmU2YTY0Y2RjZjk2MTY4MmNjZTAiLCJ1c2VySWQiOiIzMTQyNjY5OTIifQ==</vt:lpwstr>
  </property>
  <property fmtid="{D5CDD505-2E9C-101B-9397-08002B2CF9AE}" pid="4" name="ICV">
    <vt:lpwstr>4FFDC34818544CEC9E992B0663C3795F_13</vt:lpwstr>
  </property>
</Properties>
</file>